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BE634" w14:textId="2046E47A" w:rsidR="00F3359B" w:rsidRPr="002F5155" w:rsidRDefault="00C24DD0" w:rsidP="00F3359B">
      <w:pPr>
        <w:pStyle w:val="Text"/>
        <w:tabs>
          <w:tab w:val="left" w:pos="4410"/>
        </w:tabs>
        <w:spacing w:before="360" w:line="520" w:lineRule="exact"/>
        <w:ind w:firstLine="0"/>
        <w:jc w:val="center"/>
        <w:rPr>
          <w:b/>
          <w:spacing w:val="-4"/>
          <w:w w:val="85"/>
          <w:sz w:val="48"/>
          <w:szCs w:val="48"/>
        </w:rPr>
      </w:pPr>
      <w:bookmarkStart w:id="0" w:name="_GoBack"/>
      <w:bookmarkEnd w:id="0"/>
      <w:r w:rsidRPr="002F5155">
        <w:rPr>
          <w:b/>
          <w:spacing w:val="-4"/>
          <w:w w:val="85"/>
          <w:sz w:val="48"/>
          <w:szCs w:val="48"/>
        </w:rPr>
        <w:t xml:space="preserve">The </w:t>
      </w:r>
      <w:r w:rsidR="00FF2370" w:rsidRPr="002F5155">
        <w:rPr>
          <w:b/>
          <w:spacing w:val="-4"/>
          <w:w w:val="85"/>
          <w:sz w:val="48"/>
          <w:szCs w:val="48"/>
        </w:rPr>
        <w:t>D</w:t>
      </w:r>
      <w:r w:rsidRPr="002F5155">
        <w:rPr>
          <w:b/>
          <w:spacing w:val="-4"/>
          <w:w w:val="85"/>
          <w:sz w:val="48"/>
          <w:szCs w:val="48"/>
        </w:rPr>
        <w:t xml:space="preserve">ielectric </w:t>
      </w:r>
      <w:r w:rsidR="00FF2370" w:rsidRPr="002F5155">
        <w:rPr>
          <w:b/>
          <w:spacing w:val="-4"/>
          <w:w w:val="85"/>
          <w:sz w:val="48"/>
          <w:szCs w:val="48"/>
        </w:rPr>
        <w:t>E</w:t>
      </w:r>
      <w:r w:rsidRPr="002F5155">
        <w:rPr>
          <w:b/>
          <w:spacing w:val="-4"/>
          <w:w w:val="85"/>
          <w:sz w:val="48"/>
          <w:szCs w:val="48"/>
        </w:rPr>
        <w:t xml:space="preserve">ffect of </w:t>
      </w:r>
      <w:r w:rsidR="00FF2370" w:rsidRPr="002F5155">
        <w:rPr>
          <w:b/>
          <w:spacing w:val="-4"/>
          <w:w w:val="85"/>
          <w:sz w:val="48"/>
          <w:szCs w:val="48"/>
        </w:rPr>
        <w:t>X</w:t>
      </w:r>
      <w:r w:rsidRPr="002F5155">
        <w:rPr>
          <w:b/>
          <w:spacing w:val="-4"/>
          <w:w w:val="85"/>
          <w:sz w:val="48"/>
          <w:szCs w:val="48"/>
        </w:rPr>
        <w:t xml:space="preserve">ylene on an </w:t>
      </w:r>
      <w:r w:rsidR="00FF2370" w:rsidRPr="002F5155">
        <w:rPr>
          <w:b/>
          <w:spacing w:val="-4"/>
          <w:w w:val="85"/>
          <w:sz w:val="48"/>
          <w:szCs w:val="48"/>
        </w:rPr>
        <w:t>O</w:t>
      </w:r>
      <w:r w:rsidRPr="002F5155">
        <w:rPr>
          <w:b/>
          <w:spacing w:val="-4"/>
          <w:w w:val="85"/>
          <w:sz w:val="48"/>
          <w:szCs w:val="48"/>
        </w:rPr>
        <w:t>rganoclay-</w:t>
      </w:r>
      <w:r w:rsidR="00FF2370" w:rsidRPr="002F5155">
        <w:rPr>
          <w:b/>
          <w:spacing w:val="-4"/>
          <w:w w:val="85"/>
          <w:sz w:val="48"/>
          <w:szCs w:val="48"/>
        </w:rPr>
        <w:t>C</w:t>
      </w:r>
      <w:r w:rsidRPr="002F5155">
        <w:rPr>
          <w:b/>
          <w:spacing w:val="-4"/>
          <w:w w:val="85"/>
          <w:sz w:val="48"/>
          <w:szCs w:val="48"/>
        </w:rPr>
        <w:t xml:space="preserve">ontaining </w:t>
      </w:r>
      <w:r w:rsidR="00FF2370" w:rsidRPr="002F5155">
        <w:rPr>
          <w:b/>
          <w:spacing w:val="-4"/>
          <w:w w:val="85"/>
          <w:sz w:val="48"/>
          <w:szCs w:val="48"/>
        </w:rPr>
        <w:t>C</w:t>
      </w:r>
      <w:r w:rsidRPr="002F5155">
        <w:rPr>
          <w:b/>
          <w:spacing w:val="-4"/>
          <w:w w:val="85"/>
          <w:sz w:val="48"/>
          <w:szCs w:val="48"/>
        </w:rPr>
        <w:t>omposite</w:t>
      </w:r>
    </w:p>
    <w:p w14:paraId="405DC3D4" w14:textId="41468797" w:rsidR="00C862F1" w:rsidRPr="002F5155" w:rsidRDefault="00C24DD0" w:rsidP="00C862F1">
      <w:pPr>
        <w:pStyle w:val="Text"/>
        <w:spacing w:line="240" w:lineRule="auto"/>
        <w:ind w:firstLine="0"/>
        <w:jc w:val="center"/>
        <w:rPr>
          <w:rFonts w:ascii="Arial" w:hAnsi="Arial" w:cs="Arial"/>
          <w:b/>
          <w:sz w:val="24"/>
        </w:rPr>
      </w:pPr>
      <w:r w:rsidRPr="002F5155">
        <w:rPr>
          <w:rFonts w:ascii="Arial" w:hAnsi="Arial" w:cs="Arial"/>
          <w:b/>
          <w:sz w:val="24"/>
        </w:rPr>
        <w:t xml:space="preserve">Allison V. Shaw, Alun S. Vaughan </w:t>
      </w:r>
      <w:r w:rsidRPr="002F5155">
        <w:rPr>
          <w:rFonts w:ascii="Arial" w:hAnsi="Arial" w:cs="Arial"/>
          <w:sz w:val="24"/>
        </w:rPr>
        <w:t>and</w:t>
      </w:r>
      <w:r w:rsidRPr="002F5155">
        <w:rPr>
          <w:rFonts w:ascii="Arial" w:hAnsi="Arial" w:cs="Arial"/>
          <w:b/>
          <w:sz w:val="24"/>
        </w:rPr>
        <w:t xml:space="preserve"> Thomas Andritsch</w:t>
      </w:r>
      <w:r w:rsidR="00C862F1" w:rsidRPr="002F5155">
        <w:rPr>
          <w:rFonts w:ascii="Arial" w:hAnsi="Arial" w:cs="Arial"/>
          <w:b/>
          <w:sz w:val="24"/>
        </w:rPr>
        <w:t xml:space="preserve"> </w:t>
      </w:r>
    </w:p>
    <w:p w14:paraId="682E7F98" w14:textId="3C2C1E48" w:rsidR="00C862F1" w:rsidRPr="002F5155" w:rsidRDefault="00C24DD0" w:rsidP="00C862F1">
      <w:pPr>
        <w:pStyle w:val="Text"/>
        <w:spacing w:line="240" w:lineRule="auto"/>
        <w:ind w:firstLine="0"/>
        <w:jc w:val="center"/>
      </w:pPr>
      <w:r w:rsidRPr="002F5155">
        <w:t>School of Electron</w:t>
      </w:r>
      <w:r w:rsidR="00886D46" w:rsidRPr="002F5155">
        <w:t>ic</w:t>
      </w:r>
      <w:r w:rsidRPr="002F5155">
        <w:t>s and Computer Science,</w:t>
      </w:r>
    </w:p>
    <w:p w14:paraId="5AE1D36B" w14:textId="7B7B4B4F" w:rsidR="00C862F1" w:rsidRPr="002F5155" w:rsidRDefault="00C24DD0" w:rsidP="00C862F1">
      <w:pPr>
        <w:pStyle w:val="Text"/>
        <w:spacing w:line="240" w:lineRule="auto"/>
        <w:ind w:firstLine="0"/>
        <w:jc w:val="center"/>
      </w:pPr>
      <w:r w:rsidRPr="002F5155">
        <w:t>University of Southampton,</w:t>
      </w:r>
    </w:p>
    <w:p w14:paraId="24788A9C" w14:textId="4404FFCC" w:rsidR="00C862F1" w:rsidRPr="002F5155" w:rsidRDefault="00C24DD0" w:rsidP="00C862F1">
      <w:pPr>
        <w:pStyle w:val="Text"/>
        <w:spacing w:line="240" w:lineRule="auto"/>
        <w:ind w:firstLine="0"/>
        <w:jc w:val="center"/>
      </w:pPr>
      <w:r w:rsidRPr="002F5155">
        <w:t>Highfield,</w:t>
      </w:r>
    </w:p>
    <w:p w14:paraId="0ED616BF" w14:textId="3C7D4B16" w:rsidR="00C24DD0" w:rsidRPr="002F5155" w:rsidRDefault="00C24DD0" w:rsidP="00C862F1">
      <w:pPr>
        <w:pStyle w:val="Text"/>
        <w:spacing w:line="240" w:lineRule="auto"/>
        <w:ind w:firstLine="0"/>
        <w:jc w:val="center"/>
      </w:pPr>
      <w:r w:rsidRPr="002F5155">
        <w:t>Southampton, SO17 1BJ, UK</w:t>
      </w:r>
    </w:p>
    <w:p w14:paraId="5A943D5F" w14:textId="77777777" w:rsidR="00C862F1" w:rsidRPr="002F5155" w:rsidRDefault="00C862F1" w:rsidP="00C862F1">
      <w:pPr>
        <w:pStyle w:val="Text"/>
        <w:spacing w:line="240" w:lineRule="auto"/>
        <w:ind w:firstLine="0"/>
        <w:jc w:val="center"/>
      </w:pPr>
    </w:p>
    <w:p w14:paraId="04035CE0" w14:textId="77777777" w:rsidR="00C862F1" w:rsidRPr="002F5155" w:rsidRDefault="00C862F1" w:rsidP="00C862F1">
      <w:pPr>
        <w:pStyle w:val="Text"/>
        <w:spacing w:line="240" w:lineRule="auto"/>
        <w:ind w:firstLine="0"/>
        <w:jc w:val="center"/>
        <w:rPr>
          <w:rFonts w:ascii="Arial" w:hAnsi="Arial" w:cs="Arial"/>
          <w:b/>
          <w:sz w:val="24"/>
        </w:rPr>
      </w:pPr>
      <w:r w:rsidRPr="002F5155">
        <w:rPr>
          <w:rFonts w:ascii="Arial" w:hAnsi="Arial" w:cs="Arial"/>
          <w:b/>
          <w:sz w:val="24"/>
        </w:rPr>
        <w:t>ABSTRACT</w:t>
      </w:r>
    </w:p>
    <w:p w14:paraId="100EBE6A" w14:textId="406E9C81" w:rsidR="00C862F1" w:rsidRPr="002F5155" w:rsidRDefault="00C24DD0" w:rsidP="00C862F1">
      <w:pPr>
        <w:pStyle w:val="Text"/>
        <w:spacing w:line="240" w:lineRule="auto"/>
        <w:ind w:left="1440" w:right="1440" w:firstLine="0"/>
        <w:rPr>
          <w:b/>
          <w:bCs/>
        </w:rPr>
      </w:pPr>
      <w:r w:rsidRPr="002F5155">
        <w:rPr>
          <w:b/>
          <w:bCs/>
        </w:rPr>
        <w:t xml:space="preserve">The influence of a non-polar solvent, xylene, on the electrical properties of a system containing polypropylene, </w:t>
      </w:r>
      <w:r w:rsidR="00E0730F" w:rsidRPr="002F5155">
        <w:rPr>
          <w:b/>
          <w:bCs/>
        </w:rPr>
        <w:t xml:space="preserve">a </w:t>
      </w:r>
      <w:r w:rsidRPr="002F5155">
        <w:rPr>
          <w:b/>
          <w:bCs/>
        </w:rPr>
        <w:t xml:space="preserve">copolymer </w:t>
      </w:r>
      <w:r w:rsidR="00E0730F" w:rsidRPr="002F5155">
        <w:rPr>
          <w:b/>
          <w:bCs/>
        </w:rPr>
        <w:t xml:space="preserve">of </w:t>
      </w:r>
      <w:r w:rsidRPr="002F5155">
        <w:rPr>
          <w:b/>
          <w:bCs/>
        </w:rPr>
        <w:t>ethylene</w:t>
      </w:r>
      <w:r w:rsidR="00E0730F" w:rsidRPr="002F5155">
        <w:rPr>
          <w:b/>
          <w:bCs/>
        </w:rPr>
        <w:t xml:space="preserve"> and </w:t>
      </w:r>
      <w:r w:rsidRPr="002F5155">
        <w:rPr>
          <w:b/>
          <w:bCs/>
        </w:rPr>
        <w:t>vinyl acetate and an organoclay has been considered</w:t>
      </w:r>
      <w:r w:rsidR="00E0730F" w:rsidRPr="002F5155">
        <w:rPr>
          <w:b/>
          <w:bCs/>
        </w:rPr>
        <w:t>,</w:t>
      </w:r>
      <w:r w:rsidRPr="002F5155">
        <w:rPr>
          <w:b/>
          <w:bCs/>
        </w:rPr>
        <w:t xml:space="preserve"> since the </w:t>
      </w:r>
      <w:r w:rsidR="00A465E2" w:rsidRPr="002F5155">
        <w:rPr>
          <w:b/>
          <w:bCs/>
        </w:rPr>
        <w:t xml:space="preserve">production </w:t>
      </w:r>
      <w:r w:rsidRPr="002F5155">
        <w:rPr>
          <w:b/>
          <w:bCs/>
        </w:rPr>
        <w:t xml:space="preserve">of </w:t>
      </w:r>
      <w:r w:rsidR="00A465E2" w:rsidRPr="002F5155">
        <w:rPr>
          <w:b/>
          <w:bCs/>
        </w:rPr>
        <w:t xml:space="preserve">such materials may </w:t>
      </w:r>
      <w:r w:rsidRPr="002F5155">
        <w:rPr>
          <w:b/>
          <w:bCs/>
        </w:rPr>
        <w:t xml:space="preserve">often involve </w:t>
      </w:r>
      <w:r w:rsidR="00A465E2" w:rsidRPr="002F5155">
        <w:rPr>
          <w:b/>
          <w:bCs/>
        </w:rPr>
        <w:t xml:space="preserve">exposure to </w:t>
      </w:r>
      <w:r w:rsidRPr="002F5155">
        <w:rPr>
          <w:b/>
          <w:bCs/>
        </w:rPr>
        <w:t>a solvent. Although</w:t>
      </w:r>
      <w:r w:rsidR="007A0392" w:rsidRPr="002F5155">
        <w:rPr>
          <w:b/>
          <w:bCs/>
        </w:rPr>
        <w:t>,</w:t>
      </w:r>
      <w:r w:rsidR="00565133" w:rsidRPr="002F5155">
        <w:rPr>
          <w:b/>
          <w:bCs/>
        </w:rPr>
        <w:t xml:space="preserve"> i</w:t>
      </w:r>
      <w:r w:rsidR="00547FF3" w:rsidRPr="002F5155">
        <w:rPr>
          <w:b/>
          <w:bCs/>
        </w:rPr>
        <w:t>n isolation</w:t>
      </w:r>
      <w:r w:rsidR="007A0392" w:rsidRPr="002F5155">
        <w:rPr>
          <w:b/>
          <w:bCs/>
        </w:rPr>
        <w:t>,</w:t>
      </w:r>
      <w:r w:rsidR="00565133" w:rsidRPr="002F5155">
        <w:rPr>
          <w:b/>
          <w:bCs/>
        </w:rPr>
        <w:t xml:space="preserve"> neither the organoclay nor the xylene has a marked effect on the dielectric response of the system</w:t>
      </w:r>
      <w:r w:rsidRPr="002F5155">
        <w:rPr>
          <w:b/>
          <w:bCs/>
        </w:rPr>
        <w:t xml:space="preserve">, </w:t>
      </w:r>
      <w:r w:rsidR="00565133" w:rsidRPr="002F5155">
        <w:rPr>
          <w:b/>
          <w:bCs/>
        </w:rPr>
        <w:t>when combined</w:t>
      </w:r>
      <w:r w:rsidR="00E0730F" w:rsidRPr="002F5155">
        <w:rPr>
          <w:b/>
          <w:bCs/>
        </w:rPr>
        <w:t>,</w:t>
      </w:r>
      <w:r w:rsidR="00565133" w:rsidRPr="002F5155">
        <w:rPr>
          <w:b/>
          <w:bCs/>
        </w:rPr>
        <w:t xml:space="preserve"> synergistic effects can be seen. We</w:t>
      </w:r>
      <w:r w:rsidRPr="002F5155">
        <w:rPr>
          <w:b/>
          <w:bCs/>
        </w:rPr>
        <w:t xml:space="preserve"> interpret </w:t>
      </w:r>
      <w:r w:rsidR="00565133" w:rsidRPr="002F5155">
        <w:rPr>
          <w:b/>
          <w:bCs/>
        </w:rPr>
        <w:t xml:space="preserve">this </w:t>
      </w:r>
      <w:r w:rsidRPr="002F5155">
        <w:rPr>
          <w:b/>
          <w:bCs/>
        </w:rPr>
        <w:t>in terms of solvent</w:t>
      </w:r>
      <w:r w:rsidR="00565133" w:rsidRPr="002F5155">
        <w:rPr>
          <w:b/>
          <w:bCs/>
        </w:rPr>
        <w:t>-</w:t>
      </w:r>
      <w:r w:rsidRPr="002F5155">
        <w:rPr>
          <w:b/>
          <w:bCs/>
        </w:rPr>
        <w:t>mediated relaxa</w:t>
      </w:r>
      <w:r w:rsidR="007A0392" w:rsidRPr="002F5155">
        <w:rPr>
          <w:b/>
          <w:bCs/>
        </w:rPr>
        <w:t>tion of amphiphilic compatibiliz</w:t>
      </w:r>
      <w:r w:rsidRPr="002F5155">
        <w:rPr>
          <w:b/>
          <w:bCs/>
        </w:rPr>
        <w:t xml:space="preserve">er moieties introduced into the organoclay to aid processability. These local relaxation processes appear adversely </w:t>
      </w:r>
      <w:r w:rsidR="00A465E2" w:rsidRPr="002F5155">
        <w:rPr>
          <w:b/>
          <w:bCs/>
        </w:rPr>
        <w:t xml:space="preserve">to </w:t>
      </w:r>
      <w:r w:rsidRPr="002F5155">
        <w:rPr>
          <w:b/>
          <w:bCs/>
        </w:rPr>
        <w:t xml:space="preserve">affect the </w:t>
      </w:r>
      <w:r w:rsidR="002D335E" w:rsidRPr="002F5155">
        <w:rPr>
          <w:b/>
          <w:bCs/>
        </w:rPr>
        <w:t xml:space="preserve">AC </w:t>
      </w:r>
      <w:r w:rsidRPr="002F5155">
        <w:rPr>
          <w:b/>
          <w:bCs/>
        </w:rPr>
        <w:t xml:space="preserve">breakdown strength of the system, which is recoverable upon the removal of xylene from the </w:t>
      </w:r>
      <w:r w:rsidR="00D00AEA" w:rsidRPr="002F5155">
        <w:rPr>
          <w:b/>
          <w:bCs/>
        </w:rPr>
        <w:t>material</w:t>
      </w:r>
      <w:r w:rsidRPr="002F5155">
        <w:rPr>
          <w:b/>
          <w:bCs/>
        </w:rPr>
        <w:t>.</w:t>
      </w:r>
    </w:p>
    <w:p w14:paraId="765D383F" w14:textId="72CDCFF6" w:rsidR="00C862F1" w:rsidRPr="002F5155" w:rsidRDefault="00C862F1" w:rsidP="00AB43D1">
      <w:pPr>
        <w:pStyle w:val="Text"/>
        <w:spacing w:before="120" w:line="240" w:lineRule="auto"/>
        <w:ind w:left="1440" w:right="1440" w:firstLine="0"/>
        <w:rPr>
          <w:b/>
          <w:bCs/>
          <w:iCs/>
        </w:rPr>
      </w:pPr>
      <w:r w:rsidRPr="002F5155">
        <w:rPr>
          <w:rFonts w:ascii="Arial" w:hAnsi="Arial" w:cs="Arial"/>
        </w:rPr>
        <w:t xml:space="preserve">   Index Terms </w:t>
      </w:r>
      <w:r w:rsidRPr="002F5155">
        <w:rPr>
          <w:iCs/>
        </w:rPr>
        <w:t>—</w:t>
      </w:r>
      <w:r w:rsidR="003104F9" w:rsidRPr="002F5155">
        <w:rPr>
          <w:iCs/>
        </w:rPr>
        <w:t xml:space="preserve"> </w:t>
      </w:r>
      <w:r w:rsidR="00F409E7" w:rsidRPr="002F5155">
        <w:rPr>
          <w:b/>
          <w:bCs/>
          <w:iCs/>
        </w:rPr>
        <w:t>Composite insulation</w:t>
      </w:r>
      <w:r w:rsidR="00C24DD0" w:rsidRPr="002F5155">
        <w:rPr>
          <w:b/>
          <w:bCs/>
          <w:iCs/>
        </w:rPr>
        <w:t xml:space="preserve">, Dielectric </w:t>
      </w:r>
      <w:r w:rsidR="00F409E7" w:rsidRPr="002F5155">
        <w:rPr>
          <w:b/>
          <w:bCs/>
          <w:iCs/>
        </w:rPr>
        <w:t>losses</w:t>
      </w:r>
      <w:r w:rsidR="00C24DD0" w:rsidRPr="002F5155">
        <w:rPr>
          <w:b/>
          <w:bCs/>
          <w:iCs/>
        </w:rPr>
        <w:t>, Dielectric Breakdown</w:t>
      </w:r>
    </w:p>
    <w:p w14:paraId="5CAB2098" w14:textId="36809826" w:rsidR="00F3359B" w:rsidRPr="002F5155" w:rsidRDefault="00F3359B" w:rsidP="00F3359B">
      <w:pPr>
        <w:pStyle w:val="Text"/>
        <w:spacing w:line="240" w:lineRule="auto"/>
        <w:ind w:firstLine="0"/>
        <w:jc w:val="center"/>
        <w:rPr>
          <w:rFonts w:ascii="Arial" w:hAnsi="Arial" w:cs="Arial"/>
          <w:sz w:val="24"/>
        </w:rPr>
      </w:pPr>
    </w:p>
    <w:p w14:paraId="2C0E60E7" w14:textId="77777777" w:rsidR="00F3359B" w:rsidRPr="002F5155" w:rsidRDefault="00F3359B" w:rsidP="00F3359B">
      <w:pPr>
        <w:pStyle w:val="Text"/>
        <w:spacing w:line="240" w:lineRule="auto"/>
        <w:ind w:firstLine="0"/>
        <w:jc w:val="center"/>
        <w:rPr>
          <w:rFonts w:ascii="Arial" w:hAnsi="Arial" w:cs="Arial"/>
          <w:sz w:val="24"/>
        </w:rPr>
        <w:sectPr w:rsidR="00F3359B" w:rsidRPr="002F5155">
          <w:headerReference w:type="default" r:id="rId9"/>
          <w:type w:val="continuous"/>
          <w:pgSz w:w="12240" w:h="15840" w:code="1"/>
          <w:pgMar w:top="1080" w:right="936" w:bottom="1008" w:left="936" w:header="720" w:footer="720" w:gutter="0"/>
          <w:cols w:space="288"/>
        </w:sectPr>
      </w:pPr>
    </w:p>
    <w:p w14:paraId="14338D19" w14:textId="77777777" w:rsidR="00C862F1" w:rsidRPr="002F5155" w:rsidRDefault="00C862F1" w:rsidP="00F3359B">
      <w:pPr>
        <w:pStyle w:val="Text"/>
        <w:spacing w:line="240" w:lineRule="auto"/>
        <w:ind w:firstLine="0"/>
        <w:jc w:val="center"/>
      </w:pPr>
    </w:p>
    <w:p w14:paraId="6B0F0638" w14:textId="77777777" w:rsidR="0046648D" w:rsidRPr="002F5155" w:rsidRDefault="0046648D" w:rsidP="004A39DF">
      <w:pPr>
        <w:pStyle w:val="Heading1"/>
        <w:numPr>
          <w:ilvl w:val="0"/>
          <w:numId w:val="17"/>
        </w:numPr>
        <w:rPr>
          <w:rFonts w:ascii="Arial" w:hAnsi="Arial" w:cs="Arial"/>
          <w:b/>
          <w:caps/>
          <w:sz w:val="24"/>
        </w:rPr>
      </w:pPr>
      <w:r w:rsidRPr="002F5155">
        <w:rPr>
          <w:rFonts w:ascii="Arial" w:hAnsi="Arial" w:cs="Arial"/>
          <w:b/>
          <w:caps/>
          <w:sz w:val="24"/>
        </w:rPr>
        <w:t>INTRODUCTION</w:t>
      </w:r>
    </w:p>
    <w:p w14:paraId="267B1BBC" w14:textId="4B853483" w:rsidR="00387D33" w:rsidRPr="002F5155" w:rsidRDefault="00C862F1" w:rsidP="00C81EC6">
      <w:pPr>
        <w:jc w:val="both"/>
      </w:pPr>
      <w:r w:rsidRPr="002F5155">
        <w:rPr>
          <w:spacing w:val="-4"/>
          <w:sz w:val="22"/>
          <w:szCs w:val="22"/>
        </w:rPr>
        <w:t>TH</w:t>
      </w:r>
      <w:r w:rsidR="00387D33" w:rsidRPr="002F5155">
        <w:rPr>
          <w:spacing w:val="-4"/>
          <w:sz w:val="22"/>
          <w:szCs w:val="22"/>
        </w:rPr>
        <w:t>E</w:t>
      </w:r>
      <w:r w:rsidR="00387D33" w:rsidRPr="002F5155">
        <w:rPr>
          <w:b/>
          <w:spacing w:val="-4"/>
          <w:sz w:val="22"/>
          <w:szCs w:val="22"/>
        </w:rPr>
        <w:t xml:space="preserve"> </w:t>
      </w:r>
      <w:r w:rsidR="00387D33" w:rsidRPr="002F5155">
        <w:rPr>
          <w:spacing w:val="-4"/>
        </w:rPr>
        <w:t xml:space="preserve">electrical </w:t>
      </w:r>
      <w:r w:rsidR="00387D33" w:rsidRPr="002F5155">
        <w:t>properties of nanocomposite materials has been an active area of research for almost three decades. While numerous reports exist of improved properties on addition of a nanofiller, many others indicate that the</w:t>
      </w:r>
      <w:r w:rsidR="00E0730F" w:rsidRPr="002F5155">
        <w:t>ir</w:t>
      </w:r>
      <w:r w:rsidR="00387D33" w:rsidRPr="002F5155">
        <w:t xml:space="preserve"> inclusion can have negative consequences. For example Zilg </w:t>
      </w:r>
      <w:r w:rsidR="00387D33" w:rsidRPr="002F5155">
        <w:rPr>
          <w:i/>
        </w:rPr>
        <w:t xml:space="preserve">et al. </w:t>
      </w:r>
      <w:r w:rsidR="00387D33" w:rsidRPr="002F5155">
        <w:rPr>
          <w:i/>
        </w:rPr>
        <w:fldChar w:fldCharType="begin" w:fldLock="1"/>
      </w:r>
      <w:r w:rsidR="0039215E" w:rsidRPr="002F5155">
        <w:rPr>
          <w:i/>
        </w:rPr>
        <w:instrText>ADDIN CSL_CITATION {"citationItems":[{"id":"ITEM-1","itemData":{"DOI":"10.1109/ceidp.2003.1254913","ISBN":"0-7803-7910-1","ISSN":"00849162","abstract":"An investigation on space charge and conduction properties of electrical-insulating polymer nanocomposites is presented. Space charge, conduction current and electric strength measurements were performed. Different poling field were considered, in order to derive the space charge accumulation characteristics and infer the mechanisms for conduction and trapping of charge carriers. Two families of insulating materials were considered, that is, isotactic polypropylene, PP, and a copolymer ethylene-vinylacetate, EVA, both filled by organophilic layered silicates as nanomaterials. The comparison among unfilled and nanofilled materials, with different filler concentrations, shows that space charge accumulation phenomena are considerably affected by the presence of nanofillers: space charge accumulation threshold, but also the density of trapped charge at high fields, decrease, in fact, as nanofiller content increases. Likewise, conduction current increases for nanofilled materials. Electric strength can be also positively affected by nanofillers.","author":[{"dropping-particle":"","family":"Zilg","given":"C","non-dropping-particle":"","parse-names":false,"suffix":""},{"dropping-particle":"","family":"Kaempfer","given":"D","non-dropping-particle":"","parse-names":false,"suffix":""},{"dropping-particle":"","family":"Thomann","given":"R","non-dropping-particle":"","parse-names":false,"suffix":""},{"dropping-particle":"","family":"Muelhaupt","given":"R","non-dropping-particle":"","parse-names":false,"suffix":""},{"dropping-particle":"","family":"Montanari","given":"G C","non-dropping-particle":"","parse-names":false,"suffix":""}],"container-title":"Electrical Insulation and Dielectric Phenomena, 2003. Annual Report. Conference on","id":"ITEM-1","issued":{"date-parts":[["2003"]]},"page":"546-550","title":"Electrical Properties of Polymer Nanocomposites based upon Organophilic Layered Silicates","type":"article-journal"},"uris":["http://www.mendeley.com/documents/?uuid=e1dd1e2b-cf65-4ce0-9e14-a6bb4640dac6"]}],"mendeley":{"formattedCitation":"[1]","plainTextFormattedCitation":"[1]","previouslyFormattedCitation":"[1]"},"properties":{"noteIndex":0},"schema":"https://github.com/citation-style-language/schema/raw/master/csl-citation.json"}</w:instrText>
      </w:r>
      <w:r w:rsidR="00387D33" w:rsidRPr="002F5155">
        <w:rPr>
          <w:i/>
        </w:rPr>
        <w:fldChar w:fldCharType="separate"/>
      </w:r>
      <w:r w:rsidR="0039215E" w:rsidRPr="002F5155">
        <w:rPr>
          <w:noProof/>
        </w:rPr>
        <w:t>[1]</w:t>
      </w:r>
      <w:r w:rsidR="00387D33" w:rsidRPr="002F5155">
        <w:rPr>
          <w:i/>
        </w:rPr>
        <w:fldChar w:fldCharType="end"/>
      </w:r>
      <w:r w:rsidR="00387D33" w:rsidRPr="002F5155">
        <w:t xml:space="preserve"> reported an increase </w:t>
      </w:r>
      <w:r w:rsidR="001702CF" w:rsidRPr="002F5155">
        <w:t>in</w:t>
      </w:r>
      <w:r w:rsidR="00387D33" w:rsidRPr="002F5155">
        <w:t xml:space="preserve"> </w:t>
      </w:r>
      <w:r w:rsidR="00886D46" w:rsidRPr="002F5155">
        <w:t xml:space="preserve">DC </w:t>
      </w:r>
      <w:r w:rsidR="00387D33" w:rsidRPr="002F5155">
        <w:t xml:space="preserve">breakdown strength when an organophilic layered silicate was added to polypropylene and a slight decrease when the same filler was added to </w:t>
      </w:r>
      <w:r w:rsidR="001702CF" w:rsidRPr="002F5155">
        <w:t xml:space="preserve">an </w:t>
      </w:r>
      <w:r w:rsidR="00387D33" w:rsidRPr="002F5155">
        <w:t>ethylene/</w:t>
      </w:r>
      <w:r w:rsidR="002964E5" w:rsidRPr="002F5155">
        <w:t>(</w:t>
      </w:r>
      <w:r w:rsidR="00387D33" w:rsidRPr="002F5155">
        <w:t>vinyl acetate</w:t>
      </w:r>
      <w:r w:rsidR="002964E5" w:rsidRPr="002F5155">
        <w:t>) (EVA)</w:t>
      </w:r>
      <w:r w:rsidR="001702CF" w:rsidRPr="002F5155">
        <w:t xml:space="preserve"> copolymer</w:t>
      </w:r>
      <w:r w:rsidR="00387D33" w:rsidRPr="002F5155">
        <w:t xml:space="preserve">. </w:t>
      </w:r>
      <w:r w:rsidR="00D25B2D" w:rsidRPr="002F5155">
        <w:t xml:space="preserve">Montanari </w:t>
      </w:r>
      <w:r w:rsidR="00D25B2D" w:rsidRPr="002F5155">
        <w:rPr>
          <w:i/>
        </w:rPr>
        <w:t>et al.</w:t>
      </w:r>
      <w:r w:rsidR="00D25B2D" w:rsidRPr="002F5155">
        <w:t xml:space="preserve"> </w:t>
      </w:r>
      <w:r w:rsidR="00D25B2D" w:rsidRPr="002F5155">
        <w:fldChar w:fldCharType="begin" w:fldLock="1"/>
      </w:r>
      <w:r w:rsidR="0039215E" w:rsidRPr="002F5155">
        <w:instrText>ADDIN CSL_CITATION {"citationItems":[{"id":"ITEM-1","itemData":{"DOI":"10.1109/TDEI.2004.1349780","ISBN":"1070-9878","ISSN":"10709878","abstract":"Nanostructured materials are attracting increased interest and applications. Exciting perspectives may be offered by electrical insulation. Polymeric nanofilled materials may find new and/or upgraded applications in the electrical and electronic industry, replacing conventional insulation to provide improved performances in electrical apparatus, as regards, e.g., reliability, environmental compatibility and power rating. This paper shows that electrical properties of nanocomposite insulating materials for DC applications, specifically space charge, conductivity and breakdown voltage, can improve significantly with respect to the basis, unfilled materials. Reference is made to two polymeric materials, i.e. poly(ethylene-covinylacetate) (EVA) and polypropylene (PP), that are widely used as electrical insulation, e.g. for cables and capacitors. The nanofiller consists of an organophilic layered silicate, specifically an extra-pure synthetic fluorohectorite modified by means of interlayer exchange of sodium cations for protonated octadecylamine NH3+ (ODA), in a weight concentration of maximum 6%. In both materials the space charge accumulation rate as a function of applied electric field is significantly reduced, while the electrical conductivity is raised. The breakdown voltage can increase for the nanofilled materials.","author":[{"dropping-particle":"","family":"Montanari","given":"Gian Carlo","non-dropping-particle":"","parse-names":false,"suffix":""},{"dropping-particle":"","family":"Fabiani","given":"Davide","non-dropping-particle":"","parse-names":false,"suffix":""},{"dropping-particle":"","family":"Palmieri","given":"Fabrizio","non-dropping-particle":"","parse-names":false,"suffix":""},{"dropping-particle":"","family":"Kaempfer","given":"Dirk","non-dropping-particle":"","parse-names":false,"suffix":""},{"dropping-particle":"","family":"Thomann","given":"Ralf","non-dropping-particle":"","parse-names":false,"suffix":""},{"dropping-particle":"","family":"Mülhaupt","given":"Rolf","non-dropping-particle":"","parse-names":false,"suffix":""}],"container-title":"IEEE Transactions on Dielectrics and Electrical Insulation","id":"ITEM-1","issue":"5","issued":{"date-parts":[["2004"]]},"page":"754-762","title":"Modification of electrical properties and performance of EVA and PP insulation through nanostructure by organophilic silicates","type":"article-journal","volume":"11"},"uris":["http://www.mendeley.com/documents/?uuid=87c02b22-5fab-48f2-bd69-16dc12d96d81"]}],"mendeley":{"formattedCitation":"[2]","plainTextFormattedCitation":"[2]","previouslyFormattedCitation":"[2]"},"properties":{"noteIndex":0},"schema":"https://github.com/citation-style-language/schema/raw/master/csl-citation.json"}</w:instrText>
      </w:r>
      <w:r w:rsidR="00D25B2D" w:rsidRPr="002F5155">
        <w:fldChar w:fldCharType="separate"/>
      </w:r>
      <w:r w:rsidR="0039215E" w:rsidRPr="002F5155">
        <w:rPr>
          <w:noProof/>
        </w:rPr>
        <w:t>[2]</w:t>
      </w:r>
      <w:r w:rsidR="00D25B2D" w:rsidRPr="002F5155">
        <w:fldChar w:fldCharType="end"/>
      </w:r>
      <w:r w:rsidR="00D25B2D" w:rsidRPr="002F5155">
        <w:t xml:space="preserve"> report</w:t>
      </w:r>
      <w:r w:rsidR="00E0730F" w:rsidRPr="002F5155">
        <w:t>ed</w:t>
      </w:r>
      <w:r w:rsidR="00D25B2D" w:rsidRPr="002F5155">
        <w:t xml:space="preserve"> on </w:t>
      </w:r>
      <w:r w:rsidR="00387D33" w:rsidRPr="002F5155">
        <w:t>a similar nanofiller</w:t>
      </w:r>
      <w:r w:rsidR="00D25B2D" w:rsidRPr="002F5155">
        <w:t xml:space="preserve"> and</w:t>
      </w:r>
      <w:r w:rsidR="00387D33" w:rsidRPr="002F5155">
        <w:t>, although a comparable trend was seen, the overlapping error bars mean that the addition of the filler c</w:t>
      </w:r>
      <w:r w:rsidR="001702CF" w:rsidRPr="002F5155">
        <w:t xml:space="preserve">ould </w:t>
      </w:r>
      <w:r w:rsidR="00387D33" w:rsidRPr="002F5155">
        <w:t>not be said</w:t>
      </w:r>
      <w:r w:rsidR="00571200" w:rsidRPr="002F5155">
        <w:t xml:space="preserve"> </w:t>
      </w:r>
      <w:r w:rsidR="00387D33" w:rsidRPr="002F5155">
        <w:t>significantly</w:t>
      </w:r>
      <w:r w:rsidR="00571200" w:rsidRPr="002F5155">
        <w:t xml:space="preserve"> </w:t>
      </w:r>
      <w:r w:rsidR="002D335E" w:rsidRPr="002F5155">
        <w:t xml:space="preserve">to </w:t>
      </w:r>
      <w:r w:rsidR="00387D33" w:rsidRPr="002F5155">
        <w:t xml:space="preserve">affect the breakdown strength. Elsewhere, Montanari </w:t>
      </w:r>
      <w:r w:rsidR="00387D33" w:rsidRPr="002F5155">
        <w:rPr>
          <w:i/>
        </w:rPr>
        <w:t>et al.</w:t>
      </w:r>
      <w:r w:rsidR="00387D33" w:rsidRPr="002F5155">
        <w:t xml:space="preserve"> </w:t>
      </w:r>
      <w:r w:rsidR="00387D33" w:rsidRPr="002F5155">
        <w:fldChar w:fldCharType="begin" w:fldLock="1"/>
      </w:r>
      <w:r w:rsidR="0039215E" w:rsidRPr="002F5155">
        <w:instrText>ADDIN CSL_CITATION {"citationItems":[{"id":"ITEM-1","itemData":{"DOI":"10.1109/ISEIM.2005.193389","ISBN":"4-88686-063-X","abstract":"Nanocomposite materials show promising results for applications as electrical insulation. Among several materials presently under investigation, previous works indicate that polypropylene and ethylene-vinilacetate filled by nanosilicates present lower content of space charge and higher electric strength. However, efforts are needed to explain nanocomposite behaviour and characterize their electrical, thermal and mechanical properties. In this paper, the results of broad-band dielectric spectroscopy performed on ethylene-vinylacetate copolymer filled by layered micro and nanosized silicates are reported. The nanofillers consist of montmorillonite and fluorohectorite, that is, natural and synthetic clays. Isochronal and isothermal curves of complex permittivity, as well as activation energies of the relaxation processes are presented and discussed. It is shown that nanostructuration (verified by XRD and TEM analysis) gives rise to substantial changes in the polarisation and dielectric loss behaviour. While the relaxation process of EVA, associated to glass transition of the material amorphous phase, results unchanged, it has been observed the rise of a new process at higher temperatures, having different activation energy in intercalated and exfoliated samples, as well as a change of the distribution of relaxation times.","author":[{"dropping-particle":"","family":"Montanari","given":"G.C.","non-dropping-particle":"","parse-names":false,"suffix":""},{"dropping-particle":"","family":"Motori","given":"A.","non-dropping-particle":"","parse-names":false,"suffix":""},{"dropping-particle":"","family":"Saccani","given":"A.","non-dropping-particle":"","parse-names":false,"suffix":""},{"dropping-particle":"","family":"Lorenzo del Casale","given":"M.","non-dropping-particle":"di","parse-names":false,"suffix":""},{"dropping-particle":"","family":"Schifani","given":"R.","non-dropping-particle":"","parse-names":false,"suffix":""},{"dropping-particle":"","family":"Testa","given":"L.","non-dropping-particle":"","parse-names":false,"suffix":""},{"dropping-particle":"","family":"Guastavino","given":"F.","non-dropping-particle":"","parse-names":false,"suffix":""},{"dropping-particle":"","family":"Camino","given":"G.","non-dropping-particle":"","parse-names":false,"suffix":""}],"container-title":"Proceedings of 2005 International Symposium on Electrical Insulating Materials, 2005. (ISEIM 2005).","id":"ITEM-1","issued":{"date-parts":[["2005"]]},"page":"247-250 Vol. 1","title":"Dielectric spectroscopy analysis of EVA-silicate nanocomposite insulating materials","type":"article-journal","volume":"1"},"uris":["http://www.mendeley.com/documents/?uuid=ae5b9cd7-559e-4672-95d1-c2f9d3c27874"]}],"mendeley":{"formattedCitation":"[3]","plainTextFormattedCitation":"[3]","previouslyFormattedCitation":"[3]"},"properties":{"noteIndex":0},"schema":"https://github.com/citation-style-language/schema/raw/master/csl-citation.json"}</w:instrText>
      </w:r>
      <w:r w:rsidR="00387D33" w:rsidRPr="002F5155">
        <w:fldChar w:fldCharType="separate"/>
      </w:r>
      <w:r w:rsidR="0039215E" w:rsidRPr="002F5155">
        <w:rPr>
          <w:noProof/>
        </w:rPr>
        <w:t>[3]</w:t>
      </w:r>
      <w:r w:rsidR="00387D33" w:rsidRPr="002F5155">
        <w:fldChar w:fldCharType="end"/>
      </w:r>
      <w:r w:rsidR="00387D33" w:rsidRPr="002F5155">
        <w:t xml:space="preserve"> report</w:t>
      </w:r>
      <w:r w:rsidR="00E0730F" w:rsidRPr="002F5155">
        <w:t>ed</w:t>
      </w:r>
      <w:r w:rsidR="00387D33" w:rsidRPr="002F5155">
        <w:t xml:space="preserve"> that the addition of an organophilic clay nanofiller introduce</w:t>
      </w:r>
      <w:r w:rsidR="007A0392" w:rsidRPr="002F5155">
        <w:t>d</w:t>
      </w:r>
      <w:r w:rsidR="00387D33" w:rsidRPr="002F5155">
        <w:t xml:space="preserve"> a new relaxation process to the dielectric response of an </w:t>
      </w:r>
      <w:r w:rsidR="002964E5" w:rsidRPr="002F5155">
        <w:t>EVA</w:t>
      </w:r>
      <w:r w:rsidR="00387D33" w:rsidRPr="002F5155">
        <w:t xml:space="preserve"> matrix </w:t>
      </w:r>
      <w:r w:rsidR="00D00AEA" w:rsidRPr="002F5155">
        <w:t>and ascribed th</w:t>
      </w:r>
      <w:r w:rsidR="007A0392" w:rsidRPr="002F5155">
        <w:t>is</w:t>
      </w:r>
      <w:r w:rsidR="00D00AEA" w:rsidRPr="002F5155">
        <w:t xml:space="preserve"> </w:t>
      </w:r>
      <w:r w:rsidR="00387D33" w:rsidRPr="002F5155">
        <w:t>to the interface created between the matrix and the filler. This was also found in a study involving silica nanoparticles and polyethylene</w:t>
      </w:r>
      <w:r w:rsidR="00571200" w:rsidRPr="002F5155">
        <w:t xml:space="preserve"> </w:t>
      </w:r>
      <w:r w:rsidR="00387D33" w:rsidRPr="002F5155">
        <w:fldChar w:fldCharType="begin" w:fldLock="1"/>
      </w:r>
      <w:r w:rsidR="0039215E" w:rsidRPr="002F5155">
        <w:instrText>ADDIN CSL_CITATION {"citationItems":[{"id":"ITEM-1","itemData":{"DOI":"10.1109/TDEI.2017.005788","abstract":"A series of nanoparticles was prepared by functionalizing a commercial nanosilica with alkylsilanes of varying alkyl tail length, from propyl to octadecyl. By using a constant molar concentration of silane, the density of alkyl groups attached to each system should be comparable. The effect of chain length on the structure of the resulting nanosilica/polyethylene nanocomposites was examined and comparison with an unfilled reference system revealed that, other than through a weak nucleating effect, the inclusion of the nanosilica does not affect the matrix structure. Since water interacts strongly with applied electric fields, water was used as a dielectric probe in conjunction with dielectric spectroscopy to examine the effect of the nanofiller and its surface chemistry on the system. Sets of samples were prepared through equilibrating under ambient conditions, vacuum drying and water immersion. While the water content of the unfilled polymer was not greatly affected, the water content of the nanocomposites varied over a wide range as a result of water accumulation, in a range of states, at nanoparticle interfaces. The effect of water content on breakdown behavior was also explored and, in the unfilled polymer, the breakdown strength was found to depend little on exposure to water (~13% reduction). In all the nanocomposites, the increased propensity for these systems to absorb water meant that the breakdown strength was dramatically affected (&gt;66% reduction).","author":[{"dropping-particle":"","family":"Hosier","given":"Ian","non-dropping-particle":"","parse-names":false,"suffix":""},{"dropping-particle":"","family":"Praeger","given":"Matthew","non-dropping-particle":"","parse-names":false,"suffix":""},{"dropping-particle":"","family":"Holt","given":"Alex","non-dropping-particle":"","parse-names":false,"suffix":""},{"dropping-particle":"","family":"Vaughan","given":"Alun","non-dropping-particle":"","parse-names":false,"suffix":""},{"dropping-particle":"","family":"Swingler","given":"Steven","non-dropping-particle":"","parse-names":false,"suffix":""}],"container-title":"IEEE Transactions on Dielectrics and Electrical Insulation","id":"ITEM-1","issue":"3","issued":{"date-parts":[["2017"]]},"page":"1698-1707","title":"On the Effect of Functionaliser Chain Length and Water Content in Polyethylene/Silica Nanocomposites: Part I – Dielectric Properties and Breakdown Strength","type":"article-journal","volume":"24"},"uris":["http://www.mendeley.com/documents/?uuid=0a4a0891-1a2a-4849-a1e0-9bbab9edddaf"]}],"mendeley":{"formattedCitation":"[4]","plainTextFormattedCitation":"[4]","previouslyFormattedCitation":"[4]"},"properties":{"noteIndex":0},"schema":"https://github.com/citation-style-language/schema/raw/master/csl-citation.json"}</w:instrText>
      </w:r>
      <w:r w:rsidR="00387D33" w:rsidRPr="002F5155">
        <w:fldChar w:fldCharType="separate"/>
      </w:r>
      <w:r w:rsidR="0039215E" w:rsidRPr="002F5155">
        <w:rPr>
          <w:noProof/>
        </w:rPr>
        <w:t>[4]</w:t>
      </w:r>
      <w:r w:rsidR="00387D33" w:rsidRPr="002F5155">
        <w:fldChar w:fldCharType="end"/>
      </w:r>
      <w:r w:rsidR="00387D33" w:rsidRPr="002F5155">
        <w:t>. In contra</w:t>
      </w:r>
      <w:r w:rsidR="002D335E" w:rsidRPr="002F5155">
        <w:t>st</w:t>
      </w:r>
      <w:r w:rsidR="00387D33" w:rsidRPr="002F5155">
        <w:t xml:space="preserve"> to both aforementioned papers concerning the dielectric response of nanocomposites, Roy </w:t>
      </w:r>
      <w:r w:rsidR="00387D33" w:rsidRPr="002F5155">
        <w:rPr>
          <w:i/>
        </w:rPr>
        <w:t>et al.</w:t>
      </w:r>
      <w:r w:rsidR="00387D33" w:rsidRPr="002F5155">
        <w:t xml:space="preserve"> </w:t>
      </w:r>
      <w:r w:rsidR="00387D33" w:rsidRPr="002F5155">
        <w:fldChar w:fldCharType="begin" w:fldLock="1"/>
      </w:r>
      <w:r w:rsidR="0039215E" w:rsidRPr="002F5155">
        <w:instrText>ADDIN CSL_CITATION {"citationItems":[{"id":"ITEM-1","itemData":{"DOI":"10.1109/tdei.2005.1511089","ISBN":"1070-9878","ISSN":"10709878","abstract":"The incorporation of silica nanoparticles into polyethylene increased the breakdown strength and voltage endurance significantly compared to the incorporation of micron scale fillers. In addition, dielectric spectroscopy showed a decrease in dielectric permittivity for the nanocomposite over the base polymer, and changes in the space charge distribution and dynamics have been documented. The most significant difference between micron scale and nanoscale fillers is the tremendous increase in interfacial area in nanocomposites. Because the interfacial region (interaction zone) is likely to be pivotal in controlling properties, the bonding between the silica and polyethylene was characterized using Fourier transformed infrared (FTTR) spectroscopy, electron paramagnetic resonance (EPR), and x-ray photoelectron spectroscopy (XPS). The picture which is emerging suggests that the enhanced interfacial zone, in addition to particle-polymer bonding, plays a very important role in determining the dielectric behavior of nanocomposites.","author":[{"dropping-particle":"","family":"Roy","given":"M","non-dropping-particle":"","parse-names":false,"suffix":""},{"dropping-particle":"","family":"Nelson","given":"J K","non-dropping-particle":"","parse-names":false,"suffix":""},{"dropping-particle":"","family":"Maccrone","given":"R K","non-dropping-particle":"","parse-names":false,"suffix":""},{"dropping-particle":"","family":"Schadler","given":"L S","non-dropping-particle":"","parse-names":false,"suffix":""},{"dropping-particle":"","family":"Reed","given":"C W","non-dropping-particle":"","parse-names":false,"suffix":""},{"dropping-particle":"","family":"Keefe","given":"R","non-dropping-particle":"","parse-names":false,"suffix":""}],"container-title":"Dielectrics and Electrical Insulation, IEEE Transactions","id":"ITEM-1","issue":"4","issued":{"date-parts":[["2005"]]},"page":"629-643","title":"Polymer nanocomposite dielectrics-the role of the interface","type":"article-journal","volume":"12"},"uris":["http://www.mendeley.com/documents/?uuid=7a9d2e48-072f-4097-9346-2e9e2236a045"]}],"mendeley":{"formattedCitation":"[5]","plainTextFormattedCitation":"[5]","previouslyFormattedCitation":"[5]"},"properties":{"noteIndex":0},"schema":"https://github.com/citation-style-language/schema/raw/master/csl-citation.json"}</w:instrText>
      </w:r>
      <w:r w:rsidR="00387D33" w:rsidRPr="002F5155">
        <w:fldChar w:fldCharType="separate"/>
      </w:r>
      <w:r w:rsidR="0039215E" w:rsidRPr="002F5155">
        <w:rPr>
          <w:noProof/>
        </w:rPr>
        <w:t>[5]</w:t>
      </w:r>
      <w:r w:rsidR="00387D33" w:rsidRPr="002F5155">
        <w:fldChar w:fldCharType="end"/>
      </w:r>
      <w:r w:rsidR="00387D33" w:rsidRPr="002F5155">
        <w:t xml:space="preserve"> found there to be a decrease in the permittivity of their nanocomposite at 1 kHz upon the addition of the nanofiller. While the precise </w:t>
      </w:r>
      <w:r w:rsidR="001702CF" w:rsidRPr="002F5155">
        <w:t xml:space="preserve">mechanistic </w:t>
      </w:r>
      <w:r w:rsidR="00387D33" w:rsidRPr="002F5155">
        <w:t xml:space="preserve">origins of these various </w:t>
      </w:r>
      <w:r w:rsidR="001702CF" w:rsidRPr="002F5155">
        <w:t>effects</w:t>
      </w:r>
      <w:r w:rsidR="00387D33" w:rsidRPr="002F5155">
        <w:t xml:space="preserve"> are uncertain, what is clear is that small changes in processing or composition can exert a major effect on macroscopic electrical properties </w:t>
      </w:r>
      <w:r w:rsidR="00387D33" w:rsidRPr="002F5155">
        <w:fldChar w:fldCharType="begin" w:fldLock="1"/>
      </w:r>
      <w:r w:rsidR="0039215E" w:rsidRPr="002F5155">
        <w:instrText>ADDIN CSL_CITATION {"citationItems":[{"id":"ITEM-1","itemData":{"DOI":"10.3390/ma9040262","ISBN":"1996-1944","ISSN":"19961944","PMID":"28773388","abstract":"Nanofilled polymeric matrices have demonstrated remarkable mechanical, electrical, and thermal properties. In this article we review the processing of carbon nanotube, graphene, and clay montmorillonite platelet as potential nanofillers to form nanocomposites. The various functionalization techniques of modifying the nanofillers to enable interaction with polymers are summarized. The importance of filler dispersion in the polymeric matrix is highlighted. Finally, the challenges and future outlook for nanofilled polymeric composites are presented.","author":[{"dropping-particle":"","family":"Bhattacharya","given":"Mrinal","non-dropping-particle":"","parse-names":false,"suffix":""}],"container-title":"Materials","id":"ITEM-1","issue":"4","issued":{"date-parts":[["2016"]]},"page":"1-35","title":"Polymer nanocomposites-A comparison between carbon nanotubes, graphene, and clay as nanofillers","type":"article-journal","volume":"9"},"uris":["http://www.mendeley.com/documents/?uuid=908f4e2b-7939-42a3-931e-41e3062b9fb0"]}],"mendeley":{"formattedCitation":"[6]","plainTextFormattedCitation":"[6]","previouslyFormattedCitation":"[6]"},"properties":{"noteIndex":0},"schema":"https://github.com/citation-style-language/schema/raw/master/csl-citation.json"}</w:instrText>
      </w:r>
      <w:r w:rsidR="00387D33" w:rsidRPr="002F5155">
        <w:fldChar w:fldCharType="separate"/>
      </w:r>
      <w:r w:rsidR="0039215E" w:rsidRPr="002F5155">
        <w:rPr>
          <w:noProof/>
        </w:rPr>
        <w:t>[6]</w:t>
      </w:r>
      <w:r w:rsidR="00387D33" w:rsidRPr="002F5155">
        <w:fldChar w:fldCharType="end"/>
      </w:r>
      <w:r w:rsidR="00387D33" w:rsidRPr="002F5155">
        <w:t>.</w:t>
      </w:r>
      <w:r w:rsidR="00387D33" w:rsidRPr="002F5155">
        <w:rPr>
          <w:noProof/>
          <w:spacing w:val="-4"/>
          <w:lang w:val="en-GB" w:eastAsia="en-GB"/>
        </w:rPr>
        <mc:AlternateContent>
          <mc:Choice Requires="wpg">
            <w:drawing>
              <wp:anchor distT="0" distB="0" distL="114300" distR="114300" simplePos="0" relativeHeight="251657216" behindDoc="0" locked="1" layoutInCell="1" allowOverlap="1" wp14:anchorId="04EC40AF" wp14:editId="0AF1C300">
                <wp:simplePos x="0" y="0"/>
                <wp:positionH relativeFrom="column">
                  <wp:posOffset>13914</wp:posOffset>
                </wp:positionH>
                <wp:positionV relativeFrom="page">
                  <wp:posOffset>8952777</wp:posOffset>
                </wp:positionV>
                <wp:extent cx="3247200" cy="40320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7200" cy="403200"/>
                          <a:chOff x="870" y="14565"/>
                          <a:chExt cx="5166" cy="521"/>
                        </a:xfrm>
                      </wpg:grpSpPr>
                      <wps:wsp>
                        <wps:cNvPr id="21" name="Text Box 3"/>
                        <wps:cNvSpPr txBox="1">
                          <a:spLocks noChangeArrowheads="1"/>
                        </wps:cNvSpPr>
                        <wps:spPr bwMode="auto">
                          <a:xfrm>
                            <a:off x="876" y="14565"/>
                            <a:ext cx="5160"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3165" w14:textId="6C3EA128" w:rsidR="00C862F1" w:rsidRDefault="00C862F1" w:rsidP="00C862F1">
                              <w:pPr>
                                <w:spacing w:before="120"/>
                                <w:rPr>
                                  <w:i/>
                                  <w:iCs/>
                                  <w:sz w:val="16"/>
                                </w:rPr>
                              </w:pPr>
                              <w:bookmarkStart w:id="1" w:name="_Hlk515225596"/>
                              <w:bookmarkEnd w:id="1"/>
                              <w:r>
                                <w:rPr>
                                  <w:i/>
                                  <w:iCs/>
                                  <w:sz w:val="16"/>
                                </w:rPr>
                                <w:t xml:space="preserve">Manuscript received on xx Month 20yy, in final form xx Month 20yy, accepted xx Month 20yy.  Corresponding author: </w:t>
                              </w:r>
                              <w:r w:rsidR="008E5006">
                                <w:rPr>
                                  <w:i/>
                                  <w:iCs/>
                                  <w:sz w:val="16"/>
                                </w:rPr>
                                <w:t>A</w:t>
                              </w:r>
                              <w:r>
                                <w:rPr>
                                  <w:i/>
                                  <w:iCs/>
                                  <w:sz w:val="16"/>
                                </w:rPr>
                                <w:t xml:space="preserve">. </w:t>
                              </w:r>
                              <w:r w:rsidR="008E5006">
                                <w:rPr>
                                  <w:i/>
                                  <w:iCs/>
                                  <w:sz w:val="16"/>
                                </w:rPr>
                                <w:t>V. Shaw</w:t>
                              </w:r>
                              <w:r>
                                <w:rPr>
                                  <w:i/>
                                  <w:iCs/>
                                  <w:sz w:val="16"/>
                                </w:rPr>
                                <w:t xml:space="preserve">. </w:t>
                              </w:r>
                            </w:p>
                          </w:txbxContent>
                        </wps:txbx>
                        <wps:bodyPr rot="0" vert="horz" wrap="square" lIns="91440" tIns="45720" rIns="91440" bIns="45720" anchor="t" anchorCtr="0" upright="1">
                          <a:noAutofit/>
                        </wps:bodyPr>
                      </wps:wsp>
                      <wps:wsp>
                        <wps:cNvPr id="22" name="Line 4"/>
                        <wps:cNvCnPr>
                          <a:cxnSpLocks noChangeShapeType="1"/>
                        </wps:cNvCnPr>
                        <wps:spPr bwMode="auto">
                          <a:xfrm>
                            <a:off x="870" y="14670"/>
                            <a:ext cx="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C40AF" id="Group 18" o:spid="_x0000_s1026" style="position:absolute;left:0;text-align:left;margin-left:1.1pt;margin-top:704.95pt;width:255.7pt;height:31.75pt;z-index:251657216;mso-position-vertical-relative:page" coordorigin="870,14565" coordsize="516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">
                <v:shapetype id="_x0000_t202" coordsize="21600,21600" o:spt="202" path="m,l,21600r21600,l21600,xe">
                  <v:stroke joinstyle="miter"/>
                  <v:path gradientshapeok="t" o:connecttype="rect"/>
                </v:shapetype>
                <v:shape id="_x0000_s1027" type="#_x0000_t202" style="position:absolute;left:876;top:14565;width:516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67A3165" w14:textId="6C3EA128" w:rsidR="00C862F1" w:rsidRDefault="00C862F1" w:rsidP="00C862F1">
                        <w:pPr>
                          <w:spacing w:before="120"/>
                          <w:rPr>
                            <w:i/>
                            <w:iCs/>
                            <w:sz w:val="16"/>
                          </w:rPr>
                        </w:pPr>
                        <w:bookmarkStart w:id="1" w:name="_Hlk515225596"/>
                        <w:bookmarkEnd w:id="1"/>
                        <w:r>
                          <w:rPr>
                            <w:i/>
                            <w:iCs/>
                            <w:sz w:val="16"/>
                          </w:rPr>
                          <w:t xml:space="preserve">Manuscript received on xx Month 20yy, in final form xx Month 20yy, accepted xx Month 20yy.  Corresponding author: </w:t>
                        </w:r>
                        <w:r w:rsidR="008E5006">
                          <w:rPr>
                            <w:i/>
                            <w:iCs/>
                            <w:sz w:val="16"/>
                          </w:rPr>
                          <w:t>A</w:t>
                        </w:r>
                        <w:r>
                          <w:rPr>
                            <w:i/>
                            <w:iCs/>
                            <w:sz w:val="16"/>
                          </w:rPr>
                          <w:t xml:space="preserve">. </w:t>
                        </w:r>
                        <w:r w:rsidR="008E5006">
                          <w:rPr>
                            <w:i/>
                            <w:iCs/>
                            <w:sz w:val="16"/>
                          </w:rPr>
                          <w:t>V. Shaw</w:t>
                        </w:r>
                        <w:r>
                          <w:rPr>
                            <w:i/>
                            <w:iCs/>
                            <w:sz w:val="16"/>
                          </w:rPr>
                          <w:t xml:space="preserve">. </w:t>
                        </w:r>
                      </w:p>
                    </w:txbxContent>
                  </v:textbox>
                </v:shape>
                <v:line id="Line 4" o:spid="_x0000_s1028" style="position:absolute;visibility:visible;mso-wrap-style:square" from="870,14670" to="2820,1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w10:wrap type="square" anchory="page"/>
                <w10:anchorlock/>
              </v:group>
            </w:pict>
          </mc:Fallback>
        </mc:AlternateContent>
      </w:r>
    </w:p>
    <w:p w14:paraId="5982AE85" w14:textId="6350E751" w:rsidR="00387D33" w:rsidRPr="002F5155" w:rsidRDefault="00387D33" w:rsidP="008A2578">
      <w:pPr>
        <w:ind w:firstLine="202"/>
        <w:jc w:val="both"/>
      </w:pPr>
      <w:r w:rsidRPr="002F5155">
        <w:t xml:space="preserve">While the bulk of the literature concerning the dielectric response of nanocomposite materials has focused on particulate systems such as silica, alumina, titanium dioxide and gold, in other areas, plate-like nanofillers, such as clays, </w:t>
      </w:r>
      <w:r w:rsidR="00571200" w:rsidRPr="002F5155">
        <w:t>nickel</w:t>
      </w:r>
      <w:r w:rsidR="00CD6C06" w:rsidRPr="002F5155">
        <w:t xml:space="preserve"> oxide</w:t>
      </w:r>
      <w:r w:rsidRPr="002F5155">
        <w:t>, boron nitride</w:t>
      </w:r>
      <w:r w:rsidR="00886D46" w:rsidRPr="002F5155">
        <w:t>,</w:t>
      </w:r>
      <w:r w:rsidRPr="002F5155">
        <w:t xml:space="preserve"> and graph</w:t>
      </w:r>
      <w:r w:rsidR="007A0392" w:rsidRPr="002F5155">
        <w:t>ene</w:t>
      </w:r>
      <w:r w:rsidRPr="002F5155">
        <w:t xml:space="preserve">, have received great attention. </w:t>
      </w:r>
      <w:r w:rsidR="00E0730F" w:rsidRPr="002F5155">
        <w:t>Indeed, t</w:t>
      </w:r>
      <w:r w:rsidRPr="002F5155">
        <w:t>he current interest in nanocomposites is frequently attributed to pioneering work on systems based upon organoclays, where the initial interest concerned the production of material systems with improved mechanical performance</w:t>
      </w:r>
      <w:r w:rsidR="00CD6C06" w:rsidRPr="002F5155">
        <w:t>.</w:t>
      </w:r>
      <w:r w:rsidR="00535260" w:rsidRPr="002F5155">
        <w:t xml:space="preserve"> </w:t>
      </w:r>
      <w:r w:rsidR="00336C7A" w:rsidRPr="002F5155">
        <w:t xml:space="preserve">To improve the compatibility of such systems with </w:t>
      </w:r>
      <w:r w:rsidR="001702CF" w:rsidRPr="002F5155">
        <w:t>a</w:t>
      </w:r>
      <w:r w:rsidR="00336C7A" w:rsidRPr="002F5155">
        <w:t xml:space="preserve"> </w:t>
      </w:r>
      <w:r w:rsidRPr="002F5155">
        <w:t>polymer</w:t>
      </w:r>
      <w:r w:rsidR="00336C7A" w:rsidRPr="002F5155">
        <w:t xml:space="preserve"> matrix</w:t>
      </w:r>
      <w:r w:rsidR="00DF5662" w:rsidRPr="002F5155">
        <w:t>, and thereby aid dispersion</w:t>
      </w:r>
      <w:r w:rsidR="00336C7A" w:rsidRPr="002F5155">
        <w:t xml:space="preserve">, </w:t>
      </w:r>
      <w:r w:rsidR="00CD6C06" w:rsidRPr="002F5155">
        <w:t>amphiphilic organic moieties are often introduced into the clay galleries, which interact favorably with both the clay and the polymer and, by increas</w:t>
      </w:r>
      <w:r w:rsidR="000F43C1" w:rsidRPr="002F5155">
        <w:t>ing</w:t>
      </w:r>
      <w:r w:rsidR="00CD6C06" w:rsidRPr="002F5155">
        <w:t xml:space="preserve"> the separation between adjacent clay layers, ease dispersion </w:t>
      </w:r>
      <w:r w:rsidR="00CD6C06" w:rsidRPr="002F5155">
        <w:fldChar w:fldCharType="begin" w:fldLock="1"/>
      </w:r>
      <w:r w:rsidR="000F43C1" w:rsidRPr="002F5155">
        <w:instrText>ADDIN CSL_CITATION {"citationItems":[{"id":"ITEM-1","itemData":{"DOI":"10.1002/app.34209","ISBN":"0124002005","ISSN":"09673911","author":[{"dropping-particle":"","family":"Prachum","given":"Yongyut","non-dropping-particle":"","parse-names":false,"suffix":""},{"dropping-particle":"","family":"Strauss","given":"Roman H. A.","non-dropping-particle":"","parse-names":false,"suffix":""},{"dropping-particle":"","family":"Kiatkamjornwong","given":"Suda","non-dropping-particle":"","parse-names":false,"suffix":""}],"container-title":"Journal of Applied Polymer Science","id":"ITEM-1","issued":{"date-parts":[["2011"]]},"page":"1066-1076","title":"The Physical and Mechanical Properties of Beta-Nucleated Polypropylene/Montmorillonite Nanocomposites","type":"article-journal","volume":"122"},"uris":["http://www.mendeley.com/documents/?uuid=97725ecd-1e50-4241-a1c9-b757938c2db7"]}],"mendeley":{"formattedCitation":"[7]","plainTextFormattedCitation":"[7]","previouslyFormattedCitation":"[7]"},"properties":{"noteIndex":0},"schema":"https://github.com/citation-style-language/schema/raw/master/csl-citation.json"}</w:instrText>
      </w:r>
      <w:r w:rsidR="00CD6C06" w:rsidRPr="002F5155">
        <w:fldChar w:fldCharType="separate"/>
      </w:r>
      <w:r w:rsidR="00CD6C06" w:rsidRPr="002F5155">
        <w:rPr>
          <w:noProof/>
        </w:rPr>
        <w:t>[7]</w:t>
      </w:r>
      <w:r w:rsidR="00CD6C06" w:rsidRPr="002F5155">
        <w:fldChar w:fldCharType="end"/>
      </w:r>
      <w:r w:rsidRPr="002F5155">
        <w:t xml:space="preserve">. </w:t>
      </w:r>
      <w:r w:rsidR="00CD6C06" w:rsidRPr="002F5155">
        <w:t xml:space="preserve">Commonly used compounds often take the form of </w:t>
      </w:r>
      <w:r w:rsidR="00336C7A" w:rsidRPr="002F5155">
        <w:t>organic am</w:t>
      </w:r>
      <w:r w:rsidR="000F43C1" w:rsidRPr="002F5155">
        <w:t xml:space="preserve">monium </w:t>
      </w:r>
      <w:r w:rsidR="00336C7A" w:rsidRPr="002F5155">
        <w:t>salts</w:t>
      </w:r>
      <w:r w:rsidR="000F43C1" w:rsidRPr="002F5155">
        <w:t xml:space="preserve"> </w:t>
      </w:r>
      <w:r w:rsidR="000F43C1" w:rsidRPr="002F5155">
        <w:fldChar w:fldCharType="begin" w:fldLock="1"/>
      </w:r>
      <w:r w:rsidR="000F43C1" w:rsidRPr="002F5155">
        <w:instrText>ADDIN CSL_CITATION {"citationItems":[{"id":"ITEM-1","itemData":{"DOI":"10.1007/s10973-006-7504-7","author":[{"dropping-particle":"","family":"Araújo","given":"E M","non-dropping-particle":"","parse-names":false,"suffix":""},{"dropping-particle":"","family":"Barbosa","given":"Renata","non-dropping-particle":"","parse-names":false,"suffix":""},{"dropping-particle":"","family":"Morais","given":"Crislene R S","non-dropping-particle":"","parse-names":false,"suffix":""},{"dropping-particle":"","family":"Soledade","given":"L E B","non-dropping-particle":"","parse-names":false,"suffix":""},{"dropping-particle":"","family":"Souza","given":"A G","non-dropping-particle":"","parse-names":false,"suffix":""},{"dropping-particle":"","family":"Vieira","given":"Moema Q","non-dropping-particle":"","parse-names":false,"suffix":""}],"container-title":"Journal of Thermal Analysis and Calorimetry","id":"ITEM-1","issued":{"date-parts":[["2007"]]},"page":"841-848","title":"Effects of organoclays on the thermal processing of PE/clay nanocomposites","type":"article-journal","volume":"90"},"uris":["http://www.mendeley.com/documents/?uuid=4f96903f-f9d5-4fbd-8507-55aaea35b9b3"]}],"mendeley":{"formattedCitation":"[8]","plainTextFormattedCitation":"[8]","previouslyFormattedCitation":"[8]"},"properties":{"noteIndex":0},"schema":"https://github.com/citation-style-language/schema/raw/master/csl-citation.json"}</w:instrText>
      </w:r>
      <w:r w:rsidR="000F43C1" w:rsidRPr="002F5155">
        <w:fldChar w:fldCharType="separate"/>
      </w:r>
      <w:r w:rsidR="000F43C1" w:rsidRPr="002F5155">
        <w:rPr>
          <w:noProof/>
        </w:rPr>
        <w:t>[8]</w:t>
      </w:r>
      <w:r w:rsidR="000F43C1" w:rsidRPr="002F5155">
        <w:fldChar w:fldCharType="end"/>
      </w:r>
      <w:r w:rsidR="000F43C1" w:rsidRPr="002F5155">
        <w:t xml:space="preserve">. </w:t>
      </w:r>
      <w:r w:rsidR="00E0730F" w:rsidRPr="002F5155">
        <w:t xml:space="preserve">Another approach that </w:t>
      </w:r>
      <w:r w:rsidRPr="002F5155">
        <w:t xml:space="preserve">has seen much work involves altering the chemical </w:t>
      </w:r>
      <w:r w:rsidR="001702CF" w:rsidRPr="002F5155">
        <w:t xml:space="preserve">composition </w:t>
      </w:r>
      <w:r w:rsidRPr="002F5155">
        <w:t xml:space="preserve">of the matrix through grafting groups such as maleic anhydride or glycidyl methacrylate </w:t>
      </w:r>
      <w:r w:rsidR="001702CF" w:rsidRPr="002F5155">
        <w:t>on</w:t>
      </w:r>
      <w:r w:rsidRPr="002F5155">
        <w:t>to non-polar polymers</w:t>
      </w:r>
      <w:r w:rsidR="00B40EEB" w:rsidRPr="002F5155">
        <w:t xml:space="preserve"> </w:t>
      </w:r>
      <w:r w:rsidR="00B40EEB" w:rsidRPr="002F5155">
        <w:fldChar w:fldCharType="begin" w:fldLock="1"/>
      </w:r>
      <w:r w:rsidR="003E2FCD" w:rsidRPr="002F5155">
        <w:instrText>ADDIN CSL_CITATION {"citationItems":[{"id":"ITEM-1","itemData":{"DOI":"10.1109/TDEI.2004.1349780","ISBN":"1070-9878","ISSN":"10709878","abstract":"Nanostructured materials are attracting increased interest and applications. Exciting perspectives may be offered by electrical insulation. Polymeric nanofilled materials may find new and/or upgraded applications in the electrical and electronic industry, replacing conventional insulation to provide improved performances in electrical apparatus, as regards, e.g., reliability, environmental compatibility and power rating. This paper shows that electrical properties of nanocomposite insulating materials for DC applications, specifically space charge, conductivity and breakdown voltage, can improve significantly with respect to the basis, unfilled materials. Reference is made to two polymeric materials, i.e. poly(ethylene-covinylacetate) (EVA) and polypropylene (PP), that are widely used as electrical insulation, e.g. for cables and capacitors. The nanofiller consists of an organophilic layered silicate, specifically an extra-pure synthetic fluorohectorite modified by means of interlayer exchange of sodium cations for protonated octadecylamine NH3+ (ODA), in a weight concentration of maximum 6%. In both materials the space charge accumulation rate as a function of applied electric field is significantly reduced, while the electrical conductivity is raised. The breakdown voltage can increase for the nanofilled materials.","author":[{"dropping-particle":"","family":"Montanari","given":"Gian Carlo","non-dropping-particle":"","parse-names":false,"suffix":""},{"dropping-particle":"","family":"Fabiani","given":"Davide","non-dropping-particle":"","parse-names":false,"suffix":""},{"dropping-particle":"","family":"Palmieri","given":"Fabrizio","non-dropping-particle":"","parse-names":false,"suffix":""},{"dropping-particle":"","family":"Kaempfer","given":"Dirk","non-dropping-particle":"","parse-names":false,"suffix":""},{"dropping-particle":"","family":"Thomann","given":"Ralf","non-dropping-particle":"","parse-names":false,"suffix":""},{"dropping-particle":"","family":"Mülhaupt","given":"Rolf","non-dropping-particle":"","parse-names":false,"suffix":""}],"container-title":"IEEE Transactions on Dielectrics and Electrical Insulation","id":"ITEM-1","issue":"5","issued":{"date-parts":[["2004"]]},"page":"754-762","title":"Modification of electrical properties and performance of EVA and PP insulation through nanostructure by organophilic silicates","type":"article-journal","volume":"11"},"uris":["http://www.mendeley.com/documents/?uuid=87c02b22-5fab-48f2-bd69-16dc12d96d81"]},{"id":"ITEM-2","itemData":{"DOI":"10.3390/ma9040262","ISBN":"1996-1944","ISSN":"19961944","PMID":"28773388","abstract":"Nanofilled polymeric matrices have demonstrated remarkable mechanical, electrical, and thermal properties. In this article we review the processing of carbon nanotube, graphene, and clay montmorillonite platelet as potential nanofillers to form nanocomposites. The various functionalization techniques of modifying the nanofillers to enable interaction with polymers are summarized. The importance of filler dispersion in the polymeric matrix is highlighted. Finally, the challenges and future outlook for nanofilled polymeric composites are presented.","author":[{"dropping-particle":"","family":"Bhattacharya","given":"Mrinal","non-dropping-particle":"","parse-names":false,"suffix":""}],"container-title":"Materials","id":"ITEM-2","issue":"4","issued":{"date-parts":[["2016"]]},"page":"1-35","title":"Polymer nanocomposites-A comparison between carbon nanotubes, graphene, and clay as nanofillers","type":"article-journal","volume":"9"},"uris":["http://www.mendeley.com/documents/?uuid=908f4e2b-7939-42a3-931e-41e3062b9fb0"]},{"id":"ITEM-3","itemData":{"DOI":"10.1002/app.23262","ISBN":"00143057","ISSN":"00218995","abstract":"In this work, polypropylene-clay nanocomposites are obtained and studied by using two different coupling agents, diethyl maleate and maleic anhydride. Two different clays, a commercial montmorillonite (Nanomer I30.TC) and a sodium bentonite purified and modified with octadecylammonium ions have also been used. The relative influence of each factor, matrix and clay modification, can be observed from structural analysis (SAXS, TEM) and mechanical properties. An explanation of the results is proposed according to the microstructure and chemical nature of the systems and the thermodynamic interactions operating during nanocomposite preparation. © 2002 Elsevier Science Ltd. All rights reserved.","author":[{"dropping-particle":"","family":"López-Quintanilla","given":"M. L.","non-dropping-particle":"","parse-names":false,"suffix":""},{"dropping-particle":"","family":"Sánchez-Valdés","given":"S.","non-dropping-particle":"","parse-names":false,"suffix":""},{"dropping-particle":"","family":"Ramos De Valle","given":"L. F.","non-dropping-particle":"","parse-names":false,"suffix":""},{"dropping-particle":"","family":"Medellín-Rodríguez","given":"F. J.","non-dropping-particle":"","parse-names":false,"suffix":""}],"container-title":"Journal of Applied Polymer Science","id":"ITEM-3","issue":"6","issued":{"date-parts":[["2006"]]},"page":"4748-4756","title":"Effect of some compatibilizing agents on clay dispersion of polypropylene-clay nanocomposites","type":"article-journal","volume":"100"},"uris":["http://www.mendeley.com/documents/?uuid=01522540-a90b-4bc7-bd67-f3de5520be02"]}],"mendeley":{"formattedCitation":"[2], [6], [9]","manualFormatting":"[2, 6, 9]","plainTextFormattedCitation":"[2], [6], [9]","previouslyFormattedCitation":"[2], [6], [9]"},"properties":{"noteIndex":0},"schema":"https://github.com/citation-style-language/schema/raw/master/csl-citation.json"}</w:instrText>
      </w:r>
      <w:r w:rsidR="00B40EEB" w:rsidRPr="002F5155">
        <w:fldChar w:fldCharType="separate"/>
      </w:r>
      <w:r w:rsidR="000F43C1" w:rsidRPr="002F5155">
        <w:rPr>
          <w:noProof/>
        </w:rPr>
        <w:t>[2</w:t>
      </w:r>
      <w:r w:rsidR="003E2FCD" w:rsidRPr="002F5155">
        <w:rPr>
          <w:noProof/>
        </w:rPr>
        <w:t xml:space="preserve">, </w:t>
      </w:r>
      <w:r w:rsidR="000F43C1" w:rsidRPr="002F5155">
        <w:rPr>
          <w:noProof/>
        </w:rPr>
        <w:t>6</w:t>
      </w:r>
      <w:r w:rsidR="003E2FCD" w:rsidRPr="002F5155">
        <w:rPr>
          <w:noProof/>
        </w:rPr>
        <w:t xml:space="preserve">, </w:t>
      </w:r>
      <w:r w:rsidR="000F43C1" w:rsidRPr="002F5155">
        <w:rPr>
          <w:noProof/>
        </w:rPr>
        <w:t>9]</w:t>
      </w:r>
      <w:r w:rsidR="00B40EEB" w:rsidRPr="002F5155">
        <w:fldChar w:fldCharType="end"/>
      </w:r>
      <w:r w:rsidRPr="002F5155">
        <w:t xml:space="preserve">. An alternative strategy, used herein, employs a second polymer that is compatible with both the non-polar polymer and the organoclay as a means of creating a homogeneous </w:t>
      </w:r>
      <w:r w:rsidR="002D335E" w:rsidRPr="002F5155">
        <w:t>system</w:t>
      </w:r>
      <w:r w:rsidRPr="002F5155">
        <w:t xml:space="preserve"> </w:t>
      </w:r>
      <w:r w:rsidR="00B40EEB" w:rsidRPr="002F5155">
        <w:fldChar w:fldCharType="begin" w:fldLock="1"/>
      </w:r>
      <w:r w:rsidR="00590CA1" w:rsidRPr="002F5155">
        <w:instrText>ADDIN CSL_CITATION {"citationItems":[{"id":"ITEM-1","itemData":{"DOI":"10.1016/j.polymer.2004.04.043","ISBN":"0032-3861","ISSN":"00323861","abstract":"Polymer composites based on organically modified clay (organoclay) and polyethylene (PE) were prepared by melt processing to study their combustion behaviour. Formation of intercalated nanocomposites was observed only in presence of poly(ethylene-co-vinylacetate), added as a compatibilizer. The nanocomposite showed a reduced rate of combustion due to the accumulation of the silicate on the surface of the burning specimen which create a protective barrier to heat and mass transfer. ?? 2004 Elsevier Ltd. All rights reserved.","author":[{"dropping-particle":"","family":"Zanetti","given":"Marco","non-dropping-particle":"","parse-names":false,"suffix":""},{"dropping-particle":"","family":"Costa","given":"Luigi","non-dropping-particle":"","parse-names":false,"suffix":""}],"container-title":"Polymer","id":"ITEM-1","issue":"13","issued":{"date-parts":[["2004"]]},"page":"4367-4373","title":"Preparation and combustion behaviour of polymer/layered silicate nanocomposites based upon PE and EVA","type":"article-journal","volume":"45"},"uris":["http://www.mendeley.com/documents/?uuid=fd3e9f11-46c0-4e68-8ef4-0d7c5b4b058a"]}],"mendeley":{"formattedCitation":"[10]","plainTextFormattedCitation":"[10]","previouslyFormattedCitation":"[10]"},"properties":{"noteIndex":0},"schema":"https://github.com/citation-style-language/schema/raw/master/csl-citation.json"}</w:instrText>
      </w:r>
      <w:r w:rsidR="00B40EEB" w:rsidRPr="002F5155">
        <w:fldChar w:fldCharType="separate"/>
      </w:r>
      <w:r w:rsidR="000F43C1" w:rsidRPr="002F5155">
        <w:rPr>
          <w:noProof/>
        </w:rPr>
        <w:t>[10]</w:t>
      </w:r>
      <w:r w:rsidR="00B40EEB" w:rsidRPr="002F5155">
        <w:fldChar w:fldCharType="end"/>
      </w:r>
      <w:r w:rsidRPr="002F5155">
        <w:t>.</w:t>
      </w:r>
    </w:p>
    <w:p w14:paraId="2A4529C8" w14:textId="3C25122E" w:rsidR="00387D33" w:rsidRPr="002F5155" w:rsidRDefault="00387D33" w:rsidP="008A2578">
      <w:pPr>
        <w:ind w:firstLine="202"/>
        <w:jc w:val="both"/>
      </w:pPr>
      <w:r w:rsidRPr="002F5155">
        <w:t>Compatibili</w:t>
      </w:r>
      <w:r w:rsidR="00AB77C9" w:rsidRPr="002F5155">
        <w:t>z</w:t>
      </w:r>
      <w:r w:rsidRPr="002F5155">
        <w:t>ing agents allow the polymer chains to intercalate between the stacks/sheets present in the clay. When the intercalation reaches a point whereby the sheets are completely separated and dispersed into the continuous polymer matrix, the clay is exfoliated</w:t>
      </w:r>
      <w:r w:rsidR="00AB77C9" w:rsidRPr="002F5155">
        <w:t xml:space="preserve"> </w:t>
      </w:r>
      <w:r w:rsidRPr="002F5155">
        <w:fldChar w:fldCharType="begin" w:fldLock="1"/>
      </w:r>
      <w:r w:rsidR="000F43C1" w:rsidRPr="002F5155">
        <w:instrText>ADDIN CSL_CITATION {"citationItems":[{"id":"ITEM-1","itemData":{"DOI":"10.1002/app.23262","ISBN":"00143057","ISSN":"00218995","abstract":"In this work, polypropylene-clay nanocomposites are obtained and studied by using two different coupling agents, diethyl maleate and maleic anhydride. Two different clays, a commercial montmorillonite (Nanomer I30.TC) and a sodium bentonite purified and modified with octadecylammonium ions have also been used. The relative influence of each factor, matrix and clay modification, can be observed from structural analysis (SAXS, TEM) and mechanical properties. An explanation of the results is proposed according to the microstructure and chemical nature of the systems and the thermodynamic interactions operating during nanocomposite preparation. © 2002 Elsevier Science Ltd. All rights reserved.","author":[{"dropping-particle":"","family":"López-Quintanilla","given":"M. L.","non-dropping-particle":"","parse-names":false,"suffix":""},{"dropping-particle":"","family":"Sánchez-Valdés","given":"S.","non-dropping-particle":"","parse-names":false,"suffix":""},{"dropping-particle":"","family":"Ramos De Valle","given":"L. F.","non-dropping-particle":"","parse-names":false,"suffix":""},{"dropping-particle":"","family":"Medellín-Rodríguez","given":"F. J.","non-dropping-particle":"","parse-names":false,"suffix":""}],"container-title":"Journal of Applied Polymer Science","id":"ITEM-1","issue":"6","issued":{"date-parts":[["2006"]]},"page":"4748-4756","title":"Effect of some compatibilizing agents on clay dispersion of polypropylene-clay nanocomposites","type":"article-journal","volume":"100"},"uris":["http://www.mendeley.com/documents/?uuid=01522540-a90b-4bc7-bd67-f3de5520be02"]}],"mendeley":{"formattedCitation":"[9]","plainTextFormattedCitation":"[9]","previouslyFormattedCitation":"[9]"},"properties":{"noteIndex":0},"schema":"https://github.com/citation-style-language/schema/raw/master/csl-citation.json"}</w:instrText>
      </w:r>
      <w:r w:rsidRPr="002F5155">
        <w:fldChar w:fldCharType="separate"/>
      </w:r>
      <w:r w:rsidR="000F43C1" w:rsidRPr="002F5155">
        <w:rPr>
          <w:noProof/>
        </w:rPr>
        <w:t>[9]</w:t>
      </w:r>
      <w:r w:rsidRPr="002F5155">
        <w:fldChar w:fldCharType="end"/>
      </w:r>
      <w:r w:rsidRPr="002F5155">
        <w:t xml:space="preserve">. In doing so, the filler transitions from the micro- to the nano-scale, which can fundamentally change the properties of the system due to the massively increased interfacial area combined with </w:t>
      </w:r>
      <w:r w:rsidR="000E5F5E" w:rsidRPr="002F5155">
        <w:t xml:space="preserve">minimizing the phase separation </w:t>
      </w:r>
      <w:r w:rsidRPr="002F5155">
        <w:t>of the overall system</w:t>
      </w:r>
      <w:r w:rsidR="00C27332" w:rsidRPr="002F5155">
        <w:t xml:space="preserve"> </w:t>
      </w:r>
      <w:r w:rsidR="00C27332" w:rsidRPr="002F5155">
        <w:fldChar w:fldCharType="begin" w:fldLock="1"/>
      </w:r>
      <w:r w:rsidR="00C430F1" w:rsidRPr="002F5155">
        <w:instrText>ADDIN CSL_CITATION {"citationItems":[{"id":"ITEM-1","itemData":{"DOI":"10.1002/app.34209","ISBN":"0124002005","ISSN":"09673911","author":[{"dropping-particle":"","family":"Prachum","given":"Yongyut","non-dropping-particle":"","parse-names":false,"suffix":""},{"dropping-particle":"","family":"Strauss","given":"Roman H. A.","non-dropping-particle":"","parse-names":false,"suffix":""},{"dropping-particle":"","family":"Kiatkamjornwong","given":"Suda","non-dropping-particle":"","parse-names":false,"suffix":""}],"container-title":"Journal of Applied Polymer Science","id":"ITEM-1","issued":{"date-parts":[["2011"]]},"page":"1066-1076","title":"The Physical and Mechanical Properties of Beta-Nucleated Polypropylene/Montmorillonite Nanocomposites","type":"article-journal","volume":"122"},"uris":["http://www.mendeley.com/documents/?uuid=97725ecd-1e50-4241-a1c9-b757938c2db7"]}],"mendeley":{"formattedCitation":"[7]","plainTextFormattedCitation":"[7]","previouslyFormattedCitation":"[7]"},"properties":{"noteIndex":0},"schema":"https://github.com/citation-style-language/schema/raw/master/csl-citation.json"}</w:instrText>
      </w:r>
      <w:r w:rsidR="00C27332" w:rsidRPr="002F5155">
        <w:fldChar w:fldCharType="separate"/>
      </w:r>
      <w:r w:rsidR="00774D3E" w:rsidRPr="002F5155">
        <w:rPr>
          <w:noProof/>
        </w:rPr>
        <w:t>[7]</w:t>
      </w:r>
      <w:r w:rsidR="00C27332" w:rsidRPr="002F5155">
        <w:fldChar w:fldCharType="end"/>
      </w:r>
      <w:r w:rsidRPr="002F5155">
        <w:t xml:space="preserve">. </w:t>
      </w:r>
      <w:r w:rsidR="000E5F5E" w:rsidRPr="002F5155">
        <w:t>When considering the m</w:t>
      </w:r>
      <w:r w:rsidRPr="002F5155">
        <w:t xml:space="preserve">elt processing of nanocomposites by </w:t>
      </w:r>
      <w:r w:rsidRPr="002F5155">
        <w:lastRenderedPageBreak/>
        <w:t xml:space="preserve">extrusion, the level of dispersion has been related to the order of material addition </w:t>
      </w:r>
      <w:r w:rsidR="00886D46" w:rsidRPr="002F5155">
        <w:t>and</w:t>
      </w:r>
      <w:r w:rsidRPr="002F5155">
        <w:t xml:space="preserve"> the number of times the material was passed through the extruder</w:t>
      </w:r>
      <w:r w:rsidR="001A0292" w:rsidRPr="002F5155">
        <w:t xml:space="preserve"> </w:t>
      </w:r>
      <w:r w:rsidR="00C27332" w:rsidRPr="002F5155">
        <w:fldChar w:fldCharType="begin" w:fldLock="1"/>
      </w:r>
      <w:r w:rsidR="000F43C1" w:rsidRPr="002F5155">
        <w:instrText>ADDIN CSL_CITATION {"citationItems":[{"id":"ITEM-1","itemData":{"DOI":"10.1002/app.23262","ISBN":"00143057","ISSN":"00218995","abstract":"In this work, polypropylene-clay nanocomposites are obtained and studied by using two different coupling agents, diethyl maleate and maleic anhydride. Two different clays, a commercial montmorillonite (Nanomer I30.TC) and a sodium bentonite purified and modified with octadecylammonium ions have also been used. The relative influence of each factor, matrix and clay modification, can be observed from structural analysis (SAXS, TEM) and mechanical properties. An explanation of the results is proposed according to the microstructure and chemical nature of the systems and the thermodynamic interactions operating during nanocomposite preparation. © 2002 Elsevier Science Ltd. All rights reserved.","author":[{"dropping-particle":"","family":"López-Quintanilla","given":"M. L.","non-dropping-particle":"","parse-names":false,"suffix":""},{"dropping-particle":"","family":"Sánchez-Valdés","given":"S.","non-dropping-particle":"","parse-names":false,"suffix":""},{"dropping-particle":"","family":"Ramos De Valle","given":"L. F.","non-dropping-particle":"","parse-names":false,"suffix":""},{"dropping-particle":"","family":"Medellín-Rodríguez","given":"F. J.","non-dropping-particle":"","parse-names":false,"suffix":""}],"container-title":"Journal of Applied Polymer Science","id":"ITEM-1","issue":"6","issued":{"date-parts":[["2006"]]},"page":"4748-4756","title":"Effect of some compatibilizing agents on clay dispersion of polypropylene-clay nanocomposites","type":"article-journal","volume":"100"},"uris":["http://www.mendeley.com/documents/?uuid=01522540-a90b-4bc7-bd67-f3de5520be02"]}],"mendeley":{"formattedCitation":"[9]","plainTextFormattedCitation":"[9]","previouslyFormattedCitation":"[9]"},"properties":{"noteIndex":0},"schema":"https://github.com/citation-style-language/schema/raw/master/csl-citation.json"}</w:instrText>
      </w:r>
      <w:r w:rsidR="00C27332" w:rsidRPr="002F5155">
        <w:fldChar w:fldCharType="separate"/>
      </w:r>
      <w:r w:rsidR="000F43C1" w:rsidRPr="002F5155">
        <w:rPr>
          <w:noProof/>
        </w:rPr>
        <w:t>[9]</w:t>
      </w:r>
      <w:r w:rsidR="00C27332" w:rsidRPr="002F5155">
        <w:fldChar w:fldCharType="end"/>
      </w:r>
      <w:r w:rsidRPr="002F5155">
        <w:t xml:space="preserve">. Processing via a solvent phase is a common alternative strategy, whereupon the solvent can mediate the mixing of the materials, such that the final extent of dispersion is influenced by factors such </w:t>
      </w:r>
      <w:r w:rsidR="00B83501" w:rsidRPr="002F5155">
        <w:t xml:space="preserve">as </w:t>
      </w:r>
      <w:r w:rsidRPr="002F5155">
        <w:t xml:space="preserve">the filler loading level, temperature and length of solution reflux time </w:t>
      </w:r>
      <w:r w:rsidRPr="002F5155">
        <w:fldChar w:fldCharType="begin" w:fldLock="1"/>
      </w:r>
      <w:r w:rsidR="00590CA1" w:rsidRPr="002F5155">
        <w:instrText>ADDIN CSL_CITATION {"citationItems":[{"id":"ITEM-1","itemData":{"DOI":"10.1002/app","author":[{"dropping-particle":"V.","family":"Krishna","given":"S.","non-dropping-particle":"","parse-names":false,"suffix":""},{"dropping-particle":"","family":"Pugazhenthi","given":"G.","non-dropping-particle":"","parse-names":false,"suffix":""}],"container-title":"Journal of Applied Polymer Science","id":"ITEM-1","issued":{"date-parts":[["2011"]]},"page":"1322","title":"Properties and Thermal Degradation Kinetics of Polystyrene/Organoclay Nanocomposites Synthesized by Solvent Blending Method: Effect of Processing Conditions and Organoclay Loading","type":"article-journal","volume":"120"},"uris":["http://www.mendeley.com/documents/?uuid=556dfbf0-144d-467f-bafa-d7a107bbf160"]}],"mendeley":{"formattedCitation":"[11]","plainTextFormattedCitation":"[11]","previouslyFormattedCitation":"[11]"},"properties":{"noteIndex":0},"schema":"https://github.com/citation-style-language/schema/raw/master/csl-citation.json"}</w:instrText>
      </w:r>
      <w:r w:rsidRPr="002F5155">
        <w:fldChar w:fldCharType="separate"/>
      </w:r>
      <w:r w:rsidR="000F43C1" w:rsidRPr="002F5155">
        <w:rPr>
          <w:noProof/>
        </w:rPr>
        <w:t>[11]</w:t>
      </w:r>
      <w:r w:rsidRPr="002F5155">
        <w:fldChar w:fldCharType="end"/>
      </w:r>
      <w:r w:rsidRPr="002F5155">
        <w:t>.</w:t>
      </w:r>
    </w:p>
    <w:p w14:paraId="68AB82BD" w14:textId="40D67C20" w:rsidR="00C862F1" w:rsidRPr="002F5155" w:rsidRDefault="008A2578" w:rsidP="00AF0FA9">
      <w:pPr>
        <w:ind w:firstLine="202"/>
        <w:jc w:val="both"/>
      </w:pPr>
      <w:r w:rsidRPr="002F5155">
        <w:t>The work described here set out to examine a factor that is intrinsic to solution processing of materials, namely the influence of retained labile species on the electrical characteristics of a polymeric nanocomposite. While the influence of absorbed water has been considered in detail</w:t>
      </w:r>
      <w:r w:rsidR="00E16E0C" w:rsidRPr="002F5155">
        <w:t xml:space="preserve"> </w:t>
      </w:r>
      <w:r w:rsidR="00E16E0C" w:rsidRPr="002F5155">
        <w:fldChar w:fldCharType="begin" w:fldLock="1"/>
      </w:r>
      <w:r w:rsidR="003E2FCD" w:rsidRPr="002F5155">
        <w:instrText>ADDIN CSL_CITATION {"citationItems":[{"id":"ITEM-1","itemData":{"DOI":"10.1109/TDEI.2008.4483483","ISBN":"1070-9878","ISSN":"10709878","abstract":"In order to understand the relationship between the dielectric properties and the structure of polymer nanocomposites, especially the role of the interface on dielectric response, two polymers with different polarity were used to form nanocomposites with nanoalumina powder, a typical polar inorganic compound. Consequently, two kinds of nanodielectrics with very different interfaces were produced. In the epoxy nanodielectric, broad band dielectric spectroscopic measurements show that no difference is found between the unfilled resin and the nanocomposite under dry conditions. However, their dielectric responses are very different when they contain about 0.4 % b.w. absorbed water, a concentration that occurs under ambient exposure conditions. The findings suggest that the sites for absorbed water in the epoxy nanocomposites are very different to those in the unfilled thermoset and relate to the large interfacial internal surface in these materials. In this case all the relaxation processes can be well described by the Havriliak-Negami function, which give useful information on the dynamics and activation energies associated with the relaxation processes. In polyethylene nanocomposites, dielectric measurements show that the incorporation of nanoalumina produces a dielectric loss peak in the low frequency. This relaxation peak moves to high frequency with increasing nanoalumina content and the peak becomes broader. In the presence of 0.06 % b.w. absorbed water this peak also shows the same type of unusual dielectric loss behavior as that observed in the undried epoxy nanodielectrics. This behavior is thought to arise from the interplay between interfacial water mobility and bonding rather than the host polymer.","author":[{"dropping-particle":"","family":"Zhang","given":"Chao","non-dropping-particle":"","parse-names":false,"suffix":""},{"dropping-particle":"","family":"Stevens","given":"Gary C.","non-dropping-particle":"","parse-names":false,"suffix":""}],"container-title":"IEEE Transactions on Dielectrics and Electrical Insulation","id":"ITEM-1","issue":"2","issued":{"date-parts":[["2008"]]},"page":"606-617","title":"The dielectric response of polar and non-polar nanodielectrics","type":"article-journal","volume":"15"},"uris":["http://www.mendeley.com/documents/?uuid=152e03a2-0f1f-44d1-baae-e53ca1e4a1a6"]},{"id":"ITEM-2","itemData":{"DOI":"10.1088/0022-3727/46/9/095303","ISSN":"0022-3727","abstract":"The dielectric response of silica-based polyethylene nanocomposites is studied by dielectric spectroscopy. The results indicate that nanocomposites absorb significantly more water than unfilled polyethylene, with the consequence that both permittivity and loss tangent increase with increasing duration of water immersion. However, appropriate surface treatment of nanosilica is found to reduce the water absorption effect and to modify the dielectric response of the nanocomposites compared with those containing untreated nanosilica. While water absorption may not be a technologically desirable characteristic, our results indicate that water molecules can act as effective dielectric probes of interfacial factors.","author":[{"dropping-particle":"","family":"Lau","given":"K Y","non-dropping-particle":"","parse-names":false,"suffix":""},{"dropping-particle":"","family":"Vaughan","given":"A S","non-dropping-particle":"","parse-names":false,"suffix":""},{"dropping-particle":"","family":"Chen","given":"G","non-dropping-particle":"","parse-names":false,"suffix":""},{"dropping-particle":"","family":"Hosier","given":"I L","non-dropping-particle":"","parse-names":false,"suffix":""},{"dropping-particle":"","family":"Holt","given":"a F","non-dropping-particle":"","parse-names":false,"suffix":""}],"container-title":"Journal of Physics D: Applied Physics","id":"ITEM-2","issue":"9","issued":{"date-parts":[["2013"]]},"title":"On the dielectric response of silica-based polyethylene nanocomposites","type":"article-journal","volume":"46"},"uris":["http://www.mendeley.com/documents/?uuid=7b2d356f-3cbf-4aad-b67c-6ac96aaf2e3a"]}],"mendeley":{"formattedCitation":"[12], [13]","manualFormatting":"[12, 13]","plainTextFormattedCitation":"[12], [13]","previouslyFormattedCitation":"[12], [13]"},"properties":{"noteIndex":0},"schema":"https://github.com/citation-style-language/schema/raw/master/csl-citation.json"}</w:instrText>
      </w:r>
      <w:r w:rsidR="00E16E0C" w:rsidRPr="002F5155">
        <w:fldChar w:fldCharType="separate"/>
      </w:r>
      <w:r w:rsidR="003E2FCD" w:rsidRPr="002F5155">
        <w:rPr>
          <w:noProof/>
        </w:rPr>
        <w:t xml:space="preserve">[12, </w:t>
      </w:r>
      <w:r w:rsidR="000F43C1" w:rsidRPr="002F5155">
        <w:rPr>
          <w:noProof/>
        </w:rPr>
        <w:t>13]</w:t>
      </w:r>
      <w:r w:rsidR="00E16E0C" w:rsidRPr="002F5155">
        <w:fldChar w:fldCharType="end"/>
      </w:r>
      <w:r w:rsidRPr="002F5155">
        <w:t xml:space="preserve"> and shown to be capable of greatly influencing dielectric parameters, charge transport and breakdown</w:t>
      </w:r>
      <w:r w:rsidR="00886D46" w:rsidRPr="002F5155">
        <w:t xml:space="preserve"> strength</w:t>
      </w:r>
      <w:r w:rsidRPr="002F5155">
        <w:t>, the effect of non-polar moieties has not attracted comparable attention. Specifically, th</w:t>
      </w:r>
      <w:r w:rsidR="006C3BEC" w:rsidRPr="002F5155">
        <w:t>is study</w:t>
      </w:r>
      <w:r w:rsidRPr="002F5155">
        <w:t xml:space="preserve"> concerns a tertiary polymer blend system based on isotactic polypropylene (iPP) and an </w:t>
      </w:r>
      <w:r w:rsidR="00B83501" w:rsidRPr="002F5155">
        <w:t>EVA</w:t>
      </w:r>
      <w:r w:rsidRPr="002F5155">
        <w:t xml:space="preserve"> copolymer</w:t>
      </w:r>
      <w:r w:rsidR="002D335E" w:rsidRPr="002F5155">
        <w:t>,</w:t>
      </w:r>
      <w:r w:rsidRPr="002F5155">
        <w:t xml:space="preserve"> combined with an organically </w:t>
      </w:r>
      <w:r w:rsidR="00DA0BC1" w:rsidRPr="002F5155">
        <w:t>functionalized</w:t>
      </w:r>
      <w:r w:rsidRPr="002F5155">
        <w:t xml:space="preserve"> nanoclay (organoclay). The objective of the work was to examine the influence of xylene, used for processing, on the electrical response of the system.</w:t>
      </w:r>
    </w:p>
    <w:p w14:paraId="643F0A24" w14:textId="494B9232" w:rsidR="0046648D" w:rsidRPr="002F5155" w:rsidRDefault="008A2578" w:rsidP="004A39DF">
      <w:pPr>
        <w:pStyle w:val="Heading1"/>
        <w:numPr>
          <w:ilvl w:val="0"/>
          <w:numId w:val="17"/>
        </w:numPr>
        <w:rPr>
          <w:rFonts w:ascii="Arial" w:hAnsi="Arial" w:cs="Arial"/>
          <w:b/>
          <w:caps/>
          <w:sz w:val="24"/>
        </w:rPr>
      </w:pPr>
      <w:r w:rsidRPr="002F5155">
        <w:rPr>
          <w:rFonts w:ascii="Arial" w:hAnsi="Arial"/>
          <w:b/>
          <w:bCs/>
          <w:caps/>
          <w:smallCaps w:val="0"/>
          <w:sz w:val="24"/>
        </w:rPr>
        <w:t>EXPERIMENTAL</w:t>
      </w:r>
      <w:r w:rsidR="00C862F1" w:rsidRPr="002F5155">
        <w:rPr>
          <w:rFonts w:ascii="Arial" w:hAnsi="Arial" w:cs="Arial"/>
          <w:b/>
          <w:caps/>
          <w:sz w:val="24"/>
        </w:rPr>
        <w:t xml:space="preserve"> </w:t>
      </w:r>
    </w:p>
    <w:p w14:paraId="6174F61F" w14:textId="653200CC" w:rsidR="00BB5820" w:rsidRPr="002F5155" w:rsidRDefault="008A2578" w:rsidP="00DE0968">
      <w:pPr>
        <w:pStyle w:val="Heading2"/>
        <w:numPr>
          <w:ilvl w:val="1"/>
          <w:numId w:val="17"/>
        </w:numPr>
        <w:jc w:val="center"/>
        <w:rPr>
          <w:rFonts w:ascii="Arial" w:hAnsi="Arial" w:cs="Arial"/>
          <w:b/>
          <w:i w:val="0"/>
          <w:iCs/>
          <w:caps/>
        </w:rPr>
      </w:pPr>
      <w:r w:rsidRPr="002F5155">
        <w:rPr>
          <w:rFonts w:ascii="Arial" w:hAnsi="Arial" w:cs="Arial"/>
          <w:b/>
          <w:i w:val="0"/>
          <w:iCs/>
          <w:caps/>
        </w:rPr>
        <w:t>Materials and Processing</w:t>
      </w:r>
    </w:p>
    <w:p w14:paraId="30FCDB0C" w14:textId="141A1332" w:rsidR="00967145" w:rsidRPr="002F5155" w:rsidRDefault="008A2578" w:rsidP="00AF0FA9">
      <w:pPr>
        <w:pStyle w:val="CommentText"/>
        <w:ind w:firstLine="142"/>
        <w:jc w:val="both"/>
      </w:pPr>
      <w:r w:rsidRPr="002F5155">
        <w:t>The following commercial materials were used as supplied in the study described here. The iPP and organoclay were both purchased from Sigma Al</w:t>
      </w:r>
      <w:r w:rsidR="00B86B38" w:rsidRPr="002F5155">
        <w:t>d</w:t>
      </w:r>
      <w:r w:rsidRPr="002F5155">
        <w:t>rich (product numbers 427888 and 682624 respectively), while the EVA was supplied by DuPont (Elvax 750, containing 9</w:t>
      </w:r>
      <w:r w:rsidR="00E0730F" w:rsidRPr="002F5155">
        <w:t> </w:t>
      </w:r>
      <w:r w:rsidRPr="002F5155">
        <w:t>wt.</w:t>
      </w:r>
      <w:r w:rsidR="001A77EE" w:rsidRPr="002F5155">
        <w:t xml:space="preserve"> </w:t>
      </w:r>
      <w:r w:rsidRPr="002F5155">
        <w:t xml:space="preserve">% of VA). All of the samples considered here contained, by weight, 80:20 of iPP to EVA plus </w:t>
      </w:r>
      <w:r w:rsidR="00E0730F" w:rsidRPr="002F5155">
        <w:t xml:space="preserve">a nominal </w:t>
      </w:r>
      <w:r w:rsidRPr="002F5155">
        <w:t xml:space="preserve">0, 2.5 or 5 wt. % </w:t>
      </w:r>
      <w:r w:rsidR="00E0730F" w:rsidRPr="002F5155">
        <w:t xml:space="preserve">of </w:t>
      </w:r>
      <w:r w:rsidRPr="002F5155">
        <w:t xml:space="preserve">organoclay. The material processing procedure was adapted from published studies </w:t>
      </w:r>
      <w:r w:rsidRPr="002F5155">
        <w:fldChar w:fldCharType="begin" w:fldLock="1"/>
      </w:r>
      <w:r w:rsidR="00590CA1" w:rsidRPr="002F5155">
        <w:instrText>ADDIN CSL_CITATION {"citationItems":[{"id":"ITEM-1","itemData":{"DOI":"10.1109/CEIDP.2012.6378712","ISBN":"978-1-4673-1252-3","ISSN":"00849162","abstract":"The topic of polymer nanocomposites remains an active area of research in terms of potential applications for dielectric materials. Although more than a decade has passed since these systems were first considered as dielectric materials, the precise effects of incorporating nanofillers into different polymers are yet to be confirmed. This paper reports on an investigation into the AC and DC breakdown behaviours of nanofilled polyethylene. A blend of low density and high density polyethylene was selected as the matrix while the chosen nanofiller was nanosilica; different nanofiller loading levels (2 wt%, 5 wt% and 10 wt%) and surface chemistries (untreated and silane treated) are discussed. The surface chemistry of the treated materials was characterised by Fourier transform infrared spectroscopy while the lamellar morphology and dispersion state of the final nanocomposites was determined by scanning electron microscopy (SEM). Breakdown results show that the introduction of 2 wt% or 5 wt% of nanosilica does not have a significant effect on the AC breakdown response and that this applies to both the untreated and treated nanosilica. In both cases, the AC breakdown strength was commensurate with that of the unfilled polyethylene. However, where severe clustering occurred, as evinced from SEM micrographs, the AC breakdown strength was found to be reduced significantly. Meanwhile, in DC breakdown testing, increasing the amount of untreated nanosilica was found to reduce the DC breakdown strength of the polyethylene. In contrast, surface treatment of nanosilica increased the DC breakdown strength compared with samples containing equivalent amount of untreated nanosilica","author":[{"dropping-particle":"","family":"Lau","given":"K. Y.","non-dropping-particle":"","parse-names":false,"suffix":""},{"dropping-particle":"","family":"Vaughan","given":"A. S.","non-dropping-particle":"","parse-names":false,"suffix":""},{"dropping-particle":"","family":"Chen","given":"G.","non-dropping-particle":"","parse-names":false,"suffix":""},{"dropping-particle":"","family":"Hosier","given":"I. L.","non-dropping-particle":"","parse-names":false,"suffix":""}],"container-title":"Annual Report - Conference on Electrical Insulation and Dielectric Phenomena, CEIDP","id":"ITEM-1","issued":{"date-parts":[["2012"]]},"page":"21-24","title":"Polyethylene nanodielectrics: The effect of nanosilica and its surface treatment on electrical breakdown strength","type":"paper-conference"},"uris":["http://www.mendeley.com/documents/?uuid=e9c9bb97-a467-406e-8da2-9702f9ba6038"]}],"mendeley":{"formattedCitation":"[14]","plainTextFormattedCitation":"[14]","previouslyFormattedCitation":"[14]"},"properties":{"noteIndex":0},"schema":"https://github.com/citation-style-language/schema/raw/master/csl-citation.json"}</w:instrText>
      </w:r>
      <w:r w:rsidRPr="002F5155">
        <w:fldChar w:fldCharType="separate"/>
      </w:r>
      <w:r w:rsidR="000F43C1" w:rsidRPr="002F5155">
        <w:rPr>
          <w:noProof/>
        </w:rPr>
        <w:t>[14]</w:t>
      </w:r>
      <w:r w:rsidRPr="002F5155">
        <w:fldChar w:fldCharType="end"/>
      </w:r>
      <w:r w:rsidRPr="002F5155">
        <w:t xml:space="preserve"> and involved the following sequential steps. First, the organoclay was sonicated in xylene for 30 min to promote dispersion, before being added, along with the EVA, into a rotary evaporator and heated to </w:t>
      </w:r>
      <w:r w:rsidR="00886D46" w:rsidRPr="002F5155">
        <w:t>140 </w:t>
      </w:r>
      <w:r w:rsidRPr="002F5155">
        <w:t xml:space="preserve">°C. When the polymer had completely dissolved, the iPP was then introduced and the temperature was increased to </w:t>
      </w:r>
      <w:r w:rsidR="00886D46" w:rsidRPr="002F5155">
        <w:t>155 </w:t>
      </w:r>
      <w:r w:rsidRPr="002F5155">
        <w:t>°C to dissolve the iPP. The mixture was left stirring for 30</w:t>
      </w:r>
      <w:r w:rsidR="00886D46" w:rsidRPr="002F5155">
        <w:t> </w:t>
      </w:r>
      <w:r w:rsidRPr="002F5155">
        <w:t>min before, finally, the solvent was removed under vacuum.</w:t>
      </w:r>
    </w:p>
    <w:p w14:paraId="22A5C30E" w14:textId="1B88397D" w:rsidR="008A2578" w:rsidRPr="002F5155" w:rsidRDefault="008A2578" w:rsidP="00AF0FA9">
      <w:pPr>
        <w:pStyle w:val="CommentText"/>
        <w:ind w:firstLine="142"/>
        <w:jc w:val="both"/>
      </w:pPr>
      <w:r w:rsidRPr="002F5155">
        <w:t>From the resulting product, samples of the required thickness were melt-pressed using a hydraulic press. After being held in the melt phase for 5 min, the films were crystallized isothermally at 120 °C for 10 min, before being quenched into a</w:t>
      </w:r>
      <w:r w:rsidRPr="002F5155">
        <w:rPr>
          <w:sz w:val="24"/>
          <w:szCs w:val="24"/>
        </w:rPr>
        <w:t xml:space="preserve"> </w:t>
      </w:r>
      <w:r w:rsidR="00B83501" w:rsidRPr="002F5155">
        <w:t xml:space="preserve">room temperature </w:t>
      </w:r>
      <w:r w:rsidRPr="002F5155">
        <w:t xml:space="preserve">water bath. The required temperature and time for the crystallization process was determined from a preliminary study of the </w:t>
      </w:r>
      <w:r w:rsidR="00DA0BC1" w:rsidRPr="002F5155">
        <w:t>crystallization</w:t>
      </w:r>
      <w:r w:rsidRPr="002F5155">
        <w:t xml:space="preserve"> </w:t>
      </w:r>
      <w:r w:rsidR="001A77EE" w:rsidRPr="002F5155">
        <w:t>behavior</w:t>
      </w:r>
      <w:r w:rsidRPr="002F5155">
        <w:t xml:space="preserve"> of this polymer blend by differen</w:t>
      </w:r>
      <w:r w:rsidR="006F3D49" w:rsidRPr="002F5155">
        <w:t>tial scanning calorimetry (DSC)</w:t>
      </w:r>
      <w:r w:rsidRPr="002F5155">
        <w:t xml:space="preserve"> and was chosen to ensure maximum </w:t>
      </w:r>
      <w:r w:rsidR="00DA0BC1" w:rsidRPr="002F5155">
        <w:t>crystallization</w:t>
      </w:r>
      <w:r w:rsidRPr="002F5155">
        <w:t xml:space="preserve"> of the iPP. All of the resulting sample films were then further dried for one week under dynamic vacuum at 70 °C, whilst monitoring the mass change, to </w:t>
      </w:r>
      <w:r w:rsidR="00DA0BC1" w:rsidRPr="002F5155">
        <w:t>minimize</w:t>
      </w:r>
      <w:r w:rsidRPr="002F5155">
        <w:t xml:space="preserve"> residual solvent and absorption of environmental water in the resulting </w:t>
      </w:r>
      <w:r w:rsidR="006C3BEC" w:rsidRPr="002F5155">
        <w:t>s</w:t>
      </w:r>
      <w:r w:rsidRPr="002F5155">
        <w:t xml:space="preserve">pecimens. These initial specimens will hereafter be referred to as dried samples. In order to explore any potential effects relating to the presence of unwanted labile </w:t>
      </w:r>
      <w:r w:rsidRPr="002F5155">
        <w:t>species, further batches of samples were expose</w:t>
      </w:r>
      <w:r w:rsidR="007A0392" w:rsidRPr="002F5155">
        <w:t>d</w:t>
      </w:r>
      <w:r w:rsidRPr="002F5155">
        <w:t xml:space="preserve"> to xylene followed by a subsequent re-drying phase. This involved immersion in xylene for one week (termed immersed samples), followed by drying under dynamic vacuum at 70 °C for two weeks (termed re-dried samples). Variations in sample mass throughout this process were monitored. For convenience, the above samples are hereafter referred to using the following nomenclature: PP/EVA9-20/X/Y, where PP/EVA9-20 indicates a blend system based on iPP with 20 parts by weight of EVA containing 9% VA, X indicates the nominal clay loading level (0, 2.5 or 5 </w:t>
      </w:r>
      <w:r w:rsidR="001A77EE" w:rsidRPr="002F5155">
        <w:t>wt. %</w:t>
      </w:r>
      <w:r w:rsidRPr="002F5155">
        <w:t>) and Y indicates the imposed treatment (D, dried; I, immersed; R, re-dried).</w:t>
      </w:r>
    </w:p>
    <w:p w14:paraId="27AC8357" w14:textId="77777777" w:rsidR="008A2578" w:rsidRPr="002F5155" w:rsidRDefault="008A2578" w:rsidP="008A2578">
      <w:pPr>
        <w:pStyle w:val="CommentText"/>
        <w:ind w:firstLine="142"/>
      </w:pPr>
    </w:p>
    <w:p w14:paraId="5F12E471" w14:textId="1ED6ACED" w:rsidR="00BB5820" w:rsidRPr="002F5155" w:rsidRDefault="00967145" w:rsidP="00967145">
      <w:pPr>
        <w:pStyle w:val="Heading2"/>
        <w:numPr>
          <w:ilvl w:val="0"/>
          <w:numId w:val="0"/>
        </w:numPr>
        <w:jc w:val="center"/>
        <w:rPr>
          <w:rFonts w:ascii="Arial" w:hAnsi="Arial" w:cs="Arial"/>
          <w:b/>
          <w:i w:val="0"/>
          <w:iCs/>
          <w:caps/>
        </w:rPr>
      </w:pPr>
      <w:r w:rsidRPr="002F5155">
        <w:rPr>
          <w:rFonts w:ascii="Arial" w:hAnsi="Arial" w:cs="Arial"/>
          <w:b/>
          <w:i w:val="0"/>
          <w:iCs/>
          <w:caps/>
        </w:rPr>
        <w:t xml:space="preserve">2.2 </w:t>
      </w:r>
      <w:r w:rsidR="008A2578" w:rsidRPr="002F5155">
        <w:rPr>
          <w:rFonts w:ascii="Arial" w:hAnsi="Arial" w:cs="Arial"/>
          <w:b/>
          <w:i w:val="0"/>
          <w:iCs/>
          <w:caps/>
        </w:rPr>
        <w:t>material characterisation</w:t>
      </w:r>
    </w:p>
    <w:p w14:paraId="380964B0" w14:textId="17C3DAF0" w:rsidR="00967145" w:rsidRPr="002F5155" w:rsidRDefault="0031222B" w:rsidP="007252E1">
      <w:pPr>
        <w:ind w:firstLine="142"/>
        <w:jc w:val="both"/>
      </w:pPr>
      <w:r w:rsidRPr="002F5155">
        <w:t>Thermogravimetric analysis (TGA) was performed in air up to 800 °C at a heating rate of 10 °C min</w:t>
      </w:r>
      <w:r w:rsidRPr="002F5155">
        <w:rPr>
          <w:vertAlign w:val="superscript"/>
        </w:rPr>
        <w:t>-1</w:t>
      </w:r>
      <w:r w:rsidRPr="002F5155">
        <w:t>, using a Perkin Elmer Pyris 1 instrument. Fourier-transform infrared (FT-IR) spectra were acquired using a Thermo Scientific Nicolet iS5 instrument; data were acquired with the instrument operating in both transmission mode and attenuated total internal reflection (ATR) mode. AC breakdown strength was measured in accordance with ASTM D149-97a. For this, the sample was immersed in silicone oil between vertically opposed spherical electrodes (6.3 mm in diameter). Each system was tested twenty times using a ramp rate of 500 V/s and the results were analyzed using two-parameter Weibull statistics with 90</w:t>
      </w:r>
      <w:r w:rsidR="00886D46" w:rsidRPr="002F5155">
        <w:t xml:space="preserve"> </w:t>
      </w:r>
      <w:r w:rsidRPr="002F5155">
        <w:t>% confidence limits within the Origin software package. Dielectric spectra were acquired using a Solartron 1296 dielectric interface together with a Schlumberger SI1260 impedance/phase gain analyzer system. For this, an AC voltage of amplitude 1 V</w:t>
      </w:r>
      <w:r w:rsidR="004B2F04" w:rsidRPr="002F5155">
        <w:rPr>
          <w:vertAlign w:val="subscript"/>
        </w:rPr>
        <w:t>rms</w:t>
      </w:r>
      <w:r w:rsidRPr="002F5155">
        <w:t xml:space="preserve"> was applied across electrodes 30 mm in diameter with a guard </w:t>
      </w:r>
      <w:r w:rsidR="00D00AEA" w:rsidRPr="002F5155">
        <w:t xml:space="preserve">ring </w:t>
      </w:r>
      <w:r w:rsidRPr="002F5155">
        <w:t>electrode; a frequency range of 10</w:t>
      </w:r>
      <w:r w:rsidRPr="002F5155">
        <w:rPr>
          <w:vertAlign w:val="superscript"/>
        </w:rPr>
        <w:t>-1</w:t>
      </w:r>
      <w:r w:rsidRPr="002F5155">
        <w:t xml:space="preserve"> to 10</w:t>
      </w:r>
      <w:r w:rsidRPr="002F5155">
        <w:rPr>
          <w:vertAlign w:val="superscript"/>
        </w:rPr>
        <w:t>5</w:t>
      </w:r>
      <w:r w:rsidRPr="002F5155">
        <w:t xml:space="preserve"> Hz was considered. In the case of samples tested following xylene immersion, these were removed from the solvent bath and allowed to dry naturally in the fume cupboard for 30 min before being tested, such that no residual xylene remained on the sample surface during testing.</w:t>
      </w:r>
      <w:r w:rsidR="000475EC" w:rsidRPr="002F5155">
        <w:t xml:space="preserve"> </w:t>
      </w:r>
    </w:p>
    <w:p w14:paraId="2B9710E2" w14:textId="20ACCACB" w:rsidR="00572D31" w:rsidRPr="002F5155" w:rsidRDefault="00572D31" w:rsidP="00572D31">
      <w:pPr>
        <w:pStyle w:val="Heading1"/>
        <w:numPr>
          <w:ilvl w:val="0"/>
          <w:numId w:val="0"/>
        </w:numPr>
      </w:pPr>
      <w:r w:rsidRPr="002F5155">
        <w:rPr>
          <w:rFonts w:ascii="Arial" w:hAnsi="Arial"/>
          <w:b/>
          <w:bCs/>
          <w:caps/>
          <w:sz w:val="24"/>
        </w:rPr>
        <w:t xml:space="preserve">3 </w:t>
      </w:r>
      <w:r w:rsidR="0031222B" w:rsidRPr="002F5155">
        <w:rPr>
          <w:rFonts w:ascii="Arial" w:hAnsi="Arial"/>
          <w:b/>
          <w:bCs/>
          <w:caps/>
          <w:sz w:val="24"/>
        </w:rPr>
        <w:t>results and discussion</w:t>
      </w:r>
    </w:p>
    <w:p w14:paraId="25D26B64" w14:textId="02C9BE8F" w:rsidR="00572D31" w:rsidRPr="002F5155" w:rsidRDefault="00572D31" w:rsidP="0031222B">
      <w:pPr>
        <w:pStyle w:val="Heading2"/>
        <w:numPr>
          <w:ilvl w:val="0"/>
          <w:numId w:val="0"/>
        </w:numPr>
        <w:jc w:val="center"/>
        <w:rPr>
          <w:rFonts w:ascii="Arial" w:hAnsi="Arial"/>
          <w:b/>
          <w:bCs/>
          <w:i w:val="0"/>
          <w:caps/>
        </w:rPr>
      </w:pPr>
      <w:r w:rsidRPr="002F5155">
        <w:rPr>
          <w:rFonts w:ascii="Arial" w:hAnsi="Arial"/>
          <w:b/>
          <w:bCs/>
          <w:i w:val="0"/>
          <w:caps/>
        </w:rPr>
        <w:t xml:space="preserve">3.1 </w:t>
      </w:r>
      <w:r w:rsidR="0031222B" w:rsidRPr="002F5155">
        <w:rPr>
          <w:rFonts w:ascii="Arial" w:hAnsi="Arial"/>
          <w:b/>
          <w:bCs/>
          <w:i w:val="0"/>
          <w:caps/>
        </w:rPr>
        <w:t>Sample/Xylene Interactions</w:t>
      </w:r>
    </w:p>
    <w:p w14:paraId="35FDE054" w14:textId="4FB2E548" w:rsidR="00B86B38" w:rsidRPr="002F5155" w:rsidRDefault="00B86B38" w:rsidP="00B86B38">
      <w:pPr>
        <w:ind w:firstLine="202"/>
        <w:jc w:val="both"/>
      </w:pPr>
      <w:r w:rsidRPr="002F5155">
        <w:t xml:space="preserve">Figure 1 shows TGA data obtained from both dried and immersed samples. Consider first the results obtained from the dried samples, where three aspects of the data are significant. At low temperature, the absence of any detectable changes in mass </w:t>
      </w:r>
      <w:r w:rsidR="004B2F04" w:rsidRPr="002F5155">
        <w:t xml:space="preserve">in the dried samples </w:t>
      </w:r>
      <w:r w:rsidRPr="002F5155">
        <w:t xml:space="preserve">indicates that the concentration level of any volatile species that remained entrained within the systems after drying is below the sensitivity of TGA. The bulk of the decomposition then occurs within the temperature range 300-500 </w:t>
      </w:r>
      <w:r w:rsidRPr="002F5155">
        <w:rPr>
          <w:vertAlign w:val="superscript"/>
        </w:rPr>
        <w:t>o</w:t>
      </w:r>
      <w:r w:rsidRPr="002F5155">
        <w:t>C, which corresponds to the decomposition of the iPP, the EVA and the organic compatibili</w:t>
      </w:r>
      <w:r w:rsidR="003C44BB" w:rsidRPr="002F5155">
        <w:t>z</w:t>
      </w:r>
      <w:r w:rsidRPr="002F5155">
        <w:t xml:space="preserve">er within the organoclay. In line with previous </w:t>
      </w:r>
      <w:r w:rsidR="00E16E0C" w:rsidRPr="002F5155">
        <w:t>work</w:t>
      </w:r>
      <w:r w:rsidRPr="002F5155">
        <w:t xml:space="preserve">, the </w:t>
      </w:r>
      <w:r w:rsidR="006F3D49" w:rsidRPr="002F5155">
        <w:t xml:space="preserve">observed </w:t>
      </w:r>
      <w:r w:rsidRPr="002F5155">
        <w:t xml:space="preserve">displacement of decomposition to higher temperatures in the presence of </w:t>
      </w:r>
      <w:r w:rsidR="006F3D49" w:rsidRPr="002F5155">
        <w:t xml:space="preserve">the </w:t>
      </w:r>
      <w:r w:rsidRPr="002F5155">
        <w:t>organoclay was as expected</w:t>
      </w:r>
      <w:r w:rsidR="00AB77C9" w:rsidRPr="002F5155">
        <w:t xml:space="preserve"> </w:t>
      </w:r>
      <w:r w:rsidR="00B40EEB" w:rsidRPr="002F5155">
        <w:fldChar w:fldCharType="begin" w:fldLock="1"/>
      </w:r>
      <w:r w:rsidR="00590CA1" w:rsidRPr="002F5155">
        <w:instrText>ADDIN CSL_CITATION {"citationItems":[{"id":"ITEM-1","itemData":{"DOI":"10.1016/j.tca.2006.01.017","ISSN":"00406031","abstract":"Polymer-clay nanocomposites constitute a new class of materials in which the polymer matrix is reinforced by uniformly dispersed inorganic particles (usually 10 wt.% or less) having at least one dimension in the nanometer scale. Nanocomposites exhibit improved properties when compared to pure polymer or conventional composites, such as enhanced mechanical and thermal properties, reduced gas permeability, and improved chemical stability. In this work, the synthesis of poly(methyl methacrylate) (PMMA)/clay nanocomposites is described via two methods: in situ and emulsion polymerization. The in situ technique follows a two-step process: ion-exchange of the clay to make it hydrophobic, and polymerization after dispersing the functionalized clay in the monomer. The emulsion technique combines the two steps of the in situ method into one by conducting ion-exchange and polymerization in an aqueous medium in the same reactor. The clay (montmorillonite, MMT) is functionalized with a zwitterionic surfactant, octadecyl-dimethyl betaine (C18DMB). Partially exfoliated nanocomposite, observed by transmission electron microscopy (TEM), was obtained by emulsion polymerization with 10 wt.% clay. Glass transition temperature (Tg) of this nanocomposite was 18 ??C higher than pure PMMA. With the same clay content, in situ polymerization produced intercalated nanocomposite with Tg 10 ??C lower than the emulsion nanocomposite. The storage modulus of partially exfoliated nanocomposite was superior to the intercalated structure and to the pure polymer. Using nanocomposite technology, novel PMMA nanocomposite gel electrolytes were synthesized exhibiting improved ionic conductivity and stable lithium interfacial resistance. Nanocomposites can also be used for gas storage and packaging applications as demonstrated by high barrier polymer-clay films. ?? 2006 Elsevier B.V. All rights reserved.","author":[{"dropping-particle":"","family":"Meneghetti","given":"Paulo","non-dropping-particle":"","parse-names":false,"suffix":""},{"dropping-particle":"","family":"Qutubuddin","given":"Syed","non-dropping-particle":"","parse-names":false,"suffix":""}],"container-title":"Thermochimica Acta","id":"ITEM-1","issued":{"date-parts":[["2006"]]},"page":"74-77","title":"Synthesis, thermal properties and applications of polymer-clay nanocomposites","type":"article-journal","volume":"442"},"uris":["http://www.mendeley.com/documents/?uuid=e756a1f4-79e1-4299-914d-8dd3310e5670"]}],"mendeley":{"formattedCitation":"[15]","plainTextFormattedCitation":"[15]","previouslyFormattedCitation":"[15]"},"properties":{"noteIndex":0},"schema":"https://github.com/citation-style-language/schema/raw/master/csl-citation.json"}</w:instrText>
      </w:r>
      <w:r w:rsidR="00B40EEB" w:rsidRPr="002F5155">
        <w:fldChar w:fldCharType="separate"/>
      </w:r>
      <w:r w:rsidR="000F43C1" w:rsidRPr="002F5155">
        <w:rPr>
          <w:noProof/>
        </w:rPr>
        <w:t>[15]</w:t>
      </w:r>
      <w:r w:rsidR="00B40EEB" w:rsidRPr="002F5155">
        <w:fldChar w:fldCharType="end"/>
      </w:r>
      <w:r w:rsidR="00B40EEB" w:rsidRPr="002F5155">
        <w:t xml:space="preserve">. </w:t>
      </w:r>
      <w:r w:rsidRPr="002F5155">
        <w:t xml:space="preserve">At high temperatures (&gt;600 </w:t>
      </w:r>
      <w:r w:rsidRPr="002F5155">
        <w:rPr>
          <w:vertAlign w:val="superscript"/>
        </w:rPr>
        <w:t>o</w:t>
      </w:r>
      <w:r w:rsidRPr="002F5155">
        <w:t xml:space="preserve">C), residual mass </w:t>
      </w:r>
      <w:r w:rsidR="00E4145C" w:rsidRPr="002F5155">
        <w:t xml:space="preserve">occurred only when organoclay had been present in the sample and </w:t>
      </w:r>
      <w:r w:rsidRPr="002F5155">
        <w:t>corresponds to the remnant inorgan</w:t>
      </w:r>
      <w:r w:rsidR="00E4145C" w:rsidRPr="002F5155">
        <w:t xml:space="preserve">ic </w:t>
      </w:r>
      <w:r w:rsidR="00E4145C" w:rsidRPr="002F5155">
        <w:lastRenderedPageBreak/>
        <w:t>components of the organoclay. B</w:t>
      </w:r>
      <w:r w:rsidRPr="002F5155">
        <w:t>y considering the decomposition of the organoclay in isolation</w:t>
      </w:r>
      <w:r w:rsidR="00FD6EC6" w:rsidRPr="002F5155">
        <w:t>,</w:t>
      </w:r>
      <w:r w:rsidRPr="002F5155">
        <w:t xml:space="preserve"> it is possible to evaluate the included organic fraction and, from this, we </w:t>
      </w:r>
      <w:r w:rsidR="008F77A5" w:rsidRPr="002F5155">
        <w:rPr>
          <w:noProof/>
          <w:lang w:val="en-GB" w:eastAsia="en-GB"/>
        </w:rPr>
        <mc:AlternateContent>
          <mc:Choice Requires="wps">
            <w:drawing>
              <wp:anchor distT="0" distB="0" distL="114300" distR="114300" simplePos="0" relativeHeight="251662336" behindDoc="1" locked="1" layoutInCell="1" allowOverlap="0" wp14:anchorId="73501772" wp14:editId="3E076164">
                <wp:simplePos x="0" y="0"/>
                <wp:positionH relativeFrom="margin">
                  <wp:posOffset>3456305</wp:posOffset>
                </wp:positionH>
                <wp:positionV relativeFrom="page">
                  <wp:posOffset>705400</wp:posOffset>
                </wp:positionV>
                <wp:extent cx="3135600" cy="2509200"/>
                <wp:effectExtent l="0" t="0" r="8255" b="571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00" cy="250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2AEBB" w14:textId="04984C1D" w:rsidR="00810AAD" w:rsidRDefault="00DC785A" w:rsidP="00810AAD">
                            <w:pPr>
                              <w:pStyle w:val="FootnoteText"/>
                              <w:ind w:firstLine="0"/>
                              <w:jc w:val="center"/>
                            </w:pPr>
                            <w:r>
                              <w:rPr>
                                <w:noProof/>
                                <w:lang w:val="en-GB" w:eastAsia="en-GB"/>
                              </w:rPr>
                              <w:drawing>
                                <wp:inline distT="0" distB="0" distL="0" distR="0" wp14:anchorId="61ACB38C" wp14:editId="7750332C">
                                  <wp:extent cx="3134995" cy="2224101"/>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p_xylene_paper_tga.png"/>
                                          <pic:cNvPicPr/>
                                        </pic:nvPicPr>
                                        <pic:blipFill rotWithShape="1">
                                          <a:blip r:embed="rId10" cstate="print">
                                            <a:extLst>
                                              <a:ext uri="{28A0092B-C50C-407E-A947-70E740481C1C}">
                                                <a14:useLocalDpi xmlns:a14="http://schemas.microsoft.com/office/drawing/2010/main" val="0"/>
                                              </a:ext>
                                            </a:extLst>
                                          </a:blip>
                                          <a:srcRect t="7292"/>
                                          <a:stretch/>
                                        </pic:blipFill>
                                        <pic:spPr bwMode="auto">
                                          <a:xfrm>
                                            <a:off x="0" y="0"/>
                                            <a:ext cx="3134995" cy="2224101"/>
                                          </a:xfrm>
                                          <a:prstGeom prst="rect">
                                            <a:avLst/>
                                          </a:prstGeom>
                                          <a:ln>
                                            <a:noFill/>
                                          </a:ln>
                                          <a:extLst>
                                            <a:ext uri="{53640926-AAD7-44D8-BBD7-CCE9431645EC}">
                                              <a14:shadowObscured xmlns:a14="http://schemas.microsoft.com/office/drawing/2010/main"/>
                                            </a:ext>
                                          </a:extLst>
                                        </pic:spPr>
                                      </pic:pic>
                                    </a:graphicData>
                                  </a:graphic>
                                </wp:inline>
                              </w:drawing>
                            </w:r>
                          </w:p>
                          <w:p w14:paraId="26160271" w14:textId="67054FB9" w:rsidR="00810AAD" w:rsidRDefault="00810AAD" w:rsidP="00810AAD">
                            <w:pPr>
                              <w:pStyle w:val="FootnoteText"/>
                              <w:ind w:firstLine="0"/>
                              <w:jc w:val="center"/>
                              <w:rPr>
                                <w:b/>
                                <w:bCs/>
                              </w:rPr>
                            </w:pPr>
                            <w:r>
                              <w:rPr>
                                <w:rFonts w:ascii="Arial" w:hAnsi="Arial" w:cs="Arial"/>
                                <w:b/>
                                <w:bCs/>
                              </w:rPr>
                              <w:t>Figure 1.</w:t>
                            </w:r>
                            <w:r>
                              <w:rPr>
                                <w:b/>
                                <w:bCs/>
                              </w:rPr>
                              <w:t xml:space="preserve"> </w:t>
                            </w:r>
                            <w:r w:rsidRPr="00B86B38">
                              <w:t>Data from TGA conducted in air on the dried samples</w:t>
                            </w:r>
                            <w:r w:rsidR="00DC785A">
                              <w:t>, where Y=D</w:t>
                            </w:r>
                            <w:r w:rsidRPr="00B86B38">
                              <w:t xml:space="preserve"> and the immersed samples</w:t>
                            </w:r>
                            <w:r w:rsidR="00DC785A">
                              <w:t>,</w:t>
                            </w:r>
                            <w:r w:rsidRPr="00B86B38">
                              <w:t xml:space="preserve"> </w:t>
                            </w:r>
                            <w:r w:rsidR="00DC785A">
                              <w:t xml:space="preserve">where Y=I </w:t>
                            </w:r>
                            <w:r w:rsidR="00DC785A" w:rsidRPr="00B86B38">
                              <w:t>(inset)</w:t>
                            </w:r>
                            <w:r w:rsidRPr="00B86B38">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01772" id="Text Box 3" o:spid="_x0000_s1029" type="#_x0000_t202" style="position:absolute;left:0;text-align:left;margin-left:272.15pt;margin-top:55.55pt;width:246.9pt;height:197.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BIfQIAAAc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" o:allowoverlap="f" stroked="f">
                <v:textbox inset="0,0,0,0">
                  <w:txbxContent>
                    <w:p w14:paraId="32A2AEBB" w14:textId="04984C1D" w:rsidR="00810AAD" w:rsidRDefault="00DC785A" w:rsidP="00810AAD">
                      <w:pPr>
                        <w:pStyle w:val="FootnoteText"/>
                        <w:ind w:firstLine="0"/>
                        <w:jc w:val="center"/>
                      </w:pPr>
                      <w:r>
                        <w:rPr>
                          <w:noProof/>
                          <w:lang w:val="en-GB" w:eastAsia="en-GB"/>
                        </w:rPr>
                        <w:drawing>
                          <wp:inline distT="0" distB="0" distL="0" distR="0" wp14:anchorId="61ACB38C" wp14:editId="7750332C">
                            <wp:extent cx="3134995" cy="2224101"/>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p_xylene_paper_tga.png"/>
                                    <pic:cNvPicPr/>
                                  </pic:nvPicPr>
                                  <pic:blipFill rotWithShape="1">
                                    <a:blip r:embed="rId11" cstate="print">
                                      <a:extLst>
                                        <a:ext uri="{28A0092B-C50C-407E-A947-70E740481C1C}">
                                          <a14:useLocalDpi xmlns:a14="http://schemas.microsoft.com/office/drawing/2010/main" val="0"/>
                                        </a:ext>
                                      </a:extLst>
                                    </a:blip>
                                    <a:srcRect t="7292"/>
                                    <a:stretch/>
                                  </pic:blipFill>
                                  <pic:spPr bwMode="auto">
                                    <a:xfrm>
                                      <a:off x="0" y="0"/>
                                      <a:ext cx="3134995" cy="2224101"/>
                                    </a:xfrm>
                                    <a:prstGeom prst="rect">
                                      <a:avLst/>
                                    </a:prstGeom>
                                    <a:ln>
                                      <a:noFill/>
                                    </a:ln>
                                    <a:extLst>
                                      <a:ext uri="{53640926-AAD7-44D8-BBD7-CCE9431645EC}">
                                        <a14:shadowObscured xmlns:a14="http://schemas.microsoft.com/office/drawing/2010/main"/>
                                      </a:ext>
                                    </a:extLst>
                                  </pic:spPr>
                                </pic:pic>
                              </a:graphicData>
                            </a:graphic>
                          </wp:inline>
                        </w:drawing>
                      </w:r>
                    </w:p>
                    <w:p w14:paraId="26160271" w14:textId="67054FB9" w:rsidR="00810AAD" w:rsidRDefault="00810AAD" w:rsidP="00810AAD">
                      <w:pPr>
                        <w:pStyle w:val="FootnoteText"/>
                        <w:ind w:firstLine="0"/>
                        <w:jc w:val="center"/>
                        <w:rPr>
                          <w:b/>
                          <w:bCs/>
                        </w:rPr>
                      </w:pPr>
                      <w:r>
                        <w:rPr>
                          <w:rFonts w:ascii="Arial" w:hAnsi="Arial" w:cs="Arial"/>
                          <w:b/>
                          <w:bCs/>
                        </w:rPr>
                        <w:t>Figure 1.</w:t>
                      </w:r>
                      <w:r>
                        <w:rPr>
                          <w:b/>
                          <w:bCs/>
                        </w:rPr>
                        <w:t xml:space="preserve"> </w:t>
                      </w:r>
                      <w:r w:rsidRPr="00B86B38">
                        <w:t>Data from TGA conducted in air on the dried samples</w:t>
                      </w:r>
                      <w:r w:rsidR="00DC785A">
                        <w:t>, where Y=D</w:t>
                      </w:r>
                      <w:r w:rsidRPr="00B86B38">
                        <w:t xml:space="preserve"> and the immersed samples</w:t>
                      </w:r>
                      <w:r w:rsidR="00DC785A">
                        <w:t>,</w:t>
                      </w:r>
                      <w:r w:rsidRPr="00B86B38">
                        <w:t xml:space="preserve"> </w:t>
                      </w:r>
                      <w:r w:rsidR="00DC785A">
                        <w:t xml:space="preserve">where Y=I </w:t>
                      </w:r>
                      <w:r w:rsidR="00DC785A" w:rsidRPr="00B86B38">
                        <w:t>(inset)</w:t>
                      </w:r>
                      <w:r w:rsidRPr="00B86B38">
                        <w:t>.</w:t>
                      </w:r>
                    </w:p>
                  </w:txbxContent>
                </v:textbox>
                <w10:wrap type="topAndBottom" anchorx="margin" anchory="page"/>
                <w10:anchorlock/>
              </v:shape>
            </w:pict>
          </mc:Fallback>
        </mc:AlternateContent>
      </w:r>
      <w:r w:rsidRPr="002F5155">
        <w:t xml:space="preserve">conclude that the true initial loading level of the organoclay equates to 1.5 and 4.7 wt. % of the system for the composition goals of 2.5 and 5 wt. % respectively. </w:t>
      </w:r>
      <w:r w:rsidR="00B64FE8" w:rsidRPr="002F5155">
        <w:t xml:space="preserve">This discrepancy is due to </w:t>
      </w:r>
      <w:r w:rsidR="00BC24AF" w:rsidRPr="002F5155">
        <w:t>experimental limitations during sample production</w:t>
      </w:r>
      <w:r w:rsidR="006F3D49" w:rsidRPr="002F5155">
        <w:t>,</w:t>
      </w:r>
      <w:r w:rsidR="00BC24AF" w:rsidRPr="002F5155">
        <w:t xml:space="preserve"> </w:t>
      </w:r>
      <w:r w:rsidR="00B64FE8" w:rsidRPr="002F5155">
        <w:t xml:space="preserve">meaning that some organoclay was </w:t>
      </w:r>
      <w:r w:rsidR="006F3D49" w:rsidRPr="002F5155">
        <w:t xml:space="preserve">lost from </w:t>
      </w:r>
      <w:r w:rsidR="00B64FE8" w:rsidRPr="002F5155">
        <w:t xml:space="preserve">the </w:t>
      </w:r>
      <w:r w:rsidR="003C44BB" w:rsidRPr="002F5155">
        <w:t>final system</w:t>
      </w:r>
      <w:r w:rsidR="00B64FE8" w:rsidRPr="002F5155">
        <w:t xml:space="preserve">. </w:t>
      </w:r>
      <w:r w:rsidRPr="002F5155">
        <w:t xml:space="preserve">Nevertheless, for simplicity, the paper will still refer to the samples by the nomenclature described above, which was based on the nominal target compositions. The inset in Figure 1 shows low temperature TGA data obtained from the samples that had been immersed in xylene, from which it is evident that all three systems lose about 5% of their initial mass on heating from room temperature up to 150 </w:t>
      </w:r>
      <w:r w:rsidRPr="002F5155">
        <w:rPr>
          <w:vertAlign w:val="superscript"/>
        </w:rPr>
        <w:t>o</w:t>
      </w:r>
      <w:r w:rsidRPr="002F5155">
        <w:t xml:space="preserve">C. Since the reported boiling temperature of the various isomers of xylene range from 138-144 </w:t>
      </w:r>
      <w:r w:rsidRPr="002F5155">
        <w:rPr>
          <w:vertAlign w:val="superscript"/>
        </w:rPr>
        <w:t>o</w:t>
      </w:r>
      <w:r w:rsidRPr="002F5155">
        <w:t xml:space="preserve">C, this feature, together with the absence of any comparable mass losses in the PP/EVA9-20/X/D sample set, strongly implies that this change in mass is related to desorption of xylene, which occurs progressively up to ~150 </w:t>
      </w:r>
      <w:r w:rsidRPr="002F5155">
        <w:rPr>
          <w:vertAlign w:val="superscript"/>
        </w:rPr>
        <w:t>o</w:t>
      </w:r>
      <w:r w:rsidRPr="002F5155">
        <w:t>C.</w:t>
      </w:r>
    </w:p>
    <w:p w14:paraId="1323E38E" w14:textId="04010C61" w:rsidR="00B86B38" w:rsidRPr="002F5155" w:rsidRDefault="008F77A5" w:rsidP="00B86B38">
      <w:pPr>
        <w:ind w:firstLine="202"/>
        <w:jc w:val="both"/>
      </w:pPr>
      <w:r w:rsidRPr="002F5155">
        <w:rPr>
          <w:noProof/>
          <w:lang w:val="en-GB" w:eastAsia="en-GB"/>
        </w:rPr>
        <mc:AlternateContent>
          <mc:Choice Requires="wps">
            <w:drawing>
              <wp:anchor distT="0" distB="0" distL="114300" distR="114300" simplePos="0" relativeHeight="251660288" behindDoc="1" locked="1" layoutInCell="1" allowOverlap="0" wp14:anchorId="3C11BEC5" wp14:editId="08D4A5C8">
                <wp:simplePos x="0" y="0"/>
                <wp:positionH relativeFrom="margin">
                  <wp:posOffset>3456305</wp:posOffset>
                </wp:positionH>
                <wp:positionV relativeFrom="margin">
                  <wp:posOffset>2605301</wp:posOffset>
                </wp:positionV>
                <wp:extent cx="3135600" cy="2509200"/>
                <wp:effectExtent l="0" t="0" r="8255" b="571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00" cy="250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F8737" w14:textId="0EEEB631" w:rsidR="00967145" w:rsidRDefault="00810AAD" w:rsidP="00810AAD">
                            <w:pPr>
                              <w:pStyle w:val="FootnoteText"/>
                              <w:ind w:firstLine="0"/>
                              <w:jc w:val="center"/>
                            </w:pPr>
                            <w:r>
                              <w:rPr>
                                <w:noProof/>
                                <w:lang w:val="en-GB" w:eastAsia="en-GB"/>
                              </w:rPr>
                              <w:drawing>
                                <wp:inline distT="0" distB="0" distL="0" distR="0" wp14:anchorId="76D02DEB" wp14:editId="48D53E3C">
                                  <wp:extent cx="3134216" cy="2115879"/>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tir_xylene_paper.png"/>
                                          <pic:cNvPicPr/>
                                        </pic:nvPicPr>
                                        <pic:blipFill rotWithShape="1">
                                          <a:blip r:embed="rId12">
                                            <a:extLst>
                                              <a:ext uri="{28A0092B-C50C-407E-A947-70E740481C1C}">
                                                <a14:useLocalDpi xmlns:a14="http://schemas.microsoft.com/office/drawing/2010/main" val="0"/>
                                              </a:ext>
                                            </a:extLst>
                                          </a:blip>
                                          <a:srcRect t="8421" b="3359"/>
                                          <a:stretch/>
                                        </pic:blipFill>
                                        <pic:spPr bwMode="auto">
                                          <a:xfrm>
                                            <a:off x="0" y="0"/>
                                            <a:ext cx="3134995" cy="2116405"/>
                                          </a:xfrm>
                                          <a:prstGeom prst="rect">
                                            <a:avLst/>
                                          </a:prstGeom>
                                          <a:ln>
                                            <a:noFill/>
                                          </a:ln>
                                          <a:extLst>
                                            <a:ext uri="{53640926-AAD7-44D8-BBD7-CCE9431645EC}">
                                              <a14:shadowObscured xmlns:a14="http://schemas.microsoft.com/office/drawing/2010/main"/>
                                            </a:ext>
                                          </a:extLst>
                                        </pic:spPr>
                                      </pic:pic>
                                    </a:graphicData>
                                  </a:graphic>
                                </wp:inline>
                              </w:drawing>
                            </w:r>
                          </w:p>
                          <w:p w14:paraId="081332B5" w14:textId="5FDF9288" w:rsidR="00967145" w:rsidRDefault="00967145" w:rsidP="00475247">
                            <w:pPr>
                              <w:pStyle w:val="FootnoteText"/>
                              <w:ind w:firstLine="0"/>
                              <w:jc w:val="center"/>
                              <w:rPr>
                                <w:b/>
                                <w:bCs/>
                              </w:rPr>
                            </w:pPr>
                            <w:r>
                              <w:rPr>
                                <w:rFonts w:ascii="Arial" w:hAnsi="Arial" w:cs="Arial"/>
                                <w:b/>
                                <w:bCs/>
                              </w:rPr>
                              <w:t xml:space="preserve">Figure </w:t>
                            </w:r>
                            <w:r w:rsidR="00810AAD">
                              <w:rPr>
                                <w:rFonts w:ascii="Arial" w:hAnsi="Arial" w:cs="Arial"/>
                                <w:b/>
                                <w:bCs/>
                              </w:rPr>
                              <w:t>2</w:t>
                            </w:r>
                            <w:r>
                              <w:rPr>
                                <w:rFonts w:ascii="Arial" w:hAnsi="Arial" w:cs="Arial"/>
                                <w:b/>
                                <w:bCs/>
                              </w:rPr>
                              <w:t>.</w:t>
                            </w:r>
                            <w:r>
                              <w:rPr>
                                <w:b/>
                                <w:bCs/>
                              </w:rPr>
                              <w:t xml:space="preserve"> </w:t>
                            </w:r>
                            <w:r w:rsidR="00810AAD" w:rsidRPr="00810AAD">
                              <w:t>FT-IR data from the fingerprint region acquired in transmission mode from PP/EVA9-20/5/Y samples containing 5 wt % organoclay compared to xylene. The various spectra are off-set for clarity.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1BEC5" id="Text Box 2" o:spid="_x0000_s1030" type="#_x0000_t202" style="position:absolute;left:0;text-align:left;margin-left:272.15pt;margin-top:205.15pt;width:246.9pt;height:197.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P6fA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" o:allowoverlap="f" stroked="f">
                <v:textbox inset="0,0,0,0">
                  <w:txbxContent>
                    <w:p w14:paraId="499F8737" w14:textId="0EEEB631" w:rsidR="00967145" w:rsidRDefault="00810AAD" w:rsidP="00810AAD">
                      <w:pPr>
                        <w:pStyle w:val="FootnoteText"/>
                        <w:ind w:firstLine="0"/>
                        <w:jc w:val="center"/>
                      </w:pPr>
                      <w:r>
                        <w:rPr>
                          <w:noProof/>
                          <w:lang w:val="en-GB" w:eastAsia="en-GB"/>
                        </w:rPr>
                        <w:drawing>
                          <wp:inline distT="0" distB="0" distL="0" distR="0" wp14:anchorId="76D02DEB" wp14:editId="48D53E3C">
                            <wp:extent cx="3134216" cy="2115879"/>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tir_xylene_paper.png"/>
                                    <pic:cNvPicPr/>
                                  </pic:nvPicPr>
                                  <pic:blipFill rotWithShape="1">
                                    <a:blip r:embed="rId13">
                                      <a:extLst>
                                        <a:ext uri="{28A0092B-C50C-407E-A947-70E740481C1C}">
                                          <a14:useLocalDpi xmlns:a14="http://schemas.microsoft.com/office/drawing/2010/main" val="0"/>
                                        </a:ext>
                                      </a:extLst>
                                    </a:blip>
                                    <a:srcRect t="8421" b="3359"/>
                                    <a:stretch/>
                                  </pic:blipFill>
                                  <pic:spPr bwMode="auto">
                                    <a:xfrm>
                                      <a:off x="0" y="0"/>
                                      <a:ext cx="3134995" cy="2116405"/>
                                    </a:xfrm>
                                    <a:prstGeom prst="rect">
                                      <a:avLst/>
                                    </a:prstGeom>
                                    <a:ln>
                                      <a:noFill/>
                                    </a:ln>
                                    <a:extLst>
                                      <a:ext uri="{53640926-AAD7-44D8-BBD7-CCE9431645EC}">
                                        <a14:shadowObscured xmlns:a14="http://schemas.microsoft.com/office/drawing/2010/main"/>
                                      </a:ext>
                                    </a:extLst>
                                  </pic:spPr>
                                </pic:pic>
                              </a:graphicData>
                            </a:graphic>
                          </wp:inline>
                        </w:drawing>
                      </w:r>
                    </w:p>
                    <w:p w14:paraId="081332B5" w14:textId="5FDF9288" w:rsidR="00967145" w:rsidRDefault="00967145" w:rsidP="00475247">
                      <w:pPr>
                        <w:pStyle w:val="FootnoteText"/>
                        <w:ind w:firstLine="0"/>
                        <w:jc w:val="center"/>
                        <w:rPr>
                          <w:b/>
                          <w:bCs/>
                        </w:rPr>
                      </w:pPr>
                      <w:r>
                        <w:rPr>
                          <w:rFonts w:ascii="Arial" w:hAnsi="Arial" w:cs="Arial"/>
                          <w:b/>
                          <w:bCs/>
                        </w:rPr>
                        <w:t xml:space="preserve">Figure </w:t>
                      </w:r>
                      <w:r w:rsidR="00810AAD">
                        <w:rPr>
                          <w:rFonts w:ascii="Arial" w:hAnsi="Arial" w:cs="Arial"/>
                          <w:b/>
                          <w:bCs/>
                        </w:rPr>
                        <w:t>2</w:t>
                      </w:r>
                      <w:r>
                        <w:rPr>
                          <w:rFonts w:ascii="Arial" w:hAnsi="Arial" w:cs="Arial"/>
                          <w:b/>
                          <w:bCs/>
                        </w:rPr>
                        <w:t>.</w:t>
                      </w:r>
                      <w:r>
                        <w:rPr>
                          <w:b/>
                          <w:bCs/>
                        </w:rPr>
                        <w:t xml:space="preserve"> </w:t>
                      </w:r>
                      <w:r w:rsidR="00810AAD" w:rsidRPr="00810AAD">
                        <w:t>FT-IR data from the fingerprint region acquired in transmission mode from PP/EVA9-20/5/Y samples containing 5 wt % organoclay compared to xylene. The various spectra are off-set for clarity.</w:t>
                      </w:r>
                    </w:p>
                  </w:txbxContent>
                </v:textbox>
                <w10:wrap type="topAndBottom" anchorx="margin" anchory="margin"/>
                <w10:anchorlock/>
              </v:shape>
            </w:pict>
          </mc:Fallback>
        </mc:AlternateContent>
      </w:r>
      <w:r w:rsidR="00B86B38" w:rsidRPr="002F5155">
        <w:t>Indeed, FT-IR data (see Figure 2) obtained from the PP/EVA9-20/5/Y sample set indicates the presence of absorption peaks associated with xylene in PP/EVA9-20/5/I, which are absent in PP/EVA9-20/5/D</w:t>
      </w:r>
      <w:r w:rsidR="00497188" w:rsidRPr="002F5155">
        <w:t xml:space="preserve">. In </w:t>
      </w:r>
      <w:r w:rsidR="00B86B38" w:rsidRPr="002F5155">
        <w:t>PP/EVA9-20/5/R</w:t>
      </w:r>
      <w:r w:rsidR="00497188" w:rsidRPr="002F5155">
        <w:t>, some very weak, broad absorption features remain, suggesting retention of traces of xylene</w:t>
      </w:r>
      <w:r w:rsidR="00B86B38" w:rsidRPr="002F5155">
        <w:t xml:space="preserve">. Since comparison of the FT-IR spectra obtained from these three systems revealed no other differences, we conclude that </w:t>
      </w:r>
      <w:r w:rsidR="00A17F15" w:rsidRPr="002F5155">
        <w:t xml:space="preserve">within the sensitivity limits of the technique, </w:t>
      </w:r>
      <w:r w:rsidR="00B86B38" w:rsidRPr="002F5155">
        <w:t>the process of xylene immersion did not affect the system in any way other than to introduce this species.</w:t>
      </w:r>
    </w:p>
    <w:p w14:paraId="26BDE787" w14:textId="7FEBEC5A" w:rsidR="00572D31" w:rsidRPr="002F5155" w:rsidRDefault="008F77A5" w:rsidP="004B569A">
      <w:pPr>
        <w:ind w:firstLine="202"/>
        <w:jc w:val="both"/>
      </w:pPr>
      <w:r w:rsidRPr="002F5155">
        <w:rPr>
          <w:noProof/>
          <w:lang w:val="en-GB" w:eastAsia="en-GB"/>
        </w:rPr>
        <mc:AlternateContent>
          <mc:Choice Requires="wps">
            <w:drawing>
              <wp:anchor distT="0" distB="0" distL="114300" distR="114300" simplePos="0" relativeHeight="251664384" behindDoc="1" locked="1" layoutInCell="1" allowOverlap="0" wp14:anchorId="69C07597" wp14:editId="4C48D38F">
                <wp:simplePos x="0" y="0"/>
                <wp:positionH relativeFrom="margin">
                  <wp:posOffset>3452495</wp:posOffset>
                </wp:positionH>
                <wp:positionV relativeFrom="margin">
                  <wp:posOffset>5133975</wp:posOffset>
                </wp:positionV>
                <wp:extent cx="3134995" cy="2790825"/>
                <wp:effectExtent l="0" t="0" r="8255" b="952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79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2CBDA" w14:textId="79F80899" w:rsidR="00810AAD" w:rsidRDefault="00F35096" w:rsidP="00810AAD">
                            <w:pPr>
                              <w:pStyle w:val="FootnoteText"/>
                              <w:ind w:firstLine="0"/>
                              <w:jc w:val="center"/>
                            </w:pPr>
                            <w:r>
                              <w:rPr>
                                <w:noProof/>
                                <w:lang w:val="en-GB" w:eastAsia="en-GB"/>
                              </w:rPr>
                              <w:drawing>
                                <wp:inline distT="0" distB="0" distL="0" distR="0" wp14:anchorId="3B6EC4DA" wp14:editId="3BEF429A">
                                  <wp:extent cx="3134995" cy="239903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p_xylene_paper_mass_chang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4995" cy="2399030"/>
                                          </a:xfrm>
                                          <a:prstGeom prst="rect">
                                            <a:avLst/>
                                          </a:prstGeom>
                                        </pic:spPr>
                                      </pic:pic>
                                    </a:graphicData>
                                  </a:graphic>
                                </wp:inline>
                              </w:drawing>
                            </w:r>
                          </w:p>
                          <w:p w14:paraId="69D34FCC" w14:textId="036D8222" w:rsidR="00810AAD" w:rsidRPr="002F5155" w:rsidRDefault="00810AAD" w:rsidP="00810AAD">
                            <w:pPr>
                              <w:pStyle w:val="FootnoteText"/>
                              <w:ind w:firstLine="0"/>
                              <w:jc w:val="center"/>
                              <w:rPr>
                                <w:b/>
                                <w:bCs/>
                              </w:rPr>
                            </w:pPr>
                            <w:r>
                              <w:rPr>
                                <w:rFonts w:ascii="Arial" w:hAnsi="Arial" w:cs="Arial"/>
                                <w:b/>
                                <w:bCs/>
                              </w:rPr>
                              <w:t xml:space="preserve">Figure </w:t>
                            </w:r>
                            <w:r w:rsidR="00E24354">
                              <w:rPr>
                                <w:rFonts w:ascii="Arial" w:hAnsi="Arial" w:cs="Arial"/>
                                <w:b/>
                                <w:bCs/>
                              </w:rPr>
                              <w:t>3</w:t>
                            </w:r>
                            <w:r>
                              <w:rPr>
                                <w:rFonts w:ascii="Arial" w:hAnsi="Arial" w:cs="Arial"/>
                                <w:b/>
                                <w:bCs/>
                              </w:rPr>
                              <w:t>.</w:t>
                            </w:r>
                            <w:r>
                              <w:rPr>
                                <w:b/>
                                <w:bCs/>
                              </w:rPr>
                              <w:t xml:space="preserve"> </w:t>
                            </w:r>
                            <w:r w:rsidRPr="00810AAD">
                              <w:t xml:space="preserve">Xylene uptake monitored through mass change, measured 30 min after being removed from the </w:t>
                            </w:r>
                            <w:r w:rsidRPr="002F5155">
                              <w:t>xylene bath.</w:t>
                            </w:r>
                            <w:r w:rsidR="00C96B87" w:rsidRPr="002F5155">
                              <w:t xml:space="preserve"> Data for PP/EVA9-20/2.5/Y fitted the same trends but has been omitted for clarity </w:t>
                            </w:r>
                            <w:r w:rsidR="0041056A" w:rsidRPr="002F5155">
                              <w:t>of</w:t>
                            </w:r>
                            <w:r w:rsidR="00C96B87" w:rsidRPr="002F5155">
                              <w:t xml:space="preserve"> the 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07597" id="_x0000_t202" coordsize="21600,21600" o:spt="202" path="m,l,21600r21600,l21600,xe">
                <v:stroke joinstyle="miter"/>
                <v:path gradientshapeok="t" o:connecttype="rect"/>
              </v:shapetype>
              <v:shape id="Text Box 7" o:spid="_x0000_s1031" type="#_x0000_t202" style="position:absolute;left:0;text-align:left;margin-left:271.85pt;margin-top:404.25pt;width:246.85pt;height:219.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" o:allowoverlap="f" stroked="f">
                <v:textbox inset="0,0,0,0">
                  <w:txbxContent>
                    <w:p w14:paraId="3982CBDA" w14:textId="79F80899" w:rsidR="00810AAD" w:rsidRDefault="00F35096" w:rsidP="00810AAD">
                      <w:pPr>
                        <w:pStyle w:val="FootnoteText"/>
                        <w:ind w:firstLine="0"/>
                        <w:jc w:val="center"/>
                      </w:pPr>
                      <w:r>
                        <w:rPr>
                          <w:noProof/>
                          <w:lang w:val="en-GB" w:eastAsia="en-GB"/>
                        </w:rPr>
                        <w:drawing>
                          <wp:inline distT="0" distB="0" distL="0" distR="0" wp14:anchorId="3B6EC4DA" wp14:editId="3BEF429A">
                            <wp:extent cx="3134995" cy="239903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p_xylene_paper_mass_chang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4995" cy="2399030"/>
                                    </a:xfrm>
                                    <a:prstGeom prst="rect">
                                      <a:avLst/>
                                    </a:prstGeom>
                                  </pic:spPr>
                                </pic:pic>
                              </a:graphicData>
                            </a:graphic>
                          </wp:inline>
                        </w:drawing>
                      </w:r>
                    </w:p>
                    <w:p w14:paraId="69D34FCC" w14:textId="036D8222" w:rsidR="00810AAD" w:rsidRPr="002F5155" w:rsidRDefault="00810AAD" w:rsidP="00810AAD">
                      <w:pPr>
                        <w:pStyle w:val="FootnoteText"/>
                        <w:ind w:firstLine="0"/>
                        <w:jc w:val="center"/>
                        <w:rPr>
                          <w:b/>
                          <w:bCs/>
                        </w:rPr>
                      </w:pPr>
                      <w:r>
                        <w:rPr>
                          <w:rFonts w:ascii="Arial" w:hAnsi="Arial" w:cs="Arial"/>
                          <w:b/>
                          <w:bCs/>
                        </w:rPr>
                        <w:t xml:space="preserve">Figure </w:t>
                      </w:r>
                      <w:r w:rsidR="00E24354">
                        <w:rPr>
                          <w:rFonts w:ascii="Arial" w:hAnsi="Arial" w:cs="Arial"/>
                          <w:b/>
                          <w:bCs/>
                        </w:rPr>
                        <w:t>3</w:t>
                      </w:r>
                      <w:r>
                        <w:rPr>
                          <w:rFonts w:ascii="Arial" w:hAnsi="Arial" w:cs="Arial"/>
                          <w:b/>
                          <w:bCs/>
                        </w:rPr>
                        <w:t>.</w:t>
                      </w:r>
                      <w:r>
                        <w:rPr>
                          <w:b/>
                          <w:bCs/>
                        </w:rPr>
                        <w:t xml:space="preserve"> </w:t>
                      </w:r>
                      <w:r w:rsidRPr="00810AAD">
                        <w:t xml:space="preserve">Xylene uptake monitored through mass change, measured 30 min after being removed from the </w:t>
                      </w:r>
                      <w:r w:rsidRPr="002F5155">
                        <w:t>xylene bath.</w:t>
                      </w:r>
                      <w:r w:rsidR="00C96B87" w:rsidRPr="002F5155">
                        <w:t xml:space="preserve"> Data for PP/EVA9-20/2.5/Y fitted the same trends but has been omitted for clarity </w:t>
                      </w:r>
                      <w:r w:rsidR="0041056A" w:rsidRPr="002F5155">
                        <w:t>of</w:t>
                      </w:r>
                      <w:r w:rsidR="00C96B87" w:rsidRPr="002F5155">
                        <w:t xml:space="preserve"> the graph.</w:t>
                      </w:r>
                    </w:p>
                  </w:txbxContent>
                </v:textbox>
                <w10:wrap type="topAndBottom" anchorx="margin" anchory="margin"/>
                <w10:anchorlock/>
              </v:shape>
            </w:pict>
          </mc:Fallback>
        </mc:AlternateContent>
      </w:r>
      <w:r w:rsidR="00810AAD" w:rsidRPr="002F5155">
        <w:t>Finally, Fig</w:t>
      </w:r>
      <w:r w:rsidR="00E24354" w:rsidRPr="002F5155">
        <w:t>ure</w:t>
      </w:r>
      <w:r w:rsidR="00810AAD" w:rsidRPr="002F5155">
        <w:t xml:space="preserve"> 3 shows the variation in sample mass </w:t>
      </w:r>
      <w:r w:rsidR="00A17F15" w:rsidRPr="002F5155">
        <w:t xml:space="preserve">during </w:t>
      </w:r>
      <w:r w:rsidR="00810AAD" w:rsidRPr="002F5155">
        <w:t>immersion in xylene</w:t>
      </w:r>
      <w:r w:rsidR="00A17F15" w:rsidRPr="002F5155">
        <w:t xml:space="preserve"> and during subsequent drying</w:t>
      </w:r>
      <w:r w:rsidR="00810AAD" w:rsidRPr="002F5155">
        <w:t xml:space="preserve">, which reveals a number of features of the xylene absorption process. First, in equilibrium, the mass of </w:t>
      </w:r>
      <w:r w:rsidR="009308FA" w:rsidRPr="002F5155">
        <w:t>the</w:t>
      </w:r>
      <w:r w:rsidR="00810AAD" w:rsidRPr="002F5155">
        <w:t xml:space="preserve"> samples can be seen to have increased by 5-7 %. Second, the initial data points acquired after just 4 h reveal a comparable mass increase to that seen after 7 d</w:t>
      </w:r>
      <w:r w:rsidR="00261A7B" w:rsidRPr="002F5155">
        <w:t>ays</w:t>
      </w:r>
      <w:r w:rsidR="00810AAD" w:rsidRPr="002F5155">
        <w:t>.</w:t>
      </w:r>
      <w:r w:rsidR="009308FA" w:rsidRPr="002F5155">
        <w:t xml:space="preserve"> </w:t>
      </w:r>
      <w:r w:rsidR="00F4175F" w:rsidRPr="002F5155">
        <w:t>Likewise, the majority of the xylene desorbed after 4 h of the re-drying process</w:t>
      </w:r>
      <w:r w:rsidR="00810AAD" w:rsidRPr="002F5155">
        <w:t xml:space="preserve"> As such, the key aspects of these data </w:t>
      </w:r>
      <w:r w:rsidR="00FD6EC6" w:rsidRPr="002F5155">
        <w:t>are</w:t>
      </w:r>
      <w:r w:rsidR="00810AAD" w:rsidRPr="002F5155">
        <w:t xml:space="preserve"> that xylene absorption </w:t>
      </w:r>
      <w:r w:rsidR="00DE41F8" w:rsidRPr="002F5155">
        <w:t xml:space="preserve">and desorption </w:t>
      </w:r>
      <w:r w:rsidR="00810AAD" w:rsidRPr="002F5155">
        <w:t xml:space="preserve">occurs rapidly and that the mass of the absorbed xylene is largely independent of the amount of organoclay present. While the former necessarily indicates that any associated measurement of sample mass will be subject to uncertainties derived from the process used to remove xylene from the sample surface prior to </w:t>
      </w:r>
      <w:r w:rsidR="00261A7B" w:rsidRPr="002F5155">
        <w:t>measurement of the sample mass,</w:t>
      </w:r>
      <w:r w:rsidR="00810AAD" w:rsidRPr="002F5155">
        <w:t xml:space="preserve"> the TGA and mass change measurements are</w:t>
      </w:r>
      <w:r w:rsidR="00261A7B" w:rsidRPr="002F5155">
        <w:t>,</w:t>
      </w:r>
      <w:r w:rsidR="00810AAD" w:rsidRPr="002F5155">
        <w:t xml:space="preserve"> </w:t>
      </w:r>
      <w:r w:rsidR="00261A7B" w:rsidRPr="002F5155">
        <w:t xml:space="preserve">nevertheless, </w:t>
      </w:r>
      <w:r w:rsidR="00810AAD" w:rsidRPr="002F5155">
        <w:t>still in broad quantitative agreement.</w:t>
      </w:r>
      <w:r w:rsidR="000D6562" w:rsidRPr="002F5155">
        <w:t xml:space="preserve"> </w:t>
      </w:r>
    </w:p>
    <w:p w14:paraId="1A4FD781" w14:textId="0DF59A1A" w:rsidR="00572D31" w:rsidRPr="002F5155" w:rsidRDefault="00572D31" w:rsidP="00572D31">
      <w:pPr>
        <w:pStyle w:val="Heading2"/>
        <w:numPr>
          <w:ilvl w:val="0"/>
          <w:numId w:val="0"/>
        </w:numPr>
        <w:jc w:val="center"/>
        <w:rPr>
          <w:rFonts w:ascii="Arial" w:hAnsi="Arial"/>
          <w:b/>
          <w:bCs/>
          <w:i w:val="0"/>
          <w:caps/>
        </w:rPr>
      </w:pPr>
      <w:r w:rsidRPr="002F5155">
        <w:rPr>
          <w:rFonts w:ascii="Arial" w:hAnsi="Arial"/>
          <w:b/>
          <w:bCs/>
          <w:i w:val="0"/>
          <w:caps/>
        </w:rPr>
        <w:t xml:space="preserve">3.2 </w:t>
      </w:r>
      <w:r w:rsidR="0031222B" w:rsidRPr="002F5155">
        <w:rPr>
          <w:rFonts w:ascii="Arial" w:hAnsi="Arial"/>
          <w:b/>
          <w:bCs/>
          <w:i w:val="0"/>
          <w:caps/>
        </w:rPr>
        <w:t>dielectric response</w:t>
      </w:r>
    </w:p>
    <w:p w14:paraId="7514E415" w14:textId="4BF1AFD4" w:rsidR="008C1678" w:rsidRPr="002F5155" w:rsidRDefault="00E24354" w:rsidP="00E24354">
      <w:pPr>
        <w:ind w:firstLine="202"/>
        <w:jc w:val="both"/>
      </w:pPr>
      <w:r w:rsidRPr="002F5155">
        <w:t>Figure 4 shows dielectric spectroscopy data acquired from PP/EVA9-20/0</w:t>
      </w:r>
      <w:r w:rsidR="00052BA5" w:rsidRPr="002F5155">
        <w:t>/Y</w:t>
      </w:r>
      <w:r w:rsidRPr="002F5155">
        <w:t xml:space="preserve"> after different immersion times in xylene. </w:t>
      </w:r>
      <w:r w:rsidR="0087728A" w:rsidRPr="002F5155">
        <w:t xml:space="preserve">Prior to immersion, </w:t>
      </w:r>
      <w:r w:rsidR="00052BA5" w:rsidRPr="002F5155">
        <w:t>PP/EVA9-20/0/D</w:t>
      </w:r>
      <w:r w:rsidR="00FB3A1A" w:rsidRPr="002F5155">
        <w:t xml:space="preserve"> </w:t>
      </w:r>
      <w:r w:rsidR="0087728A" w:rsidRPr="002F5155">
        <w:t xml:space="preserve">primarily contains </w:t>
      </w:r>
      <w:r w:rsidR="00FB3A1A" w:rsidRPr="002F5155">
        <w:t>propylene, ethylene and vinyl acetate units</w:t>
      </w:r>
      <w:r w:rsidR="0087728A" w:rsidRPr="002F5155">
        <w:t xml:space="preserve"> and, therefore,</w:t>
      </w:r>
      <w:r w:rsidR="00FB3A1A" w:rsidRPr="002F5155">
        <w:t xml:space="preserve"> it is possible to estimate the value of the real part of the relative permittivity, </w:t>
      </w:r>
      <w:r w:rsidR="00FB3A1A" w:rsidRPr="002F5155">
        <w:rPr>
          <w:i/>
        </w:rPr>
        <w:t>εˊ</w:t>
      </w:r>
      <w:r w:rsidR="00FB3A1A" w:rsidRPr="002F5155">
        <w:t xml:space="preserve">, using any one of a number of effective medium mixing theories. Using the Lichtenecker logarithmic mixing rule </w:t>
      </w:r>
      <w:r w:rsidR="00FB3A1A" w:rsidRPr="002F5155">
        <w:fldChar w:fldCharType="begin" w:fldLock="1"/>
      </w:r>
      <w:r w:rsidR="003E2FCD" w:rsidRPr="002F5155">
        <w:instrText>ADDIN CSL_CITATION {"citationItems":[{"id":"ITEM-1","itemData":{"DOI":"10.1007/s00542-017-3367-z","ISSN":"0946-7076","author":[{"dropping-particle":"","family":"Peng","given":"Guociang","non-dropping-particle":"","parse-names":false,"suffix":""},{"dropping-particle":"","family":"Wu","given":"Chia-Ching","non-dropping-particle":"","parse-names":false,"suffix":""},{"dropping-particle":"","family":"Diao","given":"Chien-Chen","non-dropping-particle":"","parse-names":false,"suffix":""},{"dropping-particle":"","family":"Yang","given":"Cheng-Fu","non-dropping-particle":"","parse-names":false,"suffix":""}],"container-title":"Microsystem Technologies","id":"ITEM-1","issued":{"date-parts":[["2018"]]},"page":"343-349","publisher":"Springer Berlin Heidelberg","title":"Investigation of the composites of epoxy and micro-scale BaTi4O9 ceramic powder as the substrate of microwave communication circuit","type":"article-journal","volume":"24"},"uris":["http://www.mendeley.com/documents/?uuid=6e6c5794-5dd6-4e66-9404-27e32fc2e9c9"]}],"mendeley":{"formattedCitation":"[16]","plainTextFormattedCitation":"[16]","previouslyFormattedCitation":"[16]"},"properties":{"noteIndex":0},"schema":"https://github.com/citation-style-language/schema/raw/master/csl-citation.json"}</w:instrText>
      </w:r>
      <w:r w:rsidR="00FB3A1A" w:rsidRPr="002F5155">
        <w:fldChar w:fldCharType="separate"/>
      </w:r>
      <w:r w:rsidR="005E747C" w:rsidRPr="002F5155">
        <w:rPr>
          <w:noProof/>
        </w:rPr>
        <w:t>[16]</w:t>
      </w:r>
      <w:r w:rsidR="00FB3A1A" w:rsidRPr="002F5155">
        <w:fldChar w:fldCharType="end"/>
      </w:r>
      <w:r w:rsidR="006B7DD2" w:rsidRPr="002F5155">
        <w:t>, for example,</w:t>
      </w:r>
      <w:r w:rsidR="00FB3A1A" w:rsidRPr="002F5155">
        <w:t xml:space="preserve"> results in a value of 2.4, </w:t>
      </w:r>
      <w:r w:rsidR="006E630A" w:rsidRPr="002F5155">
        <w:t xml:space="preserve">using </w:t>
      </w:r>
      <w:r w:rsidR="00A17F15" w:rsidRPr="002F5155">
        <w:t xml:space="preserve">permittivity </w:t>
      </w:r>
      <w:r w:rsidR="00FB3A1A" w:rsidRPr="002F5155">
        <w:t xml:space="preserve">values of 2.3 for iPP </w:t>
      </w:r>
      <w:r w:rsidR="00FB3A1A" w:rsidRPr="002F5155">
        <w:fldChar w:fldCharType="begin" w:fldLock="1"/>
      </w:r>
      <w:r w:rsidR="003E2FCD" w:rsidRPr="002F5155">
        <w:instrText>ADDIN CSL_CITATION {"citationItems":[{"id":"ITEM-1","itemData":{"author":[{"dropping-particle":"","family":"Lide","given":"D. R.","non-dropping-particle":"","parse-names":false,"suffix":""}],"id":"ITEM-1","issued":{"date-parts":[["2005"]]},"publisher":"CRC Press","publisher-place":"Boca Raton, FL","title":"\"Dielectric Constant of Selected Polymers\", in CRC Handbook of Chemistry and Physics, Internet Version 2005","type":"book"},"uris":["http://www.mendeley.com/documents/?uuid=6af7d1a3-517f-4702-afe7-a8bb0dc7baee"]}],"mendeley":{"formattedCitation":"[17]","plainTextFormattedCitation":"[17]","previouslyFormattedCitation":"[17]"},"properties":{"noteIndex":0},"schema":"https://github.com/citation-style-language/schema/raw/master/csl-citation.json"}</w:instrText>
      </w:r>
      <w:r w:rsidR="00FB3A1A" w:rsidRPr="002F5155">
        <w:fldChar w:fldCharType="separate"/>
      </w:r>
      <w:r w:rsidR="005E747C" w:rsidRPr="002F5155">
        <w:rPr>
          <w:noProof/>
        </w:rPr>
        <w:t>[17]</w:t>
      </w:r>
      <w:r w:rsidR="00FB3A1A" w:rsidRPr="002F5155">
        <w:fldChar w:fldCharType="end"/>
      </w:r>
      <w:r w:rsidR="00FB3A1A" w:rsidRPr="002F5155">
        <w:t xml:space="preserve"> and 2.7 for </w:t>
      </w:r>
      <w:r w:rsidR="006E630A" w:rsidRPr="002F5155">
        <w:t xml:space="preserve">an </w:t>
      </w:r>
      <w:r w:rsidR="00FB3A1A" w:rsidRPr="002F5155">
        <w:t xml:space="preserve">EVA </w:t>
      </w:r>
      <w:r w:rsidR="006E630A" w:rsidRPr="002F5155">
        <w:t xml:space="preserve">copolymer </w:t>
      </w:r>
      <w:r w:rsidR="00FB3A1A" w:rsidRPr="002F5155">
        <w:t xml:space="preserve">containing 12 % </w:t>
      </w:r>
      <w:r w:rsidR="00A17F15" w:rsidRPr="002F5155">
        <w:t xml:space="preserve">of </w:t>
      </w:r>
      <w:r w:rsidR="00FB3A1A" w:rsidRPr="002F5155">
        <w:t xml:space="preserve">VA </w:t>
      </w:r>
      <w:r w:rsidR="00FB3A1A" w:rsidRPr="002F5155">
        <w:fldChar w:fldCharType="begin" w:fldLock="1"/>
      </w:r>
      <w:r w:rsidR="003E2FCD" w:rsidRPr="002F5155">
        <w:instrText>ADDIN CSL_CITATION {"citationItems":[{"id":"ITEM-1","itemData":{"URL":"https://www.azom.com/article.aspx?ArticleID=410","accessed":{"date-parts":[["2018","4","16"]]},"author":[{"dropping-particle":"","family":"AZoM","given":"","non-dropping-particle":"","parse-names":false,"suffix":""}],"id":"ITEM-1","issued":{"date-parts":[["2001"]]},"title":"AZo Materials","type":"webpage"},"uris":["http://www.mendeley.com/documents/?uuid=1484b5d0-c953-4d0e-b201-42d1de5b6454"]}],"mendeley":{"formattedCitation":"[18]","plainTextFormattedCitation":"[18]","previouslyFormattedCitation":"[18]"},"properties":{"noteIndex":0},"schema":"https://github.com/citation-style-language/schema/raw/master/csl-citation.json"}</w:instrText>
      </w:r>
      <w:r w:rsidR="00FB3A1A" w:rsidRPr="002F5155">
        <w:fldChar w:fldCharType="separate"/>
      </w:r>
      <w:r w:rsidR="005E747C" w:rsidRPr="002F5155">
        <w:rPr>
          <w:noProof/>
        </w:rPr>
        <w:t>[18]</w:t>
      </w:r>
      <w:r w:rsidR="00FB3A1A" w:rsidRPr="002F5155">
        <w:fldChar w:fldCharType="end"/>
      </w:r>
      <w:r w:rsidR="00FB3A1A" w:rsidRPr="002F5155">
        <w:t xml:space="preserve">. Evidently, the precise permittivity </w:t>
      </w:r>
      <w:r w:rsidR="008C1678" w:rsidRPr="002F5155">
        <w:t>of PP/EVA9-20/0/D</w:t>
      </w:r>
      <w:r w:rsidR="00FB3A1A" w:rsidRPr="002F5155">
        <w:t xml:space="preserve"> shown in Figure 4a fall</w:t>
      </w:r>
      <w:r w:rsidR="008C1678" w:rsidRPr="002F5155">
        <w:t>s</w:t>
      </w:r>
      <w:r w:rsidR="00FB3A1A" w:rsidRPr="002F5155">
        <w:t xml:space="preserve"> somewhat below this value, which is a consequence of uncertainties/variations in the sample thickness and the impact this has on deriving a permittivity value from the measured capacitance. </w:t>
      </w:r>
      <w:r w:rsidR="0087728A" w:rsidRPr="002F5155">
        <w:t xml:space="preserve">Exposure to xylene appears to have no significant effect on </w:t>
      </w:r>
      <w:r w:rsidR="0087728A" w:rsidRPr="002F5155">
        <w:rPr>
          <w:i/>
        </w:rPr>
        <w:t>εˊ</w:t>
      </w:r>
      <w:r w:rsidR="0087728A" w:rsidRPr="002F5155">
        <w:t xml:space="preserve">. Indeed, </w:t>
      </w:r>
      <w:r w:rsidRPr="002F5155">
        <w:t xml:space="preserve">para-xylene </w:t>
      </w:r>
      <w:r w:rsidR="0087728A" w:rsidRPr="002F5155">
        <w:t xml:space="preserve">is reported to exhibit </w:t>
      </w:r>
      <w:r w:rsidRPr="002F5155">
        <w:t xml:space="preserve">a real relative permittivity value of 2.26 at 1 kHz </w:t>
      </w:r>
      <w:r w:rsidRPr="002F5155">
        <w:fldChar w:fldCharType="begin" w:fldLock="1"/>
      </w:r>
      <w:r w:rsidR="003E2FCD" w:rsidRPr="002F5155">
        <w:instrText>ADDIN CSL_CITATION {"citationItems":[{"id":"ITEM-1","itemData":{"DOI":"10.1021/je60050a035","ISSN":"15205134","author":[{"dropping-particle":"","family":"Perez","given":"Patricia","non-dropping-particle":"","parse-names":false,"suffix":""},{"dropping-particle":"","family":"Block","given":"Thomas E.","non-dropping-particle":"","parse-names":false,"suffix":""},{"dropping-particle":"","family":"Knobler","given":"Charles M.","non-dropping-particle":"","parse-names":false,"suffix":""}],"container-title":"Journal of Chemical and Engineering Data","id":"ITEM-1","issue":"3","issued":{"date-parts":[["1971"]]},"page":"333-335","title":"Refractive Index and Dielectric Constant of Mixtures of Carbon Tetrachloride with Benzene, p-Xylene, and Mesitylene","type":"article-journal","volume":"16"},"uris":["http://www.mendeley.com/documents/?uuid=4babaac1-d58e-44e2-ace3-28f05fc909bd"]}],"mendeley":{"formattedCitation":"[19]","plainTextFormattedCitation":"[19]","previouslyFormattedCitation":"[19]"},"properties":{"noteIndex":0},"schema":"https://github.com/citation-style-language/schema/raw/master/csl-citation.json"}</w:instrText>
      </w:r>
      <w:r w:rsidRPr="002F5155">
        <w:fldChar w:fldCharType="separate"/>
      </w:r>
      <w:r w:rsidR="005E747C" w:rsidRPr="002F5155">
        <w:rPr>
          <w:noProof/>
        </w:rPr>
        <w:t>[19]</w:t>
      </w:r>
      <w:r w:rsidRPr="002F5155">
        <w:fldChar w:fldCharType="end"/>
      </w:r>
      <w:r w:rsidR="0087728A" w:rsidRPr="002F5155">
        <w:t xml:space="preserve"> and, as such, </w:t>
      </w:r>
      <w:r w:rsidRPr="002F5155">
        <w:t xml:space="preserve">the inclusion of a small quantity of </w:t>
      </w:r>
      <w:r w:rsidR="006E630A" w:rsidRPr="002F5155">
        <w:t xml:space="preserve">such a </w:t>
      </w:r>
      <w:r w:rsidRPr="002F5155">
        <w:t xml:space="preserve">solvent would not be expected dramatically </w:t>
      </w:r>
      <w:r w:rsidR="00780EAB" w:rsidRPr="002F5155">
        <w:t xml:space="preserve">to </w:t>
      </w:r>
      <w:r w:rsidRPr="002F5155">
        <w:t>affect</w:t>
      </w:r>
      <w:r w:rsidR="00A17F15" w:rsidRPr="002F5155">
        <w:t xml:space="preserve"> the measured value of</w:t>
      </w:r>
      <w:r w:rsidRPr="002F5155">
        <w:t xml:space="preserve"> </w:t>
      </w:r>
      <w:r w:rsidRPr="002F5155">
        <w:rPr>
          <w:i/>
        </w:rPr>
        <w:t>εˊ</w:t>
      </w:r>
      <w:r w:rsidR="00415647" w:rsidRPr="002F5155">
        <w:t xml:space="preserve"> for the polymer system considered here.</w:t>
      </w:r>
      <w:r w:rsidRPr="002F5155">
        <w:t xml:space="preserve"> </w:t>
      </w:r>
    </w:p>
    <w:p w14:paraId="32D6A904" w14:textId="3EB08CA4" w:rsidR="008C1678" w:rsidRPr="002F5155" w:rsidRDefault="008C1678" w:rsidP="00E24354">
      <w:pPr>
        <w:ind w:firstLine="202"/>
        <w:jc w:val="both"/>
      </w:pPr>
      <w:r w:rsidRPr="002F5155">
        <w:t>All the imaginary permittivity data shown in Figure 4b fall close to the sensitivity limit of our spectrometer</w:t>
      </w:r>
      <w:r w:rsidR="0064342B" w:rsidRPr="002F5155">
        <w:t>,</w:t>
      </w:r>
      <w:r w:rsidRPr="002F5155">
        <w:t xml:space="preserve"> </w:t>
      </w:r>
      <w:r w:rsidR="0064342B" w:rsidRPr="002F5155">
        <w:t xml:space="preserve">which, is unsurprising for a system </w:t>
      </w:r>
      <w:r w:rsidR="00A17F15" w:rsidRPr="002F5155">
        <w:t xml:space="preserve">that </w:t>
      </w:r>
      <w:r w:rsidR="0064342B" w:rsidRPr="002F5155">
        <w:t xml:space="preserve">is largely composed of </w:t>
      </w:r>
      <w:r w:rsidR="00A142AB" w:rsidRPr="002F5155">
        <w:t xml:space="preserve">non-polar </w:t>
      </w:r>
      <w:r w:rsidR="0064342B" w:rsidRPr="002F5155">
        <w:t xml:space="preserve">propylene and ethylene units. However the increase in the imaginary permittivity, </w:t>
      </w:r>
      <w:r w:rsidR="0064342B" w:rsidRPr="002F5155">
        <w:rPr>
          <w:i/>
        </w:rPr>
        <w:t>ε̋</w:t>
      </w:r>
      <w:r w:rsidR="0064342B" w:rsidRPr="002F5155">
        <w:t xml:space="preserve">, </w:t>
      </w:r>
      <w:r w:rsidR="00A17F15" w:rsidRPr="002F5155">
        <w:t xml:space="preserve">seen </w:t>
      </w:r>
      <w:r w:rsidR="0064342B" w:rsidRPr="002F5155">
        <w:t>at higher frequencies can be related to the presence of polar carbonyl groups in the EVA</w:t>
      </w:r>
      <w:r w:rsidR="00A17F15" w:rsidRPr="002F5155">
        <w:t>,</w:t>
      </w:r>
      <w:r w:rsidR="0064342B" w:rsidRPr="002F5155">
        <w:t xml:space="preserve"> as </w:t>
      </w:r>
      <w:r w:rsidR="006E630A" w:rsidRPr="002F5155">
        <w:t>reported</w:t>
      </w:r>
      <w:r w:rsidR="0064342B" w:rsidRPr="002F5155">
        <w:t xml:space="preserve"> by Mujal-Rosas </w:t>
      </w:r>
      <w:r w:rsidR="0064342B" w:rsidRPr="002F5155">
        <w:rPr>
          <w:i/>
        </w:rPr>
        <w:t>et al.</w:t>
      </w:r>
      <w:r w:rsidR="0064342B" w:rsidRPr="002F5155">
        <w:t xml:space="preserve"> </w:t>
      </w:r>
      <w:r w:rsidR="0064342B" w:rsidRPr="002F5155">
        <w:fldChar w:fldCharType="begin" w:fldLock="1"/>
      </w:r>
      <w:r w:rsidR="003E2FCD" w:rsidRPr="002F5155">
        <w:instrText>ADDIN CSL_CITATION {"citationItems":[{"id":"ITEM-1","itemData":{"DOI":"10.1177/0731684411399135","ISSN":"07316844","abstract":"Mass production of tires, as well as the difficult storage or elimination is a real environmental problem. Various methods for recycling tires are currently used, such as mechanical grinding, which puts vulcanized rubber, steel, and fibers apart. The rubber may be used in several industrial applications such as flooring, insulations, footwear, etc. The aim of this article focuses on finding a new application for the old used tires (GTR). Tire dust and recycled EVA thermoplastic have been mixed, and we have checked the maximum accepted values of GTR concentration that can be admitted while keeping dielectric, mechanical, and thermal properties within acceptable values, as well as initial polymer microstructure. This would allow including GTR in industrial applications of recycled EVA. The recycled tire dust which result from the industrial milling processes has been divided by sieve in three different categories according to the size of the particles (&lt;200, 200-500, and &gt;\" xbd=\"654\" xhg=\"622\" ybd=\"1596\" yhg=\"1560\"/&gt;500 μm). This has then been mixed with EVA in different GTR concentrations (0%, 5%, 10%, 20%, 40%, and 70%) in order to establish its conduct through electrical, mechanical, thermal, and microstructure tests, which will be held in a range of temperatures between 30°C and 120°C, and with a range of frequency between 1 × 10-2 and 3 × 106 Hz. © 2011 The Author(s).","author":[{"dropping-particle":"","family":"Mujal-Rosas","given":"R.","non-dropping-particle":"","parse-names":false,"suffix":""},{"dropping-particle":"","family":"Orrit-Prat","given":"J.","non-dropping-particle":"","parse-names":false,"suffix":""},{"dropping-particle":"","family":"Ramis-Juan","given":"X.","non-dropping-particle":"","parse-names":false,"suffix":""},{"dropping-particle":"","family":"Marin-Genesca","given":"M.","non-dropping-particle":"","parse-names":false,"suffix":""},{"dropping-particle":"","family":"Rahhali","given":"Ahmed","non-dropping-particle":"","parse-names":false,"suffix":""}],"container-title":"Journal of Reinforced Plastics and Composites","id":"ITEM-1","issue":"7","issued":{"date-parts":[["2011"]]},"page":"581-592","title":"Study on dielectric, thermal, and mechanical properties of the ethylene vinyl acetate reinforced with ground tire rubber","type":"article-journal","volume":"30"},"uris":["http://www.mendeley.com/documents/?uuid=76944c07-bd2e-4ed6-baf0-2d3d5a2cd6cb"]}],"mendeley":{"formattedCitation":"[20]","plainTextFormattedCitation":"[20]","previouslyFormattedCitation":"[20]"},"properties":{"noteIndex":0},"schema":"https://github.com/citation-style-language/schema/raw/master/csl-citation.json"}</w:instrText>
      </w:r>
      <w:r w:rsidR="0064342B" w:rsidRPr="002F5155">
        <w:fldChar w:fldCharType="separate"/>
      </w:r>
      <w:r w:rsidR="005E747C" w:rsidRPr="002F5155">
        <w:rPr>
          <w:noProof/>
        </w:rPr>
        <w:t>[20]</w:t>
      </w:r>
      <w:r w:rsidR="0064342B" w:rsidRPr="002F5155">
        <w:fldChar w:fldCharType="end"/>
      </w:r>
      <w:r w:rsidR="0064342B" w:rsidRPr="002F5155">
        <w:t xml:space="preserve">. </w:t>
      </w:r>
      <w:r w:rsidR="006E630A" w:rsidRPr="002F5155">
        <w:t xml:space="preserve">As for the influence of absorbed xylene, </w:t>
      </w:r>
      <w:r w:rsidR="00E24354" w:rsidRPr="002F5155">
        <w:t>dielectric relaxation studies of systems containing chemically similar solvents have been undertaken</w:t>
      </w:r>
      <w:r w:rsidR="006E630A" w:rsidRPr="002F5155">
        <w:t xml:space="preserve"> and,</w:t>
      </w:r>
      <w:r w:rsidR="00E24354" w:rsidRPr="002F5155">
        <w:t xml:space="preserve"> in the case of solutions of polystyrene in toluene, a weak </w:t>
      </w:r>
      <w:r w:rsidR="00E24354" w:rsidRPr="002F5155">
        <w:sym w:font="Symbol" w:char="F062"/>
      </w:r>
      <w:r w:rsidR="00E24354" w:rsidRPr="002F5155">
        <w:t xml:space="preserve"> relaxation </w:t>
      </w:r>
      <w:r w:rsidR="006E630A" w:rsidRPr="002F5155">
        <w:t>has been</w:t>
      </w:r>
      <w:r w:rsidR="00E24354" w:rsidRPr="002F5155">
        <w:t xml:space="preserve"> reported and attributed to rotation of toluene molecules </w:t>
      </w:r>
      <w:r w:rsidR="00E24354" w:rsidRPr="002F5155">
        <w:fldChar w:fldCharType="begin" w:fldLock="1"/>
      </w:r>
      <w:r w:rsidR="003E2FCD" w:rsidRPr="002F5155">
        <w:instrText>ADDIN CSL_CITATION {"citationItems":[{"id":"ITEM-1","itemData":{"DOI":"10.1021/ma048788j","ISSN":"00249297","abstract":"In an effort to clarify the effect of dynamical heterogeneity on the glass transition in binary systems, we measured the heat capacity Cp on concentrated toluene solutions of polystyrene (PS) using an adiabatic calorimeter. We also carried out dielectric measurements on the same system. Results indicate that the Cp vs temperature T curve of the solvent toluene/xylene(90/10) exhibits a sharp stepwise increase of Cp at the glass transition temperature Tg (= 115 K). In contrast, the C p curves of PS/toluene solutions exhibit a double-sigmoidal shape. The configurational heat capacity ΔCP around Tg has been determined by subtracting the heat capacity due to the lattice vibrations and intramolecular vibrations. We have further resolved ΔCp into two sigmoidal curves using an empirical function. The Tgs corresponding to the two sigmoids are denoted as Tg1 and T g2 (Tg1 &gt; Tg2). Two dielectric loss peaks termed α and β are assigned to segmental motions of PS and rotation of the toluene molecules, respectively. The dielectric glass transition temperatures Tα and Tβ are defined as the temperatures at which the dielectric relaxation times for the α and β processes become 103 s, respectively. Tα and T β agree well with the calorimetric Tg1 and T g2 respectively.","author":[{"dropping-particle":"","family":"Taniguchi","given":"Nobuyuki","non-dropping-particle":"","parse-names":false,"suffix":""},{"dropping-particle":"","family":"Urakawa","given":"Osamu","non-dropping-particle":"","parse-names":false,"suffix":""},{"dropping-particle":"","family":"Adachi","given":"Keiichiro","non-dropping-particle":"","parse-names":false,"suffix":""}],"container-title":"Macromolecules","id":"ITEM-1","issue":"20","issued":{"date-parts":[["2004"]]},"page":"7832-7838","title":"Calorimetric study of dynamical heterogeneity in toluene solutions of polystyrene","type":"article-journal","volume":"37"},"uris":["http://www.mendeley.com/documents/?uuid=108f6779-c51c-42c1-95e5-21db3074e1d0"]}],"mendeley":{"formattedCitation":"[21]","plainTextFormattedCitation":"[21]","previouslyFormattedCitation":"[21]"},"properties":{"noteIndex":0},"schema":"https://github.com/citation-style-language/schema/raw/master/csl-citation.json"}</w:instrText>
      </w:r>
      <w:r w:rsidR="00E24354" w:rsidRPr="002F5155">
        <w:fldChar w:fldCharType="separate"/>
      </w:r>
      <w:r w:rsidR="005E747C" w:rsidRPr="002F5155">
        <w:rPr>
          <w:noProof/>
        </w:rPr>
        <w:t>[21]</w:t>
      </w:r>
      <w:r w:rsidR="00E24354" w:rsidRPr="002F5155">
        <w:fldChar w:fldCharType="end"/>
      </w:r>
      <w:r w:rsidR="006E630A" w:rsidRPr="002F5155">
        <w:t>.</w:t>
      </w:r>
      <w:r w:rsidR="00E24354" w:rsidRPr="002F5155">
        <w:t xml:space="preserve"> </w:t>
      </w:r>
      <w:r w:rsidR="0064342B" w:rsidRPr="002F5155">
        <w:t xml:space="preserve">To conclude, </w:t>
      </w:r>
      <w:r w:rsidRPr="002F5155">
        <w:t xml:space="preserve">the data </w:t>
      </w:r>
      <w:r w:rsidR="0064342B" w:rsidRPr="002F5155">
        <w:t xml:space="preserve">shown in Figure 4 </w:t>
      </w:r>
      <w:r w:rsidR="006B7DD2" w:rsidRPr="002F5155">
        <w:t xml:space="preserve">indicate </w:t>
      </w:r>
      <w:r w:rsidRPr="002F5155">
        <w:t xml:space="preserve">that neither </w:t>
      </w:r>
      <w:r w:rsidR="0064342B" w:rsidRPr="002F5155">
        <w:t xml:space="preserve">the real nor the imaginary part of the permittivity is significantly </w:t>
      </w:r>
      <w:r w:rsidRPr="002F5155">
        <w:t xml:space="preserve">affected by </w:t>
      </w:r>
      <w:r w:rsidR="0064342B" w:rsidRPr="002F5155">
        <w:t xml:space="preserve">the presence of </w:t>
      </w:r>
      <w:r w:rsidRPr="002F5155">
        <w:t>xylene</w:t>
      </w:r>
      <w:r w:rsidR="006B7DD2" w:rsidRPr="002F5155">
        <w:t>, a result that is entirely in line with published work</w:t>
      </w:r>
      <w:r w:rsidRPr="002F5155">
        <w:t>.</w:t>
      </w:r>
    </w:p>
    <w:p w14:paraId="4DCD0419" w14:textId="6F26C610" w:rsidR="00E24354" w:rsidRPr="002F5155" w:rsidRDefault="00E24354" w:rsidP="00F47140">
      <w:pPr>
        <w:ind w:firstLine="202"/>
        <w:jc w:val="both"/>
      </w:pPr>
      <w:r w:rsidRPr="002F5155">
        <w:t>Fig</w:t>
      </w:r>
      <w:r w:rsidR="00F47140" w:rsidRPr="002F5155">
        <w:t>ure</w:t>
      </w:r>
      <w:r w:rsidRPr="002F5155">
        <w:t xml:space="preserve"> 5 shows dielectric data obtained from the two systems containing the organoclay. First, consider the data obtained prior to exposure to xylene, from which it is evident that the addition of the organoclay has little effect on the measured absolute value of </w:t>
      </w:r>
      <w:r w:rsidRPr="002F5155">
        <w:rPr>
          <w:i/>
        </w:rPr>
        <w:t>εˊ</w:t>
      </w:r>
      <w:r w:rsidRPr="002F5155">
        <w:t xml:space="preserve">, with high frequency values falling in the range 2.0 to 2.2. At low frequencies, a small increase in </w:t>
      </w:r>
      <w:r w:rsidRPr="002F5155">
        <w:rPr>
          <w:i/>
        </w:rPr>
        <w:t>εˊ</w:t>
      </w:r>
      <w:r w:rsidRPr="002F5155">
        <w:t xml:space="preserve"> is evident for both PP/EVA9-20/2.5/D and PP/EVA9-20/5/D; this is accompanied by an increase in </w:t>
      </w:r>
      <w:r w:rsidRPr="002F5155">
        <w:rPr>
          <w:i/>
        </w:rPr>
        <w:t>ε̋</w:t>
      </w:r>
      <w:r w:rsidRPr="002F5155">
        <w:t xml:space="preserve"> and may be associated with Maxwell</w:t>
      </w:r>
      <w:r w:rsidR="00D440F0" w:rsidRPr="002F5155">
        <w:t>-</w:t>
      </w:r>
      <w:r w:rsidRPr="002F5155">
        <w:t>Wagner polari</w:t>
      </w:r>
      <w:r w:rsidR="00AB77C9" w:rsidRPr="002F5155">
        <w:t>z</w:t>
      </w:r>
      <w:r w:rsidRPr="002F5155">
        <w:t>ation processes that result from the presence of the polymer/organoclay interfaces</w:t>
      </w:r>
      <w:r w:rsidR="0064509B" w:rsidRPr="002F5155">
        <w:t xml:space="preserve"> </w:t>
      </w:r>
      <w:r w:rsidR="00780EAB" w:rsidRPr="002F5155">
        <w:t>and/</w:t>
      </w:r>
      <w:r w:rsidR="0064509B" w:rsidRPr="002F5155">
        <w:t>or enhanced charge transport, possibly, due to ionic species present within the clay</w:t>
      </w:r>
      <w:r w:rsidRPr="002F5155">
        <w:t xml:space="preserve">. Nevertheless, it is evident that, like xylene, addition of the organoclay does not, in itself, markedly affect the dielectric response of the system. </w:t>
      </w:r>
    </w:p>
    <w:p w14:paraId="6270C260" w14:textId="53384A45" w:rsidR="00A142AB" w:rsidRPr="002F5155" w:rsidRDefault="008F77A5" w:rsidP="00163079">
      <w:pPr>
        <w:ind w:firstLine="202"/>
        <w:jc w:val="both"/>
      </w:pPr>
      <w:r w:rsidRPr="002F5155">
        <w:rPr>
          <w:noProof/>
          <w:lang w:val="en-GB" w:eastAsia="en-GB"/>
        </w:rPr>
        <mc:AlternateContent>
          <mc:Choice Requires="wps">
            <w:drawing>
              <wp:anchor distT="0" distB="0" distL="114300" distR="114300" simplePos="0" relativeHeight="251672576" behindDoc="1" locked="1" layoutInCell="1" allowOverlap="0" wp14:anchorId="267E3F63" wp14:editId="5A6E1714">
                <wp:simplePos x="0" y="0"/>
                <wp:positionH relativeFrom="margin">
                  <wp:posOffset>3810</wp:posOffset>
                </wp:positionH>
                <wp:positionV relativeFrom="margin">
                  <wp:posOffset>-81555</wp:posOffset>
                </wp:positionV>
                <wp:extent cx="3092400" cy="5072400"/>
                <wp:effectExtent l="0" t="0" r="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00" cy="50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EDD4D" w14:textId="4021FEAE" w:rsidR="003C004F" w:rsidRDefault="000070AB" w:rsidP="004B569A">
                            <w:pPr>
                              <w:pStyle w:val="FootnoteText"/>
                              <w:ind w:firstLine="0"/>
                              <w:jc w:val="center"/>
                              <w:rPr>
                                <w:rFonts w:ascii="Arial" w:hAnsi="Arial" w:cs="Arial"/>
                                <w:b/>
                                <w:bCs/>
                              </w:rPr>
                            </w:pPr>
                            <w:r>
                              <w:rPr>
                                <w:rFonts w:ascii="Arial" w:hAnsi="Arial" w:cs="Arial"/>
                                <w:b/>
                                <w:bCs/>
                                <w:noProof/>
                                <w:lang w:val="en-GB" w:eastAsia="en-GB"/>
                              </w:rPr>
                              <w:drawing>
                                <wp:inline distT="0" distB="0" distL="0" distR="0" wp14:anchorId="29289190" wp14:editId="75E64C56">
                                  <wp:extent cx="3091815" cy="2366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_slnb_re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1815" cy="2366010"/>
                                          </a:xfrm>
                                          <a:prstGeom prst="rect">
                                            <a:avLst/>
                                          </a:prstGeom>
                                        </pic:spPr>
                                      </pic:pic>
                                    </a:graphicData>
                                  </a:graphic>
                                </wp:inline>
                              </w:drawing>
                            </w:r>
                            <w:r w:rsidR="000A651C">
                              <w:rPr>
                                <w:rFonts w:ascii="Arial" w:hAnsi="Arial" w:cs="Arial"/>
                                <w:b/>
                                <w:bCs/>
                                <w:noProof/>
                                <w:lang w:val="en-GB" w:eastAsia="en-GB"/>
                              </w:rPr>
                              <w:drawing>
                                <wp:inline distT="0" distB="0" distL="0" distR="0" wp14:anchorId="73343479" wp14:editId="3AD29D37">
                                  <wp:extent cx="3091815" cy="2366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0_imag_perm_xylene_test_loglo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1815" cy="2366010"/>
                                          </a:xfrm>
                                          <a:prstGeom prst="rect">
                                            <a:avLst/>
                                          </a:prstGeom>
                                        </pic:spPr>
                                      </pic:pic>
                                    </a:graphicData>
                                  </a:graphic>
                                </wp:inline>
                              </w:drawing>
                            </w:r>
                          </w:p>
                          <w:p w14:paraId="053E447D" w14:textId="24FF7BC4" w:rsidR="004B569A" w:rsidRDefault="004B569A" w:rsidP="004B569A">
                            <w:pPr>
                              <w:pStyle w:val="FootnoteText"/>
                              <w:ind w:firstLine="0"/>
                              <w:jc w:val="center"/>
                              <w:rPr>
                                <w:b/>
                                <w:bCs/>
                              </w:rPr>
                            </w:pPr>
                            <w:r>
                              <w:rPr>
                                <w:rFonts w:ascii="Arial" w:hAnsi="Arial" w:cs="Arial"/>
                                <w:b/>
                                <w:bCs/>
                              </w:rPr>
                              <w:t>Figure 4.</w:t>
                            </w:r>
                            <w:r>
                              <w:rPr>
                                <w:b/>
                                <w:bCs/>
                              </w:rPr>
                              <w:t xml:space="preserve"> </w:t>
                            </w:r>
                            <w:r w:rsidRPr="00F47140">
                              <w:t>The (a) real and (b) imaginary parts of the relative permittivity of PP/EVA9-20/0</w:t>
                            </w:r>
                            <w:r w:rsidR="0064342B">
                              <w:t>/D</w:t>
                            </w:r>
                            <w:r w:rsidRPr="00F47140">
                              <w:t xml:space="preserve"> after different time intervals of immersion in xylene.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3F63" id="Text Box 15" o:spid="_x0000_s1032" type="#_x0000_t202" style="position:absolute;left:0;text-align:left;margin-left:.3pt;margin-top:-6.4pt;width:243.5pt;height:399.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" o:allowoverlap="f" stroked="f">
                <v:textbox inset="0,0,0,0">
                  <w:txbxContent>
                    <w:p w14:paraId="538EDD4D" w14:textId="4021FEAE" w:rsidR="003C004F" w:rsidRDefault="000070AB" w:rsidP="004B569A">
                      <w:pPr>
                        <w:pStyle w:val="FootnoteText"/>
                        <w:ind w:firstLine="0"/>
                        <w:jc w:val="center"/>
                        <w:rPr>
                          <w:rFonts w:ascii="Arial" w:hAnsi="Arial" w:cs="Arial"/>
                          <w:b/>
                          <w:bCs/>
                        </w:rPr>
                      </w:pPr>
                      <w:r>
                        <w:rPr>
                          <w:rFonts w:ascii="Arial" w:hAnsi="Arial" w:cs="Arial"/>
                          <w:b/>
                          <w:bCs/>
                          <w:noProof/>
                          <w:lang w:val="en-GB" w:eastAsia="en-GB"/>
                        </w:rPr>
                        <w:drawing>
                          <wp:inline distT="0" distB="0" distL="0" distR="0" wp14:anchorId="29289190" wp14:editId="75E64C56">
                            <wp:extent cx="3091815" cy="2366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_slnb_re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1815" cy="2366010"/>
                                    </a:xfrm>
                                    <a:prstGeom prst="rect">
                                      <a:avLst/>
                                    </a:prstGeom>
                                  </pic:spPr>
                                </pic:pic>
                              </a:graphicData>
                            </a:graphic>
                          </wp:inline>
                        </w:drawing>
                      </w:r>
                      <w:r w:rsidR="000A651C">
                        <w:rPr>
                          <w:rFonts w:ascii="Arial" w:hAnsi="Arial" w:cs="Arial"/>
                          <w:b/>
                          <w:bCs/>
                          <w:noProof/>
                          <w:lang w:val="en-GB" w:eastAsia="en-GB"/>
                        </w:rPr>
                        <w:drawing>
                          <wp:inline distT="0" distB="0" distL="0" distR="0" wp14:anchorId="73343479" wp14:editId="3AD29D37">
                            <wp:extent cx="3091815" cy="2366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0_imag_perm_xylene_test_loglo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1815" cy="2366010"/>
                                    </a:xfrm>
                                    <a:prstGeom prst="rect">
                                      <a:avLst/>
                                    </a:prstGeom>
                                  </pic:spPr>
                                </pic:pic>
                              </a:graphicData>
                            </a:graphic>
                          </wp:inline>
                        </w:drawing>
                      </w:r>
                    </w:p>
                    <w:p w14:paraId="053E447D" w14:textId="24FF7BC4" w:rsidR="004B569A" w:rsidRDefault="004B569A" w:rsidP="004B569A">
                      <w:pPr>
                        <w:pStyle w:val="FootnoteText"/>
                        <w:ind w:firstLine="0"/>
                        <w:jc w:val="center"/>
                        <w:rPr>
                          <w:b/>
                          <w:bCs/>
                        </w:rPr>
                      </w:pPr>
                      <w:r>
                        <w:rPr>
                          <w:rFonts w:ascii="Arial" w:hAnsi="Arial" w:cs="Arial"/>
                          <w:b/>
                          <w:bCs/>
                        </w:rPr>
                        <w:t>Figure 4.</w:t>
                      </w:r>
                      <w:r>
                        <w:rPr>
                          <w:b/>
                          <w:bCs/>
                        </w:rPr>
                        <w:t xml:space="preserve"> </w:t>
                      </w:r>
                      <w:r w:rsidRPr="00F47140">
                        <w:t>The (a) real and (b) imaginary parts of the relative permittivity of PP/EVA9-20/0</w:t>
                      </w:r>
                      <w:r w:rsidR="0064342B">
                        <w:t>/D</w:t>
                      </w:r>
                      <w:r w:rsidRPr="00F47140">
                        <w:t xml:space="preserve"> after different time intervals of immersion in xylene.</w:t>
                      </w:r>
                    </w:p>
                  </w:txbxContent>
                </v:textbox>
                <w10:wrap type="topAndBottom" anchorx="margin" anchory="margin"/>
                <w10:anchorlock/>
              </v:shape>
            </w:pict>
          </mc:Fallback>
        </mc:AlternateContent>
      </w:r>
      <w:r w:rsidR="00E24354" w:rsidRPr="002F5155">
        <w:t>However, when both xylene and the organoclay are present, dramatic changes in the dielectric response of the system are evident, despite the fact that the results presented above demonstrate that neither</w:t>
      </w:r>
      <w:r w:rsidR="00052BA5" w:rsidRPr="002F5155">
        <w:t xml:space="preserve"> component</w:t>
      </w:r>
      <w:r w:rsidR="00E24354" w:rsidRPr="002F5155">
        <w:t xml:space="preserve">, in isolation, </w:t>
      </w:r>
      <w:r w:rsidR="00415647" w:rsidRPr="002F5155">
        <w:t>has</w:t>
      </w:r>
      <w:r w:rsidR="00E24354" w:rsidRPr="002F5155">
        <w:t xml:space="preserve"> a marked </w:t>
      </w:r>
      <w:r w:rsidR="00415647" w:rsidRPr="002F5155">
        <w:t>effect</w:t>
      </w:r>
      <w:r w:rsidR="00E24354" w:rsidRPr="002F5155">
        <w:t xml:space="preserve">. Specifically, a pronounced increase in </w:t>
      </w:r>
      <w:r w:rsidR="00E24354" w:rsidRPr="002F5155">
        <w:rPr>
          <w:i/>
        </w:rPr>
        <w:t>ε´</w:t>
      </w:r>
      <w:r w:rsidR="00E24354" w:rsidRPr="002F5155">
        <w:t xml:space="preserve"> is evident with decreasing frequency which, from the </w:t>
      </w:r>
      <w:r w:rsidR="00304177" w:rsidRPr="002F5155">
        <w:rPr>
          <w:i/>
        </w:rPr>
        <w:t xml:space="preserve">ε̋ </w:t>
      </w:r>
      <w:r w:rsidR="00E24354" w:rsidRPr="002F5155">
        <w:t>data, appears to be associated with two processes</w:t>
      </w:r>
      <w:r w:rsidR="00052BA5" w:rsidRPr="002F5155">
        <w:t>:</w:t>
      </w:r>
      <w:r w:rsidR="00E24354" w:rsidRPr="002F5155">
        <w:t xml:space="preserve"> a distinct dielectric loss process around 10-10</w:t>
      </w:r>
      <w:r w:rsidR="00E24354" w:rsidRPr="002F5155">
        <w:rPr>
          <w:vertAlign w:val="superscript"/>
        </w:rPr>
        <w:t>3</w:t>
      </w:r>
      <w:r w:rsidR="00B04E3E" w:rsidRPr="002F5155">
        <w:t> </w:t>
      </w:r>
      <w:r w:rsidR="00E24354" w:rsidRPr="002F5155">
        <w:t>Hz</w:t>
      </w:r>
      <w:r w:rsidR="00052BA5" w:rsidRPr="002F5155">
        <w:t>;</w:t>
      </w:r>
      <w:r w:rsidR="00E24354" w:rsidRPr="002F5155">
        <w:t xml:space="preserve"> a low frequency dispersion which may be related to Maxwell-Wagner </w:t>
      </w:r>
      <w:r w:rsidR="0064509B" w:rsidRPr="002F5155">
        <w:t xml:space="preserve">interfacial </w:t>
      </w:r>
      <w:r w:rsidR="00E24354" w:rsidRPr="002F5155">
        <w:t xml:space="preserve">polarization </w:t>
      </w:r>
      <w:r w:rsidR="00B04E3E" w:rsidRPr="002F5155">
        <w:t>and/</w:t>
      </w:r>
      <w:r w:rsidR="00E24354" w:rsidRPr="002F5155">
        <w:t xml:space="preserve">or </w:t>
      </w:r>
      <w:r w:rsidR="00B04E3E" w:rsidRPr="002F5155">
        <w:t>charge transport effects</w:t>
      </w:r>
      <w:r w:rsidR="00E24354" w:rsidRPr="002F5155">
        <w:t xml:space="preserve">. </w:t>
      </w:r>
      <w:r w:rsidR="00B04E3E" w:rsidRPr="002F5155">
        <w:t>However, from Figures 5c and 5d, t</w:t>
      </w:r>
      <w:r w:rsidR="00BF224F" w:rsidRPr="002F5155">
        <w:t xml:space="preserve">he </w:t>
      </w:r>
      <w:r w:rsidR="00052BA5" w:rsidRPr="002F5155">
        <w:t xml:space="preserve">variation of </w:t>
      </w:r>
      <w:r w:rsidR="00BF224F" w:rsidRPr="002F5155">
        <w:rPr>
          <w:i/>
        </w:rPr>
        <w:t>ε̋</w:t>
      </w:r>
      <w:r w:rsidR="00BF224F" w:rsidRPr="002F5155">
        <w:t xml:space="preserve"> </w:t>
      </w:r>
      <w:r w:rsidR="00B04E3E" w:rsidRPr="002F5155">
        <w:t xml:space="preserve">at low frequencies is consistent with a power law dependence </w:t>
      </w:r>
      <w:r w:rsidR="00052BA5" w:rsidRPr="002F5155">
        <w:t xml:space="preserve">on frequency </w:t>
      </w:r>
      <w:r w:rsidR="00B04E3E" w:rsidRPr="002F5155">
        <w:t xml:space="preserve">in which the exponent is </w:t>
      </w:r>
      <w:r w:rsidR="00BF224F" w:rsidRPr="002F5155">
        <w:t>&lt;1</w:t>
      </w:r>
      <w:r w:rsidR="00052BA5" w:rsidRPr="002F5155">
        <w:t>. This</w:t>
      </w:r>
      <w:r w:rsidR="00B04E3E" w:rsidRPr="002F5155">
        <w:t xml:space="preserve"> suggests that charge transport is not the dominant contribution</w:t>
      </w:r>
      <w:r w:rsidR="00052BA5" w:rsidRPr="002F5155">
        <w:t xml:space="preserve">, an assertion that </w:t>
      </w:r>
      <w:r w:rsidR="00996E0D" w:rsidRPr="002F5155">
        <w:t>is consistent with comparable published work</w:t>
      </w:r>
      <w:r w:rsidR="00183B8A" w:rsidRPr="002F5155">
        <w:t xml:space="preserve">. </w:t>
      </w:r>
      <w:r w:rsidR="00996E0D" w:rsidRPr="002F5155">
        <w:t xml:space="preserve">For example, </w:t>
      </w:r>
      <w:r w:rsidR="00183B8A" w:rsidRPr="002F5155">
        <w:t xml:space="preserve">Izci </w:t>
      </w:r>
      <w:r w:rsidR="00183B8A" w:rsidRPr="002F5155">
        <w:rPr>
          <w:i/>
        </w:rPr>
        <w:t xml:space="preserve">et al. </w:t>
      </w:r>
      <w:r w:rsidR="00183B8A" w:rsidRPr="002F5155">
        <w:rPr>
          <w:i/>
        </w:rPr>
        <w:fldChar w:fldCharType="begin" w:fldLock="1"/>
      </w:r>
      <w:r w:rsidR="003E2FCD" w:rsidRPr="002F5155">
        <w:rPr>
          <w:i/>
        </w:rPr>
        <w:instrText>ADDIN CSL_CITATION {"citationItems":[{"id":"ITEM-1","itemData":{"DOI":"10.1109/ICSD.2010.5568047","ISBN":"978-1-4244-7945-0","abstract":"Polymer nanocomposites typically consist of inorganic particles dispersed in a polymer matrix. Layered-silicate-based polymer nanocomposites have great potential as low-cost, high-performance materials with various engineering applications. They exhibit enhanced mechanical, thermal, and electrical properties compared with their macro-and micro-counterparts. Polypropylene (PP) exhibits good hardness, thermal, and electrical properties and provides outstanding resistance to moisture and chemicals such as grease, detergent, and oils. In addition to this, PP provides good resistance to fatigue, environmental stress, and cracking. It is commonly used as an insulating material in power capacitors and cable wraps. Natural montmorillonite (MMT) is a commonly-used layered silicate filler. Nanocomposites formed from isotactic polypropylene (iPP) filled with MMT are candidates for power cable insulation materials with enhanced properties. In this work, the a. c. dielectric permittivity and losses of iPP-based nanocomposites, filled with 2% and 6% by weight of Cloisite 20A nanoclay with natural MMT, have been investigated. Measurements were made using a Novocontrol dielectric spectrometer with sample cell BDS1200 housed in a temperature-controlled chamber, in the frequency range 10(-2) to 10(6) Hz at temperatures 25, 50, 75, 100 and 125 degrees C. The nanocomposites show increased permittivity and loss factor compared with unfilled iPP, attributed to the appearance of two thermally-activated relaxation processes in this frequency range. The mechanisms underlying these relaxation processes will be discussed, along with observations of other parameters such as glass transition temperature and melting temperature, and their relation to the percentage of nanoclay filler.","author":[{"dropping-particle":"","family":"Izci","given":"E.","non-dropping-particle":"","parse-names":false,"suffix":""},{"dropping-particle":"","family":"Bowler","given":"N.","non-dropping-particle":"","parse-names":false,"suffix":""}],"container-title":"Procedings of the 2010 IEEE International Conference on Solid Dielectrics (ICSD 2010)","id":"ITEM-1","issued":{"date-parts":[["2010"]]},"page":"1-4","publisher":"IEEE","publisher-place":"Potsdam, Germany","title":"Dielectric Properties of Isotactic Polypropylene and Montmorillonite Nanocomposites","type":"paper-conference"},"uris":["http://www.mendeley.com/documents/?uuid=0914bfd6-a34d-42e2-85f8-e0e6a9b682ef"]}],"mendeley":{"formattedCitation":"[22]","plainTextFormattedCitation":"[22]","previouslyFormattedCitation":"[22]"},"properties":{"noteIndex":0},"schema":"https://github.com/citation-style-language/schema/raw/master/csl-citation.json"}</w:instrText>
      </w:r>
      <w:r w:rsidR="00183B8A" w:rsidRPr="002F5155">
        <w:rPr>
          <w:i/>
        </w:rPr>
        <w:fldChar w:fldCharType="separate"/>
      </w:r>
      <w:r w:rsidR="005E747C" w:rsidRPr="002F5155">
        <w:rPr>
          <w:noProof/>
        </w:rPr>
        <w:t>[22]</w:t>
      </w:r>
      <w:r w:rsidR="00183B8A" w:rsidRPr="002F5155">
        <w:rPr>
          <w:i/>
        </w:rPr>
        <w:fldChar w:fldCharType="end"/>
      </w:r>
      <w:r w:rsidR="00183B8A" w:rsidRPr="002F5155">
        <w:t xml:space="preserve"> reported that, at 10</w:t>
      </w:r>
      <w:r w:rsidR="00183B8A" w:rsidRPr="002F5155">
        <w:rPr>
          <w:vertAlign w:val="superscript"/>
        </w:rPr>
        <w:t>-2</w:t>
      </w:r>
      <w:r w:rsidR="00183B8A" w:rsidRPr="002F5155">
        <w:t xml:space="preserve"> Hz</w:t>
      </w:r>
      <w:r w:rsidR="00A142AB" w:rsidRPr="002F5155">
        <w:t>,</w:t>
      </w:r>
      <w:r w:rsidR="00183B8A" w:rsidRPr="002F5155">
        <w:t xml:space="preserve"> the permittivity of their polypropylene-based nanocomposite increased with organoclay</w:t>
      </w:r>
      <w:r w:rsidR="00B04E3E" w:rsidRPr="002F5155">
        <w:t xml:space="preserve"> loading</w:t>
      </w:r>
      <w:r w:rsidR="00A142AB" w:rsidRPr="002F5155">
        <w:t>;</w:t>
      </w:r>
      <w:r w:rsidR="00183B8A" w:rsidRPr="002F5155">
        <w:t xml:space="preserve"> Zazoum </w:t>
      </w:r>
      <w:r w:rsidR="00183B8A" w:rsidRPr="002F5155">
        <w:rPr>
          <w:i/>
        </w:rPr>
        <w:t xml:space="preserve">et al. </w:t>
      </w:r>
      <w:r w:rsidR="00183B8A" w:rsidRPr="002F5155">
        <w:fldChar w:fldCharType="begin" w:fldLock="1"/>
      </w:r>
      <w:r w:rsidR="003E2FCD" w:rsidRPr="002F5155">
        <w:instrText>ADDIN CSL_CITATION {"citationItems":[{"id":"ITEM-1","itemData":{"DOI":"10.1155/2013/138457","author":[{"dropping-particle":"","family":"Zazoum","given":"B","non-dropping-particle":"","parse-names":false,"suffix":""},{"dropping-particle":"","family":"David","given":"E","non-dropping-particle":"","parse-names":false,"suffix":""},{"dropping-particle":"","family":"Ngô","given":"A D","non-dropping-particle":"","parse-names":false,"suffix":""}],"container-title":"Journal of Nanotechnology","id":"ITEM-1","issued":{"date-parts":[["2013"]]},"title":"LDPE / HDPE / Clay Nanocomposites : Effects of Compatibilizer on the Structure and Dielectric Response","type":"article-journal"},"uris":["http://www.mendeley.com/documents/?uuid=35a5be53-0de5-404a-9a78-9e70d141458e"]}],"mendeley":{"formattedCitation":"[23]","plainTextFormattedCitation":"[23]","previouslyFormattedCitation":"[23]"},"properties":{"noteIndex":0},"schema":"https://github.com/citation-style-language/schema/raw/master/csl-citation.json"}</w:instrText>
      </w:r>
      <w:r w:rsidR="00183B8A" w:rsidRPr="002F5155">
        <w:fldChar w:fldCharType="separate"/>
      </w:r>
      <w:r w:rsidR="005E747C" w:rsidRPr="002F5155">
        <w:rPr>
          <w:noProof/>
        </w:rPr>
        <w:t>[23]</w:t>
      </w:r>
      <w:r w:rsidR="00183B8A" w:rsidRPr="002F5155">
        <w:fldChar w:fldCharType="end"/>
      </w:r>
      <w:r w:rsidR="00183B8A" w:rsidRPr="002F5155">
        <w:t xml:space="preserve"> report</w:t>
      </w:r>
      <w:r w:rsidR="00996E0D" w:rsidRPr="002F5155">
        <w:t>ed</w:t>
      </w:r>
      <w:r w:rsidR="00183B8A" w:rsidRPr="002F5155">
        <w:t xml:space="preserve"> similar findings </w:t>
      </w:r>
      <w:r w:rsidR="00B04E3E" w:rsidRPr="002F5155">
        <w:t>for</w:t>
      </w:r>
      <w:r w:rsidR="00183B8A" w:rsidRPr="002F5155">
        <w:t xml:space="preserve"> a polyethylene-based nanocomposite. In these studies, the </w:t>
      </w:r>
      <w:r w:rsidR="00B04E3E" w:rsidRPr="002F5155">
        <w:t xml:space="preserve">effect of </w:t>
      </w:r>
      <w:r w:rsidR="00183B8A" w:rsidRPr="002F5155">
        <w:t>inclu</w:t>
      </w:r>
      <w:r w:rsidR="00B04E3E" w:rsidRPr="002F5155">
        <w:t xml:space="preserve">ding </w:t>
      </w:r>
      <w:r w:rsidR="00183B8A" w:rsidRPr="002F5155">
        <w:t xml:space="preserve">the organoclay </w:t>
      </w:r>
      <w:r w:rsidR="00A142AB" w:rsidRPr="002F5155">
        <w:t>wa</w:t>
      </w:r>
      <w:r w:rsidR="00B04E3E" w:rsidRPr="002F5155">
        <w:t xml:space="preserve">s discussed in terms of </w:t>
      </w:r>
      <w:r w:rsidR="00183B8A" w:rsidRPr="002F5155">
        <w:t>low frequency Maxwell-Wagner interfacial polarization at organoclay/polymer interfaces, together with higher frequency losses</w:t>
      </w:r>
      <w:r w:rsidR="00B04E3E" w:rsidRPr="002F5155">
        <w:t xml:space="preserve"> associated with </w:t>
      </w:r>
      <w:r w:rsidR="00183B8A" w:rsidRPr="002F5155">
        <w:t>dipolar relaxations a</w:t>
      </w:r>
      <w:r w:rsidR="00B04E3E" w:rsidRPr="002F5155">
        <w:t xml:space="preserve">rising from </w:t>
      </w:r>
      <w:r w:rsidR="00183B8A" w:rsidRPr="002F5155">
        <w:t>the compatibilizing intercalant molecules.</w:t>
      </w:r>
      <w:r w:rsidR="00A142AB" w:rsidRPr="002F5155">
        <w:t xml:space="preserve"> </w:t>
      </w:r>
    </w:p>
    <w:p w14:paraId="423CE87B" w14:textId="55ED2791" w:rsidR="000463C7" w:rsidRPr="002F5155" w:rsidRDefault="00213C9C" w:rsidP="00163079">
      <w:pPr>
        <w:ind w:firstLine="202"/>
        <w:jc w:val="both"/>
      </w:pPr>
      <w:r w:rsidRPr="002F5155">
        <w:t>Consider now, the effect of xylene immersion time on the dielectric response of the two systems shown in</w:t>
      </w:r>
      <w:r w:rsidR="00E24354" w:rsidRPr="002F5155">
        <w:t xml:space="preserve"> </w:t>
      </w:r>
      <w:r w:rsidR="00A142AB" w:rsidRPr="002F5155">
        <w:t>Figure 5</w:t>
      </w:r>
      <w:r w:rsidRPr="002F5155">
        <w:t>. From these data</w:t>
      </w:r>
      <w:r w:rsidR="00A142AB" w:rsidRPr="002F5155">
        <w:t xml:space="preserve">, it would appear that permittivity varies with xylene immersion time in a </w:t>
      </w:r>
      <w:r w:rsidR="00E24354" w:rsidRPr="002F5155">
        <w:t xml:space="preserve">non-monotonic </w:t>
      </w:r>
      <w:r w:rsidR="00A142AB" w:rsidRPr="002F5155">
        <w:t xml:space="preserve">manner, an effect we explain as </w:t>
      </w:r>
      <w:r w:rsidR="00E24354" w:rsidRPr="002F5155">
        <w:t>an artefact of the chosen sample hand</w:t>
      </w:r>
      <w:r w:rsidR="00AA308C" w:rsidRPr="002F5155">
        <w:t>l</w:t>
      </w:r>
      <w:r w:rsidR="00E24354" w:rsidRPr="002F5155">
        <w:t>ing methodology. As discussed above in connection with Figure</w:t>
      </w:r>
      <w:r w:rsidR="00D440F0" w:rsidRPr="002F5155">
        <w:t xml:space="preserve"> 3, absorption</w:t>
      </w:r>
      <w:r w:rsidR="00E24354" w:rsidRPr="002F5155">
        <w:t xml:space="preserve"> and </w:t>
      </w:r>
      <w:r w:rsidR="00D440F0" w:rsidRPr="002F5155">
        <w:t>desorption</w:t>
      </w:r>
      <w:r w:rsidR="00E24354" w:rsidRPr="002F5155">
        <w:t xml:space="preserve"> of xylene occurs relatively rapidly in these systems</w:t>
      </w:r>
      <w:r w:rsidR="002D0485" w:rsidRPr="002F5155">
        <w:t>. C</w:t>
      </w:r>
      <w:r w:rsidR="00E24354" w:rsidRPr="002F5155">
        <w:t xml:space="preserve">onsequently, by ensuring that no xylene remained on the sample surface prior to making </w:t>
      </w:r>
      <w:r w:rsidR="00D04944" w:rsidRPr="002F5155">
        <w:t xml:space="preserve">the dielectric </w:t>
      </w:r>
      <w:r w:rsidR="00E24354" w:rsidRPr="002F5155">
        <w:t xml:space="preserve">measurements, </w:t>
      </w:r>
      <w:r w:rsidR="002D0485" w:rsidRPr="002F5155">
        <w:t xml:space="preserve">we suggest that </w:t>
      </w:r>
      <w:r w:rsidR="00E24354" w:rsidRPr="002F5155">
        <w:t>varying degrees of desorption occurred during the 30</w:t>
      </w:r>
      <w:r w:rsidR="002D0485" w:rsidRPr="002F5155">
        <w:t> </w:t>
      </w:r>
      <w:r w:rsidR="00E24354" w:rsidRPr="002F5155">
        <w:t xml:space="preserve">min drying time </w:t>
      </w:r>
      <w:r w:rsidR="002D0485" w:rsidRPr="002F5155">
        <w:t xml:space="preserve">during </w:t>
      </w:r>
      <w:r w:rsidR="00E24354" w:rsidRPr="002F5155">
        <w:t xml:space="preserve">which the sample was exposed to the uncontrolled ambient laboratory environment. </w:t>
      </w:r>
    </w:p>
    <w:p w14:paraId="70A91B73" w14:textId="5734FA2A" w:rsidR="008701A5" w:rsidRPr="002F5155" w:rsidRDefault="00996E0D" w:rsidP="00D04944">
      <w:pPr>
        <w:ind w:firstLine="202"/>
        <w:jc w:val="both"/>
      </w:pPr>
      <w:r w:rsidRPr="002F5155">
        <w:t xml:space="preserve">Now consider </w:t>
      </w:r>
      <w:r w:rsidR="00E24354" w:rsidRPr="002F5155">
        <w:t xml:space="preserve">the dielectric data </w:t>
      </w:r>
      <w:r w:rsidRPr="002F5155">
        <w:t xml:space="preserve">shown </w:t>
      </w:r>
      <w:r w:rsidR="00E24354" w:rsidRPr="002F5155">
        <w:t xml:space="preserve">in Figure 5 obtained </w:t>
      </w:r>
      <w:r w:rsidR="002D0485" w:rsidRPr="002F5155">
        <w:t xml:space="preserve">from </w:t>
      </w:r>
      <w:r w:rsidRPr="002F5155">
        <w:t xml:space="preserve">the samples </w:t>
      </w:r>
      <w:r w:rsidR="00A142AB" w:rsidRPr="002F5155">
        <w:t xml:space="preserve">that </w:t>
      </w:r>
      <w:r w:rsidRPr="002F5155">
        <w:t xml:space="preserve">were re-dried. Comparison of </w:t>
      </w:r>
      <w:r w:rsidR="00E24354" w:rsidRPr="002F5155">
        <w:t xml:space="preserve">the </w:t>
      </w:r>
      <w:r w:rsidRPr="002F5155">
        <w:t xml:space="preserve">behavior of </w:t>
      </w:r>
      <w:r w:rsidR="00E24354" w:rsidRPr="002F5155">
        <w:t xml:space="preserve">PP/EVA9-20/X/D and PP/EVA9-20/X/R </w:t>
      </w:r>
      <w:r w:rsidR="00D04944" w:rsidRPr="002F5155">
        <w:t xml:space="preserve">reveals </w:t>
      </w:r>
      <w:r w:rsidR="00E24354" w:rsidRPr="002F5155">
        <w:t xml:space="preserve">increased low frequency losses </w:t>
      </w:r>
      <w:r w:rsidR="00D04944" w:rsidRPr="002F5155">
        <w:t>in the latter system</w:t>
      </w:r>
      <w:r w:rsidR="00497188" w:rsidRPr="002F5155">
        <w:t>s</w:t>
      </w:r>
      <w:r w:rsidR="002D0485" w:rsidRPr="002F5155">
        <w:t>. This may indicate</w:t>
      </w:r>
      <w:r w:rsidR="00E24354" w:rsidRPr="002F5155">
        <w:t xml:space="preserve"> that some xylene remained entrained within the </w:t>
      </w:r>
      <w:r w:rsidR="00D04944" w:rsidRPr="002F5155">
        <w:t xml:space="preserve">PP/EVA9-20/X/R </w:t>
      </w:r>
      <w:r w:rsidR="00E24354" w:rsidRPr="002F5155">
        <w:t>systems</w:t>
      </w:r>
      <w:r w:rsidR="002D0485" w:rsidRPr="002F5155">
        <w:t>, an interpretation that is consistent with the presence of vestigial</w:t>
      </w:r>
      <w:r w:rsidR="00497188" w:rsidRPr="002F5155">
        <w:t xml:space="preserve"> </w:t>
      </w:r>
      <w:r w:rsidR="002D0485" w:rsidRPr="002F5155">
        <w:t xml:space="preserve">xylene absorption peaks in the </w:t>
      </w:r>
      <w:r w:rsidR="00497188" w:rsidRPr="002F5155">
        <w:t>FT-IR data discussed</w:t>
      </w:r>
      <w:r w:rsidR="002D0485" w:rsidRPr="002F5155">
        <w:t xml:space="preserve"> above</w:t>
      </w:r>
      <w:r w:rsidR="00497188" w:rsidRPr="002F5155">
        <w:t xml:space="preserve">. Alternatively, it is possible that the xylene absorption/desorption cycle may have increased </w:t>
      </w:r>
      <w:r w:rsidR="001D0409" w:rsidRPr="002F5155">
        <w:t xml:space="preserve">the free volume </w:t>
      </w:r>
      <w:r w:rsidR="00497188" w:rsidRPr="002F5155">
        <w:t>present</w:t>
      </w:r>
      <w:r w:rsidR="002D0485" w:rsidRPr="002F5155">
        <w:t xml:space="preserve"> in the system</w:t>
      </w:r>
      <w:r w:rsidR="00497188" w:rsidRPr="002F5155">
        <w:t xml:space="preserve">, </w:t>
      </w:r>
      <w:r w:rsidR="002D0485" w:rsidRPr="002F5155">
        <w:t xml:space="preserve">through </w:t>
      </w:r>
      <w:r w:rsidR="001D0409" w:rsidRPr="002F5155">
        <w:t>material removal</w:t>
      </w:r>
      <w:r w:rsidR="00D04944" w:rsidRPr="002F5155">
        <w:t xml:space="preserve"> or </w:t>
      </w:r>
      <w:r w:rsidR="00497188" w:rsidRPr="002F5155">
        <w:t xml:space="preserve">structural </w:t>
      </w:r>
      <w:r w:rsidR="001D0409" w:rsidRPr="002F5155">
        <w:t>reorganization</w:t>
      </w:r>
      <w:r w:rsidR="00497188" w:rsidRPr="002F5155">
        <w:t xml:space="preserve">, thereby </w:t>
      </w:r>
      <w:r w:rsidR="001D0409" w:rsidRPr="002F5155">
        <w:t xml:space="preserve">effectively </w:t>
      </w:r>
      <w:r w:rsidR="00D04944" w:rsidRPr="002F5155">
        <w:t>reduc</w:t>
      </w:r>
      <w:r w:rsidR="00497188" w:rsidRPr="002F5155">
        <w:t xml:space="preserve">ing local </w:t>
      </w:r>
      <w:r w:rsidR="00D04944" w:rsidRPr="002F5155">
        <w:t xml:space="preserve">constraints within the system such that </w:t>
      </w:r>
      <w:r w:rsidR="001D0409" w:rsidRPr="002F5155">
        <w:t>dipol</w:t>
      </w:r>
      <w:r w:rsidR="00D04944" w:rsidRPr="002F5155">
        <w:t>ar</w:t>
      </w:r>
      <w:r w:rsidR="001D0409" w:rsidRPr="002F5155">
        <w:t xml:space="preserve"> </w:t>
      </w:r>
      <w:r w:rsidR="00D04944" w:rsidRPr="002F5155">
        <w:t xml:space="preserve">motion could occur at </w:t>
      </w:r>
      <w:r w:rsidR="00422651" w:rsidRPr="002F5155">
        <w:t>frequencies</w:t>
      </w:r>
      <w:r w:rsidR="001D0409" w:rsidRPr="002F5155">
        <w:t xml:space="preserve"> th</w:t>
      </w:r>
      <w:r w:rsidR="00D04944" w:rsidRPr="002F5155">
        <w:t>at</w:t>
      </w:r>
      <w:r w:rsidR="001D0409" w:rsidRPr="002F5155">
        <w:t xml:space="preserve"> </w:t>
      </w:r>
      <w:r w:rsidR="00D04944" w:rsidRPr="002F5155">
        <w:t xml:space="preserve">were </w:t>
      </w:r>
      <w:r w:rsidR="001D0409" w:rsidRPr="002F5155">
        <w:t>not</w:t>
      </w:r>
      <w:r w:rsidR="00D04944" w:rsidRPr="002F5155">
        <w:t>, initially, possible</w:t>
      </w:r>
      <w:r w:rsidR="00422651" w:rsidRPr="002F5155">
        <w:t xml:space="preserve"> </w:t>
      </w:r>
      <w:r w:rsidR="00422651" w:rsidRPr="002F5155">
        <w:fldChar w:fldCharType="begin" w:fldLock="1"/>
      </w:r>
      <w:r w:rsidR="003E2FCD" w:rsidRPr="002F5155">
        <w:instrText>ADDIN CSL_CITATION {"citationItems":[{"id":"ITEM-1","itemData":{"DOI":"10.1088/1742-6596/618/1/012025","ISSN":"17426596","abstract":"© Published under licence by IOP Publishing Ltd. The dielectric constant of fluorinated polyimides and their blends is known to decrease with increase in free volume due to decrease in the number of polarizable groups per unit volume. Interestingly, we report here a polyimide which when blended with a fluoro-polymer showed a positive deviation of dielectric constant with free volume. In our experiment, we have used a blend of poly(ether imide) and poly(vinylidene fluorine-co-hexafluoropropylene) and the interaction between them was studied using FTIR, XRD, TGA and SEM. The blend was investigated by PALS, DB and DEA. Surprisingly, with the increase in the free volume content in this blend, the dielectric constant also increases. This change is attributed to additional space available for the polarizable groups to orient themselves to the applied electric field.","author":[{"dropping-particle":"","family":"Ramani","given":"R.","non-dropping-particle":"","parse-names":false,"suffix":""},{"dropping-particle":"","family":"Ramachandran","given":"R.","non-dropping-particle":"","parse-names":false,"suffix":""},{"dropping-particle":"","family":"Amarendra","given":"G.","non-dropping-particle":"","parse-names":false,"suffix":""},{"dropping-particle":"","family":"Alam","given":"S.","non-dropping-particle":"","parse-names":false,"suffix":""}],"container-title":"Journal of Physics: Conference Series","id":"ITEM-1","issue":"1","issued":{"date-parts":[["2015"]]},"page":"0-4","title":"Direct correlation between free volume and dielectric constant in a fluorine-containing polyimide blend","type":"article-journal","volume":"618"},"uris":["http://www.mendeley.com/documents/?uuid=a82a1299-83b2-429d-a137-e3279ac6c1d2"]}],"mendeley":{"formattedCitation":"[24]","plainTextFormattedCitation":"[24]","previouslyFormattedCitation":"[24]"},"properties":{"noteIndex":0},"schema":"https://github.com/citation-style-language/schema/raw/master/csl-citation.json"}</w:instrText>
      </w:r>
      <w:r w:rsidR="00422651" w:rsidRPr="002F5155">
        <w:fldChar w:fldCharType="separate"/>
      </w:r>
      <w:r w:rsidR="005E747C" w:rsidRPr="002F5155">
        <w:rPr>
          <w:noProof/>
        </w:rPr>
        <w:t>[24]</w:t>
      </w:r>
      <w:r w:rsidR="00422651" w:rsidRPr="002F5155">
        <w:fldChar w:fldCharType="end"/>
      </w:r>
      <w:r w:rsidR="001D0409" w:rsidRPr="002F5155">
        <w:t>.</w:t>
      </w:r>
      <w:r w:rsidR="00D04944" w:rsidRPr="002F5155">
        <w:t xml:space="preserve"> Clear parallels for th</w:t>
      </w:r>
      <w:r w:rsidR="00497188" w:rsidRPr="002F5155">
        <w:t>e effect of local interaction</w:t>
      </w:r>
      <w:r w:rsidR="002D0485" w:rsidRPr="002F5155">
        <w:t>s</w:t>
      </w:r>
      <w:r w:rsidR="00497188" w:rsidRPr="002F5155">
        <w:t xml:space="preserve"> on dielectric loss peaks</w:t>
      </w:r>
      <w:r w:rsidR="00D04944" w:rsidRPr="002F5155">
        <w:t xml:space="preserve"> have previously been reported in connection with </w:t>
      </w:r>
      <w:r w:rsidR="00E24354" w:rsidRPr="002F5155">
        <w:t>the dielectric response of nanocomposites</w:t>
      </w:r>
      <w:r w:rsidR="00D04944" w:rsidRPr="002F5155">
        <w:t xml:space="preserve"> containing water molecules</w:t>
      </w:r>
      <w:r w:rsidR="00E24354" w:rsidRPr="002F5155">
        <w:t xml:space="preserve">. For example, Zhang </w:t>
      </w:r>
      <w:r w:rsidR="00E24354" w:rsidRPr="002F5155">
        <w:rPr>
          <w:i/>
        </w:rPr>
        <w:t>et al.</w:t>
      </w:r>
      <w:r w:rsidR="004805B7" w:rsidRPr="002F5155">
        <w:rPr>
          <w:i/>
        </w:rPr>
        <w:t xml:space="preserve"> </w:t>
      </w:r>
      <w:r w:rsidR="00E24354" w:rsidRPr="002F5155">
        <w:rPr>
          <w:i/>
        </w:rPr>
        <w:fldChar w:fldCharType="begin" w:fldLock="1"/>
      </w:r>
      <w:r w:rsidR="00590CA1" w:rsidRPr="002F5155">
        <w:rPr>
          <w:i/>
        </w:rPr>
        <w:instrText>ADDIN CSL_CITATION {"citationItems":[{"id":"ITEM-1","itemData":{"DOI":"10.1109/TDEI.2008.4483483","ISBN":"1070-9878","ISSN":"10709878","abstract":"In order to understand the relationship between the dielectric properties and the structure of polymer nanocomposites, especially the role of the interface on dielectric response, two polymers with different polarity were used to form nanocomposites with nanoalumina powder, a typical polar inorganic compound. Consequently, two kinds of nanodielectrics with very different interfaces were produced. In the epoxy nanodielectric, broad band dielectric spectroscopic measurements show that no difference is found between the unfilled resin and the nanocomposite under dry conditions. However, their dielectric responses are very different when they contain about 0.4 % b.w. absorbed water, a concentration that occurs under ambient exposure conditions. The findings suggest that the sites for absorbed water in the epoxy nanocomposites are very different to those in the unfilled thermoset and relate to the large interfacial internal surface in these materials. In this case all the relaxation processes can be well described by the Havriliak-Negami function, which give useful information on the dynamics and activation energies associated with the relaxation processes. In polyethylene nanocomposites, dielectric measurements show that the incorporation of nanoalumina produces a dielectric loss peak in the low frequency. This relaxation peak moves to high frequency with increasing nanoalumina content and the peak becomes broader. In the presence of 0.06 % b.w. absorbed water this peak also shows the same type of unusual dielectric loss behavior as that observed in the undried epoxy nanodielectrics. This behavior is thought to arise from the interplay between interfacial water mobility and bonding rather than the host polymer.","author":[{"dropping-particle":"","family":"Zhang","given":"Chao","non-dropping-particle":"","parse-names":false,"suffix":""},{"dropping-particle":"","family":"Stevens","given":"Gary C.","non-dropping-particle":"","parse-names":false,"suffix":""}],"container-title":"IEEE Transactions on Dielectrics and Electrical Insulation","id":"ITEM-1","issue":"2","issued":{"date-parts":[["2008"]]},"page":"606-617","title":"The dielectric response of polar and non-polar nanodielectrics","type":"article-journal","volume":"15"},"uris":["http://www.mendeley.com/documents/?uuid=152e03a2-0f1f-44d1-baae-e53ca1e4a1a6"]}],"mendeley":{"formattedCitation":"[12]","plainTextFormattedCitation":"[12]","previouslyFormattedCitation":"[12]"},"properties":{"noteIndex":0},"schema":"https://github.com/citation-style-language/schema/raw/master/csl-citation.json"}</w:instrText>
      </w:r>
      <w:r w:rsidR="00E24354" w:rsidRPr="002F5155">
        <w:rPr>
          <w:i/>
        </w:rPr>
        <w:fldChar w:fldCharType="separate"/>
      </w:r>
      <w:r w:rsidR="000F43C1" w:rsidRPr="002F5155">
        <w:rPr>
          <w:noProof/>
        </w:rPr>
        <w:t>[12]</w:t>
      </w:r>
      <w:r w:rsidR="00E24354" w:rsidRPr="002F5155">
        <w:rPr>
          <w:i/>
        </w:rPr>
        <w:fldChar w:fldCharType="end"/>
      </w:r>
      <w:r w:rsidR="00E24354" w:rsidRPr="002F5155">
        <w:t xml:space="preserve"> exposed a range of nanocomposites containing nanoalumina to ambient conditions and found that in both the</w:t>
      </w:r>
      <w:r w:rsidR="002D0485" w:rsidRPr="002F5155">
        <w:t>ir</w:t>
      </w:r>
      <w:r w:rsidR="00E24354" w:rsidRPr="002F5155">
        <w:t xml:space="preserve"> epoxy and polyethylene based systems, a water-related relaxation process resulted at the polymer</w:t>
      </w:r>
      <w:r w:rsidR="00780EAB" w:rsidRPr="002F5155">
        <w:t>/</w:t>
      </w:r>
      <w:r w:rsidR="00E24354" w:rsidRPr="002F5155">
        <w:t xml:space="preserve">filler interface. </w:t>
      </w:r>
      <w:r w:rsidR="00D02A53" w:rsidRPr="002F5155">
        <w:t>N</w:t>
      </w:r>
      <w:r w:rsidR="00E24354" w:rsidRPr="002F5155">
        <w:t xml:space="preserve">otably, in the absence of </w:t>
      </w:r>
      <w:r w:rsidR="00D02A53" w:rsidRPr="002F5155">
        <w:t xml:space="preserve">the </w:t>
      </w:r>
      <w:r w:rsidR="00E24354" w:rsidRPr="002F5155">
        <w:t>nanoalumnina, the relaxation of water was significantly slowe</w:t>
      </w:r>
      <w:r w:rsidR="00D02A53" w:rsidRPr="002F5155">
        <w:t>d</w:t>
      </w:r>
      <w:r w:rsidR="00E24354" w:rsidRPr="002F5155">
        <w:t xml:space="preserve"> </w:t>
      </w:r>
      <w:r w:rsidR="00D02A53" w:rsidRPr="002F5155">
        <w:t>with</w:t>
      </w:r>
      <w:r w:rsidR="00E24354" w:rsidRPr="002F5155">
        <w:t>in the epoxy matrix</w:t>
      </w:r>
      <w:r w:rsidR="00D02A53" w:rsidRPr="002F5155">
        <w:t xml:space="preserve">, while no comparable relaxation was </w:t>
      </w:r>
      <w:r w:rsidR="00E24354" w:rsidRPr="002F5155">
        <w:t>observed in the polyethylene matrix</w:t>
      </w:r>
      <w:r w:rsidR="00D02A53" w:rsidRPr="002F5155">
        <w:t>. This difference in behavior</w:t>
      </w:r>
      <w:r w:rsidR="00E24354" w:rsidRPr="002F5155">
        <w:t xml:space="preserve"> </w:t>
      </w:r>
      <w:r w:rsidR="006371FF" w:rsidRPr="002F5155">
        <w:t>wa</w:t>
      </w:r>
      <w:r w:rsidR="00E24354" w:rsidRPr="002F5155">
        <w:t xml:space="preserve">s </w:t>
      </w:r>
      <w:r w:rsidR="00D02A53" w:rsidRPr="002F5155">
        <w:t xml:space="preserve">related </w:t>
      </w:r>
      <w:r w:rsidR="00E24354" w:rsidRPr="002F5155">
        <w:t xml:space="preserve">to the polarity of the polymer – in polyethylene, being, non-polar the concentration of water will be very low. Elsewhere, Lau </w:t>
      </w:r>
      <w:r w:rsidR="00E24354" w:rsidRPr="002F5155">
        <w:rPr>
          <w:i/>
        </w:rPr>
        <w:t xml:space="preserve">et al. </w:t>
      </w:r>
      <w:r w:rsidR="00E24354" w:rsidRPr="002F5155">
        <w:fldChar w:fldCharType="begin" w:fldLock="1"/>
      </w:r>
      <w:r w:rsidR="00590CA1" w:rsidRPr="002F5155">
        <w:instrText>ADDIN CSL_CITATION {"citationItems":[{"id":"ITEM-1","itemData":{"DOI":"10.1088/0022-3727/46/9/095303","ISSN":"0022-3727","abstract":"The dielectric response of silica-based polyethylene nanocomposites is studied by dielectric spectroscopy. The results indicate that nanocomposites absorb significantly more water than unfilled polyethylene, with the consequence that both permittivity and loss tangent increase with increasing duration of water immersion. However, appropriate surface treatment of nanosilica is found to reduce the water absorption effect and to modify the dielectric response of the nanocomposites compared with those containing untreated nanosilica. While water absorption may not be a technologically desirable characteristic, our results indicate that water molecules can act as effective dielectric probes of interfacial factors.","author":[{"dropping-particle":"","family":"Lau","given":"K Y","non-dropping-particle":"","parse-names":false,"suffix":""},{"dropping-particle":"","family":"Vaughan","given":"A S","non-dropping-particle":"","parse-names":false,"suffix":""},{"dropping-particle":"","family":"Chen","given":"G","non-dropping-particle":"","parse-names":false,"suffix":""},{"dropping-particle":"","family":"Hosier","given":"I L","non-dropping-particle":"","parse-names":false,"suffix":""},{"dropping-particle":"","family":"Holt","given":"a F","non-dropping-particle":"","parse-names":false,"suffix":""}],"container-title":"Journal of Physics D: Applied Physics","id":"ITEM-1","issue":"9","issued":{"date-parts":[["2013"]]},"title":"On the dielectric response of silica-based polyethylene nanocomposites","type":"article-journal","volume":"46"},"uris":["http://www.mendeley.com/documents/?uuid=7b2d356f-3cbf-4aad-b67c-6ac96aaf2e3a"]}],"mendeley":{"formattedCitation":"[13]","plainTextFormattedCitation":"[13]","previouslyFormattedCitation":"[13]"},"properties":{"noteIndex":0},"schema":"https://github.com/citation-style-language/schema/raw/master/csl-citation.json"}</w:instrText>
      </w:r>
      <w:r w:rsidR="00E24354" w:rsidRPr="002F5155">
        <w:fldChar w:fldCharType="separate"/>
      </w:r>
      <w:r w:rsidR="000F43C1" w:rsidRPr="002F5155">
        <w:rPr>
          <w:noProof/>
        </w:rPr>
        <w:t>[13]</w:t>
      </w:r>
      <w:r w:rsidR="00E24354" w:rsidRPr="002F5155">
        <w:fldChar w:fldCharType="end"/>
      </w:r>
      <w:r w:rsidR="00E24354" w:rsidRPr="002F5155">
        <w:t xml:space="preserve"> considered the effect of water uptake in a </w:t>
      </w:r>
      <w:r w:rsidR="000A651C" w:rsidRPr="002F5155">
        <w:rPr>
          <w:noProof/>
          <w:lang w:val="en-GB" w:eastAsia="en-GB"/>
        </w:rPr>
        <mc:AlternateContent>
          <mc:Choice Requires="wps">
            <w:drawing>
              <wp:anchor distT="0" distB="0" distL="114300" distR="114300" simplePos="0" relativeHeight="251674624" behindDoc="1" locked="1" layoutInCell="1" allowOverlap="0" wp14:anchorId="28B4D51F" wp14:editId="2AAB8ABD">
                <wp:simplePos x="0" y="0"/>
                <wp:positionH relativeFrom="margin">
                  <wp:posOffset>-22225</wp:posOffset>
                </wp:positionH>
                <wp:positionV relativeFrom="margin">
                  <wp:posOffset>13335</wp:posOffset>
                </wp:positionV>
                <wp:extent cx="6508800" cy="5104800"/>
                <wp:effectExtent l="0" t="0" r="6350" b="635"/>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800" cy="51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81CC8" w14:textId="03F4B880" w:rsidR="003C004F" w:rsidRDefault="003C004F" w:rsidP="003C004F">
                            <w:pPr>
                              <w:pStyle w:val="FootnoteText"/>
                              <w:ind w:left="404" w:hanging="404"/>
                              <w:jc w:val="center"/>
                            </w:pPr>
                            <w:r>
                              <w:t xml:space="preserve">        </w:t>
                            </w:r>
                            <w:r w:rsidR="000A651C">
                              <w:rPr>
                                <w:noProof/>
                                <w:lang w:val="en-GB" w:eastAsia="en-GB"/>
                              </w:rPr>
                              <w:drawing>
                                <wp:inline distT="0" distB="0" distL="0" distR="0" wp14:anchorId="5713925A" wp14:editId="24E269E7">
                                  <wp:extent cx="3132000" cy="239660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2.5_slnb_re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2000" cy="2396605"/>
                                          </a:xfrm>
                                          <a:prstGeom prst="rect">
                                            <a:avLst/>
                                          </a:prstGeom>
                                        </pic:spPr>
                                      </pic:pic>
                                    </a:graphicData>
                                  </a:graphic>
                                </wp:inline>
                              </w:drawing>
                            </w:r>
                            <w:r w:rsidR="000A651C">
                              <w:rPr>
                                <w:noProof/>
                                <w:lang w:val="en-GB" w:eastAsia="en-GB"/>
                              </w:rPr>
                              <w:drawing>
                                <wp:inline distT="0" distB="0" distL="0" distR="0" wp14:anchorId="6443F62D" wp14:editId="1E47FB82">
                                  <wp:extent cx="3132000" cy="23966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5_slnb_re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2000" cy="2396605"/>
                                          </a:xfrm>
                                          <a:prstGeom prst="rect">
                                            <a:avLst/>
                                          </a:prstGeom>
                                        </pic:spPr>
                                      </pic:pic>
                                    </a:graphicData>
                                  </a:graphic>
                                </wp:inline>
                              </w:drawing>
                            </w:r>
                            <w:r w:rsidR="000A651C">
                              <w:rPr>
                                <w:noProof/>
                                <w:lang w:val="en-GB" w:eastAsia="en-GB"/>
                              </w:rPr>
                              <w:drawing>
                                <wp:inline distT="0" distB="0" distL="0" distR="0" wp14:anchorId="5CB18DAC" wp14:editId="092F56F6">
                                  <wp:extent cx="2988696" cy="2396009"/>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25_imag_perm_xylene_test_loglog.png"/>
                                          <pic:cNvPicPr/>
                                        </pic:nvPicPr>
                                        <pic:blipFill rotWithShape="1">
                                          <a:blip r:embed="rId22" cstate="print">
                                            <a:extLst>
                                              <a:ext uri="{28A0092B-C50C-407E-A947-70E740481C1C}">
                                                <a14:useLocalDpi xmlns:a14="http://schemas.microsoft.com/office/drawing/2010/main" val="0"/>
                                              </a:ext>
                                            </a:extLst>
                                          </a:blip>
                                          <a:srcRect r="4542"/>
                                          <a:stretch/>
                                        </pic:blipFill>
                                        <pic:spPr bwMode="auto">
                                          <a:xfrm>
                                            <a:off x="0" y="0"/>
                                            <a:ext cx="2989707" cy="2396820"/>
                                          </a:xfrm>
                                          <a:prstGeom prst="rect">
                                            <a:avLst/>
                                          </a:prstGeom>
                                          <a:ln>
                                            <a:noFill/>
                                          </a:ln>
                                          <a:extLst>
                                            <a:ext uri="{53640926-AAD7-44D8-BBD7-CCE9431645EC}">
                                              <a14:shadowObscured xmlns:a14="http://schemas.microsoft.com/office/drawing/2010/main"/>
                                            </a:ext>
                                          </a:extLst>
                                        </pic:spPr>
                                      </pic:pic>
                                    </a:graphicData>
                                  </a:graphic>
                                </wp:inline>
                              </w:drawing>
                            </w:r>
                            <w:r w:rsidR="000A651C">
                              <w:rPr>
                                <w:noProof/>
                                <w:lang w:val="en-GB" w:eastAsia="en-GB"/>
                              </w:rPr>
                              <w:drawing>
                                <wp:inline distT="0" distB="0" distL="0" distR="0" wp14:anchorId="0970A5EB" wp14:editId="05A69FBA">
                                  <wp:extent cx="3132000" cy="239682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5_imag_perm_xylene_test_loglo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2000" cy="2396820"/>
                                          </a:xfrm>
                                          <a:prstGeom prst="rect">
                                            <a:avLst/>
                                          </a:prstGeom>
                                        </pic:spPr>
                                      </pic:pic>
                                    </a:graphicData>
                                  </a:graphic>
                                </wp:inline>
                              </w:drawing>
                            </w:r>
                          </w:p>
                          <w:p w14:paraId="5C3E2629" w14:textId="77777777" w:rsidR="00EB2C3E" w:rsidRDefault="00EB2C3E" w:rsidP="00EB2C3E">
                            <w:pPr>
                              <w:pStyle w:val="FootnoteText"/>
                              <w:ind w:firstLine="0"/>
                              <w:jc w:val="center"/>
                              <w:rPr>
                                <w:b/>
                                <w:bCs/>
                              </w:rPr>
                            </w:pPr>
                            <w:r>
                              <w:rPr>
                                <w:rFonts w:ascii="Arial" w:hAnsi="Arial" w:cs="Arial"/>
                                <w:b/>
                                <w:bCs/>
                              </w:rPr>
                              <w:t>Figure 5.</w:t>
                            </w:r>
                            <w:r>
                              <w:rPr>
                                <w:b/>
                                <w:bCs/>
                              </w:rPr>
                              <w:t xml:space="preserve"> </w:t>
                            </w:r>
                            <w:r w:rsidRPr="00F7226B">
                              <w:t>The real relative permittivity of the composites containing (a) 2.5 wt. % and (b) 5 wt. % organoclay and the imaginary permittivity of the composites containing (c) 2.5 wt. % and (d) 5 wt. organoclay after different time intervals of immersion in xylene.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4D51F" id="Text Box 27" o:spid="_x0000_s1033" type="#_x0000_t202" style="position:absolute;left:0;text-align:left;margin-left:-1.75pt;margin-top:1.05pt;width:512.5pt;height:401.9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" o:allowoverlap="f" stroked="f">
                <v:textbox inset="0,0,0,0">
                  <w:txbxContent>
                    <w:p w14:paraId="26981CC8" w14:textId="03F4B880" w:rsidR="003C004F" w:rsidRDefault="003C004F" w:rsidP="003C004F">
                      <w:pPr>
                        <w:pStyle w:val="FootnoteText"/>
                        <w:ind w:left="404" w:hanging="404"/>
                        <w:jc w:val="center"/>
                      </w:pPr>
                      <w:r>
                        <w:t xml:space="preserve">        </w:t>
                      </w:r>
                      <w:r w:rsidR="000A651C">
                        <w:rPr>
                          <w:noProof/>
                          <w:lang w:val="en-GB" w:eastAsia="en-GB"/>
                        </w:rPr>
                        <w:drawing>
                          <wp:inline distT="0" distB="0" distL="0" distR="0" wp14:anchorId="5713925A" wp14:editId="24E269E7">
                            <wp:extent cx="3132000" cy="239660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2.5_slnb_re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000" cy="2396605"/>
                                    </a:xfrm>
                                    <a:prstGeom prst="rect">
                                      <a:avLst/>
                                    </a:prstGeom>
                                  </pic:spPr>
                                </pic:pic>
                              </a:graphicData>
                            </a:graphic>
                          </wp:inline>
                        </w:drawing>
                      </w:r>
                      <w:r w:rsidR="000A651C">
                        <w:rPr>
                          <w:noProof/>
                          <w:lang w:val="en-GB" w:eastAsia="en-GB"/>
                        </w:rPr>
                        <w:drawing>
                          <wp:inline distT="0" distB="0" distL="0" distR="0" wp14:anchorId="6443F62D" wp14:editId="1E47FB82">
                            <wp:extent cx="3132000" cy="23966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5_slnb_re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000" cy="2396605"/>
                                    </a:xfrm>
                                    <a:prstGeom prst="rect">
                                      <a:avLst/>
                                    </a:prstGeom>
                                  </pic:spPr>
                                </pic:pic>
                              </a:graphicData>
                            </a:graphic>
                          </wp:inline>
                        </w:drawing>
                      </w:r>
                      <w:r w:rsidR="000A651C">
                        <w:rPr>
                          <w:noProof/>
                          <w:lang w:val="en-GB" w:eastAsia="en-GB"/>
                        </w:rPr>
                        <w:drawing>
                          <wp:inline distT="0" distB="0" distL="0" distR="0" wp14:anchorId="5CB18DAC" wp14:editId="092F56F6">
                            <wp:extent cx="2988696" cy="2396009"/>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25_imag_perm_xylene_test_loglog.png"/>
                                    <pic:cNvPicPr/>
                                  </pic:nvPicPr>
                                  <pic:blipFill rotWithShape="1">
                                    <a:blip r:embed="rId26" cstate="print">
                                      <a:extLst>
                                        <a:ext uri="{28A0092B-C50C-407E-A947-70E740481C1C}">
                                          <a14:useLocalDpi xmlns:a14="http://schemas.microsoft.com/office/drawing/2010/main" val="0"/>
                                        </a:ext>
                                      </a:extLst>
                                    </a:blip>
                                    <a:srcRect r="4542"/>
                                    <a:stretch/>
                                  </pic:blipFill>
                                  <pic:spPr bwMode="auto">
                                    <a:xfrm>
                                      <a:off x="0" y="0"/>
                                      <a:ext cx="2989707" cy="2396820"/>
                                    </a:xfrm>
                                    <a:prstGeom prst="rect">
                                      <a:avLst/>
                                    </a:prstGeom>
                                    <a:ln>
                                      <a:noFill/>
                                    </a:ln>
                                    <a:extLst>
                                      <a:ext uri="{53640926-AAD7-44D8-BBD7-CCE9431645EC}">
                                        <a14:shadowObscured xmlns:a14="http://schemas.microsoft.com/office/drawing/2010/main"/>
                                      </a:ext>
                                    </a:extLst>
                                  </pic:spPr>
                                </pic:pic>
                              </a:graphicData>
                            </a:graphic>
                          </wp:inline>
                        </w:drawing>
                      </w:r>
                      <w:r w:rsidR="000A651C">
                        <w:rPr>
                          <w:noProof/>
                          <w:lang w:val="en-GB" w:eastAsia="en-GB"/>
                        </w:rPr>
                        <w:drawing>
                          <wp:inline distT="0" distB="0" distL="0" distR="0" wp14:anchorId="0970A5EB" wp14:editId="05A69FBA">
                            <wp:extent cx="3132000" cy="239682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5_imag_perm_xylene_test_loglo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2000" cy="2396820"/>
                                    </a:xfrm>
                                    <a:prstGeom prst="rect">
                                      <a:avLst/>
                                    </a:prstGeom>
                                  </pic:spPr>
                                </pic:pic>
                              </a:graphicData>
                            </a:graphic>
                          </wp:inline>
                        </w:drawing>
                      </w:r>
                    </w:p>
                    <w:p w14:paraId="5C3E2629" w14:textId="77777777" w:rsidR="00EB2C3E" w:rsidRDefault="00EB2C3E" w:rsidP="00EB2C3E">
                      <w:pPr>
                        <w:pStyle w:val="FootnoteText"/>
                        <w:ind w:firstLine="0"/>
                        <w:jc w:val="center"/>
                        <w:rPr>
                          <w:b/>
                          <w:bCs/>
                        </w:rPr>
                      </w:pPr>
                      <w:r>
                        <w:rPr>
                          <w:rFonts w:ascii="Arial" w:hAnsi="Arial" w:cs="Arial"/>
                          <w:b/>
                          <w:bCs/>
                        </w:rPr>
                        <w:t>Figure 5.</w:t>
                      </w:r>
                      <w:r>
                        <w:rPr>
                          <w:b/>
                          <w:bCs/>
                        </w:rPr>
                        <w:t xml:space="preserve"> </w:t>
                      </w:r>
                      <w:r w:rsidRPr="00F7226B">
                        <w:t>The real relative permittivity of the composites containing (a) 2.5 wt. % and (b) 5 wt. % organoclay and the imaginary permittivity of the composites containing (c) 2.5 wt. % and (d) 5 wt. organoclay after different time intervals of immersion in xylene.</w:t>
                      </w:r>
                    </w:p>
                  </w:txbxContent>
                </v:textbox>
                <w10:wrap type="topAndBottom" anchorx="margin" anchory="margin"/>
                <w10:anchorlock/>
              </v:shape>
            </w:pict>
          </mc:Fallback>
        </mc:AlternateContent>
      </w:r>
      <w:r w:rsidR="00E24354" w:rsidRPr="002F5155">
        <w:t>morphologically-designed polyethylene blend containing nanosilicas with different surface chemistries</w:t>
      </w:r>
      <w:r w:rsidR="00D02A53" w:rsidRPr="002F5155">
        <w:t>, which</w:t>
      </w:r>
      <w:r w:rsidR="00E24354" w:rsidRPr="002F5155">
        <w:t xml:space="preserve"> revealed, with increasing water uptake: increased permittivity values; the development of dielectric loss processes that increased in strength and frequency. These effects were ascribed to accumulation of water molecules at nanoparticle/matrix interfaces, whereupon the variations seen are a consequence of changes in the aggregation state of the interfacial water and the different interactions that consequently result. That is, initially, water molecules are tightly bound to the polar nanoparticle surface through hydrogen bonding while, as the water content increases, the influence of direct interfacial interactions decreases as more loosely bound water structures form. These are, consequently, </w:t>
      </w:r>
      <w:r w:rsidR="00C550EC" w:rsidRPr="002F5155">
        <w:t>characterized</w:t>
      </w:r>
      <w:r w:rsidR="00E24354" w:rsidRPr="002F5155">
        <w:t xml:space="preserve"> by the associated peaks being displaced to higher frequencies. In the work of Lau </w:t>
      </w:r>
      <w:r w:rsidR="00E24354" w:rsidRPr="002F5155">
        <w:rPr>
          <w:i/>
        </w:rPr>
        <w:t>et al.</w:t>
      </w:r>
      <w:r w:rsidR="004805B7" w:rsidRPr="002F5155">
        <w:rPr>
          <w:i/>
        </w:rPr>
        <w:t xml:space="preserve"> </w:t>
      </w:r>
      <w:r w:rsidR="00E24354" w:rsidRPr="002F5155">
        <w:rPr>
          <w:i/>
        </w:rPr>
        <w:fldChar w:fldCharType="begin" w:fldLock="1"/>
      </w:r>
      <w:r w:rsidR="00590CA1" w:rsidRPr="002F5155">
        <w:rPr>
          <w:i/>
        </w:rPr>
        <w:instrText>ADDIN CSL_CITATION {"citationItems":[{"id":"ITEM-1","itemData":{"DOI":"10.1088/0022-3727/46/9/095303","ISSN":"0022-3727","abstract":"The dielectric response of silica-based polyethylene nanocomposites is studied by dielectric spectroscopy. The results indicate that nanocomposites absorb significantly more water than unfilled polyethylene, with the consequence that both permittivity and loss tangent increase with increasing duration of water immersion. However, appropriate surface treatment of nanosilica is found to reduce the water absorption effect and to modify the dielectric response of the nanocomposites compared with those containing untreated nanosilica. While water absorption may not be a technologically desirable characteristic, our results indicate that water molecules can act as effective dielectric probes of interfacial factors.","author":[{"dropping-particle":"","family":"Lau","given":"K Y","non-dropping-particle":"","parse-names":false,"suffix":""},{"dropping-particle":"","family":"Vaughan","given":"A S","non-dropping-particle":"","parse-names":false,"suffix":""},{"dropping-particle":"","family":"Chen","given":"G","non-dropping-particle":"","parse-names":false,"suffix":""},{"dropping-particle":"","family":"Hosier","given":"I L","non-dropping-particle":"","parse-names":false,"suffix":""},{"dropping-particle":"","family":"Holt","given":"a F","non-dropping-particle":"","parse-names":false,"suffix":""}],"container-title":"Journal of Physics D: Applied Physics","id":"ITEM-1","issue":"9","issued":{"date-parts":[["2013"]]},"title":"On the dielectric response of silica-based polyethylene nanocomposites","type":"article-journal","volume":"46"},"uris":["http://www.mendeley.com/documents/?uuid=7b2d356f-3cbf-4aad-b67c-6ac96aaf2e3a"]}],"mendeley":{"formattedCitation":"[13]","plainTextFormattedCitation":"[13]","previouslyFormattedCitation":"[13]"},"properties":{"noteIndex":0},"schema":"https://github.com/citation-style-language/schema/raw/master/csl-citation.json"}</w:instrText>
      </w:r>
      <w:r w:rsidR="00E24354" w:rsidRPr="002F5155">
        <w:rPr>
          <w:i/>
        </w:rPr>
        <w:fldChar w:fldCharType="separate"/>
      </w:r>
      <w:r w:rsidR="000F43C1" w:rsidRPr="002F5155">
        <w:rPr>
          <w:noProof/>
        </w:rPr>
        <w:t>[13]</w:t>
      </w:r>
      <w:r w:rsidR="00E24354" w:rsidRPr="002F5155">
        <w:rPr>
          <w:i/>
        </w:rPr>
        <w:fldChar w:fldCharType="end"/>
      </w:r>
      <w:r w:rsidR="00E24354" w:rsidRPr="002F5155">
        <w:t>, the absorbed species directly interacts with the applied electric field</w:t>
      </w:r>
      <w:r w:rsidR="00D02A53" w:rsidRPr="002F5155">
        <w:t>,</w:t>
      </w:r>
      <w:r w:rsidR="00E24354" w:rsidRPr="002F5155">
        <w:t xml:space="preserve"> the reduction in the frequency of the response from the </w:t>
      </w:r>
      <w:r w:rsidR="00C550EC" w:rsidRPr="002F5155">
        <w:t>characteri</w:t>
      </w:r>
      <w:r w:rsidR="00EB66FC" w:rsidRPr="002F5155">
        <w:t>stic</w:t>
      </w:r>
      <w:r w:rsidR="00E24354" w:rsidRPr="002F5155">
        <w:t xml:space="preserve"> dielectric response of free water</w:t>
      </w:r>
      <w:r w:rsidR="00EB66FC" w:rsidRPr="002F5155">
        <w:t xml:space="preserve"> in the GHz range</w:t>
      </w:r>
      <w:r w:rsidR="00E24354" w:rsidRPr="002F5155">
        <w:t xml:space="preserve">, to values in the hertz to kilohertz range </w:t>
      </w:r>
      <w:r w:rsidR="00D02A53" w:rsidRPr="002F5155">
        <w:t xml:space="preserve">being </w:t>
      </w:r>
      <w:r w:rsidR="0020298B" w:rsidRPr="002F5155">
        <w:t>due</w:t>
      </w:r>
      <w:r w:rsidR="00E24354" w:rsidRPr="002F5155">
        <w:t xml:space="preserve"> to local environmental effects. While the data shown in Figure 5 exhibit certain parallels, </w:t>
      </w:r>
      <w:r w:rsidR="00D02A53" w:rsidRPr="002F5155">
        <w:rPr>
          <w:i/>
        </w:rPr>
        <w:t>in toto</w:t>
      </w:r>
      <w:r w:rsidR="00D02A53" w:rsidRPr="002F5155">
        <w:t xml:space="preserve"> </w:t>
      </w:r>
      <w:r w:rsidR="00E24354" w:rsidRPr="002F5155">
        <w:t xml:space="preserve">the data </w:t>
      </w:r>
      <w:r w:rsidR="00D02A53" w:rsidRPr="002F5155">
        <w:t xml:space="preserve">presented here </w:t>
      </w:r>
      <w:r w:rsidR="00E24354" w:rsidRPr="002F5155">
        <w:t xml:space="preserve">clearly demonstrate that the dielectric response of the overall system is not due to the presence of any single component. Rather, since the observed dielectric loss processes require the presence of </w:t>
      </w:r>
      <w:r w:rsidR="00E24354" w:rsidRPr="002F5155">
        <w:rPr>
          <w:i/>
        </w:rPr>
        <w:t>both</w:t>
      </w:r>
      <w:r w:rsidR="00E24354" w:rsidRPr="002F5155">
        <w:t xml:space="preserve"> xylene (dielectrically inactive, in isolation, from Figure 4,) and the organoclay (dielectrically inactive from Day 0 data in Figure 5), we suggest that the dielectric effects shown above occur as a result of organoclay-xylene interactions. That is, the presence of the xylene effectively solvates dipolar species in the clay so facilitating a molecular respon</w:t>
      </w:r>
      <w:r w:rsidR="0043756B" w:rsidRPr="002F5155">
        <w:t>se</w:t>
      </w:r>
      <w:r w:rsidR="00E24354" w:rsidRPr="002F5155">
        <w:t xml:space="preserve"> to the applied </w:t>
      </w:r>
      <w:r w:rsidR="00D02A53" w:rsidRPr="002F5155">
        <w:t xml:space="preserve">electric </w:t>
      </w:r>
      <w:r w:rsidR="00E24354" w:rsidRPr="002F5155">
        <w:t>field</w:t>
      </w:r>
      <w:r w:rsidR="00D02A53" w:rsidRPr="002F5155">
        <w:t xml:space="preserve">, which </w:t>
      </w:r>
      <w:r w:rsidR="00E24354" w:rsidRPr="002F5155">
        <w:t>lead</w:t>
      </w:r>
      <w:r w:rsidR="00D02A53" w:rsidRPr="002F5155">
        <w:t>s</w:t>
      </w:r>
      <w:r w:rsidR="00E24354" w:rsidRPr="002F5155">
        <w:t xml:space="preserve"> to the increased losses that are observed. In general, organoclays contain amphiphilic molecules that are introduced within the galleries, both to increase compatibility with the host matrix and to increase the interlayer spacing and, thereby, ease exfoliation</w:t>
      </w:r>
      <w:r w:rsidR="004805B7" w:rsidRPr="002F5155">
        <w:t xml:space="preserve"> </w:t>
      </w:r>
      <w:r w:rsidR="00ED7B2E" w:rsidRPr="002F5155">
        <w:fldChar w:fldCharType="begin" w:fldLock="1"/>
      </w:r>
      <w:r w:rsidR="00C430F1" w:rsidRPr="002F5155">
        <w:instrText>ADDIN CSL_CITATION {"citationItems":[{"id":"ITEM-1","itemData":{"DOI":"10.1002/app.34209","ISBN":"0124002005","ISSN":"09673911","author":[{"dropping-particle":"","family":"Prachum","given":"Yongyut","non-dropping-particle":"","parse-names":false,"suffix":""},{"dropping-particle":"","family":"Strauss","given":"Roman H. A.","non-dropping-particle":"","parse-names":false,"suffix":""},{"dropping-particle":"","family":"Kiatkamjornwong","given":"Suda","non-dropping-particle":"","parse-names":false,"suffix":""}],"container-title":"Journal of Applied Polymer Science","id":"ITEM-1","issued":{"date-parts":[["2011"]]},"page":"1066-1076","title":"The Physical and Mechanical Properties of Beta-Nucleated Polypropylene/Montmorillonite Nanocomposites","type":"article-journal","volume":"122"},"uris":["http://www.mendeley.com/documents/?uuid=97725ecd-1e50-4241-a1c9-b757938c2db7"]}],"mendeley":{"formattedCitation":"[7]","plainTextFormattedCitation":"[7]","previouslyFormattedCitation":"[7]"},"properties":{"noteIndex":0},"schema":"https://github.com/citation-style-language/schema/raw/master/csl-citation.json"}</w:instrText>
      </w:r>
      <w:r w:rsidR="00ED7B2E" w:rsidRPr="002F5155">
        <w:fldChar w:fldCharType="separate"/>
      </w:r>
      <w:r w:rsidR="00774D3E" w:rsidRPr="002F5155">
        <w:rPr>
          <w:noProof/>
        </w:rPr>
        <w:t>[7]</w:t>
      </w:r>
      <w:r w:rsidR="00ED7B2E" w:rsidRPr="002F5155">
        <w:fldChar w:fldCharType="end"/>
      </w:r>
      <w:r w:rsidR="00E24354" w:rsidRPr="002F5155">
        <w:t>.</w:t>
      </w:r>
      <w:r w:rsidR="00412A54" w:rsidRPr="002F5155">
        <w:t xml:space="preserve"> </w:t>
      </w:r>
      <w:r w:rsidR="00E24354" w:rsidRPr="002F5155">
        <w:t xml:space="preserve">As such, we suggest a potential molecular explanation for </w:t>
      </w:r>
      <w:r w:rsidR="00D02A53" w:rsidRPr="002F5155">
        <w:t xml:space="preserve">the </w:t>
      </w:r>
      <w:r w:rsidR="00E24354" w:rsidRPr="002F5155">
        <w:t>increased losses seen in Fig</w:t>
      </w:r>
      <w:r w:rsidR="008558E5" w:rsidRPr="002F5155">
        <w:t>ure</w:t>
      </w:r>
      <w:r w:rsidR="00E24354" w:rsidRPr="002F5155">
        <w:t xml:space="preserve"> 5</w:t>
      </w:r>
      <w:r w:rsidR="00D02A53" w:rsidRPr="002F5155">
        <w:t xml:space="preserve">, namely, that they stem from </w:t>
      </w:r>
      <w:r w:rsidR="00E24354" w:rsidRPr="002F5155">
        <w:t xml:space="preserve">solvation of the </w:t>
      </w:r>
      <w:r w:rsidR="00AB77C9" w:rsidRPr="002F5155">
        <w:t>compatibili</w:t>
      </w:r>
      <w:r w:rsidR="007D17F8" w:rsidRPr="002F5155">
        <w:t>z</w:t>
      </w:r>
      <w:r w:rsidR="00AB77C9" w:rsidRPr="002F5155">
        <w:t>er</w:t>
      </w:r>
      <w:r w:rsidR="00E24354" w:rsidRPr="002F5155">
        <w:t xml:space="preserve"> by the absorbed xylene.</w:t>
      </w:r>
      <w:r w:rsidR="008701A5" w:rsidRPr="002F5155">
        <w:t xml:space="preserve"> </w:t>
      </w:r>
      <w:r w:rsidR="00D02A53" w:rsidRPr="002F5155">
        <w:t xml:space="preserve">While we do not preclude the possibility of </w:t>
      </w:r>
      <w:r w:rsidR="002532CB" w:rsidRPr="002F5155">
        <w:t>solvation of ions also leading to some increased charge transport, both as a result of the frequency dependence of the low frequency losses seen h</w:t>
      </w:r>
      <w:r w:rsidR="00B73A63" w:rsidRPr="002F5155">
        <w:t>e</w:t>
      </w:r>
      <w:r w:rsidR="002532CB" w:rsidRPr="002F5155">
        <w:t xml:space="preserve">re and in the light of other published work </w:t>
      </w:r>
      <w:r w:rsidR="00E3049E" w:rsidRPr="002F5155">
        <w:fldChar w:fldCharType="begin" w:fldLock="1"/>
      </w:r>
      <w:r w:rsidR="003E2FCD" w:rsidRPr="002F5155">
        <w:instrText>ADDIN CSL_CITATION {"citationItems":[{"id":"ITEM-1","itemData":{"DOI":"10.1109/ICSD.2010.5568047","ISBN":"978-1-4244-7945-0","abstract":"Polymer nanocomposites typically consist of inorganic particles dispersed in a polymer matrix. Layered-silicate-based polymer nanocomposites have great potential as low-cost, high-performance materials with various engineering applications. They exhibit enhanced mechanical, thermal, and electrical properties compared with their macro-and micro-counterparts. Polypropylene (PP) exhibits good hardness, thermal, and electrical properties and provides outstanding resistance to moisture and chemicals such as grease, detergent, and oils. In addition to this, PP provides good resistance to fatigue, environmental stress, and cracking. It is commonly used as an insulating material in power capacitors and cable wraps. Natural montmorillonite (MMT) is a commonly-used layered silicate filler. Nanocomposites formed from isotactic polypropylene (iPP) filled with MMT are candidates for power cable insulation materials with enhanced properties. In this work, the a. c. dielectric permittivity and losses of iPP-based nanocomposites, filled with 2% and 6% by weight of Cloisite 20A nanoclay with natural MMT, have been investigated. Measurements were made using a Novocontrol dielectric spectrometer with sample cell BDS1200 housed in a temperature-controlled chamber, in the frequency range 10(-2) to 10(6) Hz at temperatures 25, 50, 75, 100 and 125 degrees C. The nanocomposites show increased permittivity and loss factor compared with unfilled iPP, attributed to the appearance of two thermally-activated relaxation processes in this frequency range. The mechanisms underlying these relaxation processes will be discussed, along with observations of other parameters such as glass transition temperature and melting temperature, and their relation to the percentage of nanoclay filler.","author":[{"dropping-particle":"","family":"Izci","given":"E.","non-dropping-particle":"","parse-names":false,"suffix":""},{"dropping-particle":"","family":"Bowler","given":"N.","non-dropping-particle":"","parse-names":false,"suffix":""}],"container-title":"Procedings of the 2010 IEEE International Conference on Solid Dielectrics (ICSD 2010)","id":"ITEM-1","issued":{"date-parts":[["2010"]]},"page":"1-4","publisher":"IEEE","publisher-place":"Potsdam, Germany","title":"Dielectric Properties of Isotactic Polypropylene and Montmorillonite Nanocomposites","type":"paper-conference"},"uris":["http://www.mendeley.com/documents/?uuid=0914bfd6-a34d-42e2-85f8-e0e6a9b682ef"]},{"id":"ITEM-2","itemData":{"DOI":"10.1155/2013/138457","author":[{"dropping-particle":"","family":"Zazoum","given":"B","non-dropping-particle":"","parse-names":false,"suffix":""},{"dropping-particle":"","family":"David","given":"E","non-dropping-particle":"","parse-names":false,"suffix":""},{"dropping-particle":"","family":"Ngô","given":"A D","non-dropping-particle":"","parse-names":false,"suffix":""}],"container-title":"Journal of Nanotechnology","id":"ITEM-2","issued":{"date-parts":[["2013"]]},"title":"LDPE / HDPE / Clay Nanocomposites : Effects of Compatibilizer on the Structure and Dielectric Response","type":"article-journal"},"uris":["http://www.mendeley.com/documents/?uuid=35a5be53-0de5-404a-9a78-9e70d141458e"]}],"mendeley":{"formattedCitation":"[22], [23]","plainTextFormattedCitation":"[22], [23]","previouslyFormattedCitation":"[22], [23]"},"properties":{"noteIndex":0},"schema":"https://github.com/citation-style-language/schema/raw/master/csl-citation.json"}</w:instrText>
      </w:r>
      <w:r w:rsidR="00E3049E" w:rsidRPr="002F5155">
        <w:fldChar w:fldCharType="separate"/>
      </w:r>
      <w:r w:rsidR="005E747C" w:rsidRPr="002F5155">
        <w:rPr>
          <w:noProof/>
        </w:rPr>
        <w:t>[22, 23]</w:t>
      </w:r>
      <w:r w:rsidR="00E3049E" w:rsidRPr="002F5155">
        <w:fldChar w:fldCharType="end"/>
      </w:r>
      <w:r w:rsidR="002532CB" w:rsidRPr="002F5155">
        <w:t>, we do not believe that solvent mediated ionic conduction is the dominant process.</w:t>
      </w:r>
    </w:p>
    <w:p w14:paraId="752F80DA" w14:textId="6636F6D8" w:rsidR="00572D31" w:rsidRPr="002F5155" w:rsidRDefault="00106A39" w:rsidP="00572D31">
      <w:pPr>
        <w:pStyle w:val="Heading2"/>
        <w:numPr>
          <w:ilvl w:val="0"/>
          <w:numId w:val="0"/>
        </w:numPr>
        <w:jc w:val="center"/>
        <w:rPr>
          <w:rFonts w:ascii="Arial" w:hAnsi="Arial"/>
          <w:b/>
          <w:bCs/>
          <w:i w:val="0"/>
          <w:caps/>
        </w:rPr>
      </w:pPr>
      <w:r w:rsidRPr="002F5155">
        <w:rPr>
          <w:noProof/>
          <w:lang w:val="en-GB" w:eastAsia="en-GB"/>
        </w:rPr>
        <mc:AlternateContent>
          <mc:Choice Requires="wps">
            <w:drawing>
              <wp:anchor distT="0" distB="0" distL="114300" distR="114300" simplePos="0" relativeHeight="251666432" behindDoc="1" locked="1" layoutInCell="1" allowOverlap="0" wp14:anchorId="1E9CB69D" wp14:editId="77EA7E0B">
                <wp:simplePos x="0" y="0"/>
                <wp:positionH relativeFrom="page">
                  <wp:posOffset>4140200</wp:posOffset>
                </wp:positionH>
                <wp:positionV relativeFrom="margin">
                  <wp:posOffset>0</wp:posOffset>
                </wp:positionV>
                <wp:extent cx="2962275" cy="2997200"/>
                <wp:effectExtent l="0" t="0" r="9525"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9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A9A26" w14:textId="1A73E1AA" w:rsidR="009213D8" w:rsidRDefault="009213D8" w:rsidP="009213D8">
                            <w:pPr>
                              <w:pStyle w:val="FootnoteText"/>
                              <w:ind w:firstLine="0"/>
                              <w:jc w:val="center"/>
                            </w:pPr>
                            <w:r>
                              <w:rPr>
                                <w:noProof/>
                                <w:lang w:val="en-GB" w:eastAsia="en-GB"/>
                              </w:rPr>
                              <w:drawing>
                                <wp:inline distT="0" distB="0" distL="0" distR="0" wp14:anchorId="6AA4F65F" wp14:editId="49637E77">
                                  <wp:extent cx="2800333" cy="2625328"/>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ibull_2.5_xylene_paper.png"/>
                                          <pic:cNvPicPr/>
                                        </pic:nvPicPr>
                                        <pic:blipFill rotWithShape="1">
                                          <a:blip r:embed="rId28">
                                            <a:extLst>
                                              <a:ext uri="{28A0092B-C50C-407E-A947-70E740481C1C}">
                                                <a14:useLocalDpi xmlns:a14="http://schemas.microsoft.com/office/drawing/2010/main" val="0"/>
                                              </a:ext>
                                            </a:extLst>
                                          </a:blip>
                                          <a:srcRect l="3976" t="7817" r="6554" b="5357"/>
                                          <a:stretch/>
                                        </pic:blipFill>
                                        <pic:spPr bwMode="auto">
                                          <a:xfrm>
                                            <a:off x="0" y="0"/>
                                            <a:ext cx="2810281" cy="2634654"/>
                                          </a:xfrm>
                                          <a:prstGeom prst="rect">
                                            <a:avLst/>
                                          </a:prstGeom>
                                          <a:ln>
                                            <a:noFill/>
                                          </a:ln>
                                          <a:extLst>
                                            <a:ext uri="{53640926-AAD7-44D8-BBD7-CCE9431645EC}">
                                              <a14:shadowObscured xmlns:a14="http://schemas.microsoft.com/office/drawing/2010/main"/>
                                            </a:ext>
                                          </a:extLst>
                                        </pic:spPr>
                                      </pic:pic>
                                    </a:graphicData>
                                  </a:graphic>
                                </wp:inline>
                              </w:drawing>
                            </w:r>
                          </w:p>
                          <w:p w14:paraId="7AB88D3A" w14:textId="756844BC" w:rsidR="009213D8" w:rsidRDefault="009213D8" w:rsidP="009213D8">
                            <w:pPr>
                              <w:pStyle w:val="FootnoteText"/>
                              <w:ind w:firstLine="0"/>
                              <w:jc w:val="center"/>
                              <w:rPr>
                                <w:b/>
                                <w:bCs/>
                              </w:rPr>
                            </w:pPr>
                            <w:r>
                              <w:rPr>
                                <w:rFonts w:ascii="Arial" w:hAnsi="Arial" w:cs="Arial"/>
                                <w:b/>
                                <w:bCs/>
                              </w:rPr>
                              <w:t>Figure 6.</w:t>
                            </w:r>
                            <w:r>
                              <w:rPr>
                                <w:b/>
                                <w:bCs/>
                              </w:rPr>
                              <w:t xml:space="preserve"> </w:t>
                            </w:r>
                            <w:r w:rsidRPr="009213D8">
                              <w:t>Representative Weibull plots, here comparing data obtained from the PP/EVA9-20/2.5/Y sample set.</w:t>
                            </w:r>
                            <w:r w:rsidR="00106A39">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B69D" id="Text Box 12" o:spid="_x0000_s1034" type="#_x0000_t202" style="position:absolute;left:0;text-align:left;margin-left:326pt;margin-top:0;width:233.25pt;height:23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fQIAAAk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" o:allowoverlap="f" stroked="f">
                <v:textbox inset="0,0,0,0">
                  <w:txbxContent>
                    <w:p w14:paraId="7DBA9A26" w14:textId="1A73E1AA" w:rsidR="009213D8" w:rsidRDefault="009213D8" w:rsidP="009213D8">
                      <w:pPr>
                        <w:pStyle w:val="FootnoteText"/>
                        <w:ind w:firstLine="0"/>
                        <w:jc w:val="center"/>
                      </w:pPr>
                      <w:r>
                        <w:rPr>
                          <w:noProof/>
                          <w:lang w:val="en-GB" w:eastAsia="en-GB"/>
                        </w:rPr>
                        <w:drawing>
                          <wp:inline distT="0" distB="0" distL="0" distR="0" wp14:anchorId="6AA4F65F" wp14:editId="49637E77">
                            <wp:extent cx="2800333" cy="2625328"/>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ibull_2.5_xylene_paper.png"/>
                                    <pic:cNvPicPr/>
                                  </pic:nvPicPr>
                                  <pic:blipFill rotWithShape="1">
                                    <a:blip r:embed="rId29">
                                      <a:extLst>
                                        <a:ext uri="{28A0092B-C50C-407E-A947-70E740481C1C}">
                                          <a14:useLocalDpi xmlns:a14="http://schemas.microsoft.com/office/drawing/2010/main" val="0"/>
                                        </a:ext>
                                      </a:extLst>
                                    </a:blip>
                                    <a:srcRect l="3976" t="7817" r="6554" b="5357"/>
                                    <a:stretch/>
                                  </pic:blipFill>
                                  <pic:spPr bwMode="auto">
                                    <a:xfrm>
                                      <a:off x="0" y="0"/>
                                      <a:ext cx="2810281" cy="2634654"/>
                                    </a:xfrm>
                                    <a:prstGeom prst="rect">
                                      <a:avLst/>
                                    </a:prstGeom>
                                    <a:ln>
                                      <a:noFill/>
                                    </a:ln>
                                    <a:extLst>
                                      <a:ext uri="{53640926-AAD7-44D8-BBD7-CCE9431645EC}">
                                        <a14:shadowObscured xmlns:a14="http://schemas.microsoft.com/office/drawing/2010/main"/>
                                      </a:ext>
                                    </a:extLst>
                                  </pic:spPr>
                                </pic:pic>
                              </a:graphicData>
                            </a:graphic>
                          </wp:inline>
                        </w:drawing>
                      </w:r>
                    </w:p>
                    <w:p w14:paraId="7AB88D3A" w14:textId="756844BC" w:rsidR="009213D8" w:rsidRDefault="009213D8" w:rsidP="009213D8">
                      <w:pPr>
                        <w:pStyle w:val="FootnoteText"/>
                        <w:ind w:firstLine="0"/>
                        <w:jc w:val="center"/>
                        <w:rPr>
                          <w:b/>
                          <w:bCs/>
                        </w:rPr>
                      </w:pPr>
                      <w:r>
                        <w:rPr>
                          <w:rFonts w:ascii="Arial" w:hAnsi="Arial" w:cs="Arial"/>
                          <w:b/>
                          <w:bCs/>
                        </w:rPr>
                        <w:t>Figure 6.</w:t>
                      </w:r>
                      <w:r>
                        <w:rPr>
                          <w:b/>
                          <w:bCs/>
                        </w:rPr>
                        <w:t xml:space="preserve"> </w:t>
                      </w:r>
                      <w:r w:rsidRPr="009213D8">
                        <w:t>Representative Weibull plots, here comparing data obtained from the PP/EVA9-20/2.5/Y sample set.</w:t>
                      </w:r>
                      <w:r w:rsidR="00106A39">
                        <w:t xml:space="preserve"> </w:t>
                      </w:r>
                    </w:p>
                  </w:txbxContent>
                </v:textbox>
                <w10:wrap type="topAndBottom" anchorx="page" anchory="margin"/>
                <w10:anchorlock/>
              </v:shape>
            </w:pict>
          </mc:Fallback>
        </mc:AlternateContent>
      </w:r>
      <w:r w:rsidR="00572D31" w:rsidRPr="002F5155">
        <w:rPr>
          <w:rFonts w:ascii="Arial" w:hAnsi="Arial"/>
          <w:b/>
          <w:bCs/>
          <w:i w:val="0"/>
          <w:caps/>
        </w:rPr>
        <w:t xml:space="preserve">3.3 </w:t>
      </w:r>
      <w:r w:rsidR="00AF0FA9" w:rsidRPr="002F5155">
        <w:rPr>
          <w:rFonts w:ascii="Arial" w:hAnsi="Arial"/>
          <w:b/>
          <w:bCs/>
          <w:i w:val="0"/>
          <w:caps/>
        </w:rPr>
        <w:t>dielectric breakdown</w:t>
      </w:r>
    </w:p>
    <w:p w14:paraId="45D80063" w14:textId="7BAE0EA2" w:rsidR="00E24354" w:rsidRPr="002F5155" w:rsidRDefault="00E24354" w:rsidP="00E24354">
      <w:pPr>
        <w:ind w:firstLine="202"/>
        <w:jc w:val="both"/>
      </w:pPr>
      <w:r w:rsidRPr="002F5155">
        <w:t>Figure 6 contains representative AC breakdown data obtained from the three PP/EVA9-20/2.5/Y specimens, presented in the form of Weibull plots</w:t>
      </w:r>
      <w:r w:rsidR="00DF3C80" w:rsidRPr="002F5155">
        <w:t>. P</w:t>
      </w:r>
      <w:r w:rsidRPr="002F5155">
        <w:t xml:space="preserve">arameters derived from such an analysis for all systems </w:t>
      </w:r>
      <w:r w:rsidR="00DF3C80" w:rsidRPr="002F5155">
        <w:t xml:space="preserve">considered here </w:t>
      </w:r>
      <w:r w:rsidRPr="002F5155">
        <w:t xml:space="preserve">are </w:t>
      </w:r>
      <w:r w:rsidR="007A7589" w:rsidRPr="002F5155">
        <w:t>listed</w:t>
      </w:r>
      <w:r w:rsidRPr="002F5155">
        <w:t xml:space="preserve"> in Table </w:t>
      </w:r>
      <w:r w:rsidR="00FA282B" w:rsidRPr="002F5155">
        <w:t>1</w:t>
      </w:r>
      <w:r w:rsidR="00DF3C80" w:rsidRPr="002F5155">
        <w:t>, where</w:t>
      </w:r>
      <w:r w:rsidRPr="002F5155">
        <w:t xml:space="preserve"> the quoted uncertaint</w:t>
      </w:r>
      <w:r w:rsidR="00DF3C80" w:rsidRPr="002F5155">
        <w:t>y</w:t>
      </w:r>
      <w:r w:rsidRPr="002F5155">
        <w:t xml:space="preserve"> in the Weibull scale parameter correspond</w:t>
      </w:r>
      <w:r w:rsidR="00DF3C80" w:rsidRPr="002F5155">
        <w:t>s</w:t>
      </w:r>
      <w:r w:rsidRPr="002F5155">
        <w:t xml:space="preserve"> to </w:t>
      </w:r>
      <w:r w:rsidR="00DF3C80" w:rsidRPr="002F5155">
        <w:t xml:space="preserve">the </w:t>
      </w:r>
      <w:r w:rsidRPr="002F5155">
        <w:t>90</w:t>
      </w:r>
      <w:r w:rsidR="00CB7DD5" w:rsidRPr="002F5155">
        <w:t xml:space="preserve"> </w:t>
      </w:r>
      <w:r w:rsidRPr="002F5155">
        <w:t>% confidence interval.</w:t>
      </w:r>
    </w:p>
    <w:p w14:paraId="49867993" w14:textId="2908C042" w:rsidR="00E24354" w:rsidRPr="002F5155" w:rsidRDefault="00E24354" w:rsidP="005312F0">
      <w:pPr>
        <w:ind w:firstLine="202"/>
        <w:jc w:val="both"/>
      </w:pPr>
      <w:r w:rsidRPr="002F5155">
        <w:t>In the case of the unfilled samples, the variation in breakdown strength is comparable to the uncertainties in these measurements, which indicates that, in isolation, the presence of the xylene in PP/EVA9-20/0/I does not significantly affect the breakdown strength. However, in the systems containing the organoclay, the presence of xylene, which in the unfilled system is benign, leads to a significant reduction in breakdown strength, indicating that interactions between the xylene and the organoclay serve to promote a mechanism that causes breakdown to occur at a</w:t>
      </w:r>
      <w:r w:rsidR="00CB7DD5" w:rsidRPr="002F5155">
        <w:t xml:space="preserve"> reduced electric field. This phenomenon is </w:t>
      </w:r>
      <w:r w:rsidRPr="002F5155">
        <w:t xml:space="preserve">similar to work described </w:t>
      </w:r>
      <w:r w:rsidR="00395EA0" w:rsidRPr="002F5155">
        <w:rPr>
          <w:b/>
          <w:noProof/>
          <w:lang w:val="en-GB" w:eastAsia="en-GB"/>
        </w:rPr>
        <mc:AlternateContent>
          <mc:Choice Requires="wps">
            <w:drawing>
              <wp:anchor distT="0" distB="0" distL="114300" distR="114300" simplePos="0" relativeHeight="251676672" behindDoc="0" locked="1" layoutInCell="1" allowOverlap="1" wp14:anchorId="754E4A4E" wp14:editId="6087AFA4">
                <wp:simplePos x="0" y="0"/>
                <wp:positionH relativeFrom="margin">
                  <wp:posOffset>-1905</wp:posOffset>
                </wp:positionH>
                <wp:positionV relativeFrom="margin">
                  <wp:posOffset>6781800</wp:posOffset>
                </wp:positionV>
                <wp:extent cx="3235960" cy="1824355"/>
                <wp:effectExtent l="0" t="0" r="2540" b="44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82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06ADA" w14:textId="35923302" w:rsidR="00395EA0" w:rsidRDefault="00395EA0" w:rsidP="00395EA0">
                            <w:pPr>
                              <w:pStyle w:val="TableTitle"/>
                              <w:rPr>
                                <w:smallCaps w:val="0"/>
                              </w:rPr>
                            </w:pPr>
                            <w:r>
                              <w:rPr>
                                <w:rFonts w:ascii="Arial" w:hAnsi="Arial" w:cs="Arial"/>
                                <w:b/>
                                <w:bCs/>
                                <w:smallCaps w:val="0"/>
                              </w:rPr>
                              <w:t xml:space="preserve">Table </w:t>
                            </w:r>
                            <w:r w:rsidR="00FA282B">
                              <w:rPr>
                                <w:rFonts w:ascii="Arial" w:hAnsi="Arial" w:cs="Arial"/>
                                <w:b/>
                                <w:bCs/>
                                <w:smallCaps w:val="0"/>
                              </w:rPr>
                              <w:t>1</w:t>
                            </w:r>
                            <w:r>
                              <w:rPr>
                                <w:rFonts w:ascii="Arial" w:hAnsi="Arial" w:cs="Arial"/>
                                <w:b/>
                                <w:bCs/>
                                <w:smallCaps w:val="0"/>
                              </w:rPr>
                              <w:t>.</w:t>
                            </w:r>
                            <w:r>
                              <w:rPr>
                                <w:b/>
                                <w:bCs/>
                                <w:smallCaps w:val="0"/>
                              </w:rPr>
                              <w:t xml:space="preserve"> </w:t>
                            </w:r>
                            <w:r w:rsidRPr="00395EA0">
                              <w:rPr>
                                <w:smallCaps w:val="0"/>
                              </w:rPr>
                              <w:t>Summary of AC Breakdown data of the samples.</w:t>
                            </w:r>
                          </w:p>
                          <w:tbl>
                            <w:tblPr>
                              <w:tblW w:w="4320" w:type="dxa"/>
                              <w:jc w:val="center"/>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2131"/>
                              <w:gridCol w:w="1094"/>
                              <w:gridCol w:w="1095"/>
                            </w:tblGrid>
                            <w:tr w:rsidR="00441695" w14:paraId="3E0B8CC9" w14:textId="0C5D7F92" w:rsidTr="00441695">
                              <w:trPr>
                                <w:trHeight w:val="440"/>
                                <w:jc w:val="center"/>
                              </w:trPr>
                              <w:tc>
                                <w:tcPr>
                                  <w:tcW w:w="2131" w:type="dxa"/>
                                  <w:tcBorders>
                                    <w:bottom w:val="single" w:sz="6" w:space="0" w:color="000000"/>
                                    <w:right w:val="single" w:sz="6" w:space="0" w:color="000000"/>
                                  </w:tcBorders>
                                  <w:vAlign w:val="center"/>
                                </w:tcPr>
                                <w:p w14:paraId="313025FB" w14:textId="566972FB" w:rsidR="00441695" w:rsidRDefault="00441695">
                                  <w:pPr>
                                    <w:jc w:val="center"/>
                                    <w:rPr>
                                      <w:sz w:val="16"/>
                                    </w:rPr>
                                  </w:pPr>
                                  <w:r>
                                    <w:rPr>
                                      <w:sz w:val="16"/>
                                    </w:rPr>
                                    <w:t>Sample</w:t>
                                  </w:r>
                                </w:p>
                              </w:tc>
                              <w:tc>
                                <w:tcPr>
                                  <w:tcW w:w="1094" w:type="dxa"/>
                                  <w:tcBorders>
                                    <w:left w:val="single" w:sz="6" w:space="0" w:color="000000"/>
                                    <w:bottom w:val="single" w:sz="6" w:space="0" w:color="000000"/>
                                  </w:tcBorders>
                                  <w:vAlign w:val="center"/>
                                </w:tcPr>
                                <w:p w14:paraId="561EABF7" w14:textId="77777777" w:rsidR="00441695" w:rsidRDefault="00441695">
                                  <w:pPr>
                                    <w:pStyle w:val="TableTitle"/>
                                    <w:rPr>
                                      <w:smallCaps w:val="0"/>
                                    </w:rPr>
                                  </w:pPr>
                                  <w:r>
                                    <w:rPr>
                                      <w:smallCaps w:val="0"/>
                                    </w:rPr>
                                    <w:t>Weibull Scale Parameter / kV/mm</w:t>
                                  </w:r>
                                </w:p>
                              </w:tc>
                              <w:tc>
                                <w:tcPr>
                                  <w:tcW w:w="1095" w:type="dxa"/>
                                  <w:tcBorders>
                                    <w:left w:val="single" w:sz="6" w:space="0" w:color="000000"/>
                                    <w:bottom w:val="single" w:sz="6" w:space="0" w:color="000000"/>
                                  </w:tcBorders>
                                  <w:vAlign w:val="center"/>
                                </w:tcPr>
                                <w:p w14:paraId="1F2DE088" w14:textId="44BFAB76" w:rsidR="00441695" w:rsidRDefault="00441695">
                                  <w:pPr>
                                    <w:pStyle w:val="TableTitle"/>
                                    <w:rPr>
                                      <w:smallCaps w:val="0"/>
                                    </w:rPr>
                                  </w:pPr>
                                  <w:r>
                                    <w:rPr>
                                      <w:smallCaps w:val="0"/>
                                    </w:rPr>
                                    <w:t>Shape Parameter</w:t>
                                  </w:r>
                                </w:p>
                              </w:tc>
                            </w:tr>
                            <w:tr w:rsidR="00441695" w14:paraId="0A1504B3" w14:textId="18357936" w:rsidTr="00441695">
                              <w:trPr>
                                <w:jc w:val="center"/>
                              </w:trPr>
                              <w:tc>
                                <w:tcPr>
                                  <w:tcW w:w="2131" w:type="dxa"/>
                                  <w:tcBorders>
                                    <w:top w:val="single" w:sz="6" w:space="0" w:color="000000"/>
                                    <w:right w:val="single" w:sz="6" w:space="0" w:color="000000"/>
                                  </w:tcBorders>
                                </w:tcPr>
                                <w:p w14:paraId="74BF159C" w14:textId="77777777" w:rsidR="00441695" w:rsidRDefault="00441695" w:rsidP="00DA223F">
                                  <w:pPr>
                                    <w:jc w:val="center"/>
                                    <w:rPr>
                                      <w:sz w:val="16"/>
                                    </w:rPr>
                                  </w:pPr>
                                  <w:r>
                                    <w:rPr>
                                      <w:sz w:val="16"/>
                                    </w:rPr>
                                    <w:t>PP/EVA9-20/0/D</w:t>
                                  </w:r>
                                </w:p>
                                <w:p w14:paraId="5C24CA84" w14:textId="5CD31C97" w:rsidR="00441695" w:rsidRDefault="00441695" w:rsidP="00DA223F">
                                  <w:pPr>
                                    <w:jc w:val="center"/>
                                    <w:rPr>
                                      <w:sz w:val="16"/>
                                    </w:rPr>
                                  </w:pPr>
                                  <w:r>
                                    <w:rPr>
                                      <w:sz w:val="16"/>
                                    </w:rPr>
                                    <w:t>PP/EVA9-20/0/I</w:t>
                                  </w:r>
                                </w:p>
                              </w:tc>
                              <w:tc>
                                <w:tcPr>
                                  <w:tcW w:w="1094" w:type="dxa"/>
                                  <w:tcBorders>
                                    <w:top w:val="single" w:sz="6" w:space="0" w:color="000000"/>
                                    <w:left w:val="single" w:sz="6" w:space="0" w:color="000000"/>
                                  </w:tcBorders>
                                </w:tcPr>
                                <w:p w14:paraId="3F5B0A59" w14:textId="1033E715" w:rsidR="00441695" w:rsidRDefault="00441695">
                                  <w:pPr>
                                    <w:pStyle w:val="TableTitle"/>
                                    <w:rPr>
                                      <w:smallCaps w:val="0"/>
                                    </w:rPr>
                                  </w:pPr>
                                  <w:r>
                                    <w:rPr>
                                      <w:smallCaps w:val="0"/>
                                    </w:rPr>
                                    <w:t>144</w:t>
                                  </w:r>
                                  <w:r w:rsidR="00EA26D3">
                                    <w:rPr>
                                      <w:smallCaps w:val="0"/>
                                    </w:rPr>
                                    <w:t xml:space="preserve"> </w:t>
                                  </w:r>
                                  <w:r>
                                    <w:rPr>
                                      <w:smallCaps w:val="0"/>
                                    </w:rPr>
                                    <w:t>±</w:t>
                                  </w:r>
                                  <w:r w:rsidR="00EA26D3">
                                    <w:rPr>
                                      <w:smallCaps w:val="0"/>
                                    </w:rPr>
                                    <w:t xml:space="preserve"> </w:t>
                                  </w:r>
                                  <w:r w:rsidR="00123704">
                                    <w:rPr>
                                      <w:smallCaps w:val="0"/>
                                    </w:rPr>
                                    <w:t>8</w:t>
                                  </w:r>
                                </w:p>
                                <w:p w14:paraId="064A18A9" w14:textId="308A3ADD" w:rsidR="00441695" w:rsidRDefault="00441695" w:rsidP="00123704">
                                  <w:pPr>
                                    <w:pStyle w:val="TableTitle"/>
                                    <w:rPr>
                                      <w:smallCaps w:val="0"/>
                                    </w:rPr>
                                  </w:pPr>
                                  <w:r>
                                    <w:rPr>
                                      <w:smallCaps w:val="0"/>
                                    </w:rPr>
                                    <w:t>140</w:t>
                                  </w:r>
                                  <w:r w:rsidR="00EA26D3">
                                    <w:rPr>
                                      <w:smallCaps w:val="0"/>
                                    </w:rPr>
                                    <w:t xml:space="preserve"> </w:t>
                                  </w:r>
                                  <w:r>
                                    <w:rPr>
                                      <w:smallCaps w:val="0"/>
                                    </w:rPr>
                                    <w:t>±</w:t>
                                  </w:r>
                                  <w:r w:rsidR="00EA26D3">
                                    <w:rPr>
                                      <w:smallCaps w:val="0"/>
                                    </w:rPr>
                                    <w:t xml:space="preserve"> </w:t>
                                  </w:r>
                                  <w:r w:rsidR="00123704">
                                    <w:rPr>
                                      <w:smallCaps w:val="0"/>
                                    </w:rPr>
                                    <w:t>6</w:t>
                                  </w:r>
                                </w:p>
                              </w:tc>
                              <w:tc>
                                <w:tcPr>
                                  <w:tcW w:w="1095" w:type="dxa"/>
                                  <w:tcBorders>
                                    <w:top w:val="single" w:sz="6" w:space="0" w:color="000000"/>
                                    <w:left w:val="single" w:sz="6" w:space="0" w:color="000000"/>
                                  </w:tcBorders>
                                </w:tcPr>
                                <w:p w14:paraId="381B75E9" w14:textId="77777777" w:rsidR="00441695" w:rsidRDefault="00441695">
                                  <w:pPr>
                                    <w:pStyle w:val="TableTitle"/>
                                    <w:rPr>
                                      <w:smallCaps w:val="0"/>
                                    </w:rPr>
                                  </w:pPr>
                                  <w:r>
                                    <w:rPr>
                                      <w:smallCaps w:val="0"/>
                                    </w:rPr>
                                    <w:t>6.9</w:t>
                                  </w:r>
                                </w:p>
                                <w:p w14:paraId="0A7A1F72" w14:textId="114A19B3" w:rsidR="00441695" w:rsidRDefault="00441695">
                                  <w:pPr>
                                    <w:pStyle w:val="TableTitle"/>
                                    <w:rPr>
                                      <w:smallCaps w:val="0"/>
                                    </w:rPr>
                                  </w:pPr>
                                  <w:r>
                                    <w:rPr>
                                      <w:smallCaps w:val="0"/>
                                    </w:rPr>
                                    <w:t>9.3</w:t>
                                  </w:r>
                                </w:p>
                              </w:tc>
                            </w:tr>
                            <w:tr w:rsidR="00441695" w14:paraId="3A2E8397" w14:textId="4C531BE8" w:rsidTr="00441695">
                              <w:trPr>
                                <w:trHeight w:val="80"/>
                                <w:jc w:val="center"/>
                              </w:trPr>
                              <w:tc>
                                <w:tcPr>
                                  <w:tcW w:w="2131" w:type="dxa"/>
                                  <w:tcBorders>
                                    <w:right w:val="single" w:sz="6" w:space="0" w:color="000000"/>
                                  </w:tcBorders>
                                </w:tcPr>
                                <w:p w14:paraId="636207EA" w14:textId="1A637F85" w:rsidR="00441695" w:rsidRDefault="00441695" w:rsidP="00DA223F">
                                  <w:pPr>
                                    <w:jc w:val="center"/>
                                    <w:rPr>
                                      <w:sz w:val="16"/>
                                    </w:rPr>
                                  </w:pPr>
                                  <w:r>
                                    <w:rPr>
                                      <w:sz w:val="16"/>
                                    </w:rPr>
                                    <w:t>PP/EVA9-20/0/R</w:t>
                                  </w:r>
                                </w:p>
                              </w:tc>
                              <w:tc>
                                <w:tcPr>
                                  <w:tcW w:w="1094" w:type="dxa"/>
                                  <w:tcBorders>
                                    <w:left w:val="single" w:sz="6" w:space="0" w:color="000000"/>
                                  </w:tcBorders>
                                </w:tcPr>
                                <w:p w14:paraId="223F5BAB" w14:textId="392B4A9F" w:rsidR="00441695" w:rsidRDefault="00441695" w:rsidP="00123704">
                                  <w:pPr>
                                    <w:jc w:val="center"/>
                                    <w:rPr>
                                      <w:sz w:val="16"/>
                                    </w:rPr>
                                  </w:pPr>
                                  <w:r>
                                    <w:rPr>
                                      <w:sz w:val="16"/>
                                    </w:rPr>
                                    <w:t>136</w:t>
                                  </w:r>
                                  <w:r w:rsidR="00EA26D3">
                                    <w:rPr>
                                      <w:sz w:val="16"/>
                                    </w:rPr>
                                    <w:t xml:space="preserve"> </w:t>
                                  </w:r>
                                  <w:r>
                                    <w:rPr>
                                      <w:sz w:val="16"/>
                                    </w:rPr>
                                    <w:t>±</w:t>
                                  </w:r>
                                  <w:r w:rsidR="00EA26D3">
                                    <w:rPr>
                                      <w:sz w:val="16"/>
                                    </w:rPr>
                                    <w:t xml:space="preserve"> </w:t>
                                  </w:r>
                                  <w:r w:rsidR="00123704">
                                    <w:rPr>
                                      <w:sz w:val="16"/>
                                    </w:rPr>
                                    <w:t>6</w:t>
                                  </w:r>
                                </w:p>
                              </w:tc>
                              <w:tc>
                                <w:tcPr>
                                  <w:tcW w:w="1095" w:type="dxa"/>
                                  <w:tcBorders>
                                    <w:left w:val="single" w:sz="6" w:space="0" w:color="000000"/>
                                  </w:tcBorders>
                                </w:tcPr>
                                <w:p w14:paraId="42D68163" w14:textId="45646DC9" w:rsidR="00441695" w:rsidRDefault="00441695">
                                  <w:pPr>
                                    <w:jc w:val="center"/>
                                    <w:rPr>
                                      <w:sz w:val="16"/>
                                    </w:rPr>
                                  </w:pPr>
                                  <w:r>
                                    <w:rPr>
                                      <w:sz w:val="16"/>
                                    </w:rPr>
                                    <w:t>8.6</w:t>
                                  </w:r>
                                </w:p>
                              </w:tc>
                            </w:tr>
                            <w:tr w:rsidR="00441695" w14:paraId="773662AE" w14:textId="79C1D2C7" w:rsidTr="00441695">
                              <w:trPr>
                                <w:jc w:val="center"/>
                              </w:trPr>
                              <w:tc>
                                <w:tcPr>
                                  <w:tcW w:w="2131" w:type="dxa"/>
                                  <w:tcBorders>
                                    <w:right w:val="single" w:sz="6" w:space="0" w:color="000000"/>
                                  </w:tcBorders>
                                </w:tcPr>
                                <w:p w14:paraId="4C9CB4F2" w14:textId="0C553175" w:rsidR="00441695" w:rsidRDefault="00441695" w:rsidP="00DA223F">
                                  <w:pPr>
                                    <w:jc w:val="center"/>
                                    <w:rPr>
                                      <w:sz w:val="16"/>
                                    </w:rPr>
                                  </w:pPr>
                                  <w:r>
                                    <w:rPr>
                                      <w:sz w:val="16"/>
                                    </w:rPr>
                                    <w:t>PP/EVA9-20/2.5/D</w:t>
                                  </w:r>
                                </w:p>
                                <w:p w14:paraId="22767294" w14:textId="64D31A03" w:rsidR="00441695" w:rsidRDefault="00441695" w:rsidP="00DA223F">
                                  <w:pPr>
                                    <w:jc w:val="center"/>
                                    <w:rPr>
                                      <w:sz w:val="16"/>
                                    </w:rPr>
                                  </w:pPr>
                                  <w:r>
                                    <w:rPr>
                                      <w:sz w:val="16"/>
                                    </w:rPr>
                                    <w:t>PP/EVA9-20/2.5/I</w:t>
                                  </w:r>
                                </w:p>
                                <w:p w14:paraId="5A438261" w14:textId="527B64A5" w:rsidR="00441695" w:rsidRDefault="00441695" w:rsidP="00DA223F">
                                  <w:pPr>
                                    <w:jc w:val="center"/>
                                    <w:rPr>
                                      <w:sz w:val="16"/>
                                    </w:rPr>
                                  </w:pPr>
                                  <w:r>
                                    <w:rPr>
                                      <w:sz w:val="16"/>
                                    </w:rPr>
                                    <w:t>PP/EVA9-20/2.5/R</w:t>
                                  </w:r>
                                </w:p>
                                <w:p w14:paraId="05C6BBAF" w14:textId="51E43A37" w:rsidR="00441695" w:rsidRDefault="00441695" w:rsidP="00DA223F">
                                  <w:pPr>
                                    <w:jc w:val="center"/>
                                    <w:rPr>
                                      <w:sz w:val="16"/>
                                    </w:rPr>
                                  </w:pPr>
                                  <w:r>
                                    <w:rPr>
                                      <w:sz w:val="16"/>
                                    </w:rPr>
                                    <w:t>PP/EVA9-20/5/D</w:t>
                                  </w:r>
                                </w:p>
                                <w:p w14:paraId="41015CF1" w14:textId="4861FBFC" w:rsidR="00441695" w:rsidRDefault="00441695" w:rsidP="00DA223F">
                                  <w:pPr>
                                    <w:jc w:val="center"/>
                                    <w:rPr>
                                      <w:sz w:val="16"/>
                                    </w:rPr>
                                  </w:pPr>
                                  <w:r>
                                    <w:rPr>
                                      <w:sz w:val="16"/>
                                    </w:rPr>
                                    <w:t>PP/EVA9-20/5/I</w:t>
                                  </w:r>
                                </w:p>
                                <w:p w14:paraId="257AFC6B" w14:textId="0A8F774A" w:rsidR="00441695" w:rsidRDefault="00441695" w:rsidP="00DA223F">
                                  <w:pPr>
                                    <w:jc w:val="center"/>
                                    <w:rPr>
                                      <w:sz w:val="16"/>
                                    </w:rPr>
                                  </w:pPr>
                                  <w:r>
                                    <w:rPr>
                                      <w:sz w:val="16"/>
                                    </w:rPr>
                                    <w:t>PP/EVA9-20/5/R</w:t>
                                  </w:r>
                                </w:p>
                              </w:tc>
                              <w:tc>
                                <w:tcPr>
                                  <w:tcW w:w="1094" w:type="dxa"/>
                                  <w:tcBorders>
                                    <w:left w:val="single" w:sz="6" w:space="0" w:color="000000"/>
                                  </w:tcBorders>
                                </w:tcPr>
                                <w:p w14:paraId="3A5488D1" w14:textId="779E7A4C" w:rsidR="00441695" w:rsidRDefault="00441695">
                                  <w:pPr>
                                    <w:jc w:val="center"/>
                                    <w:rPr>
                                      <w:sz w:val="16"/>
                                    </w:rPr>
                                  </w:pPr>
                                  <w:r>
                                    <w:rPr>
                                      <w:sz w:val="16"/>
                                    </w:rPr>
                                    <w:t>176</w:t>
                                  </w:r>
                                  <w:r w:rsidR="00EA26D3">
                                    <w:rPr>
                                      <w:sz w:val="16"/>
                                    </w:rPr>
                                    <w:t xml:space="preserve"> </w:t>
                                  </w:r>
                                  <w:r>
                                    <w:rPr>
                                      <w:sz w:val="16"/>
                                    </w:rPr>
                                    <w:t>±</w:t>
                                  </w:r>
                                  <w:r w:rsidR="00EA26D3">
                                    <w:rPr>
                                      <w:sz w:val="16"/>
                                    </w:rPr>
                                    <w:t xml:space="preserve"> </w:t>
                                  </w:r>
                                  <w:r w:rsidR="00123704">
                                    <w:rPr>
                                      <w:sz w:val="16"/>
                                    </w:rPr>
                                    <w:t>4</w:t>
                                  </w:r>
                                </w:p>
                                <w:p w14:paraId="194F5214" w14:textId="7FB046F8" w:rsidR="00441695" w:rsidRDefault="00441695">
                                  <w:pPr>
                                    <w:jc w:val="center"/>
                                    <w:rPr>
                                      <w:sz w:val="16"/>
                                    </w:rPr>
                                  </w:pPr>
                                  <w:r>
                                    <w:rPr>
                                      <w:sz w:val="16"/>
                                    </w:rPr>
                                    <w:t>144</w:t>
                                  </w:r>
                                  <w:r w:rsidR="00EA26D3">
                                    <w:rPr>
                                      <w:sz w:val="16"/>
                                    </w:rPr>
                                    <w:t xml:space="preserve"> </w:t>
                                  </w:r>
                                  <w:r>
                                    <w:rPr>
                                      <w:sz w:val="16"/>
                                    </w:rPr>
                                    <w:t>±</w:t>
                                  </w:r>
                                  <w:r w:rsidR="00EA26D3">
                                    <w:rPr>
                                      <w:sz w:val="16"/>
                                    </w:rPr>
                                    <w:t xml:space="preserve"> </w:t>
                                  </w:r>
                                  <w:r w:rsidR="00123704">
                                    <w:rPr>
                                      <w:sz w:val="16"/>
                                    </w:rPr>
                                    <w:t>4</w:t>
                                  </w:r>
                                </w:p>
                                <w:p w14:paraId="43D74930" w14:textId="0CA298F2" w:rsidR="00441695" w:rsidRDefault="00441695">
                                  <w:pPr>
                                    <w:jc w:val="center"/>
                                    <w:rPr>
                                      <w:sz w:val="16"/>
                                    </w:rPr>
                                  </w:pPr>
                                  <w:r>
                                    <w:rPr>
                                      <w:sz w:val="16"/>
                                    </w:rPr>
                                    <w:t>171</w:t>
                                  </w:r>
                                  <w:r w:rsidR="00EA26D3">
                                    <w:rPr>
                                      <w:sz w:val="16"/>
                                    </w:rPr>
                                    <w:t xml:space="preserve"> </w:t>
                                  </w:r>
                                  <w:r>
                                    <w:rPr>
                                      <w:sz w:val="16"/>
                                    </w:rPr>
                                    <w:t>±</w:t>
                                  </w:r>
                                  <w:r w:rsidR="00EA26D3">
                                    <w:rPr>
                                      <w:sz w:val="16"/>
                                    </w:rPr>
                                    <w:t xml:space="preserve"> </w:t>
                                  </w:r>
                                  <w:r w:rsidR="00123704">
                                    <w:rPr>
                                      <w:sz w:val="16"/>
                                    </w:rPr>
                                    <w:t>6</w:t>
                                  </w:r>
                                </w:p>
                                <w:p w14:paraId="358971AE" w14:textId="1DEF86D2" w:rsidR="00441695" w:rsidRDefault="00441695">
                                  <w:pPr>
                                    <w:jc w:val="center"/>
                                    <w:rPr>
                                      <w:sz w:val="16"/>
                                    </w:rPr>
                                  </w:pPr>
                                  <w:r>
                                    <w:rPr>
                                      <w:sz w:val="16"/>
                                    </w:rPr>
                                    <w:t>160</w:t>
                                  </w:r>
                                  <w:r w:rsidR="00EA26D3">
                                    <w:rPr>
                                      <w:sz w:val="16"/>
                                    </w:rPr>
                                    <w:t xml:space="preserve"> </w:t>
                                  </w:r>
                                  <w:r>
                                    <w:rPr>
                                      <w:sz w:val="16"/>
                                    </w:rPr>
                                    <w:t>±</w:t>
                                  </w:r>
                                  <w:r w:rsidR="00EA26D3">
                                    <w:rPr>
                                      <w:sz w:val="16"/>
                                    </w:rPr>
                                    <w:t xml:space="preserve"> </w:t>
                                  </w:r>
                                  <w:r w:rsidR="00123704">
                                    <w:rPr>
                                      <w:sz w:val="16"/>
                                    </w:rPr>
                                    <w:t>6</w:t>
                                  </w:r>
                                </w:p>
                                <w:p w14:paraId="6B835E22" w14:textId="5E502F6D" w:rsidR="00441695" w:rsidRDefault="00441695">
                                  <w:pPr>
                                    <w:jc w:val="center"/>
                                    <w:rPr>
                                      <w:sz w:val="16"/>
                                    </w:rPr>
                                  </w:pPr>
                                  <w:r>
                                    <w:rPr>
                                      <w:sz w:val="16"/>
                                    </w:rPr>
                                    <w:t>133</w:t>
                                  </w:r>
                                  <w:r w:rsidR="00EA26D3">
                                    <w:rPr>
                                      <w:sz w:val="16"/>
                                    </w:rPr>
                                    <w:t xml:space="preserve"> </w:t>
                                  </w:r>
                                  <w:r>
                                    <w:rPr>
                                      <w:sz w:val="16"/>
                                    </w:rPr>
                                    <w:t>±</w:t>
                                  </w:r>
                                  <w:r w:rsidR="00EA26D3">
                                    <w:rPr>
                                      <w:sz w:val="16"/>
                                    </w:rPr>
                                    <w:t xml:space="preserve"> </w:t>
                                  </w:r>
                                  <w:r w:rsidR="00123704">
                                    <w:rPr>
                                      <w:sz w:val="16"/>
                                    </w:rPr>
                                    <w:t>4</w:t>
                                  </w:r>
                                </w:p>
                                <w:p w14:paraId="14A72D0A" w14:textId="1EBD81CC" w:rsidR="00441695" w:rsidRDefault="00441695" w:rsidP="00123704">
                                  <w:pPr>
                                    <w:jc w:val="center"/>
                                    <w:rPr>
                                      <w:sz w:val="16"/>
                                    </w:rPr>
                                  </w:pPr>
                                  <w:r>
                                    <w:rPr>
                                      <w:sz w:val="16"/>
                                    </w:rPr>
                                    <w:t>153</w:t>
                                  </w:r>
                                  <w:r w:rsidR="00EA26D3">
                                    <w:rPr>
                                      <w:sz w:val="16"/>
                                    </w:rPr>
                                    <w:t xml:space="preserve"> </w:t>
                                  </w:r>
                                  <w:r>
                                    <w:rPr>
                                      <w:sz w:val="16"/>
                                    </w:rPr>
                                    <w:t>±</w:t>
                                  </w:r>
                                  <w:r w:rsidR="00EA26D3">
                                    <w:rPr>
                                      <w:sz w:val="16"/>
                                    </w:rPr>
                                    <w:t xml:space="preserve"> </w:t>
                                  </w:r>
                                  <w:r w:rsidR="00123704">
                                    <w:rPr>
                                      <w:sz w:val="16"/>
                                    </w:rPr>
                                    <w:t>6</w:t>
                                  </w:r>
                                </w:p>
                              </w:tc>
                              <w:tc>
                                <w:tcPr>
                                  <w:tcW w:w="1095" w:type="dxa"/>
                                  <w:tcBorders>
                                    <w:left w:val="single" w:sz="6" w:space="0" w:color="000000"/>
                                  </w:tcBorders>
                                </w:tcPr>
                                <w:p w14:paraId="449C996F" w14:textId="21060E06" w:rsidR="00441695" w:rsidRDefault="00441695">
                                  <w:pPr>
                                    <w:jc w:val="center"/>
                                    <w:rPr>
                                      <w:sz w:val="16"/>
                                    </w:rPr>
                                  </w:pPr>
                                  <w:r>
                                    <w:rPr>
                                      <w:sz w:val="16"/>
                                    </w:rPr>
                                    <w:t>16.6</w:t>
                                  </w:r>
                                </w:p>
                                <w:p w14:paraId="79D79AA9" w14:textId="78247C60" w:rsidR="00441695" w:rsidRDefault="00441695">
                                  <w:pPr>
                                    <w:jc w:val="center"/>
                                    <w:rPr>
                                      <w:sz w:val="16"/>
                                    </w:rPr>
                                  </w:pPr>
                                  <w:r>
                                    <w:rPr>
                                      <w:sz w:val="16"/>
                                    </w:rPr>
                                    <w:t>22.5</w:t>
                                  </w:r>
                                </w:p>
                                <w:p w14:paraId="61931BFC" w14:textId="21343D8C" w:rsidR="00441695" w:rsidRDefault="00441695">
                                  <w:pPr>
                                    <w:jc w:val="center"/>
                                    <w:rPr>
                                      <w:sz w:val="16"/>
                                    </w:rPr>
                                  </w:pPr>
                                  <w:r>
                                    <w:rPr>
                                      <w:sz w:val="16"/>
                                    </w:rPr>
                                    <w:t>14.7</w:t>
                                  </w:r>
                                </w:p>
                                <w:p w14:paraId="5F695F09" w14:textId="752B4CAA" w:rsidR="00441695" w:rsidRDefault="00441695">
                                  <w:pPr>
                                    <w:jc w:val="center"/>
                                    <w:rPr>
                                      <w:sz w:val="16"/>
                                    </w:rPr>
                                  </w:pPr>
                                  <w:r>
                                    <w:rPr>
                                      <w:sz w:val="16"/>
                                    </w:rPr>
                                    <w:t>10.5</w:t>
                                  </w:r>
                                </w:p>
                                <w:p w14:paraId="192904CE" w14:textId="152D2F84" w:rsidR="00441695" w:rsidRDefault="00441695">
                                  <w:pPr>
                                    <w:jc w:val="center"/>
                                    <w:rPr>
                                      <w:sz w:val="16"/>
                                    </w:rPr>
                                  </w:pPr>
                                  <w:r>
                                    <w:rPr>
                                      <w:sz w:val="16"/>
                                    </w:rPr>
                                    <w:t>13.9</w:t>
                                  </w:r>
                                </w:p>
                                <w:p w14:paraId="7A325010" w14:textId="2CE22151" w:rsidR="00441695" w:rsidRDefault="00441695">
                                  <w:pPr>
                                    <w:jc w:val="center"/>
                                    <w:rPr>
                                      <w:sz w:val="16"/>
                                    </w:rPr>
                                  </w:pPr>
                                  <w:r>
                                    <w:rPr>
                                      <w:sz w:val="16"/>
                                    </w:rPr>
                                    <w:t>11.9</w:t>
                                  </w:r>
                                </w:p>
                              </w:tc>
                            </w:tr>
                          </w:tbl>
                          <w:p w14:paraId="7C74AA90" w14:textId="77777777" w:rsidR="00395EA0" w:rsidRDefault="00395EA0" w:rsidP="00395EA0">
                            <w:pPr>
                              <w:pStyle w:val="FootnoteText"/>
                            </w:pPr>
                          </w:p>
                          <w:p w14:paraId="22C0522C" w14:textId="77777777" w:rsidR="00395EA0" w:rsidRDefault="00395EA0" w:rsidP="00395E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E4A4E" id="_x0000_t202" coordsize="21600,21600" o:spt="202" path="m,l,21600r21600,l21600,xe">
                <v:stroke joinstyle="miter"/>
                <v:path gradientshapeok="t" o:connecttype="rect"/>
              </v:shapetype>
              <v:shape id="Text Box 1" o:spid="_x0000_s1035" type="#_x0000_t202" style="position:absolute;left:0;text-align:left;margin-left:-.15pt;margin-top:534pt;width:254.8pt;height:143.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" stroked="f">
                <v:textbox inset="0,0,0,0">
                  <w:txbxContent>
                    <w:p w14:paraId="7CA06ADA" w14:textId="35923302" w:rsidR="00395EA0" w:rsidRDefault="00395EA0" w:rsidP="00395EA0">
                      <w:pPr>
                        <w:pStyle w:val="TableTitle"/>
                        <w:rPr>
                          <w:smallCaps w:val="0"/>
                        </w:rPr>
                      </w:pPr>
                      <w:r>
                        <w:rPr>
                          <w:rFonts w:ascii="Arial" w:hAnsi="Arial" w:cs="Arial"/>
                          <w:b/>
                          <w:bCs/>
                          <w:smallCaps w:val="0"/>
                        </w:rPr>
                        <w:t xml:space="preserve">Table </w:t>
                      </w:r>
                      <w:r w:rsidR="00FA282B">
                        <w:rPr>
                          <w:rFonts w:ascii="Arial" w:hAnsi="Arial" w:cs="Arial"/>
                          <w:b/>
                          <w:bCs/>
                          <w:smallCaps w:val="0"/>
                        </w:rPr>
                        <w:t>1</w:t>
                      </w:r>
                      <w:r>
                        <w:rPr>
                          <w:rFonts w:ascii="Arial" w:hAnsi="Arial" w:cs="Arial"/>
                          <w:b/>
                          <w:bCs/>
                          <w:smallCaps w:val="0"/>
                        </w:rPr>
                        <w:t>.</w:t>
                      </w:r>
                      <w:r>
                        <w:rPr>
                          <w:b/>
                          <w:bCs/>
                          <w:smallCaps w:val="0"/>
                        </w:rPr>
                        <w:t xml:space="preserve"> </w:t>
                      </w:r>
                      <w:r w:rsidRPr="00395EA0">
                        <w:rPr>
                          <w:smallCaps w:val="0"/>
                        </w:rPr>
                        <w:t>Summary of AC Breakdown data of the samples.</w:t>
                      </w:r>
                    </w:p>
                    <w:tbl>
                      <w:tblPr>
                        <w:tblW w:w="4320" w:type="dxa"/>
                        <w:jc w:val="center"/>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2131"/>
                        <w:gridCol w:w="1094"/>
                        <w:gridCol w:w="1095"/>
                      </w:tblGrid>
                      <w:tr w:rsidR="00441695" w14:paraId="3E0B8CC9" w14:textId="0C5D7F92" w:rsidTr="00441695">
                        <w:trPr>
                          <w:trHeight w:val="440"/>
                          <w:jc w:val="center"/>
                        </w:trPr>
                        <w:tc>
                          <w:tcPr>
                            <w:tcW w:w="2131" w:type="dxa"/>
                            <w:tcBorders>
                              <w:bottom w:val="single" w:sz="6" w:space="0" w:color="000000"/>
                              <w:right w:val="single" w:sz="6" w:space="0" w:color="000000"/>
                            </w:tcBorders>
                            <w:vAlign w:val="center"/>
                          </w:tcPr>
                          <w:p w14:paraId="313025FB" w14:textId="566972FB" w:rsidR="00441695" w:rsidRDefault="00441695">
                            <w:pPr>
                              <w:jc w:val="center"/>
                              <w:rPr>
                                <w:sz w:val="16"/>
                              </w:rPr>
                            </w:pPr>
                            <w:r>
                              <w:rPr>
                                <w:sz w:val="16"/>
                              </w:rPr>
                              <w:t>Sample</w:t>
                            </w:r>
                          </w:p>
                        </w:tc>
                        <w:tc>
                          <w:tcPr>
                            <w:tcW w:w="1094" w:type="dxa"/>
                            <w:tcBorders>
                              <w:left w:val="single" w:sz="6" w:space="0" w:color="000000"/>
                              <w:bottom w:val="single" w:sz="6" w:space="0" w:color="000000"/>
                            </w:tcBorders>
                            <w:vAlign w:val="center"/>
                          </w:tcPr>
                          <w:p w14:paraId="561EABF7" w14:textId="77777777" w:rsidR="00441695" w:rsidRDefault="00441695">
                            <w:pPr>
                              <w:pStyle w:val="TableTitle"/>
                              <w:rPr>
                                <w:smallCaps w:val="0"/>
                              </w:rPr>
                            </w:pPr>
                            <w:r>
                              <w:rPr>
                                <w:smallCaps w:val="0"/>
                              </w:rPr>
                              <w:t>Weibull Scale Parameter / kV/mm</w:t>
                            </w:r>
                          </w:p>
                        </w:tc>
                        <w:tc>
                          <w:tcPr>
                            <w:tcW w:w="1095" w:type="dxa"/>
                            <w:tcBorders>
                              <w:left w:val="single" w:sz="6" w:space="0" w:color="000000"/>
                              <w:bottom w:val="single" w:sz="6" w:space="0" w:color="000000"/>
                            </w:tcBorders>
                            <w:vAlign w:val="center"/>
                          </w:tcPr>
                          <w:p w14:paraId="1F2DE088" w14:textId="44BFAB76" w:rsidR="00441695" w:rsidRDefault="00441695">
                            <w:pPr>
                              <w:pStyle w:val="TableTitle"/>
                              <w:rPr>
                                <w:smallCaps w:val="0"/>
                              </w:rPr>
                            </w:pPr>
                            <w:r>
                              <w:rPr>
                                <w:smallCaps w:val="0"/>
                              </w:rPr>
                              <w:t>Shape Parameter</w:t>
                            </w:r>
                          </w:p>
                        </w:tc>
                      </w:tr>
                      <w:tr w:rsidR="00441695" w14:paraId="0A1504B3" w14:textId="18357936" w:rsidTr="00441695">
                        <w:trPr>
                          <w:jc w:val="center"/>
                        </w:trPr>
                        <w:tc>
                          <w:tcPr>
                            <w:tcW w:w="2131" w:type="dxa"/>
                            <w:tcBorders>
                              <w:top w:val="single" w:sz="6" w:space="0" w:color="000000"/>
                              <w:right w:val="single" w:sz="6" w:space="0" w:color="000000"/>
                            </w:tcBorders>
                          </w:tcPr>
                          <w:p w14:paraId="74BF159C" w14:textId="77777777" w:rsidR="00441695" w:rsidRDefault="00441695" w:rsidP="00DA223F">
                            <w:pPr>
                              <w:jc w:val="center"/>
                              <w:rPr>
                                <w:sz w:val="16"/>
                              </w:rPr>
                            </w:pPr>
                            <w:r>
                              <w:rPr>
                                <w:sz w:val="16"/>
                              </w:rPr>
                              <w:t>PP/EVA9-20/0/D</w:t>
                            </w:r>
                          </w:p>
                          <w:p w14:paraId="5C24CA84" w14:textId="5CD31C97" w:rsidR="00441695" w:rsidRDefault="00441695" w:rsidP="00DA223F">
                            <w:pPr>
                              <w:jc w:val="center"/>
                              <w:rPr>
                                <w:sz w:val="16"/>
                              </w:rPr>
                            </w:pPr>
                            <w:r>
                              <w:rPr>
                                <w:sz w:val="16"/>
                              </w:rPr>
                              <w:t>PP/EVA9-20/0/I</w:t>
                            </w:r>
                          </w:p>
                        </w:tc>
                        <w:tc>
                          <w:tcPr>
                            <w:tcW w:w="1094" w:type="dxa"/>
                            <w:tcBorders>
                              <w:top w:val="single" w:sz="6" w:space="0" w:color="000000"/>
                              <w:left w:val="single" w:sz="6" w:space="0" w:color="000000"/>
                            </w:tcBorders>
                          </w:tcPr>
                          <w:p w14:paraId="3F5B0A59" w14:textId="1033E715" w:rsidR="00441695" w:rsidRDefault="00441695">
                            <w:pPr>
                              <w:pStyle w:val="TableTitle"/>
                              <w:rPr>
                                <w:smallCaps w:val="0"/>
                              </w:rPr>
                            </w:pPr>
                            <w:r>
                              <w:rPr>
                                <w:smallCaps w:val="0"/>
                              </w:rPr>
                              <w:t>144</w:t>
                            </w:r>
                            <w:r w:rsidR="00EA26D3">
                              <w:rPr>
                                <w:smallCaps w:val="0"/>
                              </w:rPr>
                              <w:t xml:space="preserve"> </w:t>
                            </w:r>
                            <w:r>
                              <w:rPr>
                                <w:smallCaps w:val="0"/>
                              </w:rPr>
                              <w:t>±</w:t>
                            </w:r>
                            <w:r w:rsidR="00EA26D3">
                              <w:rPr>
                                <w:smallCaps w:val="0"/>
                              </w:rPr>
                              <w:t xml:space="preserve"> </w:t>
                            </w:r>
                            <w:r w:rsidR="00123704">
                              <w:rPr>
                                <w:smallCaps w:val="0"/>
                              </w:rPr>
                              <w:t>8</w:t>
                            </w:r>
                          </w:p>
                          <w:p w14:paraId="064A18A9" w14:textId="308A3ADD" w:rsidR="00441695" w:rsidRDefault="00441695" w:rsidP="00123704">
                            <w:pPr>
                              <w:pStyle w:val="TableTitle"/>
                              <w:rPr>
                                <w:smallCaps w:val="0"/>
                              </w:rPr>
                            </w:pPr>
                            <w:r>
                              <w:rPr>
                                <w:smallCaps w:val="0"/>
                              </w:rPr>
                              <w:t>140</w:t>
                            </w:r>
                            <w:r w:rsidR="00EA26D3">
                              <w:rPr>
                                <w:smallCaps w:val="0"/>
                              </w:rPr>
                              <w:t xml:space="preserve"> </w:t>
                            </w:r>
                            <w:r>
                              <w:rPr>
                                <w:smallCaps w:val="0"/>
                              </w:rPr>
                              <w:t>±</w:t>
                            </w:r>
                            <w:r w:rsidR="00EA26D3">
                              <w:rPr>
                                <w:smallCaps w:val="0"/>
                              </w:rPr>
                              <w:t xml:space="preserve"> </w:t>
                            </w:r>
                            <w:r w:rsidR="00123704">
                              <w:rPr>
                                <w:smallCaps w:val="0"/>
                              </w:rPr>
                              <w:t>6</w:t>
                            </w:r>
                          </w:p>
                        </w:tc>
                        <w:tc>
                          <w:tcPr>
                            <w:tcW w:w="1095" w:type="dxa"/>
                            <w:tcBorders>
                              <w:top w:val="single" w:sz="6" w:space="0" w:color="000000"/>
                              <w:left w:val="single" w:sz="6" w:space="0" w:color="000000"/>
                            </w:tcBorders>
                          </w:tcPr>
                          <w:p w14:paraId="381B75E9" w14:textId="77777777" w:rsidR="00441695" w:rsidRDefault="00441695">
                            <w:pPr>
                              <w:pStyle w:val="TableTitle"/>
                              <w:rPr>
                                <w:smallCaps w:val="0"/>
                              </w:rPr>
                            </w:pPr>
                            <w:r>
                              <w:rPr>
                                <w:smallCaps w:val="0"/>
                              </w:rPr>
                              <w:t>6.9</w:t>
                            </w:r>
                          </w:p>
                          <w:p w14:paraId="0A7A1F72" w14:textId="114A19B3" w:rsidR="00441695" w:rsidRDefault="00441695">
                            <w:pPr>
                              <w:pStyle w:val="TableTitle"/>
                              <w:rPr>
                                <w:smallCaps w:val="0"/>
                              </w:rPr>
                            </w:pPr>
                            <w:r>
                              <w:rPr>
                                <w:smallCaps w:val="0"/>
                              </w:rPr>
                              <w:t>9.3</w:t>
                            </w:r>
                          </w:p>
                        </w:tc>
                      </w:tr>
                      <w:tr w:rsidR="00441695" w14:paraId="3A2E8397" w14:textId="4C531BE8" w:rsidTr="00441695">
                        <w:trPr>
                          <w:trHeight w:val="80"/>
                          <w:jc w:val="center"/>
                        </w:trPr>
                        <w:tc>
                          <w:tcPr>
                            <w:tcW w:w="2131" w:type="dxa"/>
                            <w:tcBorders>
                              <w:right w:val="single" w:sz="6" w:space="0" w:color="000000"/>
                            </w:tcBorders>
                          </w:tcPr>
                          <w:p w14:paraId="636207EA" w14:textId="1A637F85" w:rsidR="00441695" w:rsidRDefault="00441695" w:rsidP="00DA223F">
                            <w:pPr>
                              <w:jc w:val="center"/>
                              <w:rPr>
                                <w:sz w:val="16"/>
                              </w:rPr>
                            </w:pPr>
                            <w:r>
                              <w:rPr>
                                <w:sz w:val="16"/>
                              </w:rPr>
                              <w:t>PP/EVA9-20/0/R</w:t>
                            </w:r>
                          </w:p>
                        </w:tc>
                        <w:tc>
                          <w:tcPr>
                            <w:tcW w:w="1094" w:type="dxa"/>
                            <w:tcBorders>
                              <w:left w:val="single" w:sz="6" w:space="0" w:color="000000"/>
                            </w:tcBorders>
                          </w:tcPr>
                          <w:p w14:paraId="223F5BAB" w14:textId="392B4A9F" w:rsidR="00441695" w:rsidRDefault="00441695" w:rsidP="00123704">
                            <w:pPr>
                              <w:jc w:val="center"/>
                              <w:rPr>
                                <w:sz w:val="16"/>
                              </w:rPr>
                            </w:pPr>
                            <w:r>
                              <w:rPr>
                                <w:sz w:val="16"/>
                              </w:rPr>
                              <w:t>136</w:t>
                            </w:r>
                            <w:r w:rsidR="00EA26D3">
                              <w:rPr>
                                <w:sz w:val="16"/>
                              </w:rPr>
                              <w:t xml:space="preserve"> </w:t>
                            </w:r>
                            <w:r>
                              <w:rPr>
                                <w:sz w:val="16"/>
                              </w:rPr>
                              <w:t>±</w:t>
                            </w:r>
                            <w:r w:rsidR="00EA26D3">
                              <w:rPr>
                                <w:sz w:val="16"/>
                              </w:rPr>
                              <w:t xml:space="preserve"> </w:t>
                            </w:r>
                            <w:r w:rsidR="00123704">
                              <w:rPr>
                                <w:sz w:val="16"/>
                              </w:rPr>
                              <w:t>6</w:t>
                            </w:r>
                          </w:p>
                        </w:tc>
                        <w:tc>
                          <w:tcPr>
                            <w:tcW w:w="1095" w:type="dxa"/>
                            <w:tcBorders>
                              <w:left w:val="single" w:sz="6" w:space="0" w:color="000000"/>
                            </w:tcBorders>
                          </w:tcPr>
                          <w:p w14:paraId="42D68163" w14:textId="45646DC9" w:rsidR="00441695" w:rsidRDefault="00441695">
                            <w:pPr>
                              <w:jc w:val="center"/>
                              <w:rPr>
                                <w:sz w:val="16"/>
                              </w:rPr>
                            </w:pPr>
                            <w:r>
                              <w:rPr>
                                <w:sz w:val="16"/>
                              </w:rPr>
                              <w:t>8.6</w:t>
                            </w:r>
                          </w:p>
                        </w:tc>
                      </w:tr>
                      <w:tr w:rsidR="00441695" w14:paraId="773662AE" w14:textId="79C1D2C7" w:rsidTr="00441695">
                        <w:trPr>
                          <w:jc w:val="center"/>
                        </w:trPr>
                        <w:tc>
                          <w:tcPr>
                            <w:tcW w:w="2131" w:type="dxa"/>
                            <w:tcBorders>
                              <w:right w:val="single" w:sz="6" w:space="0" w:color="000000"/>
                            </w:tcBorders>
                          </w:tcPr>
                          <w:p w14:paraId="4C9CB4F2" w14:textId="0C553175" w:rsidR="00441695" w:rsidRDefault="00441695" w:rsidP="00DA223F">
                            <w:pPr>
                              <w:jc w:val="center"/>
                              <w:rPr>
                                <w:sz w:val="16"/>
                              </w:rPr>
                            </w:pPr>
                            <w:r>
                              <w:rPr>
                                <w:sz w:val="16"/>
                              </w:rPr>
                              <w:t>PP/EVA9-20/2.5/D</w:t>
                            </w:r>
                          </w:p>
                          <w:p w14:paraId="22767294" w14:textId="64D31A03" w:rsidR="00441695" w:rsidRDefault="00441695" w:rsidP="00DA223F">
                            <w:pPr>
                              <w:jc w:val="center"/>
                              <w:rPr>
                                <w:sz w:val="16"/>
                              </w:rPr>
                            </w:pPr>
                            <w:r>
                              <w:rPr>
                                <w:sz w:val="16"/>
                              </w:rPr>
                              <w:t>PP/EVA9-20/2.5/I</w:t>
                            </w:r>
                          </w:p>
                          <w:p w14:paraId="5A438261" w14:textId="527B64A5" w:rsidR="00441695" w:rsidRDefault="00441695" w:rsidP="00DA223F">
                            <w:pPr>
                              <w:jc w:val="center"/>
                              <w:rPr>
                                <w:sz w:val="16"/>
                              </w:rPr>
                            </w:pPr>
                            <w:r>
                              <w:rPr>
                                <w:sz w:val="16"/>
                              </w:rPr>
                              <w:t>PP/EVA9-20/2.5/R</w:t>
                            </w:r>
                          </w:p>
                          <w:p w14:paraId="05C6BBAF" w14:textId="51E43A37" w:rsidR="00441695" w:rsidRDefault="00441695" w:rsidP="00DA223F">
                            <w:pPr>
                              <w:jc w:val="center"/>
                              <w:rPr>
                                <w:sz w:val="16"/>
                              </w:rPr>
                            </w:pPr>
                            <w:r>
                              <w:rPr>
                                <w:sz w:val="16"/>
                              </w:rPr>
                              <w:t>PP/EVA9-20/5/D</w:t>
                            </w:r>
                          </w:p>
                          <w:p w14:paraId="41015CF1" w14:textId="4861FBFC" w:rsidR="00441695" w:rsidRDefault="00441695" w:rsidP="00DA223F">
                            <w:pPr>
                              <w:jc w:val="center"/>
                              <w:rPr>
                                <w:sz w:val="16"/>
                              </w:rPr>
                            </w:pPr>
                            <w:r>
                              <w:rPr>
                                <w:sz w:val="16"/>
                              </w:rPr>
                              <w:t>PP/EVA9-20/5/I</w:t>
                            </w:r>
                          </w:p>
                          <w:p w14:paraId="257AFC6B" w14:textId="0A8F774A" w:rsidR="00441695" w:rsidRDefault="00441695" w:rsidP="00DA223F">
                            <w:pPr>
                              <w:jc w:val="center"/>
                              <w:rPr>
                                <w:sz w:val="16"/>
                              </w:rPr>
                            </w:pPr>
                            <w:r>
                              <w:rPr>
                                <w:sz w:val="16"/>
                              </w:rPr>
                              <w:t>PP/EVA9-20/5/R</w:t>
                            </w:r>
                          </w:p>
                        </w:tc>
                        <w:tc>
                          <w:tcPr>
                            <w:tcW w:w="1094" w:type="dxa"/>
                            <w:tcBorders>
                              <w:left w:val="single" w:sz="6" w:space="0" w:color="000000"/>
                            </w:tcBorders>
                          </w:tcPr>
                          <w:p w14:paraId="3A5488D1" w14:textId="779E7A4C" w:rsidR="00441695" w:rsidRDefault="00441695">
                            <w:pPr>
                              <w:jc w:val="center"/>
                              <w:rPr>
                                <w:sz w:val="16"/>
                              </w:rPr>
                            </w:pPr>
                            <w:r>
                              <w:rPr>
                                <w:sz w:val="16"/>
                              </w:rPr>
                              <w:t>176</w:t>
                            </w:r>
                            <w:r w:rsidR="00EA26D3">
                              <w:rPr>
                                <w:sz w:val="16"/>
                              </w:rPr>
                              <w:t xml:space="preserve"> </w:t>
                            </w:r>
                            <w:r>
                              <w:rPr>
                                <w:sz w:val="16"/>
                              </w:rPr>
                              <w:t>±</w:t>
                            </w:r>
                            <w:r w:rsidR="00EA26D3">
                              <w:rPr>
                                <w:sz w:val="16"/>
                              </w:rPr>
                              <w:t xml:space="preserve"> </w:t>
                            </w:r>
                            <w:r w:rsidR="00123704">
                              <w:rPr>
                                <w:sz w:val="16"/>
                              </w:rPr>
                              <w:t>4</w:t>
                            </w:r>
                          </w:p>
                          <w:p w14:paraId="194F5214" w14:textId="7FB046F8" w:rsidR="00441695" w:rsidRDefault="00441695">
                            <w:pPr>
                              <w:jc w:val="center"/>
                              <w:rPr>
                                <w:sz w:val="16"/>
                              </w:rPr>
                            </w:pPr>
                            <w:r>
                              <w:rPr>
                                <w:sz w:val="16"/>
                              </w:rPr>
                              <w:t>144</w:t>
                            </w:r>
                            <w:r w:rsidR="00EA26D3">
                              <w:rPr>
                                <w:sz w:val="16"/>
                              </w:rPr>
                              <w:t xml:space="preserve"> </w:t>
                            </w:r>
                            <w:r>
                              <w:rPr>
                                <w:sz w:val="16"/>
                              </w:rPr>
                              <w:t>±</w:t>
                            </w:r>
                            <w:r w:rsidR="00EA26D3">
                              <w:rPr>
                                <w:sz w:val="16"/>
                              </w:rPr>
                              <w:t xml:space="preserve"> </w:t>
                            </w:r>
                            <w:r w:rsidR="00123704">
                              <w:rPr>
                                <w:sz w:val="16"/>
                              </w:rPr>
                              <w:t>4</w:t>
                            </w:r>
                          </w:p>
                          <w:p w14:paraId="43D74930" w14:textId="0CA298F2" w:rsidR="00441695" w:rsidRDefault="00441695">
                            <w:pPr>
                              <w:jc w:val="center"/>
                              <w:rPr>
                                <w:sz w:val="16"/>
                              </w:rPr>
                            </w:pPr>
                            <w:r>
                              <w:rPr>
                                <w:sz w:val="16"/>
                              </w:rPr>
                              <w:t>171</w:t>
                            </w:r>
                            <w:r w:rsidR="00EA26D3">
                              <w:rPr>
                                <w:sz w:val="16"/>
                              </w:rPr>
                              <w:t xml:space="preserve"> </w:t>
                            </w:r>
                            <w:r>
                              <w:rPr>
                                <w:sz w:val="16"/>
                              </w:rPr>
                              <w:t>±</w:t>
                            </w:r>
                            <w:r w:rsidR="00EA26D3">
                              <w:rPr>
                                <w:sz w:val="16"/>
                              </w:rPr>
                              <w:t xml:space="preserve"> </w:t>
                            </w:r>
                            <w:r w:rsidR="00123704">
                              <w:rPr>
                                <w:sz w:val="16"/>
                              </w:rPr>
                              <w:t>6</w:t>
                            </w:r>
                          </w:p>
                          <w:p w14:paraId="358971AE" w14:textId="1DEF86D2" w:rsidR="00441695" w:rsidRDefault="00441695">
                            <w:pPr>
                              <w:jc w:val="center"/>
                              <w:rPr>
                                <w:sz w:val="16"/>
                              </w:rPr>
                            </w:pPr>
                            <w:r>
                              <w:rPr>
                                <w:sz w:val="16"/>
                              </w:rPr>
                              <w:t>160</w:t>
                            </w:r>
                            <w:r w:rsidR="00EA26D3">
                              <w:rPr>
                                <w:sz w:val="16"/>
                              </w:rPr>
                              <w:t xml:space="preserve"> </w:t>
                            </w:r>
                            <w:r>
                              <w:rPr>
                                <w:sz w:val="16"/>
                              </w:rPr>
                              <w:t>±</w:t>
                            </w:r>
                            <w:r w:rsidR="00EA26D3">
                              <w:rPr>
                                <w:sz w:val="16"/>
                              </w:rPr>
                              <w:t xml:space="preserve"> </w:t>
                            </w:r>
                            <w:r w:rsidR="00123704">
                              <w:rPr>
                                <w:sz w:val="16"/>
                              </w:rPr>
                              <w:t>6</w:t>
                            </w:r>
                          </w:p>
                          <w:p w14:paraId="6B835E22" w14:textId="5E502F6D" w:rsidR="00441695" w:rsidRDefault="00441695">
                            <w:pPr>
                              <w:jc w:val="center"/>
                              <w:rPr>
                                <w:sz w:val="16"/>
                              </w:rPr>
                            </w:pPr>
                            <w:r>
                              <w:rPr>
                                <w:sz w:val="16"/>
                              </w:rPr>
                              <w:t>133</w:t>
                            </w:r>
                            <w:r w:rsidR="00EA26D3">
                              <w:rPr>
                                <w:sz w:val="16"/>
                              </w:rPr>
                              <w:t xml:space="preserve"> </w:t>
                            </w:r>
                            <w:r>
                              <w:rPr>
                                <w:sz w:val="16"/>
                              </w:rPr>
                              <w:t>±</w:t>
                            </w:r>
                            <w:r w:rsidR="00EA26D3">
                              <w:rPr>
                                <w:sz w:val="16"/>
                              </w:rPr>
                              <w:t xml:space="preserve"> </w:t>
                            </w:r>
                            <w:r w:rsidR="00123704">
                              <w:rPr>
                                <w:sz w:val="16"/>
                              </w:rPr>
                              <w:t>4</w:t>
                            </w:r>
                          </w:p>
                          <w:p w14:paraId="14A72D0A" w14:textId="1EBD81CC" w:rsidR="00441695" w:rsidRDefault="00441695" w:rsidP="00123704">
                            <w:pPr>
                              <w:jc w:val="center"/>
                              <w:rPr>
                                <w:sz w:val="16"/>
                              </w:rPr>
                            </w:pPr>
                            <w:r>
                              <w:rPr>
                                <w:sz w:val="16"/>
                              </w:rPr>
                              <w:t>153</w:t>
                            </w:r>
                            <w:r w:rsidR="00EA26D3">
                              <w:rPr>
                                <w:sz w:val="16"/>
                              </w:rPr>
                              <w:t xml:space="preserve"> </w:t>
                            </w:r>
                            <w:r>
                              <w:rPr>
                                <w:sz w:val="16"/>
                              </w:rPr>
                              <w:t>±</w:t>
                            </w:r>
                            <w:r w:rsidR="00EA26D3">
                              <w:rPr>
                                <w:sz w:val="16"/>
                              </w:rPr>
                              <w:t xml:space="preserve"> </w:t>
                            </w:r>
                            <w:r w:rsidR="00123704">
                              <w:rPr>
                                <w:sz w:val="16"/>
                              </w:rPr>
                              <w:t>6</w:t>
                            </w:r>
                          </w:p>
                        </w:tc>
                        <w:tc>
                          <w:tcPr>
                            <w:tcW w:w="1095" w:type="dxa"/>
                            <w:tcBorders>
                              <w:left w:val="single" w:sz="6" w:space="0" w:color="000000"/>
                            </w:tcBorders>
                          </w:tcPr>
                          <w:p w14:paraId="449C996F" w14:textId="21060E06" w:rsidR="00441695" w:rsidRDefault="00441695">
                            <w:pPr>
                              <w:jc w:val="center"/>
                              <w:rPr>
                                <w:sz w:val="16"/>
                              </w:rPr>
                            </w:pPr>
                            <w:r>
                              <w:rPr>
                                <w:sz w:val="16"/>
                              </w:rPr>
                              <w:t>16.6</w:t>
                            </w:r>
                          </w:p>
                          <w:p w14:paraId="79D79AA9" w14:textId="78247C60" w:rsidR="00441695" w:rsidRDefault="00441695">
                            <w:pPr>
                              <w:jc w:val="center"/>
                              <w:rPr>
                                <w:sz w:val="16"/>
                              </w:rPr>
                            </w:pPr>
                            <w:r>
                              <w:rPr>
                                <w:sz w:val="16"/>
                              </w:rPr>
                              <w:t>22.5</w:t>
                            </w:r>
                          </w:p>
                          <w:p w14:paraId="61931BFC" w14:textId="21343D8C" w:rsidR="00441695" w:rsidRDefault="00441695">
                            <w:pPr>
                              <w:jc w:val="center"/>
                              <w:rPr>
                                <w:sz w:val="16"/>
                              </w:rPr>
                            </w:pPr>
                            <w:r>
                              <w:rPr>
                                <w:sz w:val="16"/>
                              </w:rPr>
                              <w:t>14.7</w:t>
                            </w:r>
                          </w:p>
                          <w:p w14:paraId="5F695F09" w14:textId="752B4CAA" w:rsidR="00441695" w:rsidRDefault="00441695">
                            <w:pPr>
                              <w:jc w:val="center"/>
                              <w:rPr>
                                <w:sz w:val="16"/>
                              </w:rPr>
                            </w:pPr>
                            <w:r>
                              <w:rPr>
                                <w:sz w:val="16"/>
                              </w:rPr>
                              <w:t>10.5</w:t>
                            </w:r>
                          </w:p>
                          <w:p w14:paraId="192904CE" w14:textId="152D2F84" w:rsidR="00441695" w:rsidRDefault="00441695">
                            <w:pPr>
                              <w:jc w:val="center"/>
                              <w:rPr>
                                <w:sz w:val="16"/>
                              </w:rPr>
                            </w:pPr>
                            <w:r>
                              <w:rPr>
                                <w:sz w:val="16"/>
                              </w:rPr>
                              <w:t>13.9</w:t>
                            </w:r>
                          </w:p>
                          <w:p w14:paraId="7A325010" w14:textId="2CE22151" w:rsidR="00441695" w:rsidRDefault="00441695">
                            <w:pPr>
                              <w:jc w:val="center"/>
                              <w:rPr>
                                <w:sz w:val="16"/>
                              </w:rPr>
                            </w:pPr>
                            <w:r>
                              <w:rPr>
                                <w:sz w:val="16"/>
                              </w:rPr>
                              <w:t>11.9</w:t>
                            </w:r>
                          </w:p>
                        </w:tc>
                      </w:tr>
                    </w:tbl>
                    <w:p w14:paraId="7C74AA90" w14:textId="77777777" w:rsidR="00395EA0" w:rsidRDefault="00395EA0" w:rsidP="00395EA0">
                      <w:pPr>
                        <w:pStyle w:val="FootnoteText"/>
                      </w:pPr>
                    </w:p>
                    <w:p w14:paraId="22C0522C" w14:textId="77777777" w:rsidR="00395EA0" w:rsidRDefault="00395EA0" w:rsidP="00395EA0"/>
                  </w:txbxContent>
                </v:textbox>
                <w10:wrap type="square" anchorx="margin" anchory="margin"/>
                <w10:anchorlock/>
              </v:shape>
            </w:pict>
          </mc:Fallback>
        </mc:AlternateContent>
      </w:r>
      <w:r w:rsidRPr="002F5155">
        <w:t xml:space="preserve">elsewhere, which reported on the effects of absorbed water on breakdown strength </w:t>
      </w:r>
      <w:r w:rsidR="00395EA0" w:rsidRPr="002F5155">
        <w:fldChar w:fldCharType="begin" w:fldLock="1"/>
      </w:r>
      <w:r w:rsidR="0039215E" w:rsidRPr="002F5155">
        <w:instrText>ADDIN CSL_CITATION {"citationItems":[{"id":"ITEM-1","itemData":{"DOI":"10.1109/TDEI.2017.005788","abstract":"A series of nanoparticles was prepared by functionalizing a commercial nanosilica with alkylsilanes of varying alkyl tail length, from propyl to octadecyl. By using a constant molar concentration of silane, the density of alkyl groups attached to each system should be comparable. The effect of chain length on the structure of the resulting nanosilica/polyethylene nanocomposites was examined and comparison with an unfilled reference system revealed that, other than through a weak nucleating effect, the inclusion of the nanosilica does not affect the matrix structure. Since water interacts strongly with applied electric fields, water was used as a dielectric probe in conjunction with dielectric spectroscopy to examine the effect of the nanofiller and its surface chemistry on the system. Sets of samples were prepared through equilibrating under ambient conditions, vacuum drying and water immersion. While the water content of the unfilled polymer was not greatly affected, the water content of the nanocomposites varied over a wide range as a result of water accumulation, in a range of states, at nanoparticle interfaces. The effect of water content on breakdown behavior was also explored and, in the unfilled polymer, the breakdown strength was found to depend little on exposure to water (~13% reduction). In all the nanocomposites, the increased propensity for these systems to absorb water meant that the breakdown strength was dramatically affected (&gt;66% reduction).","author":[{"dropping-particle":"","family":"Hosier","given":"Ian","non-dropping-particle":"","parse-names":false,"suffix":""},{"dropping-particle":"","family":"Praeger","given":"Matthew","non-dropping-particle":"","parse-names":false,"suffix":""},{"dropping-particle":"","family":"Holt","given":"Alex","non-dropping-particle":"","parse-names":false,"suffix":""},{"dropping-particle":"","family":"Vaughan","given":"Alun","non-dropping-particle":"","parse-names":false,"suffix":""},{"dropping-particle":"","family":"Swingler","given":"Steven","non-dropping-particle":"","parse-names":false,"suffix":""}],"container-title":"IEEE Transactions on Dielectrics and Electrical Insulation","id":"ITEM-1","issue":"3","issued":{"date-parts":[["2017"]]},"page":"1698-1707","title":"On the Effect of Functionaliser Chain Length and Water Content in Polyethylene/Silica Nanocomposites: Part I – Dielectric Properties and Breakdown Strength","type":"article-journal","volume":"24"},"uris":["http://www.mendeley.com/documents/?uuid=0a4a0891-1a2a-4849-a1e0-9bbab9edddaf"]}],"mendeley":{"formattedCitation":"[4]","plainTextFormattedCitation":"[4]","previouslyFormattedCitation":"[4]"},"properties":{"noteIndex":0},"schema":"https://github.com/citation-style-language/schema/raw/master/csl-citation.json"}</w:instrText>
      </w:r>
      <w:r w:rsidR="00395EA0" w:rsidRPr="002F5155">
        <w:fldChar w:fldCharType="separate"/>
      </w:r>
      <w:r w:rsidR="0039215E" w:rsidRPr="002F5155">
        <w:rPr>
          <w:noProof/>
        </w:rPr>
        <w:t>[4]</w:t>
      </w:r>
      <w:r w:rsidR="00395EA0" w:rsidRPr="002F5155">
        <w:fldChar w:fldCharType="end"/>
      </w:r>
      <w:r w:rsidRPr="002F5155">
        <w:t xml:space="preserve">. In the case of water, it is possible to propose a number of mechanisms by which its presence could adversely affect breakdown strength, involving dipolar </w:t>
      </w:r>
      <w:r w:rsidR="00406FB9" w:rsidRPr="002F5155">
        <w:t>relaxation</w:t>
      </w:r>
      <w:r w:rsidR="00DF3C80" w:rsidRPr="002F5155">
        <w:t>s</w:t>
      </w:r>
      <w:r w:rsidR="00406FB9" w:rsidRPr="002F5155">
        <w:t xml:space="preserve"> </w:t>
      </w:r>
      <w:r w:rsidRPr="002F5155">
        <w:t>and/or ionic</w:t>
      </w:r>
      <w:r w:rsidR="00406FB9" w:rsidRPr="002F5155">
        <w:t xml:space="preserve"> conduction</w:t>
      </w:r>
      <w:r w:rsidR="006371FF" w:rsidRPr="002F5155">
        <w:t xml:space="preserve"> processes. H</w:t>
      </w:r>
      <w:r w:rsidRPr="002F5155">
        <w:t>ere, the critical role played by the non</w:t>
      </w:r>
      <w:r w:rsidR="00771AAF" w:rsidRPr="002F5155">
        <w:t>-</w:t>
      </w:r>
      <w:r w:rsidRPr="002F5155">
        <w:t>polar xylene combined with the mediating effect of this s</w:t>
      </w:r>
      <w:r w:rsidR="006371FF" w:rsidRPr="002F5155">
        <w:t>olvent</w:t>
      </w:r>
      <w:r w:rsidRPr="002F5155">
        <w:t xml:space="preserve"> in increasing dielectric losses at 50 Hz (the frequency of the </w:t>
      </w:r>
      <w:r w:rsidR="006371FF" w:rsidRPr="002F5155">
        <w:t xml:space="preserve">applied voltage used for </w:t>
      </w:r>
      <w:r w:rsidRPr="002F5155">
        <w:t>breakdown testing), suggests that the former is most pertinent. In all cases, the re-dried samples exhibited a breakdown strength that was somewhat lower than the respective, dried samples</w:t>
      </w:r>
      <w:r w:rsidR="00DF3C80" w:rsidRPr="002F5155">
        <w:t>,</w:t>
      </w:r>
      <w:r w:rsidRPr="002F5155">
        <w:t xml:space="preserve"> which is again consistent with the increased dielectric losses seen in Figure 5 </w:t>
      </w:r>
      <w:r w:rsidR="006A11F6" w:rsidRPr="002F5155">
        <w:t>for the PP/EVA9-20/X/R systems</w:t>
      </w:r>
      <w:r w:rsidR="00FB5E05" w:rsidRPr="002F5155">
        <w:t xml:space="preserve">. </w:t>
      </w:r>
      <w:r w:rsidR="00B82A69" w:rsidRPr="002F5155">
        <w:t>S</w:t>
      </w:r>
      <w:r w:rsidR="006371FF" w:rsidRPr="002F5155">
        <w:t xml:space="preserve">uch correlations </w:t>
      </w:r>
      <w:r w:rsidR="006A11F6" w:rsidRPr="002F5155">
        <w:t>suggest that</w:t>
      </w:r>
      <w:r w:rsidR="00FB5E05" w:rsidRPr="002F5155">
        <w:t>, here,</w:t>
      </w:r>
      <w:r w:rsidR="006A11F6" w:rsidRPr="002F5155">
        <w:t xml:space="preserve"> </w:t>
      </w:r>
      <w:r w:rsidR="00B82A69" w:rsidRPr="002F5155">
        <w:t xml:space="preserve">the observed changes in </w:t>
      </w:r>
      <w:r w:rsidR="006A11F6" w:rsidRPr="002F5155">
        <w:t xml:space="preserve">AC breakdown </w:t>
      </w:r>
      <w:r w:rsidR="00B82A69" w:rsidRPr="002F5155">
        <w:t xml:space="preserve">strength are driven </w:t>
      </w:r>
      <w:r w:rsidR="00B10D9C" w:rsidRPr="002F5155">
        <w:t xml:space="preserve">by </w:t>
      </w:r>
      <w:r w:rsidR="00B82A69" w:rsidRPr="002F5155">
        <w:t xml:space="preserve">changes in the </w:t>
      </w:r>
      <w:r w:rsidR="006A11F6" w:rsidRPr="002F5155">
        <w:t>permittivity and polarizability of the samples</w:t>
      </w:r>
      <w:r w:rsidR="00B10D9C" w:rsidRPr="002F5155">
        <w:t xml:space="preserve"> and, therefore, </w:t>
      </w:r>
      <w:r w:rsidR="00B82A69" w:rsidRPr="002F5155">
        <w:t xml:space="preserve">we </w:t>
      </w:r>
      <w:r w:rsidR="006371FF" w:rsidRPr="002F5155">
        <w:t xml:space="preserve">suggest two permittivity-based mechanisms. </w:t>
      </w:r>
      <w:r w:rsidR="00B10D9C" w:rsidRPr="002F5155">
        <w:t xml:space="preserve">First, </w:t>
      </w:r>
      <w:r w:rsidR="006371FF" w:rsidRPr="002F5155">
        <w:t xml:space="preserve">increases in </w:t>
      </w:r>
      <w:r w:rsidR="006371FF" w:rsidRPr="002F5155">
        <w:rPr>
          <w:i/>
        </w:rPr>
        <w:t>ε̋</w:t>
      </w:r>
      <w:r w:rsidR="006371FF" w:rsidRPr="002F5155">
        <w:t xml:space="preserve"> of some two orders of magnitude, as are evident </w:t>
      </w:r>
      <w:r w:rsidR="00BB374B" w:rsidRPr="002F5155">
        <w:t xml:space="preserve">in </w:t>
      </w:r>
      <w:r w:rsidR="006371FF" w:rsidRPr="002F5155">
        <w:t xml:space="preserve">Figure 5, provide a direct means by which energy can </w:t>
      </w:r>
      <w:r w:rsidR="00874DC5" w:rsidRPr="002F5155">
        <w:t xml:space="preserve">be deposited within the system. Second, </w:t>
      </w:r>
      <w:r w:rsidR="00B10D9C" w:rsidRPr="002F5155">
        <w:t xml:space="preserve">associated </w:t>
      </w:r>
      <w:r w:rsidR="00874DC5" w:rsidRPr="002F5155">
        <w:t xml:space="preserve">localized increases </w:t>
      </w:r>
      <w:r w:rsidR="006371FF" w:rsidRPr="002F5155">
        <w:t xml:space="preserve">in </w:t>
      </w:r>
      <w:r w:rsidR="00B82A69" w:rsidRPr="002F5155">
        <w:t xml:space="preserve">permittivity will </w:t>
      </w:r>
      <w:r w:rsidR="007F56BD" w:rsidRPr="002F5155">
        <w:t xml:space="preserve">lead to </w:t>
      </w:r>
      <w:r w:rsidR="00B82A69" w:rsidRPr="002F5155">
        <w:t xml:space="preserve">local </w:t>
      </w:r>
      <w:r w:rsidR="007F56BD" w:rsidRPr="002F5155">
        <w:t xml:space="preserve">increases in </w:t>
      </w:r>
      <w:r w:rsidR="00B82A69" w:rsidRPr="002F5155">
        <w:t>electric field within the system. Both these mechanisms will serve to accelerate failure. Nevertheless, we accept that while it is not possible categorically to discount the role of conduction processes</w:t>
      </w:r>
      <w:r w:rsidR="00B10D9C" w:rsidRPr="002F5155">
        <w:t xml:space="preserve"> in general and effects related to solvation of ionic species in particular</w:t>
      </w:r>
      <w:r w:rsidR="00B82A69" w:rsidRPr="002F5155">
        <w:t xml:space="preserve">, </w:t>
      </w:r>
      <w:r w:rsidR="00DF3C80" w:rsidRPr="002F5155">
        <w:t xml:space="preserve">for the reasons presented above, </w:t>
      </w:r>
      <w:r w:rsidR="00B82A69" w:rsidRPr="002F5155">
        <w:t xml:space="preserve">we feel that compelling evidence </w:t>
      </w:r>
      <w:r w:rsidR="00BB374B" w:rsidRPr="002F5155">
        <w:t xml:space="preserve">for this does not </w:t>
      </w:r>
      <w:r w:rsidR="00B82A69" w:rsidRPr="002F5155">
        <w:t>exists at present. Indeed, recent studies have reported that while DC conductivity is well correlated with DC breakdown strength, DC conducti</w:t>
      </w:r>
      <w:r w:rsidR="00BB374B" w:rsidRPr="002F5155">
        <w:t>vity</w:t>
      </w:r>
      <w:r w:rsidR="00B82A69" w:rsidRPr="002F5155">
        <w:t xml:space="preserve"> and AC breakdown are not necessarily related</w:t>
      </w:r>
      <w:r w:rsidR="007F56BD" w:rsidRPr="002F5155">
        <w:t xml:space="preserve"> </w:t>
      </w:r>
      <w:r w:rsidR="00590CA1" w:rsidRPr="002F5155">
        <w:fldChar w:fldCharType="begin" w:fldLock="1"/>
      </w:r>
      <w:r w:rsidR="003E2FCD" w:rsidRPr="002F5155">
        <w:instrText>ADDIN CSL_CITATION {"citationItems":[{"id":"ITEM-1","itemData":{"DOI":"10.1109/TDEI.2017.006828","ISSN":"10709878","abstract":"© 1994-2012 IEEE. By changing the ratio of resin to hardener, a series of epoxy resin samples has been produced with differing network structures and different retained chemical functionalities. The resulting materials were characterized by thermal analysis, dielectric spectroscopy, DC conductivity, and DC and AC breakdown strength measurements, to explore the effect of network structure and chemical composition on molecular dynamics and electrical properties. Differential scanning calorimetry showed that the glass transition temperature is primarily determined by the crosslinking density and indicates that, under the range of conditions employed here, side reactions, such as etherification or homopolarization, are negligible. Conversely, changes in DC conductivity with resin stoichiometry appear to occur as a result of changes in the chemical content of the system, rather than variations in network structure or dynamics. Specifically, we suggest that the DC conductivity is markedly affected by the residual amine group concentration in the system. While DC conductivity and DC breakdown appear broadly to be correlated, AC breakdown results indicated that this parameter does not vary with changing stoichiometry, which suggests that the AC and DC breakdown strengths are controlled by different mechanisms.","author":[{"dropping-particle":"","family":"Alhabill","given":"F. N.","non-dropping-particle":"","parse-names":false,"suffix":""},{"dropping-particle":"","family":"Ayoob","given":"R.","non-dropping-particle":"","parse-names":false,"suffix":""},{"dropping-particle":"","family":"Andritsch","given":"T.","non-dropping-particle":"","parse-names":false,"suffix":""},{"dropping-particle":"","family":"Vaughan","given":"A. S.","non-dropping-particle":"","parse-names":false,"suffix":""}],"container-title":"IEEE Transactions on Dielectrics and Electrical Insulation","id":"ITEM-1","issue":"6","issued":{"date-parts":[["2017"]]},"page":"3739-3749","publisher":"IEEE","title":"Effect of resin/hardener stoichiometry on electrical behavior of epoxy networks","type":"article-journal","volume":"24"},"uris":["http://www.mendeley.com/documents/?uuid=ebd16505-e18b-4174-b5b8-7832b85edc1a"]}],"mendeley":{"formattedCitation":"[25]","plainTextFormattedCitation":"[25]","previouslyFormattedCitation":"[25]"},"properties":{"noteIndex":0},"schema":"https://github.com/citation-style-language/schema/raw/master/csl-citation.json"}</w:instrText>
      </w:r>
      <w:r w:rsidR="00590CA1" w:rsidRPr="002F5155">
        <w:fldChar w:fldCharType="separate"/>
      </w:r>
      <w:r w:rsidR="005E747C" w:rsidRPr="002F5155">
        <w:rPr>
          <w:noProof/>
        </w:rPr>
        <w:t>[25]</w:t>
      </w:r>
      <w:r w:rsidR="00590CA1" w:rsidRPr="002F5155">
        <w:fldChar w:fldCharType="end"/>
      </w:r>
      <w:r w:rsidR="00B82A69" w:rsidRPr="002F5155">
        <w:t>.</w:t>
      </w:r>
    </w:p>
    <w:p w14:paraId="6F115280" w14:textId="574144B3" w:rsidR="00572D31" w:rsidRPr="002F5155" w:rsidRDefault="00572D31" w:rsidP="004F73DF">
      <w:pPr>
        <w:ind w:firstLine="202"/>
        <w:jc w:val="both"/>
        <w:rPr>
          <w:smallCaps/>
        </w:rPr>
      </w:pPr>
    </w:p>
    <w:p w14:paraId="779491E0" w14:textId="51D39F5D" w:rsidR="00D514D8" w:rsidRPr="002F5155" w:rsidRDefault="00572D31" w:rsidP="004F73DF">
      <w:pPr>
        <w:pStyle w:val="Text"/>
        <w:spacing w:before="120" w:after="60" w:line="240" w:lineRule="auto"/>
        <w:ind w:firstLine="0"/>
        <w:jc w:val="center"/>
        <w:rPr>
          <w:rFonts w:ascii="Arial" w:hAnsi="Arial"/>
          <w:b/>
          <w:bCs/>
          <w:caps/>
          <w:kern w:val="28"/>
          <w:sz w:val="24"/>
        </w:rPr>
      </w:pPr>
      <w:r w:rsidRPr="002F5155">
        <w:rPr>
          <w:rFonts w:ascii="Arial" w:hAnsi="Arial"/>
          <w:b/>
          <w:bCs/>
          <w:caps/>
          <w:kern w:val="28"/>
          <w:sz w:val="24"/>
        </w:rPr>
        <w:t>4</w:t>
      </w:r>
      <w:r w:rsidR="00AB77C9" w:rsidRPr="002F5155">
        <w:rPr>
          <w:rFonts w:ascii="Arial" w:hAnsi="Arial"/>
          <w:b/>
          <w:bCs/>
          <w:caps/>
          <w:kern w:val="28"/>
          <w:sz w:val="24"/>
        </w:rPr>
        <w:t xml:space="preserve"> conclusionS</w:t>
      </w:r>
    </w:p>
    <w:p w14:paraId="387B5766" w14:textId="0ED2EEED" w:rsidR="00AF0FA9" w:rsidRPr="002F5155" w:rsidRDefault="00AF0FA9" w:rsidP="006042A1">
      <w:pPr>
        <w:pStyle w:val="Text"/>
        <w:ind w:firstLine="142"/>
      </w:pPr>
      <w:r w:rsidRPr="002F5155">
        <w:t>The influence of a labile, non</w:t>
      </w:r>
      <w:r w:rsidR="0001423B" w:rsidRPr="002F5155">
        <w:t>-</w:t>
      </w:r>
      <w:r w:rsidRPr="002F5155">
        <w:t>polar molecule on dielectric response and breakdown behavior has been examined in a polymer blend system containing varying loading levels of an organoclay. In the absence of xylene, addition of the organoclay has little effect on the dielectric response of the system and, at low loading levels, leads to a significant increase in the breakdown strength of the system. Equally, in the absence of the organoclay, the presence of xylene has an insignificant effect on both dielectric response and breakdown. However, when both the organoclay and the xylene are present together, strong synergistic effects are seen. Specifically, the dielectric losses are markedly increased and, in parallel, the AC breakdown strength is reduced. We propose that these effects are associated with solvation of amphiphilic species that are added to the virgin clay in order to render it more compatible with the host polymer and ease dispersion during processing.</w:t>
      </w:r>
    </w:p>
    <w:p w14:paraId="20423912" w14:textId="113B0810" w:rsidR="004B05C9" w:rsidRPr="002F5155" w:rsidRDefault="00AF0FA9" w:rsidP="004B05C9">
      <w:pPr>
        <w:pStyle w:val="Text"/>
        <w:spacing w:line="240" w:lineRule="auto"/>
        <w:ind w:firstLine="142"/>
      </w:pPr>
      <w:r w:rsidRPr="002F5155">
        <w:t xml:space="preserve">While it is generally accepted that in nanocomposite systems </w:t>
      </w:r>
      <w:r w:rsidR="003D65A5" w:rsidRPr="002F5155">
        <w:t>optim</w:t>
      </w:r>
      <w:r w:rsidR="006F0DF5" w:rsidRPr="002F5155">
        <w:t>al</w:t>
      </w:r>
      <w:r w:rsidRPr="002F5155">
        <w:t xml:space="preserve"> properties require good dispersion of the nanoclay, the work presented here, we suggest, indicates that where dielectric and electrical properties are concerned, improved dispersion is not the panacea it may be elsewhere. Rather, the mechanisms that determine bulk properties can be influenced by local physical and chemical factors. While it is conceptually simple to envisage how absorbed water can couple with an applied electric field and, thereby, affect dielectric response, it is less obvious that the presence of a non</w:t>
      </w:r>
      <w:r w:rsidR="0001423B" w:rsidRPr="002F5155">
        <w:t>-</w:t>
      </w:r>
      <w:r w:rsidRPr="002F5155">
        <w:t>polar species can serve to facilitate comparable effects. Here, the presence of the non</w:t>
      </w:r>
      <w:r w:rsidR="0001423B" w:rsidRPr="002F5155">
        <w:t>-</w:t>
      </w:r>
      <w:r w:rsidRPr="002F5155">
        <w:t>polar xylene leads, indirectly, to phenomena that mirror the direct effects of absorbed water. While both are, practically, deleterious, this does not eliminate the possibility of other labile species acting in some advantageous way, by which macroscopic electrical properties are enhanced.</w:t>
      </w:r>
    </w:p>
    <w:p w14:paraId="441B602A" w14:textId="1F27FE92" w:rsidR="00D514D8" w:rsidRPr="002F5155" w:rsidRDefault="00D514D8" w:rsidP="00D514D8">
      <w:pPr>
        <w:pStyle w:val="Heading1"/>
        <w:numPr>
          <w:ilvl w:val="0"/>
          <w:numId w:val="0"/>
        </w:numPr>
        <w:rPr>
          <w:rFonts w:ascii="Arial" w:hAnsi="Arial"/>
          <w:b/>
          <w:bCs/>
          <w:sz w:val="24"/>
        </w:rPr>
      </w:pPr>
      <w:r w:rsidRPr="002F5155">
        <w:rPr>
          <w:rFonts w:ascii="Arial" w:hAnsi="Arial"/>
          <w:b/>
          <w:bCs/>
          <w:sz w:val="24"/>
        </w:rPr>
        <w:t>ACKNOWLEDGMENT</w:t>
      </w:r>
    </w:p>
    <w:p w14:paraId="4A0D1862" w14:textId="240475CD" w:rsidR="000618E1" w:rsidRPr="002F5155" w:rsidRDefault="000618E1" w:rsidP="00EA54B6">
      <w:pPr>
        <w:pStyle w:val="Text"/>
        <w:spacing w:line="240" w:lineRule="auto"/>
      </w:pPr>
      <w:r w:rsidRPr="002F5155">
        <w:t>The authors would like to acknowledge the support of AWE</w:t>
      </w:r>
      <w:r w:rsidR="00EA54B6" w:rsidRPr="002F5155">
        <w:t xml:space="preserve"> </w:t>
      </w:r>
      <w:r w:rsidRPr="002F5155">
        <w:t>plc, EPSRC and the support of Dr Matthew A. Brown.</w:t>
      </w:r>
    </w:p>
    <w:p w14:paraId="6C1A0172" w14:textId="337B5EA7" w:rsidR="004B05C9" w:rsidRPr="002F5155" w:rsidRDefault="000618E1" w:rsidP="004B05C9">
      <w:pPr>
        <w:pStyle w:val="Text"/>
        <w:spacing w:line="240" w:lineRule="auto"/>
      </w:pPr>
      <w:r w:rsidRPr="002F5155">
        <w:t>All data supporting this study are openly available from the</w:t>
      </w:r>
      <w:r w:rsidR="000C2735" w:rsidRPr="002F5155">
        <w:t xml:space="preserve"> </w:t>
      </w:r>
      <w:r w:rsidRPr="002F5155">
        <w:t>University of Southampton repository at</w:t>
      </w:r>
      <w:r w:rsidR="004B05C9" w:rsidRPr="002F5155">
        <w:t xml:space="preserve">: </w:t>
      </w:r>
      <w:r w:rsidR="002D722E" w:rsidRPr="002F5155">
        <w:rPr>
          <w:rStyle w:val="Hyperlink"/>
          <w:color w:val="auto"/>
          <w:u w:val="none"/>
        </w:rPr>
        <w:t>http://dx.doi.org/10.5258/SOTON/D0537</w:t>
      </w:r>
    </w:p>
    <w:p w14:paraId="15DED8E8" w14:textId="77777777" w:rsidR="00D514D8" w:rsidRPr="002F5155" w:rsidRDefault="00D514D8" w:rsidP="00D514D8">
      <w:pPr>
        <w:pStyle w:val="ReferenceHead"/>
        <w:keepLines/>
        <w:rPr>
          <w:rFonts w:ascii="Arial" w:hAnsi="Arial" w:cs="Arial"/>
          <w:b/>
          <w:caps/>
          <w:smallCaps w:val="0"/>
          <w:sz w:val="24"/>
        </w:rPr>
      </w:pPr>
      <w:r w:rsidRPr="002F5155">
        <w:rPr>
          <w:rFonts w:ascii="Arial" w:hAnsi="Arial" w:cs="Arial"/>
          <w:b/>
          <w:caps/>
          <w:smallCaps w:val="0"/>
          <w:sz w:val="24"/>
        </w:rPr>
        <w:t>References</w:t>
      </w:r>
    </w:p>
    <w:p w14:paraId="06EE1957" w14:textId="203E00CF" w:rsidR="003E2FCD" w:rsidRPr="002F5155" w:rsidRDefault="002624E8" w:rsidP="003E2FCD">
      <w:pPr>
        <w:widowControl w:val="0"/>
        <w:autoSpaceDE w:val="0"/>
        <w:autoSpaceDN w:val="0"/>
        <w:adjustRightInd w:val="0"/>
        <w:ind w:left="640" w:hanging="640"/>
        <w:rPr>
          <w:noProof/>
          <w:sz w:val="16"/>
          <w:szCs w:val="24"/>
        </w:rPr>
      </w:pPr>
      <w:r w:rsidRPr="002F5155">
        <w:rPr>
          <w:sz w:val="16"/>
          <w:szCs w:val="16"/>
        </w:rPr>
        <w:fldChar w:fldCharType="begin" w:fldLock="1"/>
      </w:r>
      <w:r w:rsidRPr="002F5155">
        <w:rPr>
          <w:sz w:val="16"/>
          <w:szCs w:val="16"/>
        </w:rPr>
        <w:instrText xml:space="preserve">ADDIN Mendeley Bibliography CSL_BIBLIOGRAPHY </w:instrText>
      </w:r>
      <w:r w:rsidRPr="002F5155">
        <w:rPr>
          <w:sz w:val="16"/>
          <w:szCs w:val="16"/>
        </w:rPr>
        <w:fldChar w:fldCharType="separate"/>
      </w:r>
      <w:r w:rsidR="003E2FCD" w:rsidRPr="002F5155">
        <w:rPr>
          <w:noProof/>
          <w:sz w:val="16"/>
          <w:szCs w:val="24"/>
        </w:rPr>
        <w:t>[1]</w:t>
      </w:r>
      <w:r w:rsidR="003E2FCD" w:rsidRPr="002F5155">
        <w:rPr>
          <w:noProof/>
          <w:sz w:val="16"/>
          <w:szCs w:val="24"/>
        </w:rPr>
        <w:tab/>
        <w:t>C. Zilg, D. Kaempfer, R. Thomann, R. Muelhaupt, and G. C. Montanari, “Electrical Properties of Polymer Nanocomposites based upon Organophilic Layered Silicates,” Electr. Insul. Dielectr. Phenomena, 2003. Annu. Report. Conf., pp. 546–550, 2003.</w:t>
      </w:r>
    </w:p>
    <w:p w14:paraId="774EE2B6"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[2]</w:t>
      </w:r>
      <w:r w:rsidRPr="002F5155">
        <w:rPr>
          <w:noProof/>
          <w:sz w:val="16"/>
          <w:szCs w:val="24"/>
        </w:rPr>
        <w:tab/>
        <w:t>G. C. Montanari, D. Fabiani, F. Palmieri, D. Kaempfer, R. Thomann, and R. Mülhaupt, “Modification of electrical properties and performance of EVA and PP insulation through nanostructure by organophilic silicates,” IEEE Trans. Dielectr. Electr. Insul., vol. 11, no. 5, pp. 754–762, 2004.</w:t>
      </w:r>
    </w:p>
    <w:p w14:paraId="285C6498"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[3]</w:t>
      </w:r>
      <w:r w:rsidRPr="002F5155">
        <w:rPr>
          <w:noProof/>
          <w:sz w:val="16"/>
          <w:szCs w:val="24"/>
        </w:rPr>
        <w:tab/>
        <w:t xml:space="preserve">G. C. Montanari </w:t>
      </w:r>
      <w:r w:rsidRPr="002F5155">
        <w:rPr>
          <w:i/>
          <w:iCs/>
          <w:noProof/>
          <w:sz w:val="16"/>
          <w:szCs w:val="24"/>
        </w:rPr>
        <w:t>et al.</w:t>
      </w:r>
      <w:r w:rsidRPr="002F5155">
        <w:rPr>
          <w:noProof/>
          <w:sz w:val="16"/>
          <w:szCs w:val="24"/>
        </w:rPr>
        <w:t>, “Dielectric spectroscopy analysis of EVA-silicate nanocomposite insulating materials,” Proc. 2005 Int. Symp. Electr. Insul. Mater. 2005. (ISEIM 2005)., vol. 1, p. 247–250 Vol. 1, 2005.</w:t>
      </w:r>
    </w:p>
    <w:p w14:paraId="7B8BD416"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[4]</w:t>
      </w:r>
      <w:r w:rsidRPr="002F5155">
        <w:rPr>
          <w:noProof/>
          <w:sz w:val="16"/>
          <w:szCs w:val="24"/>
        </w:rPr>
        <w:tab/>
        <w:t>I. Hosier, M. Praeger, A. Holt, A. Vaughan, and S. Swingler, “On the Effect of Functionaliser Chain Length and Water Content in Polyethylene/Silica Nanocomposites: Part I – Dielectric Properties and Breakdown Strength,” IEEE Trans. Dielectr. Electr. Insul., vol. 24, no. 3, pp. 1698–1707, 2017.</w:t>
      </w:r>
    </w:p>
    <w:p w14:paraId="3E544B06"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[5]</w:t>
      </w:r>
      <w:r w:rsidRPr="002F5155">
        <w:rPr>
          <w:noProof/>
          <w:sz w:val="16"/>
          <w:szCs w:val="24"/>
        </w:rPr>
        <w:tab/>
        <w:t>M. Roy, J. K. Nelson, R. K. Maccrone, L. S. Schadler, C. W. Reed, and R. Keefe, “Polymer nanocomposite dielectrics-the role of the interface,” Dielectr. Electr. Insul. IEEE Trans., vol. 12, no. 4, pp. 629–643, 2005.</w:t>
      </w:r>
    </w:p>
    <w:p w14:paraId="42CF08E9"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[6]</w:t>
      </w:r>
      <w:r w:rsidRPr="002F5155">
        <w:rPr>
          <w:noProof/>
          <w:sz w:val="16"/>
          <w:szCs w:val="24"/>
        </w:rPr>
        <w:tab/>
        <w:t>M. Bhattacharya, “Polymer nanocomposites-A comparison between carbon nanotubes, graphene, and clay as nanofillers,” Materials (Basel)., vol. 9, no. 4, pp. 1–35, 2016.</w:t>
      </w:r>
    </w:p>
    <w:p w14:paraId="1B95A36B"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[7]</w:t>
      </w:r>
      <w:r w:rsidRPr="002F5155">
        <w:rPr>
          <w:noProof/>
          <w:sz w:val="16"/>
          <w:szCs w:val="24"/>
        </w:rPr>
        <w:tab/>
        <w:t>Y. Prachum, R. H. A. Strauss, and S. Kiatkamjornwong, “The Physical and Mechanical Properties of Beta-Nucleated Polypropylene/Montmorillonite Nanocomposites,” J. Appl. Polym. Sci., vol. 122, pp. 1066–1076, 2011.</w:t>
      </w:r>
    </w:p>
    <w:p w14:paraId="56AB125E"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[8]</w:t>
      </w:r>
      <w:r w:rsidRPr="002F5155">
        <w:rPr>
          <w:noProof/>
          <w:sz w:val="16"/>
          <w:szCs w:val="24"/>
        </w:rPr>
        <w:tab/>
        <w:t>E. M. Araújo, R. Barbosa, C. R. S. Morais, L. E. B. Soledade, A. G. Souza, and M. Q. Vieira, “Effects of organoclays on the thermal processing of PE/clay nanocomposites,” J. Therm. Anal. Calorim., vol. 90, pp. 841–848, 2007.</w:t>
      </w:r>
    </w:p>
    <w:p w14:paraId="7BEC7976"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[9]</w:t>
      </w:r>
      <w:r w:rsidRPr="002F5155">
        <w:rPr>
          <w:noProof/>
          <w:sz w:val="16"/>
          <w:szCs w:val="24"/>
        </w:rPr>
        <w:tab/>
        <w:t>M. L. López-Quintanilla, S. Sánchez-Valdés, L. F. Ramos De Valle, and F. J. Medellín-Rodríguez, “Effect of some compatibilizing agents on clay dispersion of polypropylene-clay nanocomposites,” J. Appl. Polym. Sci., vol. 100, no. 6, pp. 4748–4756, 2006.</w:t>
      </w:r>
    </w:p>
    <w:p w14:paraId="39FC917D"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[10]</w:t>
      </w:r>
      <w:r w:rsidRPr="002F5155">
        <w:rPr>
          <w:noProof/>
          <w:sz w:val="16"/>
          <w:szCs w:val="24"/>
        </w:rPr>
        <w:tab/>
        <w:t>M. Zanetti and L. Costa, “Preparation and combustion behaviour of polymer/layered silicate nanocomposites based upon PE and EVA,” Polymer (Guildf)., vol. 45, no. 13, pp. 4367–4373, 2004.</w:t>
      </w:r>
    </w:p>
    <w:p w14:paraId="2966385C"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[11]</w:t>
      </w:r>
      <w:r w:rsidRPr="002F5155">
        <w:rPr>
          <w:noProof/>
          <w:sz w:val="16"/>
          <w:szCs w:val="24"/>
        </w:rPr>
        <w:tab/>
        <w:t>S. V. Krishna and G. Pugazhenthi, “Properties and Thermal Degradation Kinetics of Polystyrene/Organoclay Nanocomposites Synthesized by Solvent Blending Method: Effect of Processing Conditions and Organoclay Loading,” J. Appl. Polym. Sci., vol. 120, p. 1322, 2011.</w:t>
      </w:r>
    </w:p>
    <w:p w14:paraId="518CF3FE"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[12]</w:t>
      </w:r>
      <w:r w:rsidRPr="002F5155">
        <w:rPr>
          <w:noProof/>
          <w:sz w:val="16"/>
          <w:szCs w:val="24"/>
        </w:rPr>
        <w:tab/>
        <w:t>C. Zhang and G. C. Stevens, “The dielectric response of polar and non-polar nanodielectrics,” IEEE Trans. Dielectr. Electr. Insul., vol. 15, no. 2, pp. 606–617, 2008.</w:t>
      </w:r>
    </w:p>
    <w:p w14:paraId="2779378F"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[13]</w:t>
      </w:r>
      <w:r w:rsidRPr="002F5155">
        <w:rPr>
          <w:noProof/>
          <w:sz w:val="16"/>
          <w:szCs w:val="24"/>
        </w:rPr>
        <w:tab/>
        <w:t>K. Y. Lau, A. S. Vaughan, G. Chen, I. L. Hosier, and  a F. Holt, “On the dielectric response of silica-based polyethylene nanocomposites,” J. Phys. D. Appl. Phys., vol. 46, no. 9, 2013.</w:t>
      </w:r>
    </w:p>
    <w:p w14:paraId="70552C15"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[14]</w:t>
      </w:r>
      <w:r w:rsidRPr="002F5155">
        <w:rPr>
          <w:noProof/>
          <w:sz w:val="16"/>
          <w:szCs w:val="24"/>
        </w:rPr>
        <w:tab/>
        <w:t xml:space="preserve">K. Y. Lau, A. S. Vaughan, G. Chen, and I. L. Hosier, “Polyethylene nanodielectrics: The effect of nanosilica and its surface treatment on electrical breakdown strength,” in </w:t>
      </w:r>
      <w:r w:rsidRPr="002F5155">
        <w:rPr>
          <w:i/>
          <w:iCs/>
          <w:noProof/>
          <w:sz w:val="16"/>
          <w:szCs w:val="24"/>
        </w:rPr>
        <w:t>Annual Report - Conference on Electrical Insulation and Dielectric Phenomena, CEIDP</w:t>
      </w:r>
      <w:r w:rsidRPr="002F5155">
        <w:rPr>
          <w:noProof/>
          <w:sz w:val="16"/>
          <w:szCs w:val="24"/>
        </w:rPr>
        <w:t>, 2012, pp. 21–24.</w:t>
      </w:r>
    </w:p>
    <w:p w14:paraId="0E89183E"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[15]</w:t>
      </w:r>
      <w:r w:rsidRPr="002F5155">
        <w:rPr>
          <w:noProof/>
          <w:sz w:val="16"/>
          <w:szCs w:val="24"/>
        </w:rPr>
        <w:tab/>
        <w:t>P. Meneghetti and S. Qutubuddin, “Synthesis, thermal properties and applications of polymer-clay nanocomposites,” Thermochim. Acta, vol. 442, pp. 74–77, 2006.</w:t>
      </w:r>
    </w:p>
    <w:p w14:paraId="3C73CAAE"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[16]</w:t>
      </w:r>
      <w:r w:rsidRPr="002F5155">
        <w:rPr>
          <w:noProof/>
          <w:sz w:val="16"/>
          <w:szCs w:val="24"/>
        </w:rPr>
        <w:tab/>
        <w:t>G. Peng, C.-C. Wu, C.-C. Diao, and C.-F. Yang, “Investigation of the composites of epoxy and micro-scale BaTi4O9 ceramic powder as the substrate of microwave communication circuit,” Microsyst. Technol., vol. 24, pp. 343–349, 2018.</w:t>
      </w:r>
    </w:p>
    <w:p w14:paraId="41334BFA"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[17]</w:t>
      </w:r>
      <w:r w:rsidRPr="002F5155">
        <w:rPr>
          <w:noProof/>
          <w:sz w:val="16"/>
          <w:szCs w:val="24"/>
        </w:rPr>
        <w:tab/>
        <w:t xml:space="preserve">D. R. Lide, </w:t>
      </w:r>
      <w:r w:rsidRPr="002F5155">
        <w:rPr>
          <w:i/>
          <w:iCs/>
          <w:noProof/>
          <w:sz w:val="16"/>
          <w:szCs w:val="24"/>
        </w:rPr>
        <w:t>“Dielectric Constant of Selected Polymers”, in CRC Handbook of Chemistry and Physics, Internet Version 2005</w:t>
      </w:r>
      <w:r w:rsidRPr="002F5155">
        <w:rPr>
          <w:noProof/>
          <w:sz w:val="16"/>
          <w:szCs w:val="24"/>
        </w:rPr>
        <w:t>. Boca Raton, FL: CRC Press, 2005.</w:t>
      </w:r>
    </w:p>
    <w:p w14:paraId="67F69CB2"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[18]</w:t>
      </w:r>
      <w:r w:rsidRPr="002F5155">
        <w:rPr>
          <w:noProof/>
          <w:sz w:val="16"/>
          <w:szCs w:val="24"/>
        </w:rPr>
        <w:tab/>
        <w:t>AZoM, “AZo Materials,” 2001. [Online]. Available: https://www.azom.com/article.aspx?ArticleID=410. [Accessed: 16-Apr-2018].</w:t>
      </w:r>
    </w:p>
    <w:p w14:paraId="7AE6418F"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[19]</w:t>
      </w:r>
      <w:r w:rsidRPr="002F5155">
        <w:rPr>
          <w:noProof/>
          <w:sz w:val="16"/>
          <w:szCs w:val="24"/>
        </w:rPr>
        <w:tab/>
        <w:t>P. Perez, T. E. Block, and C. M. Knobler, “Refractive Index and Dielectric Constant of Mixtures of Carbon Tetrachloride with Benzene, p-Xylene, and Mesitylene,” J. Chem. Eng. Data, vol. 16, no. 3, pp. 333–335, 1971.</w:t>
      </w:r>
    </w:p>
    <w:p w14:paraId="6E6E168A"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[20]</w:t>
      </w:r>
      <w:r w:rsidRPr="002F5155">
        <w:rPr>
          <w:noProof/>
          <w:sz w:val="16"/>
          <w:szCs w:val="24"/>
        </w:rPr>
        <w:tab/>
        <w:t>R. Mujal-Rosas, J. Orrit-Prat, X. Ramis-Juan, M. Marin-Genesca, and A. Rahhali, “Study on dielectric, thermal, and mechanical properties of the ethylene vinyl acetate reinforced with ground tire rubber,” J. Reinf. Plast. Compos., vol. 30, no. 7, pp. 581–592, 2011.</w:t>
      </w:r>
    </w:p>
    <w:p w14:paraId="10639543"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[21]</w:t>
      </w:r>
      <w:r w:rsidRPr="002F5155">
        <w:rPr>
          <w:noProof/>
          <w:sz w:val="16"/>
          <w:szCs w:val="24"/>
        </w:rPr>
        <w:tab/>
        <w:t>N. Taniguchi, O. Urakawa, and K. Adachi, “Calorimetric study of dynamical heterogeneity in toluene solutions of polystyrene,” Macromolecules, vol. 37, no. 20, pp. 7832–7838, 2004.</w:t>
      </w:r>
    </w:p>
    <w:p w14:paraId="5761D8D2"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[22]</w:t>
      </w:r>
      <w:r w:rsidRPr="002F5155">
        <w:rPr>
          <w:noProof/>
          <w:sz w:val="16"/>
          <w:szCs w:val="24"/>
        </w:rPr>
        <w:tab/>
        <w:t xml:space="preserve">E. Izci and N. Bowler, “Dielectric Properties of Isotactic Polypropylene and Montmorillonite Nanocomposites,” in </w:t>
      </w:r>
      <w:r w:rsidRPr="002F5155">
        <w:rPr>
          <w:i/>
          <w:iCs/>
          <w:noProof/>
          <w:sz w:val="16"/>
          <w:szCs w:val="24"/>
        </w:rPr>
        <w:t>Procedings of the 2010 IEEE International Conference on Solid Dielectrics (ICSD 2010)</w:t>
      </w:r>
      <w:r w:rsidRPr="002F5155">
        <w:rPr>
          <w:noProof/>
          <w:sz w:val="16"/>
          <w:szCs w:val="24"/>
        </w:rPr>
        <w:t>, 2010, pp. 1–4.</w:t>
      </w:r>
    </w:p>
    <w:p w14:paraId="5FC7D3F1"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[23]</w:t>
      </w:r>
      <w:r w:rsidRPr="002F5155">
        <w:rPr>
          <w:noProof/>
          <w:sz w:val="16"/>
          <w:szCs w:val="24"/>
        </w:rPr>
        <w:tab/>
        <w:t>B. Zazoum, E. David, and A. D. Ngô, “LDPE / HDPE / Clay Nanocomposites : Effects of Compatibilizer on the Structure and Dielectric Response,” J. Nanotechnol., 2013.</w:t>
      </w:r>
    </w:p>
    <w:p w14:paraId="101AB4B9" w14:textId="77777777" w:rsidR="003E2FCD" w:rsidRPr="002F5155" w:rsidRDefault="003E2FCD" w:rsidP="003E2FCD">
      <w:pPr>
        <w:widowControl w:val="0"/>
        <w:autoSpaceDE w:val="0"/>
        <w:autoSpaceDN w:val="0"/>
        <w:adjustRightInd w:val="0"/>
        <w:ind w:left="640" w:hanging="640"/>
        <w:rPr>
          <w:noProof/>
          <w:sz w:val="16"/>
          <w:szCs w:val="24"/>
        </w:rPr>
      </w:pPr>
      <w:r w:rsidRPr="002F5155">
        <w:rPr>
          <w:noProof/>
          <w:sz w:val="16"/>
          <w:szCs w:val="24"/>
        </w:rPr>
        <w:t>[24]</w:t>
      </w:r>
      <w:r w:rsidRPr="002F5155">
        <w:rPr>
          <w:noProof/>
          <w:sz w:val="16"/>
          <w:szCs w:val="24"/>
        </w:rPr>
        <w:tab/>
        <w:t>R. Ramani, R. Ramachandran, G. Amarendra, and S. Alam, “Direct correlation between free volume and dielectric constant in a fluorine-containing polyimide blend,” J. Phys. Conf. Ser., vol. 618, no. 1, pp. 0–4, 2015.</w:t>
      </w:r>
    </w:p>
    <w:p w14:paraId="6B93CD75" w14:textId="77777777" w:rsidR="003E2FCD" w:rsidRPr="002F5155" w:rsidRDefault="003E2FCD" w:rsidP="003E2FCD">
      <w:pPr>
        <w:widowControl w:val="0"/>
        <w:autoSpaceDE w:val="0"/>
        <w:autoSpaceDN w:val="0"/>
        <w:adjustRightInd w:val="0"/>
        <w:ind w:left="640" w:hanging="640"/>
        <w:rPr>
          <w:noProof/>
          <w:sz w:val="16"/>
        </w:rPr>
      </w:pPr>
      <w:r w:rsidRPr="002F5155">
        <w:rPr>
          <w:noProof/>
          <w:sz w:val="16"/>
          <w:szCs w:val="24"/>
        </w:rPr>
        <w:t>[25]</w:t>
      </w:r>
      <w:r w:rsidRPr="002F5155">
        <w:rPr>
          <w:noProof/>
          <w:sz w:val="16"/>
          <w:szCs w:val="24"/>
        </w:rPr>
        <w:tab/>
        <w:t>F. N. Alhabill, R. Ayoob, T. Andritsch, and A. S. Vaughan, “Effect of resin/hardener stoichiometry on electrical behavior of epoxy networks,” IEEE Trans. Dielectr. Electr. Insul., vol. 24, no. 6, pp. 3739–3749, 2017.</w:t>
      </w:r>
    </w:p>
    <w:p w14:paraId="5AD08A4A" w14:textId="490946B6" w:rsidR="008112CE" w:rsidRPr="002F5155" w:rsidRDefault="002624E8" w:rsidP="008F77A5">
      <w:pPr>
        <w:rPr>
          <w:sz w:val="16"/>
          <w:szCs w:val="16"/>
        </w:rPr>
      </w:pPr>
      <w:r w:rsidRPr="002F5155">
        <w:rPr>
          <w:sz w:val="16"/>
          <w:szCs w:val="16"/>
        </w:rPr>
        <w:fldChar w:fldCharType="end"/>
      </w:r>
    </w:p>
    <w:p w14:paraId="3C5D5B14" w14:textId="2F11D978" w:rsidR="00463C83" w:rsidRPr="002F5155" w:rsidRDefault="00463C83" w:rsidP="00463C83">
      <w:pPr>
        <w:pStyle w:val="ReferenceHead"/>
        <w:keepNext w:val="0"/>
        <w:spacing w:before="120" w:after="0"/>
        <w:outlineLvl w:val="9"/>
        <w:rPr>
          <w:rFonts w:ascii="Arial" w:hAnsi="Arial" w:cs="Arial"/>
          <w:b/>
          <w:smallCaps w:val="0"/>
          <w:kern w:val="0"/>
          <w:sz w:val="24"/>
          <w:szCs w:val="24"/>
        </w:rPr>
      </w:pPr>
      <w:r w:rsidRPr="002F5155">
        <w:rPr>
          <w:rFonts w:ascii="Arial" w:hAnsi="Arial" w:cs="Arial"/>
          <w:b/>
          <w:smallCaps w:val="0"/>
          <w:kern w:val="0"/>
          <w:sz w:val="24"/>
          <w:szCs w:val="24"/>
        </w:rPr>
        <w:t>BIOGRAPHIES</w:t>
      </w:r>
    </w:p>
    <w:p w14:paraId="647BF045" w14:textId="77777777" w:rsidR="00463C83" w:rsidRPr="002F5155" w:rsidRDefault="00463C83" w:rsidP="00463C83">
      <w:pPr>
        <w:pStyle w:val="Text"/>
        <w:spacing w:after="60" w:line="240" w:lineRule="auto"/>
      </w:pPr>
    </w:p>
    <w:p w14:paraId="3B5CEABD" w14:textId="5FAE5EA7" w:rsidR="00DA653A" w:rsidRPr="002F5155" w:rsidRDefault="00693B4D" w:rsidP="00516DE0">
      <w:pPr>
        <w:pStyle w:val="FigureCaption"/>
      </w:pPr>
      <w:r w:rsidRPr="002F5155">
        <w:rPr>
          <w:b/>
          <w:noProof/>
          <w:lang w:val="en-GB" w:eastAsia="en-GB"/>
        </w:rPr>
        <mc:AlternateContent>
          <mc:Choice Requires="wps">
            <w:drawing>
              <wp:anchor distT="28575" distB="28575" distL="28575" distR="28575" simplePos="0" relativeHeight="251687936" behindDoc="0" locked="1" layoutInCell="1" allowOverlap="1" wp14:anchorId="2BB17AEB" wp14:editId="33B78F18">
                <wp:simplePos x="0" y="0"/>
                <wp:positionH relativeFrom="column">
                  <wp:posOffset>355</wp:posOffset>
                </wp:positionH>
                <wp:positionV relativeFrom="paragraph">
                  <wp:posOffset>51</wp:posOffset>
                </wp:positionV>
                <wp:extent cx="1198800" cy="1206000"/>
                <wp:effectExtent l="0" t="0" r="190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00" cy="1206000"/>
                        </a:xfrm>
                        <a:prstGeom prst="rect">
                          <a:avLst/>
                        </a:prstGeom>
                        <a:solidFill>
                          <a:srgbClr val="FFFFFF"/>
                        </a:solidFill>
                        <a:ln w="9525">
                          <a:noFill/>
                          <a:miter lim="800000"/>
                          <a:headEnd/>
                          <a:tailEnd/>
                        </a:ln>
                      </wps:spPr>
                      <wps:txbx>
                        <w:txbxContent>
                          <w:p w14:paraId="218AF430" w14:textId="37313F1C" w:rsidR="00693B4D" w:rsidRDefault="00160ACC" w:rsidP="00693B4D">
                            <w:pPr>
                              <w:jc w:val="center"/>
                              <w:rPr>
                                <w:sz w:val="16"/>
                                <w:szCs w:val="16"/>
                              </w:rPr>
                            </w:pPr>
                            <w:r>
                              <w:rPr>
                                <w:noProof/>
                                <w:sz w:val="16"/>
                                <w:szCs w:val="16"/>
                                <w:lang w:val="en-GB" w:eastAsia="en-GB"/>
                              </w:rPr>
                              <w:drawing>
                                <wp:inline distT="0" distB="0" distL="0" distR="0" wp14:anchorId="774EE172" wp14:editId="325DC940">
                                  <wp:extent cx="884555" cy="1105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 Phot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4555" cy="1105535"/>
                                          </a:xfrm>
                                          <a:prstGeom prst="rect">
                                            <a:avLst/>
                                          </a:prstGeom>
                                        </pic:spPr>
                                      </pic:pic>
                                    </a:graphicData>
                                  </a:graphic>
                                </wp:inline>
                              </w:drawing>
                            </w:r>
                          </w:p>
                          <w:p w14:paraId="6AC6ACBA" w14:textId="77777777" w:rsidR="00693B4D" w:rsidRDefault="00693B4D" w:rsidP="00693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7AEB" id="_x0000_s1036" type="#_x0000_t202" style="position:absolute;left:0;text-align:left;margin-left:.05pt;margin-top:0;width:94.4pt;height:94.95pt;z-index:251687936;visibility:visible;mso-wrap-style:square;mso-width-percent:0;mso-height-percent:0;mso-wrap-distance-left:2.25pt;mso-wrap-distance-top:2.25pt;mso-wrap-distance-right:2.25pt;mso-wrap-distance-bottom:2.2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" stroked="f">
                <v:textbox>
                  <w:txbxContent>
                    <w:p w14:paraId="218AF430" w14:textId="37313F1C" w:rsidR="00693B4D" w:rsidRDefault="00160ACC" w:rsidP="00693B4D">
                      <w:pPr>
                        <w:jc w:val="center"/>
                        <w:rPr>
                          <w:sz w:val="16"/>
                          <w:szCs w:val="16"/>
                        </w:rPr>
                      </w:pPr>
                      <w:r>
                        <w:rPr>
                          <w:noProof/>
                          <w:sz w:val="16"/>
                          <w:szCs w:val="16"/>
                          <w:lang w:val="en-GB" w:eastAsia="en-GB"/>
                        </w:rPr>
                        <w:drawing>
                          <wp:inline distT="0" distB="0" distL="0" distR="0" wp14:anchorId="774EE172" wp14:editId="325DC940">
                            <wp:extent cx="884555" cy="1105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 Pho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4555" cy="1105535"/>
                                    </a:xfrm>
                                    <a:prstGeom prst="rect">
                                      <a:avLst/>
                                    </a:prstGeom>
                                  </pic:spPr>
                                </pic:pic>
                              </a:graphicData>
                            </a:graphic>
                          </wp:inline>
                        </w:drawing>
                      </w:r>
                    </w:p>
                    <w:p w14:paraId="6AC6ACBA" w14:textId="77777777" w:rsidR="00693B4D" w:rsidRDefault="00693B4D" w:rsidP="00693B4D"/>
                  </w:txbxContent>
                </v:textbox>
                <w10:wrap type="square"/>
                <w10:anchorlock/>
              </v:shape>
            </w:pict>
          </mc:Fallback>
        </mc:AlternateContent>
      </w:r>
      <w:r w:rsidR="00DA653A" w:rsidRPr="002F5155">
        <w:rPr>
          <w:b/>
        </w:rPr>
        <w:t>Allison V. Shaw</w:t>
      </w:r>
      <w:r w:rsidR="00516DE0" w:rsidRPr="002F5155">
        <w:t xml:space="preserve"> </w:t>
      </w:r>
      <w:r w:rsidRPr="002F5155">
        <w:t xml:space="preserve">(S’18) </w:t>
      </w:r>
      <w:r w:rsidR="00DA653A" w:rsidRPr="002F5155">
        <w:t>graduated from the University of Southampton in the UK with a first class MChem degree in Chemistry</w:t>
      </w:r>
      <w:r w:rsidR="00153F27" w:rsidRPr="002F5155">
        <w:t xml:space="preserve"> in 2016</w:t>
      </w:r>
      <w:r w:rsidR="00DA653A" w:rsidRPr="002F5155">
        <w:t>. She is currently a PhD candidate working in the Tony Davies High Voltage Laboratory</w:t>
      </w:r>
      <w:r w:rsidR="00153F27" w:rsidRPr="002F5155">
        <w:t xml:space="preserve"> at the University of Southampton</w:t>
      </w:r>
      <w:r w:rsidR="00DC32E2" w:rsidRPr="002F5155">
        <w:t xml:space="preserve"> and was awarded “Best Presentation” at the IEEE ICD 2018 in Budapest.</w:t>
      </w:r>
    </w:p>
    <w:p w14:paraId="52FDA98B" w14:textId="7F9693B1" w:rsidR="00693B4D" w:rsidRPr="002F5155" w:rsidRDefault="00693B4D" w:rsidP="00516DE0">
      <w:pPr>
        <w:pStyle w:val="FigureCaption"/>
      </w:pPr>
    </w:p>
    <w:p w14:paraId="4EACDD65" w14:textId="6E4579F7" w:rsidR="00693B4D" w:rsidRPr="002F5155" w:rsidRDefault="00693B4D" w:rsidP="00516DE0">
      <w:pPr>
        <w:pStyle w:val="FigureCaption"/>
      </w:pPr>
    </w:p>
    <w:p w14:paraId="7A64F15D" w14:textId="27411180" w:rsidR="00693B4D" w:rsidRPr="002F5155" w:rsidRDefault="00693B4D" w:rsidP="00516DE0">
      <w:pPr>
        <w:pStyle w:val="FigureCaption"/>
      </w:pPr>
    </w:p>
    <w:p w14:paraId="06492203" w14:textId="77777777" w:rsidR="00E24C6B" w:rsidRPr="002F5155" w:rsidRDefault="00E24C6B" w:rsidP="00516DE0">
      <w:pPr>
        <w:pStyle w:val="FigureCaption"/>
      </w:pPr>
    </w:p>
    <w:p w14:paraId="01B5C4DA" w14:textId="77777777" w:rsidR="00693B4D" w:rsidRPr="002F5155" w:rsidRDefault="00693B4D" w:rsidP="00516DE0">
      <w:pPr>
        <w:pStyle w:val="FigureCaption"/>
      </w:pPr>
    </w:p>
    <w:p w14:paraId="620F55AA" w14:textId="01564B87" w:rsidR="00693B4D" w:rsidRPr="002F5155" w:rsidRDefault="00693B4D" w:rsidP="00516DE0">
      <w:pPr>
        <w:pStyle w:val="FigureCaption"/>
      </w:pPr>
    </w:p>
    <w:p w14:paraId="0C9B1EE3" w14:textId="3A38FF3C" w:rsidR="00693B4D" w:rsidRPr="002F5155" w:rsidRDefault="00693B4D" w:rsidP="00693B4D">
      <w:pPr>
        <w:pStyle w:val="FigureCaption"/>
      </w:pPr>
      <w:r w:rsidRPr="002F5155">
        <w:rPr>
          <w:b/>
          <w:noProof/>
          <w:lang w:val="en-GB" w:eastAsia="en-GB"/>
        </w:rPr>
        <mc:AlternateContent>
          <mc:Choice Requires="wps">
            <w:drawing>
              <wp:anchor distT="28575" distB="28575" distL="28575" distR="28575" simplePos="0" relativeHeight="251685888" behindDoc="0" locked="1" layoutInCell="1" allowOverlap="1" wp14:anchorId="35FC9B78" wp14:editId="354D87A8">
                <wp:simplePos x="0" y="0"/>
                <wp:positionH relativeFrom="column">
                  <wp:posOffset>-1905</wp:posOffset>
                </wp:positionH>
                <wp:positionV relativeFrom="paragraph">
                  <wp:posOffset>54610</wp:posOffset>
                </wp:positionV>
                <wp:extent cx="1198800" cy="1206000"/>
                <wp:effectExtent l="0" t="0" r="190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00" cy="1206000"/>
                        </a:xfrm>
                        <a:prstGeom prst="rect">
                          <a:avLst/>
                        </a:prstGeom>
                        <a:solidFill>
                          <a:srgbClr val="FFFFFF"/>
                        </a:solidFill>
                        <a:ln w="9525">
                          <a:noFill/>
                          <a:miter lim="800000"/>
                          <a:headEnd/>
                          <a:tailEnd/>
                        </a:ln>
                      </wps:spPr>
                      <wps:txbx>
                        <w:txbxContent>
                          <w:p w14:paraId="0C7809BD" w14:textId="47BDAE60" w:rsidR="00693B4D" w:rsidRDefault="00693B4D" w:rsidP="00693B4D">
                            <w:pPr>
                              <w:jc w:val="center"/>
                              <w:rPr>
                                <w:sz w:val="16"/>
                                <w:szCs w:val="16"/>
                              </w:rPr>
                            </w:pPr>
                            <w:r>
                              <w:rPr>
                                <w:noProof/>
                                <w:lang w:val="en-GB" w:eastAsia="en-GB"/>
                              </w:rPr>
                              <w:drawing>
                                <wp:inline distT="0" distB="0" distL="0" distR="0" wp14:anchorId="36020F63" wp14:editId="0B871901">
                                  <wp:extent cx="863911" cy="107895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Thomas_Andritsch.gif"/>
                                          <pic:cNvPicPr/>
                                        </pic:nvPicPr>
                                        <pic:blipFill rotWithShape="1">
                                          <a:blip r:embed="rId32">
                                            <a:extLst>
                                              <a:ext uri="{28A0092B-C50C-407E-A947-70E740481C1C}">
                                                <a14:useLocalDpi xmlns:a14="http://schemas.microsoft.com/office/drawing/2010/main" val="0"/>
                                              </a:ext>
                                            </a:extLst>
                                          </a:blip>
                                          <a:srcRect l="3010" r="4260"/>
                                          <a:stretch/>
                                        </pic:blipFill>
                                        <pic:spPr bwMode="auto">
                                          <a:xfrm>
                                            <a:off x="0" y="0"/>
                                            <a:ext cx="864745" cy="1080000"/>
                                          </a:xfrm>
                                          <a:prstGeom prst="rect">
                                            <a:avLst/>
                                          </a:prstGeom>
                                          <a:ln>
                                            <a:noFill/>
                                          </a:ln>
                                          <a:extLst>
                                            <a:ext uri="{53640926-AAD7-44D8-BBD7-CCE9431645EC}">
                                              <a14:shadowObscured xmlns:a14="http://schemas.microsoft.com/office/drawing/2010/main"/>
                                            </a:ext>
                                          </a:extLst>
                                        </pic:spPr>
                                      </pic:pic>
                                    </a:graphicData>
                                  </a:graphic>
                                </wp:inline>
                              </w:drawing>
                            </w:r>
                          </w:p>
                          <w:p w14:paraId="741A454A" w14:textId="77777777" w:rsidR="00693B4D" w:rsidRDefault="00693B4D" w:rsidP="00693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C9B78" id="_x0000_s1037" type="#_x0000_t202" style="position:absolute;left:0;text-align:left;margin-left:-.15pt;margin-top:4.3pt;width:94.4pt;height:94.95pt;z-index:251685888;visibility:visible;mso-wrap-style:square;mso-width-percent:0;mso-height-percent:0;mso-wrap-distance-left:2.25pt;mso-wrap-distance-top:2.25pt;mso-wrap-distance-right:2.25pt;mso-wrap-distance-bottom:2.2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" stroked="f">
                <v:textbox>
                  <w:txbxContent>
                    <w:p w14:paraId="0C7809BD" w14:textId="47BDAE60" w:rsidR="00693B4D" w:rsidRDefault="00693B4D" w:rsidP="00693B4D">
                      <w:pPr>
                        <w:jc w:val="center"/>
                        <w:rPr>
                          <w:sz w:val="16"/>
                          <w:szCs w:val="16"/>
                        </w:rPr>
                      </w:pPr>
                      <w:r>
                        <w:rPr>
                          <w:noProof/>
                          <w:lang w:val="en-GB" w:eastAsia="en-GB"/>
                        </w:rPr>
                        <w:drawing>
                          <wp:inline distT="0" distB="0" distL="0" distR="0" wp14:anchorId="36020F63" wp14:editId="0B871901">
                            <wp:extent cx="863911" cy="107895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Thomas_Andritsch.gif"/>
                                    <pic:cNvPicPr/>
                                  </pic:nvPicPr>
                                  <pic:blipFill rotWithShape="1">
                                    <a:blip r:embed="rId33">
                                      <a:extLst>
                                        <a:ext uri="{28A0092B-C50C-407E-A947-70E740481C1C}">
                                          <a14:useLocalDpi xmlns:a14="http://schemas.microsoft.com/office/drawing/2010/main" val="0"/>
                                        </a:ext>
                                      </a:extLst>
                                    </a:blip>
                                    <a:srcRect l="3010" r="4260"/>
                                    <a:stretch/>
                                  </pic:blipFill>
                                  <pic:spPr bwMode="auto">
                                    <a:xfrm>
                                      <a:off x="0" y="0"/>
                                      <a:ext cx="864745" cy="1080000"/>
                                    </a:xfrm>
                                    <a:prstGeom prst="rect">
                                      <a:avLst/>
                                    </a:prstGeom>
                                    <a:ln>
                                      <a:noFill/>
                                    </a:ln>
                                    <a:extLst>
                                      <a:ext uri="{53640926-AAD7-44D8-BBD7-CCE9431645EC}">
                                        <a14:shadowObscured xmlns:a14="http://schemas.microsoft.com/office/drawing/2010/main"/>
                                      </a:ext>
                                    </a:extLst>
                                  </pic:spPr>
                                </pic:pic>
                              </a:graphicData>
                            </a:graphic>
                          </wp:inline>
                        </w:drawing>
                      </w:r>
                    </w:p>
                    <w:p w14:paraId="741A454A" w14:textId="77777777" w:rsidR="00693B4D" w:rsidRDefault="00693B4D" w:rsidP="00693B4D"/>
                  </w:txbxContent>
                </v:textbox>
                <w10:wrap type="square"/>
                <w10:anchorlock/>
              </v:shape>
            </w:pict>
          </mc:Fallback>
        </mc:AlternateContent>
      </w:r>
      <w:r w:rsidRPr="002F5155">
        <w:rPr>
          <w:b/>
          <w:noProof/>
          <w:lang w:val="en-GB" w:eastAsia="en-GB"/>
        </w:rPr>
        <w:t>Thomas Andritsch</w:t>
      </w:r>
      <w:r w:rsidRPr="002F5155">
        <w:rPr>
          <w:noProof/>
          <w:lang w:val="en-GB" w:eastAsia="en-GB"/>
        </w:rPr>
        <w:t xml:space="preserve"> (M’11) was born in Innsbruck, Austria in 1980. He received the Dipl.-Ing. Degree in Electrical Engineering from Graz University of Technology in 2006 and his Ph.D. degree in the same field from Delft University of Technology in 2010. He is currently working as a Lecturer at the University of Southampton with focus on advanced materials for high voltage applications and plant. He has extensive experience with preparation and testing of polymer-based electrical insulation materials, including nanodielectrics, electroactive polymers and syntactic foams, as well as liquid insulation systems and nanofluids. Thomas is currently the chair of the UK &amp; Ireland IEEE DEIS Chapter. He is member of the IEEE DEIS working group on nanodielectrics, developing recommended practices for nanocomposite synthesis and preparation, and was contributing to Cigre WG D1.40 on the subject of functional nanomaterials for the electrical power industry.</w:t>
      </w:r>
    </w:p>
    <w:p w14:paraId="53379928" w14:textId="77777777" w:rsidR="008112CE" w:rsidRPr="002F5155" w:rsidRDefault="008112CE" w:rsidP="00516DE0">
      <w:pPr>
        <w:pStyle w:val="FigureCaption"/>
      </w:pPr>
    </w:p>
    <w:p w14:paraId="442A8E82" w14:textId="7BD5C6C6" w:rsidR="00693B4D" w:rsidRPr="002F5155" w:rsidRDefault="00693B4D" w:rsidP="00516DE0">
      <w:pPr>
        <w:pStyle w:val="FigureCaption"/>
      </w:pPr>
      <w:r w:rsidRPr="002F5155">
        <w:rPr>
          <w:b/>
          <w:noProof/>
          <w:lang w:val="en-GB" w:eastAsia="en-GB"/>
        </w:rPr>
        <mc:AlternateContent>
          <mc:Choice Requires="wps">
            <w:drawing>
              <wp:anchor distT="28575" distB="28575" distL="28575" distR="28575" simplePos="0" relativeHeight="251689984" behindDoc="0" locked="1" layoutInCell="1" allowOverlap="1" wp14:anchorId="4E1F61AB" wp14:editId="76874FD9">
                <wp:simplePos x="0" y="0"/>
                <wp:positionH relativeFrom="column">
                  <wp:posOffset>0</wp:posOffset>
                </wp:positionH>
                <wp:positionV relativeFrom="paragraph">
                  <wp:posOffset>114935</wp:posOffset>
                </wp:positionV>
                <wp:extent cx="1198800" cy="1206000"/>
                <wp:effectExtent l="0" t="0" r="190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00" cy="1206000"/>
                        </a:xfrm>
                        <a:prstGeom prst="rect">
                          <a:avLst/>
                        </a:prstGeom>
                        <a:solidFill>
                          <a:srgbClr val="FFFFFF"/>
                        </a:solidFill>
                        <a:ln w="9525">
                          <a:noFill/>
                          <a:miter lim="800000"/>
                          <a:headEnd/>
                          <a:tailEnd/>
                        </a:ln>
                      </wps:spPr>
                      <wps:txbx>
                        <w:txbxContent>
                          <w:p w14:paraId="6CEAFAFE" w14:textId="6193BF73" w:rsidR="00693B4D" w:rsidRDefault="000C3507" w:rsidP="00693B4D">
                            <w:pPr>
                              <w:jc w:val="center"/>
                              <w:rPr>
                                <w:sz w:val="16"/>
                                <w:szCs w:val="16"/>
                              </w:rPr>
                            </w:pPr>
                            <w:r>
                              <w:rPr>
                                <w:noProof/>
                                <w:sz w:val="16"/>
                                <w:szCs w:val="16"/>
                                <w:lang w:val="en-GB" w:eastAsia="en-GB"/>
                              </w:rPr>
                              <w:drawing>
                                <wp:inline distT="0" distB="0" distL="0" distR="0" wp14:anchorId="7C2489C6" wp14:editId="1DAA4D6E">
                                  <wp:extent cx="874819" cy="1078064"/>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V picture 2.jpg"/>
                                          <pic:cNvPicPr/>
                                        </pic:nvPicPr>
                                        <pic:blipFill rotWithShape="1">
                                          <a:blip r:embed="rId34">
                                            <a:extLst>
                                              <a:ext uri="{28A0092B-C50C-407E-A947-70E740481C1C}">
                                                <a14:useLocalDpi xmlns:a14="http://schemas.microsoft.com/office/drawing/2010/main" val="0"/>
                                              </a:ext>
                                            </a:extLst>
                                          </a:blip>
                                          <a:srcRect l="8523" r="8333"/>
                                          <a:stretch/>
                                        </pic:blipFill>
                                        <pic:spPr bwMode="auto">
                                          <a:xfrm>
                                            <a:off x="0" y="0"/>
                                            <a:ext cx="876390" cy="1080000"/>
                                          </a:xfrm>
                                          <a:prstGeom prst="rect">
                                            <a:avLst/>
                                          </a:prstGeom>
                                          <a:ln>
                                            <a:noFill/>
                                          </a:ln>
                                          <a:extLst>
                                            <a:ext uri="{53640926-AAD7-44D8-BBD7-CCE9431645EC}">
                                              <a14:shadowObscured xmlns:a14="http://schemas.microsoft.com/office/drawing/2010/main"/>
                                            </a:ext>
                                          </a:extLst>
                                        </pic:spPr>
                                      </pic:pic>
                                    </a:graphicData>
                                  </a:graphic>
                                </wp:inline>
                              </w:drawing>
                            </w:r>
                          </w:p>
                          <w:p w14:paraId="0DABE387" w14:textId="77777777" w:rsidR="00693B4D" w:rsidRDefault="00693B4D" w:rsidP="00693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F61AB" id="_x0000_s1038" type="#_x0000_t202" style="position:absolute;left:0;text-align:left;margin-left:0;margin-top:9.05pt;width:94.4pt;height:94.95pt;z-index:251689984;visibility:visible;mso-wrap-style:square;mso-width-percent:0;mso-height-percent:0;mso-wrap-distance-left:2.25pt;mso-wrap-distance-top:2.25pt;mso-wrap-distance-right:2.25pt;mso-wrap-distance-bottom:2.2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" stroked="f">
                <v:textbox>
                  <w:txbxContent>
                    <w:p w14:paraId="6CEAFAFE" w14:textId="6193BF73" w:rsidR="00693B4D" w:rsidRDefault="000C3507" w:rsidP="00693B4D">
                      <w:pPr>
                        <w:jc w:val="center"/>
                        <w:rPr>
                          <w:sz w:val="16"/>
                          <w:szCs w:val="16"/>
                        </w:rPr>
                      </w:pPr>
                      <w:r>
                        <w:rPr>
                          <w:noProof/>
                          <w:sz w:val="16"/>
                          <w:szCs w:val="16"/>
                          <w:lang w:val="en-GB" w:eastAsia="en-GB"/>
                        </w:rPr>
                        <w:drawing>
                          <wp:inline distT="0" distB="0" distL="0" distR="0" wp14:anchorId="7C2489C6" wp14:editId="1DAA4D6E">
                            <wp:extent cx="874819" cy="1078064"/>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V picture 2.jpg"/>
                                    <pic:cNvPicPr/>
                                  </pic:nvPicPr>
                                  <pic:blipFill rotWithShape="1">
                                    <a:blip r:embed="rId35">
                                      <a:extLst>
                                        <a:ext uri="{28A0092B-C50C-407E-A947-70E740481C1C}">
                                          <a14:useLocalDpi xmlns:a14="http://schemas.microsoft.com/office/drawing/2010/main" val="0"/>
                                        </a:ext>
                                      </a:extLst>
                                    </a:blip>
                                    <a:srcRect l="8523" r="8333"/>
                                    <a:stretch/>
                                  </pic:blipFill>
                                  <pic:spPr bwMode="auto">
                                    <a:xfrm>
                                      <a:off x="0" y="0"/>
                                      <a:ext cx="876390" cy="1080000"/>
                                    </a:xfrm>
                                    <a:prstGeom prst="rect">
                                      <a:avLst/>
                                    </a:prstGeom>
                                    <a:ln>
                                      <a:noFill/>
                                    </a:ln>
                                    <a:extLst>
                                      <a:ext uri="{53640926-AAD7-44D8-BBD7-CCE9431645EC}">
                                        <a14:shadowObscured xmlns:a14="http://schemas.microsoft.com/office/drawing/2010/main"/>
                                      </a:ext>
                                    </a:extLst>
                                  </pic:spPr>
                                </pic:pic>
                              </a:graphicData>
                            </a:graphic>
                          </wp:inline>
                        </w:drawing>
                      </w:r>
                    </w:p>
                    <w:p w14:paraId="0DABE387" w14:textId="77777777" w:rsidR="00693B4D" w:rsidRDefault="00693B4D" w:rsidP="00693B4D"/>
                  </w:txbxContent>
                </v:textbox>
                <w10:wrap type="square"/>
                <w10:anchorlock/>
              </v:shape>
            </w:pict>
          </mc:Fallback>
        </mc:AlternateContent>
      </w:r>
    </w:p>
    <w:p w14:paraId="3506498E" w14:textId="77777777" w:rsidR="000C3507" w:rsidRPr="002F5155" w:rsidRDefault="000C3507" w:rsidP="000C3507">
      <w:pPr>
        <w:rPr>
          <w:rFonts w:ascii="Tahoma" w:hAnsi="Tahoma" w:cs="Tahoma"/>
          <w:lang w:val="en-GB" w:eastAsia="en-GB"/>
        </w:rPr>
      </w:pPr>
      <w:r w:rsidRPr="002F5155">
        <w:rPr>
          <w:b/>
          <w:bCs/>
          <w:sz w:val="16"/>
          <w:szCs w:val="16"/>
        </w:rPr>
        <w:t>Alun Vaughan</w:t>
      </w:r>
      <w:r w:rsidRPr="002F5155">
        <w:rPr>
          <w:sz w:val="16"/>
          <w:szCs w:val="16"/>
        </w:rPr>
        <w:t xml:space="preserve"> (SM’07) has a B.Sc. degree in chemical physics and a Ph.D. degree in polymer physics. After working at the UK’s Central Electricity Research Laboratories and spending a period as an academic at The University of Reading, he is now Professor of Dielectric Materials at the University of Southampton. He is a former chair of The Dielectrics Group of the Institute of Physics, a Fellow of the Institute of Physics, a Fellow of the IET and delivered the 2016 IEEE DEIS Eric O. Forster Memorial Lecture.</w:t>
      </w:r>
    </w:p>
    <w:p w14:paraId="669C3BAE" w14:textId="19E30367" w:rsidR="00693B4D" w:rsidRPr="002F5155" w:rsidRDefault="00693B4D" w:rsidP="00516DE0">
      <w:pPr>
        <w:pStyle w:val="FigureCaption"/>
      </w:pPr>
    </w:p>
    <w:sectPr w:rsidR="00693B4D" w:rsidRPr="002F5155" w:rsidSect="006524E4">
      <w:headerReference w:type="even" r:id="rId36"/>
      <w:headerReference w:type="default" r:id="rId37"/>
      <w:footerReference w:type="even" r:id="rId38"/>
      <w:footerReference w:type="default" r:id="rId39"/>
      <w:headerReference w:type="first" r:id="rId40"/>
      <w:footerReference w:type="first" r:id="rId41"/>
      <w:type w:val="continuous"/>
      <w:pgSz w:w="12240" w:h="15840" w:code="1"/>
      <w:pgMar w:top="1080" w:right="936" w:bottom="1008" w:left="936" w:header="720" w:footer="720" w:gutter="0"/>
      <w:cols w:num="2" w:space="288" w:equalWidth="0">
        <w:col w:w="4824" w:space="720"/>
        <w:col w:w="48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D249A" w14:textId="77777777" w:rsidR="00E028E4" w:rsidRDefault="00E028E4">
      <w:r>
        <w:separator/>
      </w:r>
    </w:p>
  </w:endnote>
  <w:endnote w:type="continuationSeparator" w:id="0">
    <w:p w14:paraId="7C5B627E" w14:textId="77777777" w:rsidR="00E028E4" w:rsidRDefault="00E02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29D25" w14:textId="77777777" w:rsidR="00286413" w:rsidRDefault="00286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14A53" w14:textId="77777777" w:rsidR="00286413" w:rsidRDefault="00286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1163D" w14:textId="77777777" w:rsidR="00286413" w:rsidRDefault="00286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AE504" w14:textId="77777777" w:rsidR="00E028E4" w:rsidRDefault="00E028E4"/>
  </w:footnote>
  <w:footnote w:type="continuationSeparator" w:id="0">
    <w:p w14:paraId="06FC65C4" w14:textId="77777777" w:rsidR="00E028E4" w:rsidRDefault="00E02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7E081" w14:textId="77777777" w:rsidR="00F3359B" w:rsidRDefault="00F3359B">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87286" w14:textId="77777777" w:rsidR="00286413" w:rsidRDefault="002864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9634A" w14:textId="77777777" w:rsidR="00286413" w:rsidRDefault="00286413">
    <w:pP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8CEC5" w14:textId="77777777" w:rsidR="00286413" w:rsidRDefault="00286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E8E1851"/>
    <w:multiLevelType w:val="hybridMultilevel"/>
    <w:tmpl w:val="13DC6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1FD3278D"/>
    <w:multiLevelType w:val="hybridMultilevel"/>
    <w:tmpl w:val="F46EC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2ED5FCB"/>
    <w:multiLevelType w:val="multilevel"/>
    <w:tmpl w:val="BC8A72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8"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0" w15:restartNumberingAfterBreak="0">
    <w:nsid w:val="610D7AA7"/>
    <w:multiLevelType w:val="hybridMultilevel"/>
    <w:tmpl w:val="83B408E2"/>
    <w:lvl w:ilvl="0" w:tplc="7EEA7D7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6"/>
  </w:num>
  <w:num w:numId="13">
    <w:abstractNumId w:val="2"/>
  </w:num>
  <w:num w:numId="14">
    <w:abstractNumId w:val="9"/>
  </w:num>
  <w:num w:numId="15">
    <w:abstractNumId w:val="8"/>
  </w:num>
  <w:num w:numId="16">
    <w:abstractNumId w:val="11"/>
  </w:num>
  <w:num w:numId="17">
    <w:abstractNumId w:val="5"/>
  </w:num>
  <w:num w:numId="18">
    <w:abstractNumId w:val="1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1"/>
  </w:num>
  <w:num w:numId="26">
    <w:abstractNumId w:val="3"/>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en-CA"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02"/>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E4"/>
    <w:rsid w:val="000070AB"/>
    <w:rsid w:val="00011300"/>
    <w:rsid w:val="0001423B"/>
    <w:rsid w:val="000150B0"/>
    <w:rsid w:val="00016370"/>
    <w:rsid w:val="000166D3"/>
    <w:rsid w:val="00021000"/>
    <w:rsid w:val="000233A9"/>
    <w:rsid w:val="00023F9D"/>
    <w:rsid w:val="00024DA2"/>
    <w:rsid w:val="00025E1A"/>
    <w:rsid w:val="000376EC"/>
    <w:rsid w:val="00045E33"/>
    <w:rsid w:val="000463C7"/>
    <w:rsid w:val="000475EC"/>
    <w:rsid w:val="00052BA5"/>
    <w:rsid w:val="00060ACE"/>
    <w:rsid w:val="000618E1"/>
    <w:rsid w:val="00064071"/>
    <w:rsid w:val="00064B8A"/>
    <w:rsid w:val="00064F0B"/>
    <w:rsid w:val="00065067"/>
    <w:rsid w:val="000704FC"/>
    <w:rsid w:val="0007294F"/>
    <w:rsid w:val="00081D72"/>
    <w:rsid w:val="0008694F"/>
    <w:rsid w:val="000900CD"/>
    <w:rsid w:val="000921C3"/>
    <w:rsid w:val="000923BF"/>
    <w:rsid w:val="00093FDE"/>
    <w:rsid w:val="000A04E1"/>
    <w:rsid w:val="000A5567"/>
    <w:rsid w:val="000A651C"/>
    <w:rsid w:val="000A7FE6"/>
    <w:rsid w:val="000B3AB8"/>
    <w:rsid w:val="000B776F"/>
    <w:rsid w:val="000B7F24"/>
    <w:rsid w:val="000C05BD"/>
    <w:rsid w:val="000C2735"/>
    <w:rsid w:val="000C31B3"/>
    <w:rsid w:val="000C3499"/>
    <w:rsid w:val="000C3507"/>
    <w:rsid w:val="000C5BF8"/>
    <w:rsid w:val="000D41E9"/>
    <w:rsid w:val="000D5C65"/>
    <w:rsid w:val="000D6562"/>
    <w:rsid w:val="000E08F1"/>
    <w:rsid w:val="000E0E2D"/>
    <w:rsid w:val="000E53C5"/>
    <w:rsid w:val="000E5C49"/>
    <w:rsid w:val="000E5F5E"/>
    <w:rsid w:val="000F038B"/>
    <w:rsid w:val="000F43C1"/>
    <w:rsid w:val="000F5057"/>
    <w:rsid w:val="000F6B64"/>
    <w:rsid w:val="000F7915"/>
    <w:rsid w:val="0010373C"/>
    <w:rsid w:val="00105D66"/>
    <w:rsid w:val="00105D85"/>
    <w:rsid w:val="00106A39"/>
    <w:rsid w:val="00112588"/>
    <w:rsid w:val="001131D3"/>
    <w:rsid w:val="00113DD7"/>
    <w:rsid w:val="0011485F"/>
    <w:rsid w:val="001218D1"/>
    <w:rsid w:val="00123704"/>
    <w:rsid w:val="00123A11"/>
    <w:rsid w:val="00126577"/>
    <w:rsid w:val="001266C7"/>
    <w:rsid w:val="00127681"/>
    <w:rsid w:val="00134360"/>
    <w:rsid w:val="00137419"/>
    <w:rsid w:val="00144792"/>
    <w:rsid w:val="00147B00"/>
    <w:rsid w:val="00153F27"/>
    <w:rsid w:val="00154549"/>
    <w:rsid w:val="00160ACC"/>
    <w:rsid w:val="00162ABE"/>
    <w:rsid w:val="00163079"/>
    <w:rsid w:val="00166996"/>
    <w:rsid w:val="001674F0"/>
    <w:rsid w:val="001702CF"/>
    <w:rsid w:val="0017086D"/>
    <w:rsid w:val="00173CAB"/>
    <w:rsid w:val="00175CBE"/>
    <w:rsid w:val="00180192"/>
    <w:rsid w:val="001804F5"/>
    <w:rsid w:val="00181D53"/>
    <w:rsid w:val="00182477"/>
    <w:rsid w:val="001826E8"/>
    <w:rsid w:val="00183B8A"/>
    <w:rsid w:val="001871E6"/>
    <w:rsid w:val="001912ED"/>
    <w:rsid w:val="00195A0F"/>
    <w:rsid w:val="001968DE"/>
    <w:rsid w:val="001A0292"/>
    <w:rsid w:val="001A101A"/>
    <w:rsid w:val="001A25AF"/>
    <w:rsid w:val="001A37D8"/>
    <w:rsid w:val="001A77EE"/>
    <w:rsid w:val="001B0737"/>
    <w:rsid w:val="001B10EA"/>
    <w:rsid w:val="001B2053"/>
    <w:rsid w:val="001B2D8D"/>
    <w:rsid w:val="001B30F8"/>
    <w:rsid w:val="001C04D3"/>
    <w:rsid w:val="001C355F"/>
    <w:rsid w:val="001D0409"/>
    <w:rsid w:val="001D1C83"/>
    <w:rsid w:val="001D599F"/>
    <w:rsid w:val="001E0C7A"/>
    <w:rsid w:val="001F1392"/>
    <w:rsid w:val="001F3698"/>
    <w:rsid w:val="001F4CC0"/>
    <w:rsid w:val="00201E93"/>
    <w:rsid w:val="0020298B"/>
    <w:rsid w:val="0020387E"/>
    <w:rsid w:val="002044F7"/>
    <w:rsid w:val="002055A8"/>
    <w:rsid w:val="00206F61"/>
    <w:rsid w:val="0020705C"/>
    <w:rsid w:val="00207E09"/>
    <w:rsid w:val="00210010"/>
    <w:rsid w:val="00212898"/>
    <w:rsid w:val="00213811"/>
    <w:rsid w:val="00213C9C"/>
    <w:rsid w:val="00217B76"/>
    <w:rsid w:val="00222043"/>
    <w:rsid w:val="00227F04"/>
    <w:rsid w:val="0023548C"/>
    <w:rsid w:val="00235D14"/>
    <w:rsid w:val="00237236"/>
    <w:rsid w:val="002413E4"/>
    <w:rsid w:val="00241897"/>
    <w:rsid w:val="002422AD"/>
    <w:rsid w:val="00243DC7"/>
    <w:rsid w:val="002455F0"/>
    <w:rsid w:val="002532CB"/>
    <w:rsid w:val="00253E3B"/>
    <w:rsid w:val="00255EFB"/>
    <w:rsid w:val="002619E2"/>
    <w:rsid w:val="00261A7B"/>
    <w:rsid w:val="002624E8"/>
    <w:rsid w:val="00265CF1"/>
    <w:rsid w:val="002668CA"/>
    <w:rsid w:val="002674B0"/>
    <w:rsid w:val="00271F7C"/>
    <w:rsid w:val="0027264B"/>
    <w:rsid w:val="002731B9"/>
    <w:rsid w:val="0027456C"/>
    <w:rsid w:val="00275350"/>
    <w:rsid w:val="00275BE5"/>
    <w:rsid w:val="002760AB"/>
    <w:rsid w:val="00280381"/>
    <w:rsid w:val="00282B24"/>
    <w:rsid w:val="002852EC"/>
    <w:rsid w:val="00286413"/>
    <w:rsid w:val="002866F7"/>
    <w:rsid w:val="00286B3B"/>
    <w:rsid w:val="00290F75"/>
    <w:rsid w:val="002933D9"/>
    <w:rsid w:val="002964E5"/>
    <w:rsid w:val="0029675F"/>
    <w:rsid w:val="00296B74"/>
    <w:rsid w:val="00296D65"/>
    <w:rsid w:val="002B70A6"/>
    <w:rsid w:val="002B75FB"/>
    <w:rsid w:val="002C1FC5"/>
    <w:rsid w:val="002C7C4F"/>
    <w:rsid w:val="002D0485"/>
    <w:rsid w:val="002D0AFC"/>
    <w:rsid w:val="002D1A8B"/>
    <w:rsid w:val="002D2340"/>
    <w:rsid w:val="002D3101"/>
    <w:rsid w:val="002D335E"/>
    <w:rsid w:val="002D4DFF"/>
    <w:rsid w:val="002D6C97"/>
    <w:rsid w:val="002D722E"/>
    <w:rsid w:val="002D7E8B"/>
    <w:rsid w:val="002E0375"/>
    <w:rsid w:val="002E2AFA"/>
    <w:rsid w:val="002E31E3"/>
    <w:rsid w:val="002E446E"/>
    <w:rsid w:val="002E67D9"/>
    <w:rsid w:val="002F5155"/>
    <w:rsid w:val="002F603C"/>
    <w:rsid w:val="00302DCE"/>
    <w:rsid w:val="00303A78"/>
    <w:rsid w:val="00303DBF"/>
    <w:rsid w:val="00304177"/>
    <w:rsid w:val="00307467"/>
    <w:rsid w:val="003104F9"/>
    <w:rsid w:val="0031222B"/>
    <w:rsid w:val="00315B96"/>
    <w:rsid w:val="00320A63"/>
    <w:rsid w:val="00326D5B"/>
    <w:rsid w:val="00327215"/>
    <w:rsid w:val="003274A7"/>
    <w:rsid w:val="00332266"/>
    <w:rsid w:val="003329C2"/>
    <w:rsid w:val="00335E87"/>
    <w:rsid w:val="00336C7A"/>
    <w:rsid w:val="00336E66"/>
    <w:rsid w:val="00341658"/>
    <w:rsid w:val="003420FE"/>
    <w:rsid w:val="00344A27"/>
    <w:rsid w:val="0034599F"/>
    <w:rsid w:val="00346FB2"/>
    <w:rsid w:val="0035173E"/>
    <w:rsid w:val="00355E9D"/>
    <w:rsid w:val="0035745E"/>
    <w:rsid w:val="00360397"/>
    <w:rsid w:val="0036161E"/>
    <w:rsid w:val="00362E5C"/>
    <w:rsid w:val="00365302"/>
    <w:rsid w:val="0038454D"/>
    <w:rsid w:val="003871A2"/>
    <w:rsid w:val="00387D33"/>
    <w:rsid w:val="0039215E"/>
    <w:rsid w:val="00393703"/>
    <w:rsid w:val="0039559F"/>
    <w:rsid w:val="00395701"/>
    <w:rsid w:val="00395EA0"/>
    <w:rsid w:val="003A63B0"/>
    <w:rsid w:val="003A6D88"/>
    <w:rsid w:val="003A75CA"/>
    <w:rsid w:val="003C004F"/>
    <w:rsid w:val="003C44BB"/>
    <w:rsid w:val="003D07B6"/>
    <w:rsid w:val="003D0E37"/>
    <w:rsid w:val="003D5253"/>
    <w:rsid w:val="003D5545"/>
    <w:rsid w:val="003D65A5"/>
    <w:rsid w:val="003E2FCD"/>
    <w:rsid w:val="003E6F2C"/>
    <w:rsid w:val="003F7532"/>
    <w:rsid w:val="003F7672"/>
    <w:rsid w:val="00404799"/>
    <w:rsid w:val="00406FB9"/>
    <w:rsid w:val="0041035A"/>
    <w:rsid w:val="0041056A"/>
    <w:rsid w:val="00410C98"/>
    <w:rsid w:val="00412619"/>
    <w:rsid w:val="00412A54"/>
    <w:rsid w:val="00415647"/>
    <w:rsid w:val="00416F5D"/>
    <w:rsid w:val="00422651"/>
    <w:rsid w:val="004234FF"/>
    <w:rsid w:val="00423A50"/>
    <w:rsid w:val="00424115"/>
    <w:rsid w:val="00425F6E"/>
    <w:rsid w:val="00426521"/>
    <w:rsid w:val="0043314B"/>
    <w:rsid w:val="00435476"/>
    <w:rsid w:val="0043552A"/>
    <w:rsid w:val="0043756B"/>
    <w:rsid w:val="00441695"/>
    <w:rsid w:val="0044228C"/>
    <w:rsid w:val="0044246A"/>
    <w:rsid w:val="004425AA"/>
    <w:rsid w:val="00445926"/>
    <w:rsid w:val="00455090"/>
    <w:rsid w:val="00461612"/>
    <w:rsid w:val="00463C83"/>
    <w:rsid w:val="0046648D"/>
    <w:rsid w:val="00467756"/>
    <w:rsid w:val="0047213E"/>
    <w:rsid w:val="00475247"/>
    <w:rsid w:val="004760A0"/>
    <w:rsid w:val="004805B7"/>
    <w:rsid w:val="004839C9"/>
    <w:rsid w:val="00491F90"/>
    <w:rsid w:val="00492716"/>
    <w:rsid w:val="0049340C"/>
    <w:rsid w:val="00497188"/>
    <w:rsid w:val="004A39DF"/>
    <w:rsid w:val="004B05C9"/>
    <w:rsid w:val="004B2F04"/>
    <w:rsid w:val="004B4851"/>
    <w:rsid w:val="004B523E"/>
    <w:rsid w:val="004B569A"/>
    <w:rsid w:val="004C1086"/>
    <w:rsid w:val="004C2F08"/>
    <w:rsid w:val="004C578C"/>
    <w:rsid w:val="004C5B14"/>
    <w:rsid w:val="004D0D28"/>
    <w:rsid w:val="004D42DC"/>
    <w:rsid w:val="004D5151"/>
    <w:rsid w:val="004E0E01"/>
    <w:rsid w:val="004E6934"/>
    <w:rsid w:val="004E7215"/>
    <w:rsid w:val="004E7299"/>
    <w:rsid w:val="004F0EEB"/>
    <w:rsid w:val="004F73DF"/>
    <w:rsid w:val="004F78AB"/>
    <w:rsid w:val="00516DE0"/>
    <w:rsid w:val="00521051"/>
    <w:rsid w:val="00522907"/>
    <w:rsid w:val="00526475"/>
    <w:rsid w:val="00526A90"/>
    <w:rsid w:val="005312F0"/>
    <w:rsid w:val="005332C7"/>
    <w:rsid w:val="00535260"/>
    <w:rsid w:val="0053587E"/>
    <w:rsid w:val="00541CE5"/>
    <w:rsid w:val="00542A88"/>
    <w:rsid w:val="00543862"/>
    <w:rsid w:val="00543C61"/>
    <w:rsid w:val="00544088"/>
    <w:rsid w:val="005440AD"/>
    <w:rsid w:val="00545E18"/>
    <w:rsid w:val="005461A1"/>
    <w:rsid w:val="00546279"/>
    <w:rsid w:val="00547789"/>
    <w:rsid w:val="00547FF3"/>
    <w:rsid w:val="00551A36"/>
    <w:rsid w:val="00551B58"/>
    <w:rsid w:val="00553138"/>
    <w:rsid w:val="00553D95"/>
    <w:rsid w:val="00554279"/>
    <w:rsid w:val="005545D0"/>
    <w:rsid w:val="00556AF2"/>
    <w:rsid w:val="00556FD4"/>
    <w:rsid w:val="0056364D"/>
    <w:rsid w:val="00565133"/>
    <w:rsid w:val="00566953"/>
    <w:rsid w:val="00566A3A"/>
    <w:rsid w:val="00570052"/>
    <w:rsid w:val="0057005E"/>
    <w:rsid w:val="005705F5"/>
    <w:rsid w:val="00570F44"/>
    <w:rsid w:val="00571200"/>
    <w:rsid w:val="00571FA1"/>
    <w:rsid w:val="00572A8C"/>
    <w:rsid w:val="00572D31"/>
    <w:rsid w:val="00577C61"/>
    <w:rsid w:val="00583A88"/>
    <w:rsid w:val="00583CF4"/>
    <w:rsid w:val="00585880"/>
    <w:rsid w:val="00585D05"/>
    <w:rsid w:val="00587CE7"/>
    <w:rsid w:val="00590CA1"/>
    <w:rsid w:val="005925AD"/>
    <w:rsid w:val="00596002"/>
    <w:rsid w:val="005A4598"/>
    <w:rsid w:val="005B07C9"/>
    <w:rsid w:val="005B46B6"/>
    <w:rsid w:val="005C1497"/>
    <w:rsid w:val="005C5BF1"/>
    <w:rsid w:val="005E3044"/>
    <w:rsid w:val="005E65F2"/>
    <w:rsid w:val="005E747C"/>
    <w:rsid w:val="005F4200"/>
    <w:rsid w:val="00602A42"/>
    <w:rsid w:val="006042A1"/>
    <w:rsid w:val="006061D7"/>
    <w:rsid w:val="00606768"/>
    <w:rsid w:val="006078C5"/>
    <w:rsid w:val="00607E44"/>
    <w:rsid w:val="006109B8"/>
    <w:rsid w:val="0061183B"/>
    <w:rsid w:val="00615972"/>
    <w:rsid w:val="00617638"/>
    <w:rsid w:val="0062156C"/>
    <w:rsid w:val="00622CC6"/>
    <w:rsid w:val="006317AB"/>
    <w:rsid w:val="00636BEC"/>
    <w:rsid w:val="006371FF"/>
    <w:rsid w:val="00637740"/>
    <w:rsid w:val="00637C63"/>
    <w:rsid w:val="0064342B"/>
    <w:rsid w:val="006438CA"/>
    <w:rsid w:val="0064509B"/>
    <w:rsid w:val="006507EA"/>
    <w:rsid w:val="006510C3"/>
    <w:rsid w:val="0065172B"/>
    <w:rsid w:val="00651BEE"/>
    <w:rsid w:val="00652409"/>
    <w:rsid w:val="006524E4"/>
    <w:rsid w:val="00652DEF"/>
    <w:rsid w:val="006602D7"/>
    <w:rsid w:val="006629F7"/>
    <w:rsid w:val="00667780"/>
    <w:rsid w:val="00674F96"/>
    <w:rsid w:val="00687416"/>
    <w:rsid w:val="00691EF9"/>
    <w:rsid w:val="00693B4D"/>
    <w:rsid w:val="006971DA"/>
    <w:rsid w:val="006A11F6"/>
    <w:rsid w:val="006A554C"/>
    <w:rsid w:val="006B4E37"/>
    <w:rsid w:val="006B7DD2"/>
    <w:rsid w:val="006C22FC"/>
    <w:rsid w:val="006C2CD3"/>
    <w:rsid w:val="006C3BEC"/>
    <w:rsid w:val="006C465D"/>
    <w:rsid w:val="006C56BF"/>
    <w:rsid w:val="006C7A95"/>
    <w:rsid w:val="006D4C0B"/>
    <w:rsid w:val="006E630A"/>
    <w:rsid w:val="006E7011"/>
    <w:rsid w:val="006F0DF5"/>
    <w:rsid w:val="006F3D49"/>
    <w:rsid w:val="006F3DD7"/>
    <w:rsid w:val="006F4CB6"/>
    <w:rsid w:val="00700C75"/>
    <w:rsid w:val="0070751C"/>
    <w:rsid w:val="00713DA8"/>
    <w:rsid w:val="00714941"/>
    <w:rsid w:val="00716296"/>
    <w:rsid w:val="007252E1"/>
    <w:rsid w:val="0072603B"/>
    <w:rsid w:val="00730C85"/>
    <w:rsid w:val="00734A9A"/>
    <w:rsid w:val="007354BC"/>
    <w:rsid w:val="00740179"/>
    <w:rsid w:val="00740926"/>
    <w:rsid w:val="0074151E"/>
    <w:rsid w:val="0074393A"/>
    <w:rsid w:val="00744A17"/>
    <w:rsid w:val="00745F24"/>
    <w:rsid w:val="007504A5"/>
    <w:rsid w:val="007526C6"/>
    <w:rsid w:val="00753815"/>
    <w:rsid w:val="0075410F"/>
    <w:rsid w:val="0076091C"/>
    <w:rsid w:val="00764F40"/>
    <w:rsid w:val="007711C7"/>
    <w:rsid w:val="007713CC"/>
    <w:rsid w:val="00771AAF"/>
    <w:rsid w:val="00774641"/>
    <w:rsid w:val="00774D3E"/>
    <w:rsid w:val="00774ED0"/>
    <w:rsid w:val="00780EAB"/>
    <w:rsid w:val="007833E4"/>
    <w:rsid w:val="00783BBF"/>
    <w:rsid w:val="007868C6"/>
    <w:rsid w:val="00791DF1"/>
    <w:rsid w:val="0079564D"/>
    <w:rsid w:val="00795F62"/>
    <w:rsid w:val="00796DE1"/>
    <w:rsid w:val="007A0392"/>
    <w:rsid w:val="007A6A2B"/>
    <w:rsid w:val="007A7589"/>
    <w:rsid w:val="007B2057"/>
    <w:rsid w:val="007B3C68"/>
    <w:rsid w:val="007B6F07"/>
    <w:rsid w:val="007C110F"/>
    <w:rsid w:val="007C4FF2"/>
    <w:rsid w:val="007C63C6"/>
    <w:rsid w:val="007C6407"/>
    <w:rsid w:val="007D17F8"/>
    <w:rsid w:val="007D18FA"/>
    <w:rsid w:val="007D1F32"/>
    <w:rsid w:val="007D4621"/>
    <w:rsid w:val="007D5019"/>
    <w:rsid w:val="007D52D9"/>
    <w:rsid w:val="007E14D3"/>
    <w:rsid w:val="007E1F7D"/>
    <w:rsid w:val="007E3BF3"/>
    <w:rsid w:val="007E5B03"/>
    <w:rsid w:val="007F14B0"/>
    <w:rsid w:val="007F22FE"/>
    <w:rsid w:val="007F56BD"/>
    <w:rsid w:val="0080683A"/>
    <w:rsid w:val="008074A6"/>
    <w:rsid w:val="00810AAD"/>
    <w:rsid w:val="00811065"/>
    <w:rsid w:val="008112CE"/>
    <w:rsid w:val="00811438"/>
    <w:rsid w:val="00812520"/>
    <w:rsid w:val="00812BE8"/>
    <w:rsid w:val="00813323"/>
    <w:rsid w:val="008165D3"/>
    <w:rsid w:val="00816D7A"/>
    <w:rsid w:val="00817EC9"/>
    <w:rsid w:val="0082309B"/>
    <w:rsid w:val="0083190D"/>
    <w:rsid w:val="00831B48"/>
    <w:rsid w:val="00837098"/>
    <w:rsid w:val="00840173"/>
    <w:rsid w:val="0084019D"/>
    <w:rsid w:val="008409C9"/>
    <w:rsid w:val="00841F3F"/>
    <w:rsid w:val="00843BBD"/>
    <w:rsid w:val="00844E58"/>
    <w:rsid w:val="00846FA9"/>
    <w:rsid w:val="0085143D"/>
    <w:rsid w:val="00851536"/>
    <w:rsid w:val="008558E5"/>
    <w:rsid w:val="0086389E"/>
    <w:rsid w:val="00863C70"/>
    <w:rsid w:val="008701A5"/>
    <w:rsid w:val="00870FE7"/>
    <w:rsid w:val="00873024"/>
    <w:rsid w:val="0087338B"/>
    <w:rsid w:val="00874DC5"/>
    <w:rsid w:val="0087728A"/>
    <w:rsid w:val="00881A97"/>
    <w:rsid w:val="00882C7B"/>
    <w:rsid w:val="00886A68"/>
    <w:rsid w:val="00886D46"/>
    <w:rsid w:val="00887760"/>
    <w:rsid w:val="00890F77"/>
    <w:rsid w:val="00895C66"/>
    <w:rsid w:val="008A07FD"/>
    <w:rsid w:val="008A0945"/>
    <w:rsid w:val="008A1C17"/>
    <w:rsid w:val="008A2578"/>
    <w:rsid w:val="008A319C"/>
    <w:rsid w:val="008A4F66"/>
    <w:rsid w:val="008B0C19"/>
    <w:rsid w:val="008B385D"/>
    <w:rsid w:val="008B651E"/>
    <w:rsid w:val="008B6798"/>
    <w:rsid w:val="008C0F39"/>
    <w:rsid w:val="008C1678"/>
    <w:rsid w:val="008D0144"/>
    <w:rsid w:val="008D4D7A"/>
    <w:rsid w:val="008E026A"/>
    <w:rsid w:val="008E0343"/>
    <w:rsid w:val="008E21A8"/>
    <w:rsid w:val="008E5006"/>
    <w:rsid w:val="008E51E4"/>
    <w:rsid w:val="008E67B4"/>
    <w:rsid w:val="008E78C5"/>
    <w:rsid w:val="008E797E"/>
    <w:rsid w:val="008F77A5"/>
    <w:rsid w:val="009051B7"/>
    <w:rsid w:val="00906ADE"/>
    <w:rsid w:val="0090725F"/>
    <w:rsid w:val="009130D8"/>
    <w:rsid w:val="00913D27"/>
    <w:rsid w:val="009153E0"/>
    <w:rsid w:val="00916786"/>
    <w:rsid w:val="009213D8"/>
    <w:rsid w:val="00926ADC"/>
    <w:rsid w:val="009308FA"/>
    <w:rsid w:val="00930A96"/>
    <w:rsid w:val="00931595"/>
    <w:rsid w:val="00932CB5"/>
    <w:rsid w:val="009458B2"/>
    <w:rsid w:val="00957387"/>
    <w:rsid w:val="00957EF5"/>
    <w:rsid w:val="00960FF0"/>
    <w:rsid w:val="00964AEC"/>
    <w:rsid w:val="00967145"/>
    <w:rsid w:val="0097698E"/>
    <w:rsid w:val="00976A9F"/>
    <w:rsid w:val="00977E2C"/>
    <w:rsid w:val="009831B3"/>
    <w:rsid w:val="00983DF4"/>
    <w:rsid w:val="00983E39"/>
    <w:rsid w:val="00987C3B"/>
    <w:rsid w:val="00991539"/>
    <w:rsid w:val="009935CA"/>
    <w:rsid w:val="00993CD2"/>
    <w:rsid w:val="00996B94"/>
    <w:rsid w:val="00996DC0"/>
    <w:rsid w:val="00996DF2"/>
    <w:rsid w:val="00996E0D"/>
    <w:rsid w:val="009A2B17"/>
    <w:rsid w:val="009A4982"/>
    <w:rsid w:val="009A682B"/>
    <w:rsid w:val="009B28B9"/>
    <w:rsid w:val="009B4EFF"/>
    <w:rsid w:val="009C23B1"/>
    <w:rsid w:val="009D5194"/>
    <w:rsid w:val="009D699B"/>
    <w:rsid w:val="009D757F"/>
    <w:rsid w:val="009D7881"/>
    <w:rsid w:val="009E796E"/>
    <w:rsid w:val="009F367A"/>
    <w:rsid w:val="009F54B1"/>
    <w:rsid w:val="009F6765"/>
    <w:rsid w:val="00A016EF"/>
    <w:rsid w:val="00A03F3B"/>
    <w:rsid w:val="00A05993"/>
    <w:rsid w:val="00A1413B"/>
    <w:rsid w:val="00A142AB"/>
    <w:rsid w:val="00A14A6E"/>
    <w:rsid w:val="00A15363"/>
    <w:rsid w:val="00A174D6"/>
    <w:rsid w:val="00A17F15"/>
    <w:rsid w:val="00A25F3D"/>
    <w:rsid w:val="00A272E4"/>
    <w:rsid w:val="00A307BA"/>
    <w:rsid w:val="00A311A9"/>
    <w:rsid w:val="00A32F2A"/>
    <w:rsid w:val="00A34300"/>
    <w:rsid w:val="00A34C3B"/>
    <w:rsid w:val="00A356EB"/>
    <w:rsid w:val="00A43E13"/>
    <w:rsid w:val="00A4449D"/>
    <w:rsid w:val="00A45136"/>
    <w:rsid w:val="00A45D38"/>
    <w:rsid w:val="00A465E2"/>
    <w:rsid w:val="00A47C7A"/>
    <w:rsid w:val="00A60BCB"/>
    <w:rsid w:val="00A620F6"/>
    <w:rsid w:val="00A654C2"/>
    <w:rsid w:val="00A72C42"/>
    <w:rsid w:val="00A80BE2"/>
    <w:rsid w:val="00A828F0"/>
    <w:rsid w:val="00A91216"/>
    <w:rsid w:val="00A93C12"/>
    <w:rsid w:val="00A946F3"/>
    <w:rsid w:val="00A97067"/>
    <w:rsid w:val="00A972CC"/>
    <w:rsid w:val="00A977E8"/>
    <w:rsid w:val="00AA2B76"/>
    <w:rsid w:val="00AA308C"/>
    <w:rsid w:val="00AA329F"/>
    <w:rsid w:val="00AA34E6"/>
    <w:rsid w:val="00AA389F"/>
    <w:rsid w:val="00AA7A09"/>
    <w:rsid w:val="00AA7CF6"/>
    <w:rsid w:val="00AB43D1"/>
    <w:rsid w:val="00AB5011"/>
    <w:rsid w:val="00AB5848"/>
    <w:rsid w:val="00AB6744"/>
    <w:rsid w:val="00AB77C9"/>
    <w:rsid w:val="00AC3939"/>
    <w:rsid w:val="00AC4A10"/>
    <w:rsid w:val="00AC6FC5"/>
    <w:rsid w:val="00AC7C42"/>
    <w:rsid w:val="00AD162D"/>
    <w:rsid w:val="00AD1804"/>
    <w:rsid w:val="00AD2D55"/>
    <w:rsid w:val="00AD44E6"/>
    <w:rsid w:val="00AD6BCD"/>
    <w:rsid w:val="00AD7F3B"/>
    <w:rsid w:val="00AE26AC"/>
    <w:rsid w:val="00AE3E4F"/>
    <w:rsid w:val="00AE6BE4"/>
    <w:rsid w:val="00AE76FB"/>
    <w:rsid w:val="00AF05A1"/>
    <w:rsid w:val="00AF0FA9"/>
    <w:rsid w:val="00AF3C78"/>
    <w:rsid w:val="00AF52EB"/>
    <w:rsid w:val="00AF7E81"/>
    <w:rsid w:val="00B02F73"/>
    <w:rsid w:val="00B0375D"/>
    <w:rsid w:val="00B04E3E"/>
    <w:rsid w:val="00B10D9C"/>
    <w:rsid w:val="00B10E72"/>
    <w:rsid w:val="00B144B6"/>
    <w:rsid w:val="00B176FC"/>
    <w:rsid w:val="00B270FC"/>
    <w:rsid w:val="00B31A5E"/>
    <w:rsid w:val="00B31EE0"/>
    <w:rsid w:val="00B327C2"/>
    <w:rsid w:val="00B35233"/>
    <w:rsid w:val="00B3771D"/>
    <w:rsid w:val="00B40EEB"/>
    <w:rsid w:val="00B41871"/>
    <w:rsid w:val="00B50263"/>
    <w:rsid w:val="00B5353F"/>
    <w:rsid w:val="00B56BF3"/>
    <w:rsid w:val="00B64FE8"/>
    <w:rsid w:val="00B71098"/>
    <w:rsid w:val="00B7343A"/>
    <w:rsid w:val="00B73A63"/>
    <w:rsid w:val="00B7586D"/>
    <w:rsid w:val="00B80873"/>
    <w:rsid w:val="00B82A69"/>
    <w:rsid w:val="00B83501"/>
    <w:rsid w:val="00B8571F"/>
    <w:rsid w:val="00B85CA6"/>
    <w:rsid w:val="00B86B38"/>
    <w:rsid w:val="00BA16B5"/>
    <w:rsid w:val="00BA4817"/>
    <w:rsid w:val="00BA6038"/>
    <w:rsid w:val="00BA7EAB"/>
    <w:rsid w:val="00BB1F35"/>
    <w:rsid w:val="00BB3104"/>
    <w:rsid w:val="00BB3513"/>
    <w:rsid w:val="00BB374B"/>
    <w:rsid w:val="00BB5820"/>
    <w:rsid w:val="00BC24AF"/>
    <w:rsid w:val="00BC7DCD"/>
    <w:rsid w:val="00BD2AA0"/>
    <w:rsid w:val="00BE09CD"/>
    <w:rsid w:val="00BE2150"/>
    <w:rsid w:val="00BF1F12"/>
    <w:rsid w:val="00BF224F"/>
    <w:rsid w:val="00BF79AF"/>
    <w:rsid w:val="00BF7EB6"/>
    <w:rsid w:val="00C0073B"/>
    <w:rsid w:val="00C01213"/>
    <w:rsid w:val="00C029D1"/>
    <w:rsid w:val="00C04F7F"/>
    <w:rsid w:val="00C06AFA"/>
    <w:rsid w:val="00C07AB2"/>
    <w:rsid w:val="00C10B9D"/>
    <w:rsid w:val="00C1193E"/>
    <w:rsid w:val="00C1217C"/>
    <w:rsid w:val="00C16A94"/>
    <w:rsid w:val="00C16DF9"/>
    <w:rsid w:val="00C16F67"/>
    <w:rsid w:val="00C22BF5"/>
    <w:rsid w:val="00C24679"/>
    <w:rsid w:val="00C24ADE"/>
    <w:rsid w:val="00C24DD0"/>
    <w:rsid w:val="00C27332"/>
    <w:rsid w:val="00C3433C"/>
    <w:rsid w:val="00C35B13"/>
    <w:rsid w:val="00C3740D"/>
    <w:rsid w:val="00C37E93"/>
    <w:rsid w:val="00C40261"/>
    <w:rsid w:val="00C430F1"/>
    <w:rsid w:val="00C44F39"/>
    <w:rsid w:val="00C45A8A"/>
    <w:rsid w:val="00C45B88"/>
    <w:rsid w:val="00C467B2"/>
    <w:rsid w:val="00C550EC"/>
    <w:rsid w:val="00C60973"/>
    <w:rsid w:val="00C625C3"/>
    <w:rsid w:val="00C64898"/>
    <w:rsid w:val="00C722E4"/>
    <w:rsid w:val="00C730D9"/>
    <w:rsid w:val="00C741B1"/>
    <w:rsid w:val="00C755D8"/>
    <w:rsid w:val="00C81EC6"/>
    <w:rsid w:val="00C8253D"/>
    <w:rsid w:val="00C83289"/>
    <w:rsid w:val="00C84456"/>
    <w:rsid w:val="00C862F1"/>
    <w:rsid w:val="00C92782"/>
    <w:rsid w:val="00C927A0"/>
    <w:rsid w:val="00C96B87"/>
    <w:rsid w:val="00C971C4"/>
    <w:rsid w:val="00CA0171"/>
    <w:rsid w:val="00CA3239"/>
    <w:rsid w:val="00CB181B"/>
    <w:rsid w:val="00CB77B3"/>
    <w:rsid w:val="00CB7DD5"/>
    <w:rsid w:val="00CD387A"/>
    <w:rsid w:val="00CD474E"/>
    <w:rsid w:val="00CD4B78"/>
    <w:rsid w:val="00CD5B1F"/>
    <w:rsid w:val="00CD5C94"/>
    <w:rsid w:val="00CD6C06"/>
    <w:rsid w:val="00CE02AB"/>
    <w:rsid w:val="00CE1A34"/>
    <w:rsid w:val="00CE246D"/>
    <w:rsid w:val="00CE2E20"/>
    <w:rsid w:val="00CE3922"/>
    <w:rsid w:val="00CF20B5"/>
    <w:rsid w:val="00CF4889"/>
    <w:rsid w:val="00CF715A"/>
    <w:rsid w:val="00D00AEA"/>
    <w:rsid w:val="00D02A53"/>
    <w:rsid w:val="00D04944"/>
    <w:rsid w:val="00D06C4C"/>
    <w:rsid w:val="00D11D5E"/>
    <w:rsid w:val="00D13B6A"/>
    <w:rsid w:val="00D17896"/>
    <w:rsid w:val="00D22F06"/>
    <w:rsid w:val="00D239A8"/>
    <w:rsid w:val="00D23C9F"/>
    <w:rsid w:val="00D25B2D"/>
    <w:rsid w:val="00D25BC5"/>
    <w:rsid w:val="00D2766E"/>
    <w:rsid w:val="00D30462"/>
    <w:rsid w:val="00D32E19"/>
    <w:rsid w:val="00D34E3A"/>
    <w:rsid w:val="00D404FB"/>
    <w:rsid w:val="00D413DF"/>
    <w:rsid w:val="00D42BA8"/>
    <w:rsid w:val="00D43398"/>
    <w:rsid w:val="00D440F0"/>
    <w:rsid w:val="00D47183"/>
    <w:rsid w:val="00D514D8"/>
    <w:rsid w:val="00D5539F"/>
    <w:rsid w:val="00D60538"/>
    <w:rsid w:val="00D62F3C"/>
    <w:rsid w:val="00D63F42"/>
    <w:rsid w:val="00D76AB2"/>
    <w:rsid w:val="00D81A69"/>
    <w:rsid w:val="00D838BF"/>
    <w:rsid w:val="00D9115D"/>
    <w:rsid w:val="00DA07C1"/>
    <w:rsid w:val="00DA0BC1"/>
    <w:rsid w:val="00DA10C4"/>
    <w:rsid w:val="00DA223F"/>
    <w:rsid w:val="00DA44BE"/>
    <w:rsid w:val="00DA653A"/>
    <w:rsid w:val="00DA6B25"/>
    <w:rsid w:val="00DB0565"/>
    <w:rsid w:val="00DB0F51"/>
    <w:rsid w:val="00DC32E2"/>
    <w:rsid w:val="00DC49A8"/>
    <w:rsid w:val="00DC785A"/>
    <w:rsid w:val="00DD5624"/>
    <w:rsid w:val="00DE0968"/>
    <w:rsid w:val="00DE41F8"/>
    <w:rsid w:val="00DE55D8"/>
    <w:rsid w:val="00DF05FC"/>
    <w:rsid w:val="00DF2BA0"/>
    <w:rsid w:val="00DF3C80"/>
    <w:rsid w:val="00DF4CBE"/>
    <w:rsid w:val="00DF5662"/>
    <w:rsid w:val="00E028E4"/>
    <w:rsid w:val="00E0490B"/>
    <w:rsid w:val="00E0730F"/>
    <w:rsid w:val="00E106C2"/>
    <w:rsid w:val="00E16E0C"/>
    <w:rsid w:val="00E1752A"/>
    <w:rsid w:val="00E23C95"/>
    <w:rsid w:val="00E24354"/>
    <w:rsid w:val="00E24C6B"/>
    <w:rsid w:val="00E25664"/>
    <w:rsid w:val="00E25B42"/>
    <w:rsid w:val="00E3049E"/>
    <w:rsid w:val="00E346CF"/>
    <w:rsid w:val="00E34F71"/>
    <w:rsid w:val="00E358AD"/>
    <w:rsid w:val="00E4145C"/>
    <w:rsid w:val="00E44C86"/>
    <w:rsid w:val="00E4732C"/>
    <w:rsid w:val="00E50481"/>
    <w:rsid w:val="00E50B99"/>
    <w:rsid w:val="00E527B8"/>
    <w:rsid w:val="00E54160"/>
    <w:rsid w:val="00E57F79"/>
    <w:rsid w:val="00E65F98"/>
    <w:rsid w:val="00E66C24"/>
    <w:rsid w:val="00E70976"/>
    <w:rsid w:val="00E72629"/>
    <w:rsid w:val="00E75072"/>
    <w:rsid w:val="00E753F3"/>
    <w:rsid w:val="00E76FB2"/>
    <w:rsid w:val="00E839DF"/>
    <w:rsid w:val="00E86EBD"/>
    <w:rsid w:val="00E92EDB"/>
    <w:rsid w:val="00E95CE6"/>
    <w:rsid w:val="00E96241"/>
    <w:rsid w:val="00E97A09"/>
    <w:rsid w:val="00EA26D3"/>
    <w:rsid w:val="00EA33E7"/>
    <w:rsid w:val="00EA507D"/>
    <w:rsid w:val="00EA5464"/>
    <w:rsid w:val="00EA54B6"/>
    <w:rsid w:val="00EB061A"/>
    <w:rsid w:val="00EB1A2A"/>
    <w:rsid w:val="00EB2C3E"/>
    <w:rsid w:val="00EB66FC"/>
    <w:rsid w:val="00EB7708"/>
    <w:rsid w:val="00EC1F25"/>
    <w:rsid w:val="00ED0A40"/>
    <w:rsid w:val="00ED7B2E"/>
    <w:rsid w:val="00EE22C5"/>
    <w:rsid w:val="00EF1E9D"/>
    <w:rsid w:val="00EF397E"/>
    <w:rsid w:val="00EF4551"/>
    <w:rsid w:val="00F03CDA"/>
    <w:rsid w:val="00F05F92"/>
    <w:rsid w:val="00F06AFE"/>
    <w:rsid w:val="00F107D3"/>
    <w:rsid w:val="00F15794"/>
    <w:rsid w:val="00F22173"/>
    <w:rsid w:val="00F22448"/>
    <w:rsid w:val="00F304F0"/>
    <w:rsid w:val="00F3134E"/>
    <w:rsid w:val="00F3359B"/>
    <w:rsid w:val="00F343C0"/>
    <w:rsid w:val="00F35096"/>
    <w:rsid w:val="00F409E7"/>
    <w:rsid w:val="00F4175F"/>
    <w:rsid w:val="00F45CD0"/>
    <w:rsid w:val="00F47140"/>
    <w:rsid w:val="00F511F4"/>
    <w:rsid w:val="00F54303"/>
    <w:rsid w:val="00F55792"/>
    <w:rsid w:val="00F56E92"/>
    <w:rsid w:val="00F616E3"/>
    <w:rsid w:val="00F6303D"/>
    <w:rsid w:val="00F654BC"/>
    <w:rsid w:val="00F66B61"/>
    <w:rsid w:val="00F7226B"/>
    <w:rsid w:val="00F76349"/>
    <w:rsid w:val="00F77620"/>
    <w:rsid w:val="00F83D46"/>
    <w:rsid w:val="00F85AAA"/>
    <w:rsid w:val="00F908E4"/>
    <w:rsid w:val="00F972F3"/>
    <w:rsid w:val="00FA282B"/>
    <w:rsid w:val="00FA2C2E"/>
    <w:rsid w:val="00FA68B6"/>
    <w:rsid w:val="00FB1A89"/>
    <w:rsid w:val="00FB3A1A"/>
    <w:rsid w:val="00FB5E05"/>
    <w:rsid w:val="00FC57BA"/>
    <w:rsid w:val="00FC5A04"/>
    <w:rsid w:val="00FC7510"/>
    <w:rsid w:val="00FD1D2D"/>
    <w:rsid w:val="00FD2BAB"/>
    <w:rsid w:val="00FD6E79"/>
    <w:rsid w:val="00FD6EC6"/>
    <w:rsid w:val="00FE0CFB"/>
    <w:rsid w:val="00FE2386"/>
    <w:rsid w:val="00FE2936"/>
    <w:rsid w:val="00FE47BF"/>
    <w:rsid w:val="00FE6A1B"/>
    <w:rsid w:val="00FF23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652336"/>
  <w15:docId w15:val="{A9EF3BF5-C45C-4EB1-93A4-6E22D160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B25"/>
    <w:rPr>
      <w:lang w:val="en-US" w:eastAsia="en-US"/>
    </w:rPr>
  </w:style>
  <w:style w:type="paragraph" w:styleId="Heading1">
    <w:name w:val="heading 1"/>
    <w:basedOn w:val="Normal"/>
    <w:next w:val="Normal"/>
    <w:qFormat/>
    <w:rsid w:val="00DA6B25"/>
    <w:pPr>
      <w:keepNext/>
      <w:numPr>
        <w:numId w:val="1"/>
      </w:numPr>
      <w:spacing w:before="240" w:after="80"/>
      <w:jc w:val="center"/>
      <w:outlineLvl w:val="0"/>
    </w:pPr>
    <w:rPr>
      <w:smallCaps/>
      <w:kern w:val="28"/>
    </w:rPr>
  </w:style>
  <w:style w:type="paragraph" w:styleId="Heading2">
    <w:name w:val="heading 2"/>
    <w:basedOn w:val="Normal"/>
    <w:next w:val="Normal"/>
    <w:qFormat/>
    <w:rsid w:val="00DA6B25"/>
    <w:pPr>
      <w:keepNext/>
      <w:numPr>
        <w:ilvl w:val="1"/>
        <w:numId w:val="1"/>
      </w:numPr>
      <w:spacing w:before="120" w:after="60"/>
      <w:outlineLvl w:val="1"/>
    </w:pPr>
    <w:rPr>
      <w:i/>
    </w:rPr>
  </w:style>
  <w:style w:type="paragraph" w:styleId="Heading3">
    <w:name w:val="heading 3"/>
    <w:basedOn w:val="Normal"/>
    <w:next w:val="Normal"/>
    <w:qFormat/>
    <w:rsid w:val="00DA6B25"/>
    <w:pPr>
      <w:keepNext/>
      <w:numPr>
        <w:ilvl w:val="2"/>
        <w:numId w:val="1"/>
      </w:numPr>
      <w:ind w:left="288"/>
      <w:outlineLvl w:val="2"/>
    </w:pPr>
    <w:rPr>
      <w:i/>
    </w:rPr>
  </w:style>
  <w:style w:type="paragraph" w:styleId="Heading4">
    <w:name w:val="heading 4"/>
    <w:basedOn w:val="Normal"/>
    <w:next w:val="Normal"/>
    <w:qFormat/>
    <w:rsid w:val="00DA6B25"/>
    <w:pPr>
      <w:keepNext/>
      <w:numPr>
        <w:ilvl w:val="3"/>
        <w:numId w:val="1"/>
      </w:numPr>
      <w:spacing w:before="240" w:after="60"/>
      <w:outlineLvl w:val="3"/>
    </w:pPr>
    <w:rPr>
      <w:i/>
      <w:sz w:val="18"/>
    </w:rPr>
  </w:style>
  <w:style w:type="paragraph" w:styleId="Heading5">
    <w:name w:val="heading 5"/>
    <w:basedOn w:val="Normal"/>
    <w:next w:val="Normal"/>
    <w:qFormat/>
    <w:rsid w:val="00DA6B25"/>
    <w:pPr>
      <w:numPr>
        <w:ilvl w:val="4"/>
        <w:numId w:val="1"/>
      </w:numPr>
      <w:spacing w:before="240" w:after="60"/>
      <w:outlineLvl w:val="4"/>
    </w:pPr>
    <w:rPr>
      <w:sz w:val="18"/>
    </w:rPr>
  </w:style>
  <w:style w:type="paragraph" w:styleId="Heading6">
    <w:name w:val="heading 6"/>
    <w:basedOn w:val="Normal"/>
    <w:next w:val="Normal"/>
    <w:qFormat/>
    <w:rsid w:val="00DA6B25"/>
    <w:pPr>
      <w:numPr>
        <w:ilvl w:val="5"/>
        <w:numId w:val="1"/>
      </w:numPr>
      <w:spacing w:before="240" w:after="60"/>
      <w:outlineLvl w:val="5"/>
    </w:pPr>
    <w:rPr>
      <w:i/>
      <w:sz w:val="16"/>
    </w:rPr>
  </w:style>
  <w:style w:type="paragraph" w:styleId="Heading7">
    <w:name w:val="heading 7"/>
    <w:basedOn w:val="Normal"/>
    <w:next w:val="Normal"/>
    <w:qFormat/>
    <w:rsid w:val="00DA6B25"/>
    <w:pPr>
      <w:numPr>
        <w:ilvl w:val="6"/>
        <w:numId w:val="1"/>
      </w:numPr>
      <w:spacing w:before="240" w:after="60"/>
      <w:outlineLvl w:val="6"/>
    </w:pPr>
    <w:rPr>
      <w:sz w:val="16"/>
    </w:rPr>
  </w:style>
  <w:style w:type="paragraph" w:styleId="Heading8">
    <w:name w:val="heading 8"/>
    <w:basedOn w:val="Normal"/>
    <w:next w:val="Normal"/>
    <w:qFormat/>
    <w:rsid w:val="00DA6B25"/>
    <w:pPr>
      <w:numPr>
        <w:ilvl w:val="7"/>
        <w:numId w:val="1"/>
      </w:numPr>
      <w:spacing w:before="240" w:after="60"/>
      <w:outlineLvl w:val="7"/>
    </w:pPr>
    <w:rPr>
      <w:i/>
      <w:sz w:val="16"/>
    </w:rPr>
  </w:style>
  <w:style w:type="paragraph" w:styleId="Heading9">
    <w:name w:val="heading 9"/>
    <w:basedOn w:val="Normal"/>
    <w:next w:val="Normal"/>
    <w:qFormat/>
    <w:rsid w:val="00DA6B25"/>
    <w:pPr>
      <w:numPr>
        <w:ilvl w:val="8"/>
        <w:numId w:val="1"/>
      </w:numPr>
      <w:spacing w:before="240" w:after="60"/>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A6B25"/>
    <w:pPr>
      <w:spacing w:before="20"/>
      <w:ind w:firstLine="202"/>
      <w:jc w:val="both"/>
    </w:pPr>
    <w:rPr>
      <w:b/>
      <w:sz w:val="18"/>
    </w:rPr>
  </w:style>
  <w:style w:type="paragraph" w:customStyle="1" w:styleId="Authors">
    <w:name w:val="Authors"/>
    <w:basedOn w:val="Normal"/>
    <w:next w:val="Normal"/>
    <w:rsid w:val="00DA6B25"/>
    <w:pPr>
      <w:framePr w:w="9072" w:hSpace="187" w:vSpace="187" w:wrap="notBeside" w:vAnchor="text" w:hAnchor="page" w:xAlign="center" w:y="1"/>
      <w:spacing w:after="320"/>
      <w:jc w:val="center"/>
    </w:pPr>
    <w:rPr>
      <w:sz w:val="22"/>
    </w:rPr>
  </w:style>
  <w:style w:type="character" w:customStyle="1" w:styleId="MemberType">
    <w:name w:val="MemberType"/>
    <w:rsid w:val="00DA6B25"/>
    <w:rPr>
      <w:rFonts w:ascii="Times New Roman" w:hAnsi="Times New Roman"/>
      <w:i/>
      <w:sz w:val="22"/>
    </w:rPr>
  </w:style>
  <w:style w:type="paragraph" w:styleId="Title">
    <w:name w:val="Title"/>
    <w:basedOn w:val="Normal"/>
    <w:next w:val="Normal"/>
    <w:qFormat/>
    <w:rsid w:val="00DA6B25"/>
    <w:pPr>
      <w:framePr w:w="9360" w:hSpace="187" w:vSpace="187" w:wrap="notBeside" w:vAnchor="text" w:hAnchor="page" w:xAlign="center" w:y="1"/>
      <w:jc w:val="center"/>
    </w:pPr>
    <w:rPr>
      <w:kern w:val="28"/>
      <w:sz w:val="48"/>
    </w:rPr>
  </w:style>
  <w:style w:type="paragraph" w:styleId="FootnoteText">
    <w:name w:val="footnote text"/>
    <w:basedOn w:val="Normal"/>
    <w:link w:val="FootnoteTextChar"/>
    <w:rsid w:val="00DA6B25"/>
    <w:pPr>
      <w:ind w:firstLine="202"/>
      <w:jc w:val="both"/>
    </w:pPr>
    <w:rPr>
      <w:sz w:val="16"/>
    </w:rPr>
  </w:style>
  <w:style w:type="paragraph" w:customStyle="1" w:styleId="References">
    <w:name w:val="References"/>
    <w:basedOn w:val="Normal"/>
    <w:rsid w:val="00DA6B25"/>
    <w:pPr>
      <w:numPr>
        <w:numId w:val="12"/>
      </w:numPr>
      <w:jc w:val="both"/>
    </w:pPr>
    <w:rPr>
      <w:sz w:val="16"/>
    </w:rPr>
  </w:style>
  <w:style w:type="paragraph" w:customStyle="1" w:styleId="IndexTerms">
    <w:name w:val="IndexTerms"/>
    <w:basedOn w:val="Normal"/>
    <w:next w:val="Normal"/>
    <w:rsid w:val="00DA6B25"/>
    <w:pPr>
      <w:ind w:firstLine="202"/>
      <w:jc w:val="both"/>
    </w:pPr>
    <w:rPr>
      <w:b/>
      <w:sz w:val="18"/>
    </w:rPr>
  </w:style>
  <w:style w:type="character" w:styleId="FootnoteReference">
    <w:name w:val="footnote reference"/>
    <w:semiHidden/>
    <w:rsid w:val="00DA6B25"/>
    <w:rPr>
      <w:vertAlign w:val="superscript"/>
    </w:rPr>
  </w:style>
  <w:style w:type="paragraph" w:styleId="Footer">
    <w:name w:val="footer"/>
    <w:basedOn w:val="Normal"/>
    <w:rsid w:val="00DA6B25"/>
    <w:pPr>
      <w:tabs>
        <w:tab w:val="center" w:pos="4320"/>
        <w:tab w:val="right" w:pos="8640"/>
      </w:tabs>
    </w:pPr>
  </w:style>
  <w:style w:type="paragraph" w:customStyle="1" w:styleId="Text">
    <w:name w:val="Text"/>
    <w:basedOn w:val="Normal"/>
    <w:rsid w:val="00DA6B25"/>
    <w:pPr>
      <w:widowControl w:val="0"/>
      <w:spacing w:line="252" w:lineRule="auto"/>
      <w:ind w:firstLine="202"/>
      <w:jc w:val="both"/>
    </w:pPr>
  </w:style>
  <w:style w:type="paragraph" w:customStyle="1" w:styleId="FigureCaption">
    <w:name w:val="Figure Caption"/>
    <w:basedOn w:val="Normal"/>
    <w:rsid w:val="00DA6B25"/>
    <w:pPr>
      <w:jc w:val="both"/>
    </w:pPr>
    <w:rPr>
      <w:sz w:val="16"/>
    </w:rPr>
  </w:style>
  <w:style w:type="paragraph" w:customStyle="1" w:styleId="TableTitle">
    <w:name w:val="Table Title"/>
    <w:basedOn w:val="Normal"/>
    <w:rsid w:val="00DA6B25"/>
    <w:pPr>
      <w:jc w:val="center"/>
    </w:pPr>
    <w:rPr>
      <w:smallCaps/>
      <w:sz w:val="16"/>
    </w:rPr>
  </w:style>
  <w:style w:type="paragraph" w:customStyle="1" w:styleId="ReferenceHead">
    <w:name w:val="Reference Head"/>
    <w:basedOn w:val="Heading1"/>
    <w:rsid w:val="00DA6B25"/>
    <w:pPr>
      <w:numPr>
        <w:numId w:val="0"/>
      </w:numPr>
    </w:pPr>
  </w:style>
  <w:style w:type="paragraph" w:styleId="Header">
    <w:name w:val="header"/>
    <w:basedOn w:val="Normal"/>
    <w:rsid w:val="00DA6B25"/>
    <w:pPr>
      <w:tabs>
        <w:tab w:val="center" w:pos="4320"/>
        <w:tab w:val="right" w:pos="8640"/>
      </w:tabs>
    </w:pPr>
  </w:style>
  <w:style w:type="paragraph" w:customStyle="1" w:styleId="Equation">
    <w:name w:val="Equation"/>
    <w:basedOn w:val="Normal"/>
    <w:next w:val="Normal"/>
    <w:rsid w:val="00DA6B25"/>
    <w:pPr>
      <w:widowControl w:val="0"/>
      <w:tabs>
        <w:tab w:val="right" w:pos="5040"/>
      </w:tabs>
      <w:spacing w:line="252" w:lineRule="auto"/>
      <w:jc w:val="both"/>
    </w:pPr>
  </w:style>
  <w:style w:type="character" w:styleId="Hyperlink">
    <w:name w:val="Hyperlink"/>
    <w:rsid w:val="00DA6B25"/>
    <w:rPr>
      <w:color w:val="0000FF"/>
      <w:u w:val="single"/>
    </w:rPr>
  </w:style>
  <w:style w:type="paragraph" w:styleId="BodyTextIndent">
    <w:name w:val="Body Text Indent"/>
    <w:basedOn w:val="Normal"/>
    <w:rsid w:val="00DA6B25"/>
    <w:pPr>
      <w:ind w:firstLine="180"/>
      <w:jc w:val="both"/>
    </w:pPr>
  </w:style>
  <w:style w:type="character" w:styleId="FollowedHyperlink">
    <w:name w:val="FollowedHyperlink"/>
    <w:rsid w:val="00DA6B25"/>
    <w:rPr>
      <w:color w:val="800080"/>
      <w:u w:val="single"/>
    </w:rPr>
  </w:style>
  <w:style w:type="paragraph" w:styleId="BalloonText">
    <w:name w:val="Balloon Text"/>
    <w:basedOn w:val="Normal"/>
    <w:semiHidden/>
    <w:rsid w:val="00DA6B25"/>
    <w:rPr>
      <w:rFonts w:ascii="Tahoma" w:hAnsi="Tahoma" w:cs="Tahoma"/>
      <w:sz w:val="16"/>
      <w:szCs w:val="16"/>
    </w:rPr>
  </w:style>
  <w:style w:type="paragraph" w:customStyle="1" w:styleId="Body">
    <w:name w:val="Body"/>
    <w:basedOn w:val="Normal"/>
    <w:link w:val="BodyZchn"/>
    <w:uiPriority w:val="99"/>
    <w:rsid w:val="00556AF2"/>
    <w:pPr>
      <w:spacing w:after="240"/>
      <w:jc w:val="both"/>
    </w:pPr>
    <w:rPr>
      <w:rFonts w:ascii="Arial" w:eastAsia="Malgun Gothic" w:hAnsi="Arial"/>
      <w:lang w:val="en-GB"/>
    </w:rPr>
  </w:style>
  <w:style w:type="character" w:customStyle="1" w:styleId="BodyZchn">
    <w:name w:val="Body Zchn"/>
    <w:link w:val="Body"/>
    <w:uiPriority w:val="99"/>
    <w:locked/>
    <w:rsid w:val="00556AF2"/>
    <w:rPr>
      <w:rFonts w:ascii="Arial" w:eastAsia="Malgun Gothic" w:hAnsi="Arial"/>
      <w:lang w:val="en-GB" w:eastAsia="en-US"/>
    </w:rPr>
  </w:style>
  <w:style w:type="paragraph" w:customStyle="1" w:styleId="CitaviBibliographyEntry">
    <w:name w:val="Citavi Bibliography Entry"/>
    <w:basedOn w:val="Normal"/>
    <w:link w:val="CitaviBibliographyEntryZchn"/>
    <w:rsid w:val="002B70A6"/>
    <w:pPr>
      <w:tabs>
        <w:tab w:val="left" w:pos="567"/>
      </w:tabs>
      <w:ind w:left="567" w:hanging="567"/>
    </w:pPr>
    <w:rPr>
      <w:rFonts w:ascii="Arial" w:eastAsia="Malgun Gothic" w:hAnsi="Arial"/>
    </w:rPr>
  </w:style>
  <w:style w:type="character" w:customStyle="1" w:styleId="CitaviBibliographyEntryZchn">
    <w:name w:val="Citavi Bibliography Entry Zchn"/>
    <w:link w:val="CitaviBibliographyEntry"/>
    <w:rsid w:val="002B70A6"/>
    <w:rPr>
      <w:rFonts w:ascii="Arial" w:eastAsia="Malgun Gothic" w:hAnsi="Arial"/>
      <w:lang w:val="en-US" w:eastAsia="en-US"/>
    </w:rPr>
  </w:style>
  <w:style w:type="paragraph" w:customStyle="1" w:styleId="CitaviBibliographyHeading">
    <w:name w:val="Citavi Bibliography Heading"/>
    <w:basedOn w:val="Heading1"/>
    <w:link w:val="CitaviBibliographyHeadingZchn"/>
    <w:rsid w:val="002B70A6"/>
    <w:pPr>
      <w:jc w:val="left"/>
    </w:pPr>
  </w:style>
  <w:style w:type="character" w:customStyle="1" w:styleId="CitaviBibliographyHeadingZchn">
    <w:name w:val="Citavi Bibliography Heading Zchn"/>
    <w:link w:val="CitaviBibliographyHeading"/>
    <w:rsid w:val="002B70A6"/>
    <w:rPr>
      <w:rFonts w:ascii="Arial" w:eastAsia="Malgun Gothic" w:hAnsi="Arial"/>
      <w:smallCaps/>
      <w:kern w:val="28"/>
      <w:lang w:val="en-US" w:eastAsia="en-US"/>
    </w:rPr>
  </w:style>
  <w:style w:type="paragraph" w:styleId="Caption">
    <w:name w:val="caption"/>
    <w:basedOn w:val="Normal"/>
    <w:next w:val="Normal"/>
    <w:link w:val="CaptionChar"/>
    <w:uiPriority w:val="35"/>
    <w:unhideWhenUsed/>
    <w:qFormat/>
    <w:rsid w:val="006317AB"/>
    <w:rPr>
      <w:b/>
      <w:bCs/>
    </w:rPr>
  </w:style>
  <w:style w:type="character" w:customStyle="1" w:styleId="FootnoteTextChar">
    <w:name w:val="Footnote Text Char"/>
    <w:link w:val="FootnoteText"/>
    <w:rsid w:val="004C2F08"/>
    <w:rPr>
      <w:sz w:val="16"/>
      <w:lang w:val="en-US" w:eastAsia="en-US"/>
    </w:rPr>
  </w:style>
  <w:style w:type="character" w:customStyle="1" w:styleId="CaptionChar">
    <w:name w:val="Caption Char"/>
    <w:link w:val="Caption"/>
    <w:uiPriority w:val="35"/>
    <w:rsid w:val="00E4732C"/>
    <w:rPr>
      <w:b/>
      <w:bCs/>
      <w:lang w:val="en-US" w:eastAsia="en-US"/>
    </w:rPr>
  </w:style>
  <w:style w:type="character" w:styleId="PlaceholderText">
    <w:name w:val="Placeholder Text"/>
    <w:basedOn w:val="DefaultParagraphFont"/>
    <w:uiPriority w:val="99"/>
    <w:semiHidden/>
    <w:rsid w:val="00716296"/>
    <w:rPr>
      <w:color w:val="808080"/>
    </w:rPr>
  </w:style>
  <w:style w:type="paragraph" w:styleId="ListParagraph">
    <w:name w:val="List Paragraph"/>
    <w:basedOn w:val="Normal"/>
    <w:uiPriority w:val="34"/>
    <w:qFormat/>
    <w:rsid w:val="00DE0968"/>
    <w:pPr>
      <w:ind w:left="720"/>
      <w:contextualSpacing/>
    </w:pPr>
  </w:style>
  <w:style w:type="table" w:styleId="TableGrid">
    <w:name w:val="Table Grid"/>
    <w:basedOn w:val="TableNormal"/>
    <w:rsid w:val="006C2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46CF"/>
    <w:rPr>
      <w:sz w:val="16"/>
      <w:szCs w:val="16"/>
    </w:rPr>
  </w:style>
  <w:style w:type="paragraph" w:styleId="CommentText">
    <w:name w:val="annotation text"/>
    <w:basedOn w:val="Normal"/>
    <w:link w:val="CommentTextChar"/>
    <w:uiPriority w:val="99"/>
    <w:semiHidden/>
    <w:unhideWhenUsed/>
    <w:rsid w:val="00E346CF"/>
  </w:style>
  <w:style w:type="character" w:customStyle="1" w:styleId="CommentTextChar">
    <w:name w:val="Comment Text Char"/>
    <w:basedOn w:val="DefaultParagraphFont"/>
    <w:link w:val="CommentText"/>
    <w:uiPriority w:val="99"/>
    <w:semiHidden/>
    <w:rsid w:val="00E346CF"/>
    <w:rPr>
      <w:lang w:val="en-US" w:eastAsia="en-US"/>
    </w:rPr>
  </w:style>
  <w:style w:type="paragraph" w:styleId="CommentSubject">
    <w:name w:val="annotation subject"/>
    <w:basedOn w:val="CommentText"/>
    <w:next w:val="CommentText"/>
    <w:link w:val="CommentSubjectChar"/>
    <w:semiHidden/>
    <w:unhideWhenUsed/>
    <w:rsid w:val="00E346CF"/>
    <w:rPr>
      <w:b/>
      <w:bCs/>
    </w:rPr>
  </w:style>
  <w:style w:type="character" w:customStyle="1" w:styleId="CommentSubjectChar">
    <w:name w:val="Comment Subject Char"/>
    <w:basedOn w:val="CommentTextChar"/>
    <w:link w:val="CommentSubject"/>
    <w:semiHidden/>
    <w:rsid w:val="00E346CF"/>
    <w:rPr>
      <w:b/>
      <w:bCs/>
      <w:lang w:val="en-US" w:eastAsia="en-US"/>
    </w:rPr>
  </w:style>
  <w:style w:type="paragraph" w:styleId="NormalWeb">
    <w:name w:val="Normal (Web)"/>
    <w:basedOn w:val="Normal"/>
    <w:uiPriority w:val="99"/>
    <w:semiHidden/>
    <w:unhideWhenUsed/>
    <w:rsid w:val="0041035A"/>
    <w:pPr>
      <w:spacing w:before="100" w:beforeAutospacing="1" w:after="100" w:afterAutospacing="1"/>
    </w:pPr>
    <w:rPr>
      <w:rFonts w:eastAsiaTheme="minorEastAsia"/>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403529">
      <w:bodyDiv w:val="1"/>
      <w:marLeft w:val="0"/>
      <w:marRight w:val="0"/>
      <w:marTop w:val="0"/>
      <w:marBottom w:val="0"/>
      <w:divBdr>
        <w:top w:val="none" w:sz="0" w:space="0" w:color="auto"/>
        <w:left w:val="none" w:sz="0" w:space="0" w:color="auto"/>
        <w:bottom w:val="none" w:sz="0" w:space="0" w:color="auto"/>
        <w:right w:val="none" w:sz="0" w:space="0" w:color="auto"/>
      </w:divBdr>
    </w:div>
    <w:div w:id="697588657">
      <w:bodyDiv w:val="1"/>
      <w:marLeft w:val="0"/>
      <w:marRight w:val="0"/>
      <w:marTop w:val="0"/>
      <w:marBottom w:val="0"/>
      <w:divBdr>
        <w:top w:val="none" w:sz="0" w:space="0" w:color="auto"/>
        <w:left w:val="none" w:sz="0" w:space="0" w:color="auto"/>
        <w:bottom w:val="none" w:sz="0" w:space="0" w:color="auto"/>
        <w:right w:val="none" w:sz="0" w:space="0" w:color="auto"/>
      </w:divBdr>
    </w:div>
    <w:div w:id="1258295767">
      <w:bodyDiv w:val="1"/>
      <w:marLeft w:val="0"/>
      <w:marRight w:val="0"/>
      <w:marTop w:val="0"/>
      <w:marBottom w:val="0"/>
      <w:divBdr>
        <w:top w:val="none" w:sz="0" w:space="0" w:color="auto"/>
        <w:left w:val="none" w:sz="0" w:space="0" w:color="auto"/>
        <w:bottom w:val="none" w:sz="0" w:space="0" w:color="auto"/>
        <w:right w:val="none" w:sz="0" w:space="0" w:color="auto"/>
      </w:divBdr>
    </w:div>
    <w:div w:id="157269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40.png"/><Relationship Id="rId26" Type="http://schemas.openxmlformats.org/officeDocument/2006/relationships/image" Target="media/image80.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3.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0.png"/><Relationship Id="rId33" Type="http://schemas.openxmlformats.org/officeDocument/2006/relationships/image" Target="media/image120.gi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0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png"/><Relationship Id="rId24" Type="http://schemas.openxmlformats.org/officeDocument/2006/relationships/image" Target="media/image60.png"/><Relationship Id="rId32" Type="http://schemas.openxmlformats.org/officeDocument/2006/relationships/image" Target="media/image12.gif"/><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image" Target="media/image11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90.png"/><Relationship Id="rId30" Type="http://schemas.openxmlformats.org/officeDocument/2006/relationships/image" Target="media/image11.jpeg"/><Relationship Id="rId35" Type="http://schemas.openxmlformats.org/officeDocument/2006/relationships/image" Target="media/image130.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mann\AppData\Local\Chemistry%20Add-in%20for%20Word\Chemistry%20Gallery\Chem4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A3716-BF21-4BC4-809C-F911F8086C8B}">
  <ds:schemaRefs>
    <ds:schemaRef ds:uri="urn:schemas-microsoft-com.VSTO2008Demos.ControlsStorage"/>
  </ds:schemaRefs>
</ds:datastoreItem>
</file>

<file path=customXml/itemProps2.xml><?xml version="1.0" encoding="utf-8"?>
<ds:datastoreItem xmlns:ds="http://schemas.openxmlformats.org/officeDocument/2006/customXml" ds:itemID="{7F55C993-581E-4EED-9BEF-001E28CC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17</Pages>
  <Words>5375</Words>
  <Characters>102946</Characters>
  <Application>Microsoft Office Word</Application>
  <DocSecurity>4</DocSecurity>
  <Lines>857</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TDEI Submissions Template</vt:lpstr>
      <vt:lpstr>TDEI Submissions Template</vt:lpstr>
    </vt:vector>
  </TitlesOfParts>
  <Company>Mitsubishi electric</Company>
  <LinksUpToDate>false</LinksUpToDate>
  <CharactersWithSpaces>108105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TDEI Submissions Template</dc:title>
  <dc:subject>IEEE Transactions on Dielectrics and Electrical Insulation</dc:subject>
  <dc:creator>Bob</dc:creator>
  <cp:lastModifiedBy>Whitton M.J.</cp:lastModifiedBy>
  <cp:revision>2</cp:revision>
  <cp:lastPrinted>2018-05-29T09:28:00Z</cp:lastPrinted>
  <dcterms:created xsi:type="dcterms:W3CDTF">2019-01-08T13:41:00Z</dcterms:created>
  <dcterms:modified xsi:type="dcterms:W3CDTF">2019-01-08T13:41:00Z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6">
    <vt:lpwstr>False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http://csl.mendeley.com/styles/479390451/ieee-TDEI</vt:lpwstr>
  </property>
  <property fmtid="{D5CDD505-2E9C-101B-9397-08002B2CF9AE}" pid="16" name="Mendeley Recent Style Name 6_1">
    <vt:lpwstr>IEEE - Allison Shaw</vt:lpwstr>
  </property>
  <property fmtid="{D5CDD505-2E9C-101B-9397-08002B2CF9AE}" pid="17" name="Mendeley Recent Style Id 7_1">
    <vt:lpwstr>http://www.zotero.org/styles/journal-of-materials-science</vt:lpwstr>
  </property>
  <property fmtid="{D5CDD505-2E9C-101B-9397-08002B2CF9AE}" pid="18" name="Mendeley Recent Style Name 7_1">
    <vt:lpwstr>Journal of Materials Science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efb8357b-708b-33b3-8018-7a703d0b4385</vt:lpwstr>
  </property>
  <property fmtid="{D5CDD505-2E9C-101B-9397-08002B2CF9AE}" pid="25" name="Mendeley Citation Style_1">
    <vt:lpwstr>http://csl.mendeley.com/styles/479390451/ieee-TDEI</vt:lpwstr>
  </property>
</Properties>
</file>