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1D361" w14:textId="77777777" w:rsidR="00455A75" w:rsidRPr="00DF040C" w:rsidRDefault="00455A75" w:rsidP="00D03C44">
      <w:pPr>
        <w:shd w:val="clear" w:color="auto" w:fill="FFFFFF"/>
        <w:rPr>
          <w:rFonts w:ascii="Garamond" w:eastAsia="Times New Roman" w:hAnsi="Garamond" w:cs="Arial"/>
          <w:b/>
          <w:sz w:val="22"/>
          <w:szCs w:val="22"/>
          <w:lang w:val="en-GB"/>
        </w:rPr>
      </w:pPr>
      <w:bookmarkStart w:id="0" w:name="_GoBack"/>
      <w:bookmarkEnd w:id="0"/>
      <w:r w:rsidRPr="00DF040C">
        <w:rPr>
          <w:rFonts w:ascii="Garamond" w:eastAsia="Times New Roman" w:hAnsi="Garamond" w:cs="Arial"/>
          <w:b/>
          <w:sz w:val="22"/>
          <w:szCs w:val="22"/>
          <w:lang w:val="en-GB"/>
        </w:rPr>
        <w:t>US court refuses to grant summary judgment in favour of Beyoncé over FEYONCÉ products</w:t>
      </w:r>
    </w:p>
    <w:p w14:paraId="2156FEEA" w14:textId="77777777" w:rsidR="00455A75" w:rsidRPr="00DF040C" w:rsidRDefault="00455A75" w:rsidP="00D03C44">
      <w:pPr>
        <w:shd w:val="clear" w:color="auto" w:fill="FFFFFF"/>
        <w:rPr>
          <w:rFonts w:ascii="Garamond" w:eastAsia="Times New Roman" w:hAnsi="Garamond" w:cs="Arial"/>
          <w:b/>
          <w:sz w:val="22"/>
          <w:szCs w:val="22"/>
          <w:lang w:val="en-GB"/>
        </w:rPr>
      </w:pPr>
    </w:p>
    <w:p w14:paraId="217E2636" w14:textId="77777777" w:rsidR="00455A75" w:rsidRPr="00DF040C" w:rsidRDefault="00455A75"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bCs/>
          <w:i/>
          <w:iCs/>
          <w:sz w:val="22"/>
          <w:szCs w:val="22"/>
          <w:lang w:val="en-GB"/>
        </w:rPr>
        <w:t>Beyoncé Giselle Knowles-Carter, et al., v. Feyoncé, Inc. et al.</w:t>
      </w:r>
      <w:r w:rsidRPr="00DF040C">
        <w:rPr>
          <w:rFonts w:ascii="Garamond" w:eastAsia="Times New Roman" w:hAnsi="Garamond" w:cs="Arial"/>
          <w:bCs/>
          <w:sz w:val="22"/>
          <w:szCs w:val="22"/>
          <w:lang w:val="en-GB"/>
        </w:rPr>
        <w:t>, </w:t>
      </w:r>
      <w:hyperlink r:id="rId7" w:tgtFrame="_blank" w:history="1">
        <w:r w:rsidRPr="00DF040C">
          <w:rPr>
            <w:rFonts w:ascii="Garamond" w:eastAsia="Times New Roman" w:hAnsi="Garamond" w:cs="Arial"/>
            <w:bCs/>
            <w:sz w:val="22"/>
            <w:szCs w:val="22"/>
            <w:lang w:val="en-GB"/>
          </w:rPr>
          <w:t>16-CV-2532 (AJN)</w:t>
        </w:r>
      </w:hyperlink>
    </w:p>
    <w:p w14:paraId="7F8C98DD" w14:textId="77777777" w:rsidR="00455A75" w:rsidRPr="00DF040C" w:rsidRDefault="00455A75" w:rsidP="00D03C44">
      <w:pPr>
        <w:shd w:val="clear" w:color="auto" w:fill="FFFFFF"/>
        <w:rPr>
          <w:rFonts w:ascii="Garamond" w:eastAsia="Times New Roman" w:hAnsi="Garamond" w:cs="Arial"/>
          <w:sz w:val="22"/>
          <w:szCs w:val="22"/>
          <w:lang w:val="en-GB"/>
        </w:rPr>
      </w:pPr>
    </w:p>
    <w:p w14:paraId="4FD15FC7" w14:textId="77777777" w:rsidR="00455A75" w:rsidRPr="00DF040C" w:rsidRDefault="00455A75" w:rsidP="00D03C44">
      <w:pPr>
        <w:shd w:val="clear" w:color="auto" w:fill="FFFFFF"/>
        <w:rPr>
          <w:rFonts w:ascii="Garamond" w:eastAsia="Times New Roman" w:hAnsi="Garamond" w:cs="Arial"/>
          <w:sz w:val="22"/>
          <w:szCs w:val="22"/>
          <w:lang w:val="en-GB"/>
        </w:rPr>
      </w:pPr>
    </w:p>
    <w:p w14:paraId="2E543B1F" w14:textId="77777777" w:rsidR="00455A75" w:rsidRPr="00DF040C" w:rsidRDefault="00455A75"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sz w:val="22"/>
          <w:szCs w:val="22"/>
          <w:lang w:val="en-GB"/>
        </w:rPr>
        <w:t>The US District Court for the Southern District of New York has recently refused to grant summary judgment in favour of well-known singer Beyoncé, holding that it was not possible – as a matter of law – to conclude that use of the sign FEYONCÉ would give rise to any likelihood of confusion with or blurring of the distinctive character of the BEYONCÉ US trade mark registrations.</w:t>
      </w:r>
    </w:p>
    <w:p w14:paraId="706CE854" w14:textId="77777777" w:rsidR="00455A75" w:rsidRPr="00DF040C" w:rsidRDefault="00455A75" w:rsidP="00D03C44">
      <w:pPr>
        <w:shd w:val="clear" w:color="auto" w:fill="FFFFFF"/>
        <w:rPr>
          <w:rFonts w:ascii="Garamond" w:eastAsia="Times New Roman" w:hAnsi="Garamond" w:cs="Arial"/>
          <w:sz w:val="22"/>
          <w:szCs w:val="22"/>
          <w:lang w:val="en-GB"/>
        </w:rPr>
      </w:pPr>
    </w:p>
    <w:p w14:paraId="1D19D714" w14:textId="77777777" w:rsidR="00455A75" w:rsidRPr="00DF040C" w:rsidRDefault="00455A75" w:rsidP="00D03C44">
      <w:pPr>
        <w:shd w:val="clear" w:color="auto" w:fill="FFFFFF"/>
        <w:rPr>
          <w:rFonts w:ascii="Garamond" w:eastAsia="Times New Roman" w:hAnsi="Garamond" w:cs="Arial"/>
          <w:b/>
          <w:sz w:val="22"/>
          <w:szCs w:val="22"/>
          <w:lang w:val="en-GB"/>
        </w:rPr>
      </w:pPr>
      <w:r w:rsidRPr="00DF040C">
        <w:rPr>
          <w:rFonts w:ascii="Garamond" w:eastAsia="Times New Roman" w:hAnsi="Garamond" w:cs="Arial"/>
          <w:b/>
          <w:sz w:val="22"/>
          <w:szCs w:val="22"/>
          <w:lang w:val="en-GB"/>
        </w:rPr>
        <w:t>Legal context and facts</w:t>
      </w:r>
    </w:p>
    <w:p w14:paraId="035CD7C9" w14:textId="77777777" w:rsidR="00455A75" w:rsidRPr="00DF040C" w:rsidRDefault="00455A75" w:rsidP="00D03C44">
      <w:pPr>
        <w:shd w:val="clear" w:color="auto" w:fill="FFFFFF"/>
        <w:rPr>
          <w:rFonts w:ascii="Garamond" w:eastAsia="Times New Roman" w:hAnsi="Garamond" w:cs="Arial"/>
          <w:sz w:val="22"/>
          <w:szCs w:val="22"/>
          <w:lang w:val="en-GB"/>
        </w:rPr>
      </w:pPr>
    </w:p>
    <w:p w14:paraId="1BCEF25E" w14:textId="77777777" w:rsidR="00D03C44" w:rsidRPr="00DF040C" w:rsidRDefault="00D03C44"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sz w:val="22"/>
          <w:szCs w:val="22"/>
          <w:lang w:val="en-GB"/>
        </w:rPr>
        <w:t>The defendants started selling merchandise using the brand name FEYONCÉ, as well as some phrases from Beyoncé's songs. Their products were targeted a</w:t>
      </w:r>
      <w:r w:rsidR="00455A75" w:rsidRPr="00DF040C">
        <w:rPr>
          <w:rFonts w:ascii="Garamond" w:eastAsia="Times New Roman" w:hAnsi="Garamond" w:cs="Arial"/>
          <w:sz w:val="22"/>
          <w:szCs w:val="22"/>
          <w:lang w:val="en-GB"/>
        </w:rPr>
        <w:t xml:space="preserve">t the engaged to be married, </w:t>
      </w:r>
      <w:r w:rsidR="00DF040C">
        <w:rPr>
          <w:rFonts w:ascii="Garamond" w:eastAsia="Times New Roman" w:hAnsi="Garamond" w:cs="Arial"/>
          <w:sz w:val="22"/>
          <w:szCs w:val="22"/>
          <w:lang w:val="en-GB"/>
        </w:rPr>
        <w:t>ie</w:t>
      </w:r>
      <w:r w:rsidRPr="00DF040C">
        <w:rPr>
          <w:rFonts w:ascii="Garamond" w:eastAsia="Times New Roman" w:hAnsi="Garamond" w:cs="Arial"/>
          <w:sz w:val="22"/>
          <w:szCs w:val="22"/>
          <w:lang w:val="en-GB"/>
        </w:rPr>
        <w:t xml:space="preserve"> fiancés. The items were sold through the website </w:t>
      </w:r>
      <w:r w:rsidRPr="00DF040C">
        <w:rPr>
          <w:rFonts w:ascii="Garamond" w:eastAsia="Times New Roman" w:hAnsi="Garamond" w:cs="Arial"/>
          <w:sz w:val="22"/>
          <w:szCs w:val="22"/>
          <w:u w:val="single"/>
          <w:lang w:val="en-GB"/>
        </w:rPr>
        <w:t>feyonceshop.com</w:t>
      </w:r>
      <w:r w:rsidRPr="00DF040C">
        <w:rPr>
          <w:rFonts w:ascii="Garamond" w:eastAsia="Times New Roman" w:hAnsi="Garamond" w:cs="Arial"/>
          <w:sz w:val="22"/>
          <w:szCs w:val="22"/>
          <w:lang w:val="en-GB"/>
        </w:rPr>
        <w:t>, as well as </w:t>
      </w:r>
      <w:r w:rsidRPr="00DF040C">
        <w:rPr>
          <w:rFonts w:ascii="Garamond" w:eastAsia="Times New Roman" w:hAnsi="Garamond" w:cs="Arial"/>
          <w:sz w:val="22"/>
          <w:szCs w:val="22"/>
          <w:u w:val="single"/>
          <w:lang w:val="en-GB"/>
        </w:rPr>
        <w:t>etsy.com</w:t>
      </w:r>
      <w:r w:rsidR="00DF040C">
        <w:rPr>
          <w:rFonts w:ascii="Garamond" w:eastAsia="Times New Roman" w:hAnsi="Garamond" w:cs="Arial"/>
          <w:sz w:val="22"/>
          <w:szCs w:val="22"/>
          <w:lang w:val="en-GB"/>
        </w:rPr>
        <w:t xml:space="preserve">. </w:t>
      </w:r>
      <w:r w:rsidRPr="00DF040C">
        <w:rPr>
          <w:rFonts w:ascii="Garamond" w:eastAsia="Times New Roman" w:hAnsi="Garamond" w:cs="Arial"/>
          <w:sz w:val="22"/>
          <w:szCs w:val="22"/>
          <w:lang w:val="en-GB"/>
        </w:rPr>
        <w:t xml:space="preserve">The defendants had even tried to obtain US trade mark registrations, but the </w:t>
      </w:r>
      <w:r w:rsidR="00455A75" w:rsidRPr="00DF040C">
        <w:rPr>
          <w:rFonts w:ascii="Garamond" w:eastAsia="Times New Roman" w:hAnsi="Garamond" w:cs="Arial"/>
          <w:sz w:val="22"/>
          <w:szCs w:val="22"/>
          <w:lang w:val="en-GB"/>
        </w:rPr>
        <w:t>US Patent and Trademark Office (</w:t>
      </w:r>
      <w:r w:rsidRPr="00DF040C">
        <w:rPr>
          <w:rFonts w:ascii="Garamond" w:eastAsia="Times New Roman" w:hAnsi="Garamond" w:cs="Arial"/>
          <w:sz w:val="22"/>
          <w:szCs w:val="22"/>
          <w:lang w:val="en-GB"/>
        </w:rPr>
        <w:t>USPTO</w:t>
      </w:r>
      <w:r w:rsidR="00455A75" w:rsidRPr="00DF040C">
        <w:rPr>
          <w:rFonts w:ascii="Garamond" w:eastAsia="Times New Roman" w:hAnsi="Garamond" w:cs="Arial"/>
          <w:sz w:val="22"/>
          <w:szCs w:val="22"/>
          <w:lang w:val="en-GB"/>
        </w:rPr>
        <w:t>)</w:t>
      </w:r>
      <w:r w:rsidRPr="00DF040C">
        <w:rPr>
          <w:rFonts w:ascii="Garamond" w:eastAsia="Times New Roman" w:hAnsi="Garamond" w:cs="Arial"/>
          <w:sz w:val="22"/>
          <w:szCs w:val="22"/>
          <w:lang w:val="en-GB"/>
        </w:rPr>
        <w:t xml:space="preserve"> refused them on grounds of confusing similarities with the registered BEYONCÉ trade mark.</w:t>
      </w:r>
      <w:r w:rsidRPr="00DF040C">
        <w:rPr>
          <w:rFonts w:ascii="Garamond" w:eastAsia="Times New Roman" w:hAnsi="Garamond" w:cs="Arial"/>
          <w:sz w:val="22"/>
          <w:szCs w:val="22"/>
          <w:lang w:val="en-GB"/>
        </w:rPr>
        <w:br/>
      </w:r>
      <w:r w:rsidRPr="00DF040C">
        <w:rPr>
          <w:rFonts w:ascii="Garamond" w:eastAsia="Times New Roman" w:hAnsi="Garamond" w:cs="Arial"/>
          <w:sz w:val="22"/>
          <w:szCs w:val="22"/>
          <w:lang w:val="en-GB"/>
        </w:rPr>
        <w:br/>
        <w:t>Beyoncé and the entity that owns her registered trade marks, BGK Trademark Holdings, brought proceedings against them for: </w:t>
      </w:r>
    </w:p>
    <w:p w14:paraId="6D34CA66" w14:textId="77777777" w:rsidR="00D03C44" w:rsidRPr="00DF040C" w:rsidRDefault="00D03C44" w:rsidP="00D03C44">
      <w:pPr>
        <w:rPr>
          <w:rFonts w:ascii="Garamond" w:eastAsia="Times New Roman" w:hAnsi="Garamond" w:cs="Times New Roman"/>
          <w:sz w:val="22"/>
          <w:szCs w:val="22"/>
          <w:lang w:val="en-GB"/>
        </w:rPr>
      </w:pPr>
    </w:p>
    <w:p w14:paraId="1D45AB7C" w14:textId="77777777" w:rsidR="00D03C44" w:rsidRPr="00DF040C" w:rsidRDefault="00D03C44" w:rsidP="00455A75">
      <w:pPr>
        <w:numPr>
          <w:ilvl w:val="0"/>
          <w:numId w:val="1"/>
        </w:numPr>
        <w:shd w:val="clear" w:color="auto" w:fill="FFFFFF"/>
        <w:spacing w:before="75" w:after="75"/>
        <w:ind w:left="567"/>
        <w:rPr>
          <w:rFonts w:ascii="Garamond" w:eastAsia="Times New Roman" w:hAnsi="Garamond" w:cs="Arial"/>
          <w:sz w:val="22"/>
          <w:szCs w:val="22"/>
          <w:lang w:val="en-GB"/>
        </w:rPr>
      </w:pPr>
      <w:r w:rsidRPr="00DF040C">
        <w:rPr>
          <w:rFonts w:ascii="Garamond" w:eastAsia="Times New Roman" w:hAnsi="Garamond" w:cs="Arial"/>
          <w:sz w:val="22"/>
          <w:szCs w:val="22"/>
          <w:lang w:val="en-GB"/>
        </w:rPr>
        <w:t>Federal Trademark Infringement, ex </w:t>
      </w:r>
      <w:r w:rsidRPr="00DF040C">
        <w:rPr>
          <w:rFonts w:ascii="Garamond" w:eastAsia="Times New Roman" w:hAnsi="Garamond" w:cs="Arial"/>
          <w:bCs/>
          <w:sz w:val="22"/>
          <w:szCs w:val="22"/>
          <w:u w:val="single"/>
          <w:lang w:val="en-GB"/>
        </w:rPr>
        <w:t>15 U.S.C. § 1114</w:t>
      </w:r>
      <w:r w:rsidRPr="00DF040C">
        <w:rPr>
          <w:rFonts w:ascii="Garamond" w:eastAsia="Times New Roman" w:hAnsi="Garamond" w:cs="Arial"/>
          <w:sz w:val="22"/>
          <w:szCs w:val="22"/>
          <w:lang w:val="en-GB"/>
        </w:rPr>
        <w:t>; </w:t>
      </w:r>
    </w:p>
    <w:p w14:paraId="14D0746A" w14:textId="77777777" w:rsidR="00D03C44" w:rsidRPr="00DF040C" w:rsidRDefault="00D03C44" w:rsidP="00455A75">
      <w:pPr>
        <w:numPr>
          <w:ilvl w:val="0"/>
          <w:numId w:val="1"/>
        </w:numPr>
        <w:shd w:val="clear" w:color="auto" w:fill="FFFFFF"/>
        <w:spacing w:before="75" w:after="75"/>
        <w:ind w:left="567"/>
        <w:rPr>
          <w:rFonts w:ascii="Garamond" w:eastAsia="Times New Roman" w:hAnsi="Garamond" w:cs="Arial"/>
          <w:sz w:val="22"/>
          <w:szCs w:val="22"/>
          <w:lang w:val="en-GB"/>
        </w:rPr>
      </w:pPr>
      <w:r w:rsidRPr="00DF040C">
        <w:rPr>
          <w:rFonts w:ascii="Garamond" w:eastAsia="Times New Roman" w:hAnsi="Garamond" w:cs="Arial"/>
          <w:sz w:val="22"/>
          <w:szCs w:val="22"/>
          <w:lang w:val="en-GB"/>
        </w:rPr>
        <w:t>Federal Unfair Competition, ex </w:t>
      </w:r>
      <w:r w:rsidRPr="00DF040C">
        <w:rPr>
          <w:rFonts w:ascii="Garamond" w:eastAsia="Times New Roman" w:hAnsi="Garamond" w:cs="Arial"/>
          <w:bCs/>
          <w:sz w:val="22"/>
          <w:szCs w:val="22"/>
          <w:u w:val="single"/>
          <w:lang w:val="en-GB"/>
        </w:rPr>
        <w:t>15 U.S.C. § l 125(a)</w:t>
      </w:r>
      <w:r w:rsidRPr="00DF040C">
        <w:rPr>
          <w:rFonts w:ascii="Garamond" w:eastAsia="Times New Roman" w:hAnsi="Garamond" w:cs="Arial"/>
          <w:sz w:val="22"/>
          <w:szCs w:val="22"/>
          <w:lang w:val="en-GB"/>
        </w:rPr>
        <w:t>; </w:t>
      </w:r>
    </w:p>
    <w:p w14:paraId="1C0EBB1C" w14:textId="77777777" w:rsidR="00D03C44" w:rsidRPr="00DF040C" w:rsidRDefault="00D03C44" w:rsidP="00455A75">
      <w:pPr>
        <w:numPr>
          <w:ilvl w:val="0"/>
          <w:numId w:val="1"/>
        </w:numPr>
        <w:shd w:val="clear" w:color="auto" w:fill="FFFFFF"/>
        <w:spacing w:before="75" w:after="75"/>
        <w:ind w:left="567"/>
        <w:rPr>
          <w:rFonts w:ascii="Garamond" w:eastAsia="Times New Roman" w:hAnsi="Garamond" w:cs="Arial"/>
          <w:sz w:val="22"/>
          <w:szCs w:val="22"/>
          <w:lang w:val="en-GB"/>
        </w:rPr>
      </w:pPr>
      <w:r w:rsidRPr="00DF040C">
        <w:rPr>
          <w:rFonts w:ascii="Garamond" w:eastAsia="Times New Roman" w:hAnsi="Garamond" w:cs="Arial"/>
          <w:sz w:val="22"/>
          <w:szCs w:val="22"/>
          <w:lang w:val="en-GB"/>
        </w:rPr>
        <w:t>Federal Trademark Dilution, ex </w:t>
      </w:r>
      <w:r w:rsidRPr="00DF040C">
        <w:rPr>
          <w:rFonts w:ascii="Garamond" w:eastAsia="Times New Roman" w:hAnsi="Garamond" w:cs="Arial"/>
          <w:bCs/>
          <w:sz w:val="22"/>
          <w:szCs w:val="22"/>
          <w:u w:val="single"/>
          <w:lang w:val="en-GB"/>
        </w:rPr>
        <w:t>U.S.C. 1125(c)</w:t>
      </w:r>
      <w:r w:rsidRPr="00DF040C">
        <w:rPr>
          <w:rFonts w:ascii="Garamond" w:eastAsia="Times New Roman" w:hAnsi="Garamond" w:cs="Arial"/>
          <w:sz w:val="22"/>
          <w:szCs w:val="22"/>
          <w:lang w:val="en-GB"/>
        </w:rPr>
        <w:t>; </w:t>
      </w:r>
    </w:p>
    <w:p w14:paraId="7C2CE847" w14:textId="77777777" w:rsidR="00D03C44" w:rsidRPr="00DF040C" w:rsidRDefault="00D03C44" w:rsidP="00455A75">
      <w:pPr>
        <w:numPr>
          <w:ilvl w:val="0"/>
          <w:numId w:val="1"/>
        </w:numPr>
        <w:shd w:val="clear" w:color="auto" w:fill="FFFFFF"/>
        <w:spacing w:before="75" w:after="75"/>
        <w:ind w:left="567"/>
        <w:rPr>
          <w:rFonts w:ascii="Garamond" w:eastAsia="Times New Roman" w:hAnsi="Garamond" w:cs="Arial"/>
          <w:sz w:val="22"/>
          <w:szCs w:val="22"/>
          <w:lang w:val="en-GB"/>
        </w:rPr>
      </w:pPr>
      <w:r w:rsidRPr="00DF040C">
        <w:rPr>
          <w:rFonts w:ascii="Garamond" w:eastAsia="Times New Roman" w:hAnsi="Garamond" w:cs="Arial"/>
          <w:sz w:val="22"/>
          <w:szCs w:val="22"/>
          <w:lang w:val="en-GB"/>
        </w:rPr>
        <w:t>Deceptive Acts and Practices, in violation of </w:t>
      </w:r>
      <w:r w:rsidRPr="00DF040C">
        <w:rPr>
          <w:rFonts w:ascii="Garamond" w:eastAsia="Times New Roman" w:hAnsi="Garamond" w:cs="Arial"/>
          <w:bCs/>
          <w:sz w:val="22"/>
          <w:szCs w:val="22"/>
          <w:u w:val="single"/>
          <w:lang w:val="en-GB"/>
        </w:rPr>
        <w:t>New York General Business Law §349</w:t>
      </w:r>
      <w:r w:rsidRPr="00DF040C">
        <w:rPr>
          <w:rFonts w:ascii="Garamond" w:eastAsia="Times New Roman" w:hAnsi="Garamond" w:cs="Arial"/>
          <w:sz w:val="22"/>
          <w:szCs w:val="22"/>
          <w:lang w:val="en-GB"/>
        </w:rPr>
        <w:t>;</w:t>
      </w:r>
    </w:p>
    <w:p w14:paraId="61D7D417" w14:textId="77777777" w:rsidR="00D03C44" w:rsidRPr="00DF040C" w:rsidRDefault="00D03C44" w:rsidP="00455A75">
      <w:pPr>
        <w:numPr>
          <w:ilvl w:val="0"/>
          <w:numId w:val="1"/>
        </w:numPr>
        <w:shd w:val="clear" w:color="auto" w:fill="FFFFFF"/>
        <w:spacing w:before="75" w:after="75"/>
        <w:ind w:left="567"/>
        <w:rPr>
          <w:rFonts w:ascii="Garamond" w:eastAsia="Times New Roman" w:hAnsi="Garamond" w:cs="Arial"/>
          <w:sz w:val="22"/>
          <w:szCs w:val="22"/>
          <w:lang w:val="en-GB"/>
        </w:rPr>
      </w:pPr>
      <w:r w:rsidRPr="00DF040C">
        <w:rPr>
          <w:rFonts w:ascii="Garamond" w:eastAsia="Times New Roman" w:hAnsi="Garamond" w:cs="Arial"/>
          <w:sz w:val="22"/>
          <w:szCs w:val="22"/>
          <w:lang w:val="en-GB"/>
        </w:rPr>
        <w:t>Trademark Dilution, ex</w:t>
      </w:r>
      <w:r w:rsidRPr="00DF040C">
        <w:rPr>
          <w:rFonts w:ascii="Garamond" w:eastAsia="Times New Roman" w:hAnsi="Garamond" w:cs="Arial"/>
          <w:bCs/>
          <w:sz w:val="22"/>
          <w:szCs w:val="22"/>
          <w:lang w:val="en-GB"/>
        </w:rPr>
        <w:t> </w:t>
      </w:r>
      <w:r w:rsidRPr="00DF040C">
        <w:rPr>
          <w:rFonts w:ascii="Garamond" w:eastAsia="Times New Roman" w:hAnsi="Garamond" w:cs="Arial"/>
          <w:bCs/>
          <w:sz w:val="22"/>
          <w:szCs w:val="22"/>
          <w:u w:val="single"/>
          <w:lang w:val="en-GB"/>
        </w:rPr>
        <w:t>New York General Business Law §360-L</w:t>
      </w:r>
      <w:r w:rsidRPr="00DF040C">
        <w:rPr>
          <w:rFonts w:ascii="Garamond" w:eastAsia="Times New Roman" w:hAnsi="Garamond" w:cs="Arial"/>
          <w:sz w:val="22"/>
          <w:szCs w:val="22"/>
          <w:lang w:val="en-GB"/>
        </w:rPr>
        <w:t>; </w:t>
      </w:r>
    </w:p>
    <w:p w14:paraId="2FF07091" w14:textId="77777777" w:rsidR="00D03C44" w:rsidRPr="00DF040C" w:rsidRDefault="00D03C44" w:rsidP="00455A75">
      <w:pPr>
        <w:numPr>
          <w:ilvl w:val="0"/>
          <w:numId w:val="1"/>
        </w:numPr>
        <w:shd w:val="clear" w:color="auto" w:fill="FFFFFF"/>
        <w:spacing w:before="75" w:after="75"/>
        <w:ind w:left="567"/>
        <w:rPr>
          <w:rFonts w:ascii="Garamond" w:eastAsia="Times New Roman" w:hAnsi="Garamond" w:cs="Arial"/>
          <w:sz w:val="22"/>
          <w:szCs w:val="22"/>
          <w:lang w:val="en-GB"/>
        </w:rPr>
      </w:pPr>
      <w:r w:rsidRPr="00DF040C">
        <w:rPr>
          <w:rFonts w:ascii="Garamond" w:eastAsia="Times New Roman" w:hAnsi="Garamond" w:cs="Arial"/>
          <w:sz w:val="22"/>
          <w:szCs w:val="22"/>
          <w:lang w:val="en-GB"/>
        </w:rPr>
        <w:t>common law unfair competition; and unjust enrichment.</w:t>
      </w:r>
    </w:p>
    <w:p w14:paraId="361B27F8" w14:textId="77777777" w:rsidR="00D03C44" w:rsidRPr="00DF040C" w:rsidRDefault="00D03C44" w:rsidP="00D03C44">
      <w:pPr>
        <w:shd w:val="clear" w:color="auto" w:fill="FFFFFF"/>
        <w:rPr>
          <w:rFonts w:ascii="Garamond" w:eastAsia="Times New Roman" w:hAnsi="Garamond" w:cs="Arial"/>
          <w:sz w:val="22"/>
          <w:szCs w:val="22"/>
          <w:lang w:val="it-IT"/>
        </w:rPr>
      </w:pPr>
      <w:r w:rsidRPr="00DF040C">
        <w:rPr>
          <w:rFonts w:ascii="Garamond" w:eastAsia="Times New Roman" w:hAnsi="Garamond" w:cs="Arial"/>
          <w:b/>
          <w:bCs/>
          <w:sz w:val="22"/>
          <w:szCs w:val="22"/>
          <w:u w:val="single"/>
          <w:lang w:val="en-GB"/>
        </w:rPr>
        <w:br/>
      </w:r>
      <w:r w:rsidR="00455A75" w:rsidRPr="00DF040C">
        <w:rPr>
          <w:rFonts w:ascii="Garamond" w:eastAsia="Times New Roman" w:hAnsi="Garamond" w:cs="Arial"/>
          <w:b/>
          <w:bCs/>
          <w:sz w:val="22"/>
          <w:szCs w:val="22"/>
          <w:lang w:val="en-GB"/>
        </w:rPr>
        <w:t>Analysis</w:t>
      </w:r>
      <w:r w:rsidRPr="00DF040C">
        <w:rPr>
          <w:rFonts w:ascii="Garamond" w:eastAsia="Times New Roman" w:hAnsi="Garamond" w:cs="Arial"/>
          <w:sz w:val="22"/>
          <w:szCs w:val="22"/>
          <w:lang w:val="en-GB"/>
        </w:rPr>
        <w:br/>
      </w:r>
      <w:r w:rsidRPr="00DF040C">
        <w:rPr>
          <w:rFonts w:ascii="Garamond" w:eastAsia="Times New Roman" w:hAnsi="Garamond" w:cs="Arial"/>
          <w:sz w:val="22"/>
          <w:szCs w:val="22"/>
          <w:lang w:val="en-GB"/>
        </w:rPr>
        <w:br/>
        <w:t>The plaintiffs requested the US District Court for the Southern District of New York to issue partial summary judgment in their favour and issue a permanent injunction against the defendants.</w:t>
      </w:r>
      <w:r w:rsidR="00DF040C">
        <w:rPr>
          <w:rFonts w:ascii="Garamond" w:eastAsia="Times New Roman" w:hAnsi="Garamond" w:cs="Arial"/>
          <w:sz w:val="22"/>
          <w:szCs w:val="22"/>
          <w:lang w:val="en-GB"/>
        </w:rPr>
        <w:t xml:space="preserve"> </w:t>
      </w:r>
      <w:r w:rsidR="00DF040C" w:rsidRPr="00DF040C">
        <w:rPr>
          <w:rFonts w:ascii="Garamond" w:eastAsia="Times New Roman" w:hAnsi="Garamond" w:cs="Arial"/>
          <w:sz w:val="22"/>
          <w:szCs w:val="22"/>
          <w:lang w:val="it-IT"/>
        </w:rPr>
        <w:t>Summary judgment is appropriate where the admissible evidence</w:t>
      </w:r>
      <w:r w:rsidR="00DF040C">
        <w:rPr>
          <w:rFonts w:ascii="Garamond" w:eastAsia="Times New Roman" w:hAnsi="Garamond" w:cs="Arial"/>
          <w:sz w:val="22"/>
          <w:szCs w:val="22"/>
          <w:lang w:val="it-IT"/>
        </w:rPr>
        <w:t xml:space="preserve"> and the pleadings demonstrate ‘</w:t>
      </w:r>
      <w:r w:rsidR="00DF040C" w:rsidRPr="00DF040C">
        <w:rPr>
          <w:rFonts w:ascii="Garamond" w:eastAsia="Times New Roman" w:hAnsi="Garamond" w:cs="Arial"/>
          <w:sz w:val="22"/>
          <w:szCs w:val="22"/>
          <w:lang w:val="it-IT"/>
        </w:rPr>
        <w:t xml:space="preserve">no genuine dispute as to any material fact and the movant is entitled </w:t>
      </w:r>
      <w:r w:rsidR="00DF040C">
        <w:rPr>
          <w:rFonts w:ascii="Garamond" w:eastAsia="Times New Roman" w:hAnsi="Garamond" w:cs="Arial"/>
          <w:sz w:val="22"/>
          <w:szCs w:val="22"/>
          <w:lang w:val="it-IT"/>
        </w:rPr>
        <w:t xml:space="preserve">to judgment as a matter of law.’ (Fed. R. Civ. P. 56(a)). </w:t>
      </w:r>
      <w:r w:rsidRPr="00DF040C">
        <w:rPr>
          <w:rFonts w:ascii="Garamond" w:eastAsia="Times New Roman" w:hAnsi="Garamond" w:cs="Arial"/>
          <w:sz w:val="22"/>
          <w:szCs w:val="22"/>
          <w:lang w:val="en-GB"/>
        </w:rPr>
        <w:t>According to the judge (District Judge Alison J Nathan), </w:t>
      </w:r>
      <w:r w:rsidR="00455A75" w:rsidRPr="00DF040C">
        <w:rPr>
          <w:rFonts w:ascii="Garamond" w:eastAsia="Times New Roman" w:hAnsi="Garamond" w:cs="Arial"/>
          <w:sz w:val="22"/>
          <w:szCs w:val="22"/>
          <w:lang w:val="en-GB"/>
        </w:rPr>
        <w:t xml:space="preserve">there was no </w:t>
      </w:r>
      <w:r w:rsidRPr="00DF040C">
        <w:rPr>
          <w:rFonts w:ascii="Garamond" w:eastAsia="Times New Roman" w:hAnsi="Garamond" w:cs="Arial"/>
          <w:iCs/>
          <w:sz w:val="22"/>
          <w:szCs w:val="22"/>
          <w:lang w:val="en-GB"/>
        </w:rPr>
        <w:t xml:space="preserve">dispute that in marketing to fiancé purchasers, </w:t>
      </w:r>
      <w:r w:rsidR="00455A75" w:rsidRPr="00DF040C">
        <w:rPr>
          <w:rFonts w:ascii="Garamond" w:eastAsia="Times New Roman" w:hAnsi="Garamond" w:cs="Arial"/>
          <w:iCs/>
          <w:sz w:val="22"/>
          <w:szCs w:val="22"/>
          <w:lang w:val="en-GB"/>
        </w:rPr>
        <w:t xml:space="preserve">defendants chose the formation FEYONCÉ </w:t>
      </w:r>
      <w:r w:rsidRPr="00DF040C">
        <w:rPr>
          <w:rFonts w:ascii="Garamond" w:eastAsia="Times New Roman" w:hAnsi="Garamond" w:cs="Arial"/>
          <w:iCs/>
          <w:sz w:val="22"/>
          <w:szCs w:val="22"/>
          <w:lang w:val="en-GB"/>
        </w:rPr>
        <w:t>in order to capitalize off of the exceedingly famous BEYONCÉ mark. </w:t>
      </w:r>
      <w:r w:rsidR="00455A75" w:rsidRPr="00DF040C">
        <w:rPr>
          <w:rFonts w:ascii="Garamond" w:eastAsia="Times New Roman" w:hAnsi="Garamond" w:cs="Arial"/>
          <w:iCs/>
          <w:sz w:val="22"/>
          <w:szCs w:val="22"/>
          <w:lang w:val="en-GB"/>
        </w:rPr>
        <w:t>However, the question was whether said ‘capitalization’ would be sufficient to establish likelihood of confusion and/or blurring.</w:t>
      </w:r>
    </w:p>
    <w:p w14:paraId="4AD91EE6" w14:textId="77777777" w:rsidR="00455A75" w:rsidRPr="00DF040C" w:rsidRDefault="00455A75" w:rsidP="00D03C44">
      <w:pPr>
        <w:shd w:val="clear" w:color="auto" w:fill="FFFFFF"/>
        <w:rPr>
          <w:rFonts w:ascii="Garamond" w:eastAsia="Times New Roman" w:hAnsi="Garamond" w:cs="Arial"/>
          <w:sz w:val="22"/>
          <w:szCs w:val="22"/>
          <w:lang w:val="en-GB"/>
        </w:rPr>
      </w:pPr>
    </w:p>
    <w:p w14:paraId="0683342D" w14:textId="77777777" w:rsidR="00455A75" w:rsidRPr="00DF040C" w:rsidRDefault="00D03C44"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b/>
          <w:bCs/>
          <w:i/>
          <w:iCs/>
          <w:sz w:val="22"/>
          <w:szCs w:val="22"/>
          <w:lang w:val="en-GB"/>
        </w:rPr>
        <w:t>Likelihood of confusion and unfair competition</w:t>
      </w:r>
      <w:r w:rsidRPr="00DF040C">
        <w:rPr>
          <w:rFonts w:ascii="Garamond" w:eastAsia="Times New Roman" w:hAnsi="Garamond" w:cs="Arial"/>
          <w:sz w:val="22"/>
          <w:szCs w:val="22"/>
          <w:lang w:val="en-GB"/>
        </w:rPr>
        <w:br/>
      </w:r>
    </w:p>
    <w:p w14:paraId="727554EC" w14:textId="77777777" w:rsidR="00D03C44" w:rsidRPr="00DF040C" w:rsidRDefault="00455A75"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sz w:val="22"/>
          <w:szCs w:val="22"/>
          <w:lang w:val="en-GB"/>
        </w:rPr>
        <w:t xml:space="preserve">Likelihood of confusion </w:t>
      </w:r>
      <w:r w:rsidR="00D03C44" w:rsidRPr="00DF040C">
        <w:rPr>
          <w:rFonts w:ascii="Garamond" w:eastAsia="Times New Roman" w:hAnsi="Garamond" w:cs="Arial"/>
          <w:sz w:val="22"/>
          <w:szCs w:val="22"/>
          <w:lang w:val="en-GB"/>
        </w:rPr>
        <w:t>is r</w:t>
      </w:r>
      <w:r w:rsidRPr="00DF040C">
        <w:rPr>
          <w:rFonts w:ascii="Garamond" w:eastAsia="Times New Roman" w:hAnsi="Garamond" w:cs="Arial"/>
          <w:sz w:val="22"/>
          <w:szCs w:val="22"/>
          <w:lang w:val="en-GB"/>
        </w:rPr>
        <w:t>equired under 15 U.S.C. § 1114, so</w:t>
      </w:r>
      <w:r w:rsidR="00DF040C">
        <w:rPr>
          <w:rFonts w:ascii="Garamond" w:eastAsia="Times New Roman" w:hAnsi="Garamond" w:cs="Arial"/>
          <w:sz w:val="22"/>
          <w:szCs w:val="22"/>
          <w:lang w:val="en-GB"/>
        </w:rPr>
        <w:t xml:space="preserve"> that</w:t>
      </w:r>
      <w:r w:rsidRPr="00DF040C">
        <w:rPr>
          <w:rFonts w:ascii="Garamond" w:eastAsia="Times New Roman" w:hAnsi="Garamond" w:cs="Arial"/>
          <w:sz w:val="22"/>
          <w:szCs w:val="22"/>
          <w:lang w:val="en-GB"/>
        </w:rPr>
        <w:t xml:space="preserve"> the court had to ponder whether </w:t>
      </w:r>
      <w:r w:rsidR="00D03C44" w:rsidRPr="00DF040C">
        <w:rPr>
          <w:rFonts w:ascii="Garamond" w:eastAsia="Times New Roman" w:hAnsi="Garamond" w:cs="Arial"/>
          <w:sz w:val="22"/>
          <w:szCs w:val="22"/>
          <w:lang w:val="en-GB"/>
        </w:rPr>
        <w:t xml:space="preserve">a rational consumer </w:t>
      </w:r>
      <w:r w:rsidR="00787514" w:rsidRPr="00DF040C">
        <w:rPr>
          <w:rFonts w:ascii="Garamond" w:eastAsia="Times New Roman" w:hAnsi="Garamond" w:cs="Arial"/>
          <w:sz w:val="22"/>
          <w:szCs w:val="22"/>
          <w:lang w:val="en-GB"/>
        </w:rPr>
        <w:t xml:space="preserve">would </w:t>
      </w:r>
      <w:r w:rsidR="00D03C44" w:rsidRPr="00DF040C">
        <w:rPr>
          <w:rFonts w:ascii="Garamond" w:eastAsia="Times New Roman" w:hAnsi="Garamond" w:cs="Arial"/>
          <w:sz w:val="22"/>
          <w:szCs w:val="22"/>
          <w:lang w:val="en-GB"/>
        </w:rPr>
        <w:t>mistakenly believe that that FEYONCÉ products are sponsored by or af</w:t>
      </w:r>
      <w:r w:rsidR="00787514" w:rsidRPr="00DF040C">
        <w:rPr>
          <w:rFonts w:ascii="Garamond" w:eastAsia="Times New Roman" w:hAnsi="Garamond" w:cs="Arial"/>
          <w:sz w:val="22"/>
          <w:szCs w:val="22"/>
          <w:lang w:val="en-GB"/>
        </w:rPr>
        <w:t xml:space="preserve">filiated with BEYONCÉ products. </w:t>
      </w:r>
      <w:r w:rsidR="00D03C44" w:rsidRPr="00DF040C">
        <w:rPr>
          <w:rFonts w:ascii="Garamond" w:eastAsia="Times New Roman" w:hAnsi="Garamond" w:cs="Arial"/>
          <w:sz w:val="22"/>
          <w:szCs w:val="22"/>
          <w:lang w:val="en-GB"/>
        </w:rPr>
        <w:t>The court recalled the test in </w:t>
      </w:r>
      <w:r w:rsidR="00D03C44" w:rsidRPr="00DF040C">
        <w:rPr>
          <w:rFonts w:ascii="Garamond" w:eastAsia="Times New Roman" w:hAnsi="Garamond" w:cs="Arial"/>
          <w:bCs/>
          <w:i/>
          <w:iCs/>
          <w:sz w:val="22"/>
          <w:szCs w:val="22"/>
          <w:lang w:val="en-GB"/>
        </w:rPr>
        <w:t>Polaroid Corp. v. Polaroid Elecs. Corp.</w:t>
      </w:r>
      <w:hyperlink r:id="rId8" w:tgtFrame="_blank" w:history="1">
        <w:r w:rsidR="00D03C44" w:rsidRPr="00DF040C">
          <w:rPr>
            <w:rFonts w:ascii="Garamond" w:eastAsia="Times New Roman" w:hAnsi="Garamond" w:cs="Arial"/>
            <w:bCs/>
            <w:sz w:val="22"/>
            <w:szCs w:val="22"/>
            <w:lang w:val="en-GB"/>
          </w:rPr>
          <w:t>, 287 F.2d 492,495 (2d Cir. 1961)</w:t>
        </w:r>
      </w:hyperlink>
      <w:r w:rsidR="00D03C44" w:rsidRPr="00DF040C">
        <w:rPr>
          <w:rFonts w:ascii="Garamond" w:eastAsia="Times New Roman" w:hAnsi="Garamond" w:cs="Arial"/>
          <w:sz w:val="22"/>
          <w:szCs w:val="22"/>
          <w:lang w:val="en-GB"/>
        </w:rPr>
        <w:t>, according to which one needs to consider:</w:t>
      </w:r>
    </w:p>
    <w:p w14:paraId="1A47D2E1"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strength of the senior mark, </w:t>
      </w:r>
    </w:p>
    <w:p w14:paraId="5071C001"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similarity of the marks </w:t>
      </w:r>
      <w:r w:rsidR="00787514" w:rsidRPr="00DF040C">
        <w:rPr>
          <w:rFonts w:ascii="Garamond" w:eastAsia="Times New Roman" w:hAnsi="Garamond" w:cs="Arial"/>
          <w:bCs/>
          <w:sz w:val="22"/>
          <w:szCs w:val="22"/>
          <w:lang w:val="en-GB"/>
        </w:rPr>
        <w:t xml:space="preserve">(this is a key factor: </w:t>
      </w:r>
      <w:r w:rsidRPr="00DF040C">
        <w:rPr>
          <w:rFonts w:ascii="Garamond" w:eastAsia="Times New Roman" w:hAnsi="Garamond" w:cs="Arial"/>
          <w:bCs/>
          <w:i/>
          <w:iCs/>
          <w:sz w:val="22"/>
          <w:szCs w:val="22"/>
          <w:lang w:val="en-GB"/>
        </w:rPr>
        <w:t>Louis Vuitton Malletier v. Dooney &amp; Bourke, Inc.</w:t>
      </w:r>
      <w:r w:rsidRPr="00DF040C">
        <w:rPr>
          <w:rFonts w:ascii="Garamond" w:eastAsia="Times New Roman" w:hAnsi="Garamond" w:cs="Arial"/>
          <w:bCs/>
          <w:sz w:val="22"/>
          <w:szCs w:val="22"/>
          <w:lang w:val="en-GB"/>
        </w:rPr>
        <w:t>, </w:t>
      </w:r>
      <w:hyperlink r:id="rId9" w:tgtFrame="_blank" w:history="1">
        <w:r w:rsidRPr="00DF040C">
          <w:rPr>
            <w:rFonts w:ascii="Garamond" w:eastAsia="Times New Roman" w:hAnsi="Garamond" w:cs="Arial"/>
            <w:bCs/>
            <w:sz w:val="22"/>
            <w:szCs w:val="22"/>
            <w:lang w:val="en-GB"/>
          </w:rPr>
          <w:t>454 F.3d 108, 117 (2d Cir. 2006)</w:t>
        </w:r>
      </w:hyperlink>
      <w:r w:rsidR="00787514" w:rsidRPr="00DF040C">
        <w:rPr>
          <w:rFonts w:ascii="Garamond" w:eastAsia="Times New Roman" w:hAnsi="Garamond" w:cs="Arial"/>
          <w:bCs/>
          <w:sz w:val="22"/>
          <w:szCs w:val="22"/>
          <w:lang w:val="en-GB"/>
        </w:rPr>
        <w:t xml:space="preserve">; it </w:t>
      </w:r>
      <w:r w:rsidRPr="00DF040C">
        <w:rPr>
          <w:rFonts w:ascii="Garamond" w:eastAsia="Times New Roman" w:hAnsi="Garamond" w:cs="Arial"/>
          <w:bCs/>
          <w:sz w:val="22"/>
          <w:szCs w:val="22"/>
          <w:lang w:val="en-GB"/>
        </w:rPr>
        <w:t>requires to consider the overall impression created by the signs at issue</w:t>
      </w:r>
      <w:r w:rsidR="00787514" w:rsidRPr="00DF040C">
        <w:rPr>
          <w:rFonts w:ascii="Garamond" w:eastAsia="Times New Roman" w:hAnsi="Garamond" w:cs="Arial"/>
          <w:bCs/>
          <w:sz w:val="22"/>
          <w:szCs w:val="22"/>
          <w:lang w:val="en-GB"/>
        </w:rPr>
        <w:t>)</w:t>
      </w:r>
    </w:p>
    <w:p w14:paraId="36DFBE08"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proximity of the products in the marketplace, </w:t>
      </w:r>
    </w:p>
    <w:p w14:paraId="408A0050"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likelihood that the owner of the senior mark will bridge the gap, </w:t>
      </w:r>
    </w:p>
    <w:p w14:paraId="093ADAE0"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actual confusion, </w:t>
      </w:r>
    </w:p>
    <w:p w14:paraId="31EB86BD"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presence of bad faith on the part of the defendant, </w:t>
      </w:r>
    </w:p>
    <w:p w14:paraId="339CBF73"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quality of the defendant's products, and </w:t>
      </w:r>
    </w:p>
    <w:p w14:paraId="1F6980DC" w14:textId="77777777" w:rsidR="00D03C44" w:rsidRPr="00DF040C" w:rsidRDefault="00D03C44" w:rsidP="00D03C44">
      <w:pPr>
        <w:numPr>
          <w:ilvl w:val="0"/>
          <w:numId w:val="2"/>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lastRenderedPageBreak/>
        <w:t>consumer sophistication.</w:t>
      </w:r>
    </w:p>
    <w:p w14:paraId="2D8148D9" w14:textId="77777777" w:rsidR="00787514" w:rsidRPr="00DF040C" w:rsidRDefault="00D03C44"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sz w:val="22"/>
          <w:szCs w:val="22"/>
          <w:lang w:val="en-GB"/>
        </w:rPr>
        <w:t>The court noted that the plaintiffs' and defendants' marks have a high degree of similarity, as just two letters - B and F - are dissimilar. The defendants' sign is however a play on words (so that the mark sounds like 'fiancé'), and this might dispel the risk of confusion. In </w:t>
      </w:r>
      <w:r w:rsidRPr="00DF040C">
        <w:rPr>
          <w:rFonts w:ascii="Garamond" w:eastAsia="Times New Roman" w:hAnsi="Garamond" w:cs="Arial"/>
          <w:bCs/>
          <w:i/>
          <w:iCs/>
          <w:sz w:val="22"/>
          <w:szCs w:val="22"/>
          <w:u w:val="single"/>
          <w:lang w:val="en-GB"/>
        </w:rPr>
        <w:t>Tommy Hilfiger Licensing, Inc. v. Nature Labs, </w:t>
      </w:r>
      <w:hyperlink r:id="rId10" w:tgtFrame="_blank" w:history="1">
        <w:r w:rsidRPr="00DF040C">
          <w:rPr>
            <w:rFonts w:ascii="Garamond" w:eastAsia="Times New Roman" w:hAnsi="Garamond" w:cs="Arial"/>
            <w:bCs/>
            <w:i/>
            <w:iCs/>
            <w:sz w:val="22"/>
            <w:szCs w:val="22"/>
            <w:u w:val="single"/>
            <w:lang w:val="en-GB"/>
          </w:rPr>
          <w:t>LLC</w:t>
        </w:r>
        <w:r w:rsidRPr="00DF040C">
          <w:rPr>
            <w:rFonts w:ascii="Garamond" w:eastAsia="Times New Roman" w:hAnsi="Garamond" w:cs="Arial"/>
            <w:bCs/>
            <w:sz w:val="22"/>
            <w:szCs w:val="22"/>
            <w:u w:val="single"/>
            <w:lang w:val="en-GB"/>
          </w:rPr>
          <w:t>, 221 F. Supp. 2d 410, 417</w:t>
        </w:r>
      </w:hyperlink>
      <w:r w:rsidRPr="00DF040C">
        <w:rPr>
          <w:rFonts w:ascii="Garamond" w:eastAsia="Times New Roman" w:hAnsi="Garamond" w:cs="Arial"/>
          <w:b/>
          <w:bCs/>
          <w:sz w:val="22"/>
          <w:szCs w:val="22"/>
          <w:lang w:val="en-GB"/>
        </w:rPr>
        <w:t> </w:t>
      </w:r>
      <w:r w:rsidRPr="00DF040C">
        <w:rPr>
          <w:rFonts w:ascii="Garamond" w:eastAsia="Times New Roman" w:hAnsi="Garamond" w:cs="Arial"/>
          <w:sz w:val="22"/>
          <w:szCs w:val="22"/>
          <w:lang w:val="en-GB"/>
        </w:rPr>
        <w:t>the 2nd Circuit he</w:t>
      </w:r>
      <w:r w:rsidR="00787514" w:rsidRPr="00DF040C">
        <w:rPr>
          <w:rFonts w:ascii="Garamond" w:eastAsia="Times New Roman" w:hAnsi="Garamond" w:cs="Arial"/>
          <w:sz w:val="22"/>
          <w:szCs w:val="22"/>
          <w:lang w:val="en-GB"/>
        </w:rPr>
        <w:t>ld in fact that i</w:t>
      </w:r>
      <w:r w:rsidR="00787514" w:rsidRPr="00DF040C">
        <w:rPr>
          <w:rFonts w:ascii="Garamond" w:eastAsia="Times New Roman" w:hAnsi="Garamond" w:cs="Arial"/>
          <w:iCs/>
          <w:sz w:val="22"/>
          <w:szCs w:val="22"/>
          <w:lang w:val="en-GB"/>
        </w:rPr>
        <w:t>f the difference is</w:t>
      </w:r>
      <w:r w:rsidRPr="00DF040C">
        <w:rPr>
          <w:rFonts w:ascii="Garamond" w:eastAsia="Times New Roman" w:hAnsi="Garamond" w:cs="Arial"/>
          <w:iCs/>
          <w:sz w:val="22"/>
          <w:szCs w:val="22"/>
          <w:lang w:val="en-GB"/>
        </w:rPr>
        <w:t xml:space="preserve"> such to convey to the ordinary viewer that this is a joke, not the real thing, then confusion as to source, sponsorship, affiliation or connection is unlikely.</w:t>
      </w:r>
      <w:r w:rsidR="00787514" w:rsidRPr="00DF040C">
        <w:rPr>
          <w:rFonts w:ascii="Garamond" w:eastAsia="Times New Roman" w:hAnsi="Garamond" w:cs="Arial"/>
          <w:sz w:val="22"/>
          <w:szCs w:val="22"/>
          <w:lang w:val="en-GB"/>
        </w:rPr>
        <w:t xml:space="preserve"> </w:t>
      </w:r>
    </w:p>
    <w:p w14:paraId="53D466E7" w14:textId="77777777" w:rsidR="00787514" w:rsidRPr="00DF040C" w:rsidRDefault="00787514" w:rsidP="00D03C44">
      <w:pPr>
        <w:shd w:val="clear" w:color="auto" w:fill="FFFFFF"/>
        <w:rPr>
          <w:rFonts w:ascii="Garamond" w:eastAsia="Times New Roman" w:hAnsi="Garamond" w:cs="Arial"/>
          <w:sz w:val="22"/>
          <w:szCs w:val="22"/>
          <w:lang w:val="en-GB"/>
        </w:rPr>
      </w:pPr>
    </w:p>
    <w:p w14:paraId="167C7CFE" w14:textId="77777777" w:rsidR="00787514" w:rsidRPr="00DF040C" w:rsidRDefault="00787514" w:rsidP="00D03C44">
      <w:pPr>
        <w:shd w:val="clear" w:color="auto" w:fill="FFFFFF"/>
        <w:rPr>
          <w:rFonts w:ascii="Garamond" w:eastAsia="Times New Roman" w:hAnsi="Garamond" w:cs="Arial"/>
          <w:b/>
          <w:bCs/>
          <w:i/>
          <w:iCs/>
          <w:sz w:val="22"/>
          <w:szCs w:val="22"/>
          <w:lang w:val="en-GB"/>
        </w:rPr>
      </w:pPr>
      <w:r w:rsidRPr="00DF040C">
        <w:rPr>
          <w:rFonts w:ascii="Garamond" w:eastAsia="Times New Roman" w:hAnsi="Garamond" w:cs="Arial"/>
          <w:sz w:val="22"/>
          <w:szCs w:val="22"/>
          <w:lang w:val="en-GB"/>
        </w:rPr>
        <w:t>The court noted how e</w:t>
      </w:r>
      <w:r w:rsidR="00D03C44" w:rsidRPr="00DF040C">
        <w:rPr>
          <w:rFonts w:ascii="Garamond" w:eastAsia="Times New Roman" w:hAnsi="Garamond" w:cs="Arial"/>
          <w:sz w:val="22"/>
          <w:szCs w:val="22"/>
          <w:lang w:val="en-GB"/>
        </w:rPr>
        <w:t>vidence suggests that consumers got the pun, as many purchasers of FEYONCÉ products were, in fact, engaged.</w:t>
      </w:r>
      <w:r w:rsidRPr="00DF040C">
        <w:rPr>
          <w:rFonts w:ascii="Garamond" w:eastAsia="Times New Roman" w:hAnsi="Garamond" w:cs="Arial"/>
          <w:sz w:val="22"/>
          <w:szCs w:val="22"/>
          <w:lang w:val="en-GB"/>
        </w:rPr>
        <w:t xml:space="preserve"> </w:t>
      </w:r>
      <w:r w:rsidR="00D03C44" w:rsidRPr="00DF040C">
        <w:rPr>
          <w:rFonts w:ascii="Garamond" w:eastAsia="Times New Roman" w:hAnsi="Garamond" w:cs="Arial"/>
          <w:sz w:val="22"/>
          <w:szCs w:val="22"/>
          <w:lang w:val="en-GB"/>
        </w:rPr>
        <w:t>Although some of the </w:t>
      </w:r>
      <w:r w:rsidR="00D03C44" w:rsidRPr="00DF040C">
        <w:rPr>
          <w:rFonts w:ascii="Garamond" w:eastAsia="Times New Roman" w:hAnsi="Garamond" w:cs="Arial"/>
          <w:i/>
          <w:iCs/>
          <w:sz w:val="22"/>
          <w:szCs w:val="22"/>
          <w:lang w:val="en-GB"/>
        </w:rPr>
        <w:t>Polaroid</w:t>
      </w:r>
      <w:r w:rsidR="00D03C44" w:rsidRPr="00DF040C">
        <w:rPr>
          <w:rFonts w:ascii="Garamond" w:eastAsia="Times New Roman" w:hAnsi="Garamond" w:cs="Arial"/>
          <w:sz w:val="22"/>
          <w:szCs w:val="22"/>
          <w:lang w:val="en-GB"/>
        </w:rPr>
        <w:t> factors would weigh in favour of a finding of likelihood of confusion, the court concluded that it was not be possible to say - as a matter of law - whether such confusion is likely. The same would be the case in relation to unfair competition.</w:t>
      </w:r>
      <w:r w:rsidR="00D03C44" w:rsidRPr="00DF040C">
        <w:rPr>
          <w:rFonts w:ascii="Garamond" w:eastAsia="Times New Roman" w:hAnsi="Garamond" w:cs="Arial"/>
          <w:sz w:val="22"/>
          <w:szCs w:val="22"/>
          <w:lang w:val="en-GB"/>
        </w:rPr>
        <w:br/>
      </w:r>
    </w:p>
    <w:p w14:paraId="40D3E448" w14:textId="77777777" w:rsidR="00D03C44" w:rsidRPr="00DF040C" w:rsidRDefault="00787514"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b/>
          <w:bCs/>
          <w:i/>
          <w:iCs/>
          <w:sz w:val="22"/>
          <w:szCs w:val="22"/>
          <w:lang w:val="en-GB"/>
        </w:rPr>
        <w:t>D</w:t>
      </w:r>
      <w:r w:rsidR="00D03C44" w:rsidRPr="00DF040C">
        <w:rPr>
          <w:rFonts w:ascii="Garamond" w:eastAsia="Times New Roman" w:hAnsi="Garamond" w:cs="Arial"/>
          <w:b/>
          <w:bCs/>
          <w:i/>
          <w:iCs/>
          <w:sz w:val="22"/>
          <w:szCs w:val="22"/>
          <w:lang w:val="en-GB"/>
        </w:rPr>
        <w:t>ilution</w:t>
      </w:r>
      <w:r w:rsidR="00D03C44" w:rsidRPr="00DF040C">
        <w:rPr>
          <w:rFonts w:ascii="Garamond" w:eastAsia="Times New Roman" w:hAnsi="Garamond" w:cs="Arial"/>
          <w:sz w:val="22"/>
          <w:szCs w:val="22"/>
          <w:lang w:val="en-GB"/>
        </w:rPr>
        <w:br/>
      </w:r>
      <w:r w:rsidR="00D03C44" w:rsidRPr="00DF040C">
        <w:rPr>
          <w:rFonts w:ascii="Garamond" w:eastAsia="Times New Roman" w:hAnsi="Garamond" w:cs="Arial"/>
          <w:sz w:val="22"/>
          <w:szCs w:val="22"/>
          <w:lang w:val="en-GB"/>
        </w:rPr>
        <w:br/>
        <w:t>Turning to the issue of dilution, the court considered the particular case of blurring. Diluti</w:t>
      </w:r>
      <w:r w:rsidRPr="00DF040C">
        <w:rPr>
          <w:rFonts w:ascii="Garamond" w:eastAsia="Times New Roman" w:hAnsi="Garamond" w:cs="Arial"/>
          <w:sz w:val="22"/>
          <w:szCs w:val="22"/>
          <w:lang w:val="en-GB"/>
        </w:rPr>
        <w:t>on by blurring occurs when the ‘</w:t>
      </w:r>
      <w:r w:rsidR="00D03C44" w:rsidRPr="00DF040C">
        <w:rPr>
          <w:rFonts w:ascii="Garamond" w:eastAsia="Times New Roman" w:hAnsi="Garamond" w:cs="Arial"/>
          <w:sz w:val="22"/>
          <w:szCs w:val="22"/>
          <w:lang w:val="en-GB"/>
        </w:rPr>
        <w:t>association arising from the similarity between a mark or trade name and a famous mark that impairs the dis</w:t>
      </w:r>
      <w:r w:rsidRPr="00DF040C">
        <w:rPr>
          <w:rFonts w:ascii="Garamond" w:eastAsia="Times New Roman" w:hAnsi="Garamond" w:cs="Arial"/>
          <w:sz w:val="22"/>
          <w:szCs w:val="22"/>
          <w:lang w:val="en-GB"/>
        </w:rPr>
        <w:t>tinctiveness of the famous mark’</w:t>
      </w:r>
      <w:r w:rsidR="00D03C44" w:rsidRPr="00DF040C">
        <w:rPr>
          <w:rFonts w:ascii="Garamond" w:eastAsia="Times New Roman" w:hAnsi="Garamond" w:cs="Arial"/>
          <w:sz w:val="22"/>
          <w:szCs w:val="22"/>
          <w:lang w:val="en-GB"/>
        </w:rPr>
        <w:t>. Relevant factors to consider include:</w:t>
      </w:r>
    </w:p>
    <w:p w14:paraId="1BE966FD" w14:textId="77777777" w:rsidR="00D03C44" w:rsidRPr="00DF040C" w:rsidRDefault="00D03C44" w:rsidP="00D03C44">
      <w:pPr>
        <w:numPr>
          <w:ilvl w:val="0"/>
          <w:numId w:val="3"/>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degree of similarity between the marks,</w:t>
      </w:r>
    </w:p>
    <w:p w14:paraId="6420C0AA" w14:textId="77777777" w:rsidR="00D03C44" w:rsidRPr="00DF040C" w:rsidRDefault="00D03C44" w:rsidP="00D03C44">
      <w:pPr>
        <w:numPr>
          <w:ilvl w:val="0"/>
          <w:numId w:val="3"/>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degree of distinctiveness of the famous mark,</w:t>
      </w:r>
    </w:p>
    <w:p w14:paraId="578C21E8" w14:textId="77777777" w:rsidR="00D03C44" w:rsidRPr="00DF040C" w:rsidRDefault="00D03C44" w:rsidP="00D03C44">
      <w:pPr>
        <w:numPr>
          <w:ilvl w:val="0"/>
          <w:numId w:val="3"/>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extent to which the owner of the famous mark is engaging in exclusive use of the mark,</w:t>
      </w:r>
    </w:p>
    <w:p w14:paraId="35FDAD8E" w14:textId="77777777" w:rsidR="00D03C44" w:rsidRPr="00DF040C" w:rsidRDefault="00D03C44" w:rsidP="00D03C44">
      <w:pPr>
        <w:numPr>
          <w:ilvl w:val="0"/>
          <w:numId w:val="3"/>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the degree of recognition of the famous mark,</w:t>
      </w:r>
    </w:p>
    <w:p w14:paraId="5FF7E61E" w14:textId="77777777" w:rsidR="00D03C44" w:rsidRPr="00DF040C" w:rsidRDefault="00D03C44" w:rsidP="00D03C44">
      <w:pPr>
        <w:numPr>
          <w:ilvl w:val="0"/>
          <w:numId w:val="3"/>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whether the use of the junior mark intended to create an association with the famous mark, and</w:t>
      </w:r>
    </w:p>
    <w:p w14:paraId="4443FC51" w14:textId="77777777" w:rsidR="00D03C44" w:rsidRPr="00DF040C" w:rsidRDefault="00D03C44" w:rsidP="00D03C44">
      <w:pPr>
        <w:numPr>
          <w:ilvl w:val="0"/>
          <w:numId w:val="3"/>
        </w:numPr>
        <w:shd w:val="clear" w:color="auto" w:fill="FFFFFF"/>
        <w:spacing w:before="75" w:after="75"/>
        <w:rPr>
          <w:rFonts w:ascii="Garamond" w:eastAsia="Times New Roman" w:hAnsi="Garamond" w:cs="Arial"/>
          <w:sz w:val="22"/>
          <w:szCs w:val="22"/>
          <w:lang w:val="en-GB"/>
        </w:rPr>
      </w:pPr>
      <w:r w:rsidRPr="00DF040C">
        <w:rPr>
          <w:rFonts w:ascii="Garamond" w:eastAsia="Times New Roman" w:hAnsi="Garamond" w:cs="Arial"/>
          <w:sz w:val="22"/>
          <w:szCs w:val="22"/>
          <w:lang w:val="en-GB"/>
        </w:rPr>
        <w:t>any actual association between the mark and the famous mark. </w:t>
      </w:r>
    </w:p>
    <w:p w14:paraId="7F338D15" w14:textId="77777777" w:rsidR="00D03C44" w:rsidRPr="00DF040C" w:rsidRDefault="00D03C44" w:rsidP="00D03C44">
      <w:pPr>
        <w:shd w:val="clear" w:color="auto" w:fill="FFFFFF"/>
        <w:rPr>
          <w:rFonts w:ascii="Garamond" w:eastAsia="Times New Roman" w:hAnsi="Garamond" w:cs="Arial"/>
          <w:sz w:val="22"/>
          <w:szCs w:val="22"/>
          <w:lang w:val="en-GB"/>
        </w:rPr>
      </w:pPr>
      <w:r w:rsidRPr="00DF040C">
        <w:rPr>
          <w:rFonts w:ascii="Garamond" w:eastAsia="Times New Roman" w:hAnsi="Garamond" w:cs="Arial"/>
          <w:sz w:val="22"/>
          <w:szCs w:val="22"/>
          <w:lang w:val="en-GB"/>
        </w:rPr>
        <w:t>As it was found in </w:t>
      </w:r>
      <w:r w:rsidRPr="00DF040C">
        <w:rPr>
          <w:rFonts w:ascii="Garamond" w:eastAsia="Times New Roman" w:hAnsi="Garamond" w:cs="Arial"/>
          <w:bCs/>
          <w:i/>
          <w:iCs/>
          <w:sz w:val="22"/>
          <w:szCs w:val="22"/>
          <w:lang w:val="en-GB"/>
        </w:rPr>
        <w:t>Louis Vuitton Malletier, SA. v. My Other Bag, Inc</w:t>
      </w:r>
      <w:r w:rsidRPr="00DF040C">
        <w:rPr>
          <w:rFonts w:ascii="Garamond" w:eastAsia="Times New Roman" w:hAnsi="Garamond" w:cs="Arial"/>
          <w:bCs/>
          <w:sz w:val="22"/>
          <w:szCs w:val="22"/>
          <w:lang w:val="en-GB"/>
        </w:rPr>
        <w:t>., 156 F. Supp. 3d 425, 434 (S.D.N.Y. 2016)</w:t>
      </w:r>
      <w:r w:rsidRPr="00DF040C">
        <w:rPr>
          <w:rFonts w:ascii="Garamond" w:eastAsia="Times New Roman" w:hAnsi="Garamond" w:cs="Arial"/>
          <w:sz w:val="22"/>
          <w:szCs w:val="22"/>
          <w:lang w:val="en-GB"/>
        </w:rPr>
        <w:t>, the key question is whether the kind of association a defendant creates is likely to impair the distinctiveness of plaintiff's mark. The court concluded that:</w:t>
      </w:r>
    </w:p>
    <w:p w14:paraId="77B860C7" w14:textId="77777777" w:rsidR="00D03C44" w:rsidRPr="00DF040C" w:rsidRDefault="00D03C44" w:rsidP="00D03C44">
      <w:pPr>
        <w:shd w:val="clear" w:color="auto" w:fill="FFFFFF"/>
        <w:rPr>
          <w:rFonts w:ascii="Garamond" w:eastAsia="Times New Roman" w:hAnsi="Garamond" w:cs="Arial"/>
          <w:i/>
          <w:iCs/>
          <w:sz w:val="22"/>
          <w:szCs w:val="22"/>
          <w:lang w:val="en-GB"/>
        </w:rPr>
      </w:pPr>
      <w:r w:rsidRPr="00DF040C">
        <w:rPr>
          <w:rFonts w:ascii="Garamond" w:eastAsia="Times New Roman" w:hAnsi="Garamond" w:cs="Arial"/>
          <w:i/>
          <w:iCs/>
          <w:sz w:val="22"/>
          <w:szCs w:val="22"/>
          <w:lang w:val="en-GB"/>
        </w:rPr>
        <w:t> </w:t>
      </w:r>
    </w:p>
    <w:p w14:paraId="77659FC3" w14:textId="77777777" w:rsidR="00D03C44" w:rsidRPr="00DF040C" w:rsidRDefault="00D03C44" w:rsidP="00787514">
      <w:pPr>
        <w:shd w:val="clear" w:color="auto" w:fill="FFFFFF"/>
        <w:ind w:left="708"/>
        <w:jc w:val="both"/>
        <w:rPr>
          <w:rFonts w:ascii="Garamond" w:eastAsia="Times New Roman" w:hAnsi="Garamond" w:cs="Arial"/>
          <w:iCs/>
          <w:sz w:val="22"/>
          <w:szCs w:val="22"/>
          <w:lang w:val="en-GB"/>
        </w:rPr>
      </w:pPr>
      <w:r w:rsidRPr="00DF040C">
        <w:rPr>
          <w:rFonts w:ascii="Garamond" w:eastAsia="Times New Roman" w:hAnsi="Garamond" w:cs="Arial"/>
          <w:iCs/>
          <w:sz w:val="22"/>
          <w:szCs w:val="22"/>
          <w:lang w:val="en-GB"/>
        </w:rPr>
        <w:t>A reasonable factfinder may determine that, given the similarity between the two marks, Defendants' use of FEYONCÉ impairs the distinctiveness and selling power of the BEYONCÉ mark. However, because Defendants' have not merely co-opted the BEYONCÉ mark, but rather repurposed it in a way that can be distinguished from the original, a reasonable factfinder could also conclude that there is little risk of dilution.</w:t>
      </w:r>
    </w:p>
    <w:p w14:paraId="10AEE438" w14:textId="77777777" w:rsidR="00787514" w:rsidRPr="00DF040C" w:rsidRDefault="00D03C44" w:rsidP="00D03C44">
      <w:pPr>
        <w:shd w:val="clear" w:color="auto" w:fill="FFFFFF"/>
        <w:rPr>
          <w:rFonts w:ascii="Garamond" w:eastAsia="Times New Roman" w:hAnsi="Garamond" w:cs="Arial"/>
          <w:b/>
          <w:sz w:val="22"/>
          <w:szCs w:val="22"/>
          <w:lang w:val="en-GB"/>
        </w:rPr>
      </w:pPr>
      <w:r w:rsidRPr="00DF040C">
        <w:rPr>
          <w:rFonts w:ascii="Garamond" w:eastAsia="Times New Roman" w:hAnsi="Garamond" w:cs="Arial"/>
          <w:sz w:val="22"/>
          <w:szCs w:val="22"/>
          <w:lang w:val="en-GB"/>
        </w:rPr>
        <w:br/>
        <w:t>The court denied plaintiffs' request for summary judgment and a permanent injunction. This means that the parties will meet to discuss settlement and possible dates for trial. </w:t>
      </w:r>
      <w:r w:rsidRPr="00DF040C">
        <w:rPr>
          <w:rFonts w:ascii="Garamond" w:eastAsia="Times New Roman" w:hAnsi="Garamond" w:cs="Arial"/>
          <w:sz w:val="22"/>
          <w:szCs w:val="22"/>
          <w:lang w:val="en-GB"/>
        </w:rPr>
        <w:br/>
      </w:r>
      <w:r w:rsidRPr="00DF040C">
        <w:rPr>
          <w:rFonts w:ascii="Garamond" w:eastAsia="Times New Roman" w:hAnsi="Garamond" w:cs="Arial"/>
          <w:sz w:val="22"/>
          <w:szCs w:val="22"/>
          <w:lang w:val="en-GB"/>
        </w:rPr>
        <w:br/>
      </w:r>
      <w:r w:rsidR="00787514" w:rsidRPr="00DF040C">
        <w:rPr>
          <w:rFonts w:ascii="Garamond" w:eastAsia="Times New Roman" w:hAnsi="Garamond" w:cs="Arial"/>
          <w:b/>
          <w:sz w:val="22"/>
          <w:szCs w:val="22"/>
          <w:lang w:val="en-GB"/>
        </w:rPr>
        <w:t>Practical significance</w:t>
      </w:r>
    </w:p>
    <w:p w14:paraId="2075ECDF" w14:textId="77777777" w:rsidR="00787514" w:rsidRPr="00DF040C" w:rsidRDefault="00787514" w:rsidP="00D03C44">
      <w:pPr>
        <w:shd w:val="clear" w:color="auto" w:fill="FFFFFF"/>
        <w:rPr>
          <w:rFonts w:ascii="Garamond" w:eastAsia="Times New Roman" w:hAnsi="Garamond" w:cs="Arial"/>
          <w:sz w:val="22"/>
          <w:szCs w:val="22"/>
          <w:lang w:val="en-GB"/>
        </w:rPr>
      </w:pPr>
    </w:p>
    <w:p w14:paraId="670CE726" w14:textId="77777777" w:rsidR="00DF040C" w:rsidRDefault="00D03C44" w:rsidP="00DF040C">
      <w:pPr>
        <w:rPr>
          <w:rFonts w:ascii="Garamond" w:eastAsia="Times New Roman" w:hAnsi="Garamond" w:cs="Times New Roman"/>
          <w:color w:val="1E1E1E"/>
          <w:sz w:val="22"/>
          <w:szCs w:val="22"/>
          <w:shd w:val="clear" w:color="auto" w:fill="FFFFFF"/>
          <w:lang w:val="en-GB"/>
        </w:rPr>
      </w:pPr>
      <w:r w:rsidRPr="00DF040C">
        <w:rPr>
          <w:rFonts w:ascii="Garamond" w:eastAsia="Times New Roman" w:hAnsi="Garamond" w:cs="Arial"/>
          <w:sz w:val="22"/>
          <w:szCs w:val="22"/>
          <w:lang w:val="en-GB"/>
        </w:rPr>
        <w:t>If this case continues, it will be an interesting one to follow: it is likely to require consideration of the degree of protection of well-known trade marks </w:t>
      </w:r>
      <w:r w:rsidR="00787514" w:rsidRPr="00DF040C">
        <w:rPr>
          <w:rFonts w:ascii="Garamond" w:eastAsia="Times New Roman" w:hAnsi="Garamond" w:cs="Arial"/>
          <w:bCs/>
          <w:sz w:val="22"/>
          <w:szCs w:val="22"/>
          <w:lang w:val="en-GB"/>
        </w:rPr>
        <w:t>(</w:t>
      </w:r>
      <w:r w:rsidRPr="00DF040C">
        <w:rPr>
          <w:rFonts w:ascii="Garamond" w:eastAsia="Times New Roman" w:hAnsi="Garamond" w:cs="Arial"/>
          <w:bCs/>
          <w:sz w:val="22"/>
          <w:szCs w:val="22"/>
          <w:lang w:val="en-GB"/>
        </w:rPr>
        <w:t xml:space="preserve">or is </w:t>
      </w:r>
      <w:r w:rsidR="00787514" w:rsidRPr="00DF040C">
        <w:rPr>
          <w:rFonts w:ascii="Garamond" w:eastAsia="Times New Roman" w:hAnsi="Garamond" w:cs="Arial"/>
          <w:bCs/>
          <w:sz w:val="22"/>
          <w:szCs w:val="22"/>
          <w:lang w:val="en-GB"/>
        </w:rPr>
        <w:t>it, rather, well-known persons?)</w:t>
      </w:r>
      <w:r w:rsidRPr="00DF040C">
        <w:rPr>
          <w:rFonts w:ascii="Garamond" w:eastAsia="Times New Roman" w:hAnsi="Garamond" w:cs="Arial"/>
          <w:bCs/>
          <w:sz w:val="22"/>
          <w:szCs w:val="22"/>
          <w:lang w:val="en-GB"/>
        </w:rPr>
        <w:t> </w:t>
      </w:r>
      <w:r w:rsidRPr="00DF040C">
        <w:rPr>
          <w:rFonts w:ascii="Garamond" w:eastAsia="Times New Roman" w:hAnsi="Garamond" w:cs="Arial"/>
          <w:sz w:val="22"/>
          <w:szCs w:val="22"/>
          <w:lang w:val="en-GB"/>
        </w:rPr>
        <w:t>and how far that can go and interfere with third-party free speech, including humorous distortions and puns.</w:t>
      </w:r>
      <w:r w:rsidR="00787514" w:rsidRPr="00DF040C">
        <w:rPr>
          <w:rFonts w:ascii="Garamond" w:eastAsia="Times New Roman" w:hAnsi="Garamond" w:cs="Arial"/>
          <w:sz w:val="22"/>
          <w:szCs w:val="22"/>
          <w:lang w:val="en-GB"/>
        </w:rPr>
        <w:t xml:space="preserve"> In this sense, one might recall that </w:t>
      </w:r>
      <w:r w:rsidR="00DF040C" w:rsidRPr="00DF040C">
        <w:rPr>
          <w:rFonts w:ascii="Garamond" w:eastAsia="Times New Roman" w:hAnsi="Garamond" w:cs="Arial"/>
          <w:sz w:val="22"/>
          <w:szCs w:val="22"/>
          <w:lang w:val="en-GB"/>
        </w:rPr>
        <w:t xml:space="preserve">in </w:t>
      </w:r>
      <w:r w:rsidR="00DF040C" w:rsidRPr="00D8309F">
        <w:rPr>
          <w:rFonts w:ascii="Garamond" w:eastAsia="Times New Roman" w:hAnsi="Garamond" w:cs="Arial"/>
          <w:i/>
          <w:sz w:val="22"/>
          <w:szCs w:val="22"/>
          <w:lang w:val="en-GB"/>
        </w:rPr>
        <w:t>My Other Bag</w:t>
      </w:r>
      <w:r w:rsidR="00DF040C" w:rsidRPr="00DF040C">
        <w:rPr>
          <w:rFonts w:ascii="Garamond" w:eastAsia="Times New Roman" w:hAnsi="Garamond" w:cs="Arial"/>
          <w:sz w:val="22"/>
          <w:szCs w:val="22"/>
          <w:lang w:val="en-GB"/>
        </w:rPr>
        <w:t xml:space="preserve">, the US District Court for the Southern District of New York had to consider the case of a defendant selling </w:t>
      </w:r>
      <w:r w:rsidR="00DF040C" w:rsidRPr="00DF040C">
        <w:rPr>
          <w:rFonts w:ascii="Garamond" w:eastAsia="Times New Roman" w:hAnsi="Garamond" w:cs="Times New Roman"/>
          <w:color w:val="1E1E1E"/>
          <w:sz w:val="22"/>
          <w:szCs w:val="22"/>
          <w:shd w:val="clear" w:color="auto" w:fill="FFFFFF"/>
          <w:lang w:val="en-GB"/>
        </w:rPr>
        <w:t xml:space="preserve">simple canvas tote bags with the text ‘My Other Bag ...’ on one side and drawings meant to evoke iconic handbags by luxury designers, such as Louis Vuitton, Chanel, and Fendi, on the other. The bags were — as their name suggests— are a play on the classic ‘my other car ...’ novelty bumper stickers, which can be seen on inexpensive, beat up informing passersby — with tongue firmly in cheek — that the driver's "other car" is a Mercedes (or some other luxury car brand). As the court explained, “The "my other car" bumper stickers are, of course, a joke — a riff, if you will, on wealth, luxury brands, and the social expectations of who would be driving luxury and non-luxury cars. [My Other Bag]'s totes are just as obviously a joke, and one does not necessarily need to be familiar with the "my other car" trope to get the joke or to get the fact that the totes are meant to be taken in jest.” The court concluded that, in relation to the claim for dilution, as a matter of law the defendant’s bags would be protected as fair use — in particular, that its use of Louis Vuitton's marks would constitute a parody. </w:t>
      </w:r>
      <w:r w:rsidR="00D8309F">
        <w:rPr>
          <w:rFonts w:ascii="Garamond" w:eastAsia="Times New Roman" w:hAnsi="Garamond" w:cs="Times New Roman"/>
          <w:color w:val="1E1E1E"/>
          <w:sz w:val="22"/>
          <w:szCs w:val="22"/>
          <w:shd w:val="clear" w:color="auto" w:fill="FFFFFF"/>
          <w:lang w:val="en-GB"/>
        </w:rPr>
        <w:t>Could the same be true of FEYONCÉ products?</w:t>
      </w:r>
    </w:p>
    <w:p w14:paraId="750C8939" w14:textId="77777777" w:rsidR="00DF040C" w:rsidRPr="00DF040C" w:rsidRDefault="00DF040C" w:rsidP="00DF040C">
      <w:pPr>
        <w:rPr>
          <w:rFonts w:ascii="Garamond" w:eastAsia="Times New Roman" w:hAnsi="Garamond" w:cs="Times New Roman"/>
          <w:color w:val="1E1E1E"/>
          <w:sz w:val="22"/>
          <w:szCs w:val="22"/>
          <w:shd w:val="clear" w:color="auto" w:fill="FFFFFF"/>
          <w:lang w:val="en-GB"/>
        </w:rPr>
      </w:pPr>
    </w:p>
    <w:p w14:paraId="7CF94989" w14:textId="77777777" w:rsidR="00DF040C" w:rsidRPr="00DF040C" w:rsidRDefault="00DF040C" w:rsidP="00DF040C">
      <w:pPr>
        <w:rPr>
          <w:rFonts w:ascii="Garamond" w:eastAsia="Times New Roman" w:hAnsi="Garamond" w:cs="Times New Roman"/>
          <w:color w:val="1E1E1E"/>
          <w:sz w:val="22"/>
          <w:szCs w:val="22"/>
          <w:shd w:val="clear" w:color="auto" w:fill="FFFFFF"/>
          <w:lang w:val="en-GB"/>
        </w:rPr>
      </w:pPr>
      <w:r w:rsidRPr="00DF040C">
        <w:rPr>
          <w:rFonts w:ascii="Garamond" w:eastAsia="Times New Roman" w:hAnsi="Garamond" w:cs="Times New Roman"/>
          <w:color w:val="1E1E1E"/>
          <w:sz w:val="22"/>
          <w:szCs w:val="22"/>
          <w:shd w:val="clear" w:color="auto" w:fill="FFFFFF"/>
          <w:lang w:val="en-GB"/>
        </w:rPr>
        <w:t>Eleonora Rosati</w:t>
      </w:r>
    </w:p>
    <w:p w14:paraId="02871A77" w14:textId="77777777" w:rsidR="00DF040C" w:rsidRPr="00DF040C" w:rsidRDefault="00DF040C" w:rsidP="00DF040C">
      <w:pPr>
        <w:rPr>
          <w:rFonts w:ascii="Garamond" w:eastAsia="Times New Roman" w:hAnsi="Garamond" w:cs="Times New Roman"/>
          <w:color w:val="1E1E1E"/>
          <w:sz w:val="22"/>
          <w:szCs w:val="22"/>
          <w:shd w:val="clear" w:color="auto" w:fill="FFFFFF"/>
          <w:lang w:val="en-GB"/>
        </w:rPr>
      </w:pPr>
      <w:r w:rsidRPr="00DF040C">
        <w:rPr>
          <w:rFonts w:ascii="Garamond" w:eastAsia="Times New Roman" w:hAnsi="Garamond" w:cs="Times New Roman"/>
          <w:color w:val="1E1E1E"/>
          <w:sz w:val="22"/>
          <w:szCs w:val="22"/>
          <w:shd w:val="clear" w:color="auto" w:fill="FFFFFF"/>
          <w:lang w:val="en-GB"/>
        </w:rPr>
        <w:lastRenderedPageBreak/>
        <w:t>University of Southampton and JIPLP</w:t>
      </w:r>
    </w:p>
    <w:p w14:paraId="140EE6EE" w14:textId="77777777" w:rsidR="00DF040C" w:rsidRPr="00DF040C" w:rsidRDefault="00DF040C" w:rsidP="00DF040C">
      <w:pPr>
        <w:rPr>
          <w:rFonts w:ascii="Garamond" w:eastAsia="Times New Roman" w:hAnsi="Garamond" w:cs="Times New Roman"/>
          <w:sz w:val="22"/>
          <w:szCs w:val="22"/>
          <w:lang w:val="en-GB"/>
        </w:rPr>
      </w:pPr>
      <w:r w:rsidRPr="00DF040C">
        <w:rPr>
          <w:rFonts w:ascii="Garamond" w:eastAsia="Times New Roman" w:hAnsi="Garamond" w:cs="Times New Roman"/>
          <w:color w:val="1E1E1E"/>
          <w:sz w:val="22"/>
          <w:szCs w:val="22"/>
          <w:shd w:val="clear" w:color="auto" w:fill="FFFFFF"/>
          <w:lang w:val="en-GB"/>
        </w:rPr>
        <w:t>eleonora@e-lawnora.com</w:t>
      </w:r>
    </w:p>
    <w:p w14:paraId="1ABDE593" w14:textId="77777777" w:rsidR="00D03C44" w:rsidRPr="00DF040C" w:rsidRDefault="00D03C44" w:rsidP="00D03C44">
      <w:pPr>
        <w:shd w:val="clear" w:color="auto" w:fill="FFFFFF"/>
        <w:rPr>
          <w:rFonts w:ascii="Garamond" w:eastAsia="Times New Roman" w:hAnsi="Garamond" w:cs="Arial"/>
          <w:sz w:val="22"/>
          <w:szCs w:val="22"/>
          <w:lang w:val="en-GB"/>
        </w:rPr>
      </w:pPr>
    </w:p>
    <w:p w14:paraId="021CE9DC" w14:textId="77777777" w:rsidR="003A5A47" w:rsidRPr="00DF040C" w:rsidRDefault="003A5A47" w:rsidP="00D03C44">
      <w:pPr>
        <w:rPr>
          <w:rFonts w:ascii="Garamond" w:hAnsi="Garamond"/>
          <w:sz w:val="22"/>
          <w:szCs w:val="22"/>
          <w:lang w:val="en-GB"/>
        </w:rPr>
      </w:pPr>
    </w:p>
    <w:sectPr w:rsidR="003A5A47" w:rsidRPr="00DF040C" w:rsidSect="006D4CF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17E44" w14:textId="77777777" w:rsidR="00DF040C" w:rsidRDefault="00DF040C" w:rsidP="00455A75">
      <w:r>
        <w:separator/>
      </w:r>
    </w:p>
  </w:endnote>
  <w:endnote w:type="continuationSeparator" w:id="0">
    <w:p w14:paraId="74D4FF38" w14:textId="77777777" w:rsidR="00DF040C" w:rsidRDefault="00DF040C" w:rsidP="0045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44BE7" w14:textId="77777777" w:rsidR="00DF040C" w:rsidRDefault="00DF040C" w:rsidP="00455A75">
      <w:r>
        <w:separator/>
      </w:r>
    </w:p>
  </w:footnote>
  <w:footnote w:type="continuationSeparator" w:id="0">
    <w:p w14:paraId="166C4087" w14:textId="77777777" w:rsidR="00DF040C" w:rsidRDefault="00DF040C" w:rsidP="00455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14DA1"/>
    <w:multiLevelType w:val="multilevel"/>
    <w:tmpl w:val="DCECD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A915E7"/>
    <w:multiLevelType w:val="multilevel"/>
    <w:tmpl w:val="EA26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5B4610"/>
    <w:multiLevelType w:val="multilevel"/>
    <w:tmpl w:val="1BDC255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44"/>
    <w:rsid w:val="003A5A47"/>
    <w:rsid w:val="00455A75"/>
    <w:rsid w:val="006D4CF5"/>
    <w:rsid w:val="00787514"/>
    <w:rsid w:val="00D03C44"/>
    <w:rsid w:val="00D8309F"/>
    <w:rsid w:val="00DF040C"/>
    <w:rsid w:val="00F04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2E3821"/>
  <w14:defaultImageDpi w14:val="300"/>
  <w15:docId w15:val="{CA9E2050-AA99-4274-8F93-8D34C782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C44"/>
    <w:rPr>
      <w:color w:val="0000FF"/>
      <w:u w:val="single"/>
    </w:rPr>
  </w:style>
  <w:style w:type="character" w:customStyle="1" w:styleId="m687338204806350623gmail-s1">
    <w:name w:val="m_687338204806350623gmail-s1"/>
    <w:basedOn w:val="DefaultParagraphFont"/>
    <w:rsid w:val="00D03C44"/>
  </w:style>
  <w:style w:type="paragraph" w:styleId="BalloonText">
    <w:name w:val="Balloon Text"/>
    <w:basedOn w:val="Normal"/>
    <w:link w:val="BalloonTextChar"/>
    <w:uiPriority w:val="99"/>
    <w:semiHidden/>
    <w:unhideWhenUsed/>
    <w:rsid w:val="00D03C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C44"/>
    <w:rPr>
      <w:rFonts w:ascii="Lucida Grande" w:hAnsi="Lucida Grande" w:cs="Lucida Grande"/>
      <w:sz w:val="18"/>
      <w:szCs w:val="18"/>
    </w:rPr>
  </w:style>
  <w:style w:type="paragraph" w:styleId="Header">
    <w:name w:val="header"/>
    <w:basedOn w:val="Normal"/>
    <w:link w:val="HeaderChar"/>
    <w:uiPriority w:val="99"/>
    <w:unhideWhenUsed/>
    <w:rsid w:val="00455A75"/>
    <w:pPr>
      <w:tabs>
        <w:tab w:val="center" w:pos="4819"/>
        <w:tab w:val="right" w:pos="9638"/>
      </w:tabs>
    </w:pPr>
  </w:style>
  <w:style w:type="character" w:customStyle="1" w:styleId="HeaderChar">
    <w:name w:val="Header Char"/>
    <w:basedOn w:val="DefaultParagraphFont"/>
    <w:link w:val="Header"/>
    <w:uiPriority w:val="99"/>
    <w:rsid w:val="00455A75"/>
  </w:style>
  <w:style w:type="paragraph" w:styleId="Footer">
    <w:name w:val="footer"/>
    <w:basedOn w:val="Normal"/>
    <w:link w:val="FooterChar"/>
    <w:uiPriority w:val="99"/>
    <w:unhideWhenUsed/>
    <w:rsid w:val="00455A75"/>
    <w:pPr>
      <w:tabs>
        <w:tab w:val="center" w:pos="4819"/>
        <w:tab w:val="right" w:pos="9638"/>
      </w:tabs>
    </w:pPr>
  </w:style>
  <w:style w:type="character" w:customStyle="1" w:styleId="FooterChar">
    <w:name w:val="Footer Char"/>
    <w:basedOn w:val="DefaultParagraphFont"/>
    <w:link w:val="Footer"/>
    <w:uiPriority w:val="99"/>
    <w:rsid w:val="0045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2436">
      <w:bodyDiv w:val="1"/>
      <w:marLeft w:val="0"/>
      <w:marRight w:val="0"/>
      <w:marTop w:val="0"/>
      <w:marBottom w:val="0"/>
      <w:divBdr>
        <w:top w:val="none" w:sz="0" w:space="0" w:color="auto"/>
        <w:left w:val="none" w:sz="0" w:space="0" w:color="auto"/>
        <w:bottom w:val="none" w:sz="0" w:space="0" w:color="auto"/>
        <w:right w:val="none" w:sz="0" w:space="0" w:color="auto"/>
      </w:divBdr>
    </w:div>
    <w:div w:id="913853967">
      <w:bodyDiv w:val="1"/>
      <w:marLeft w:val="0"/>
      <w:marRight w:val="0"/>
      <w:marTop w:val="0"/>
      <w:marBottom w:val="0"/>
      <w:divBdr>
        <w:top w:val="none" w:sz="0" w:space="0" w:color="auto"/>
        <w:left w:val="none" w:sz="0" w:space="0" w:color="auto"/>
        <w:bottom w:val="none" w:sz="0" w:space="0" w:color="auto"/>
        <w:right w:val="none" w:sz="0" w:space="0" w:color="auto"/>
      </w:divBdr>
    </w:div>
    <w:div w:id="1126200535">
      <w:bodyDiv w:val="1"/>
      <w:marLeft w:val="0"/>
      <w:marRight w:val="0"/>
      <w:marTop w:val="0"/>
      <w:marBottom w:val="0"/>
      <w:divBdr>
        <w:top w:val="none" w:sz="0" w:space="0" w:color="auto"/>
        <w:left w:val="none" w:sz="0" w:space="0" w:color="auto"/>
        <w:bottom w:val="none" w:sz="0" w:space="0" w:color="auto"/>
        <w:right w:val="none" w:sz="0" w:space="0" w:color="auto"/>
      </w:divBdr>
    </w:div>
    <w:div w:id="1385248891">
      <w:bodyDiv w:val="1"/>
      <w:marLeft w:val="0"/>
      <w:marRight w:val="0"/>
      <w:marTop w:val="0"/>
      <w:marBottom w:val="0"/>
      <w:divBdr>
        <w:top w:val="none" w:sz="0" w:space="0" w:color="auto"/>
        <w:left w:val="none" w:sz="0" w:space="0" w:color="auto"/>
        <w:bottom w:val="none" w:sz="0" w:space="0" w:color="auto"/>
        <w:right w:val="none" w:sz="0" w:space="0" w:color="auto"/>
      </w:divBdr>
    </w:div>
    <w:div w:id="1646618218">
      <w:bodyDiv w:val="1"/>
      <w:marLeft w:val="0"/>
      <w:marRight w:val="0"/>
      <w:marTop w:val="0"/>
      <w:marBottom w:val="0"/>
      <w:divBdr>
        <w:top w:val="none" w:sz="0" w:space="0" w:color="auto"/>
        <w:left w:val="none" w:sz="0" w:space="0" w:color="auto"/>
        <w:bottom w:val="none" w:sz="0" w:space="0" w:color="auto"/>
        <w:right w:val="none" w:sz="0" w:space="0" w:color="auto"/>
      </w:divBdr>
    </w:div>
    <w:div w:id="2083794539">
      <w:bodyDiv w:val="1"/>
      <w:marLeft w:val="0"/>
      <w:marRight w:val="0"/>
      <w:marTop w:val="0"/>
      <w:marBottom w:val="0"/>
      <w:divBdr>
        <w:top w:val="none" w:sz="0" w:space="0" w:color="auto"/>
        <w:left w:val="none" w:sz="0" w:space="0" w:color="auto"/>
        <w:bottom w:val="none" w:sz="0" w:space="0" w:color="auto"/>
        <w:right w:val="none" w:sz="0" w:space="0" w:color="auto"/>
      </w:divBdr>
      <w:divsChild>
        <w:div w:id="863833270">
          <w:blockQuote w:val="1"/>
          <w:marLeft w:val="0"/>
          <w:marRight w:val="720"/>
          <w:marTop w:val="100"/>
          <w:marBottom w:val="100"/>
          <w:divBdr>
            <w:top w:val="none" w:sz="0" w:space="0" w:color="auto"/>
            <w:left w:val="none" w:sz="0" w:space="0" w:color="auto"/>
            <w:bottom w:val="none" w:sz="0" w:space="0" w:color="auto"/>
            <w:right w:val="none" w:sz="0" w:space="0" w:color="auto"/>
          </w:divBdr>
        </w:div>
        <w:div w:id="1342732872">
          <w:marLeft w:val="0"/>
          <w:marRight w:val="0"/>
          <w:marTop w:val="0"/>
          <w:marBottom w:val="0"/>
          <w:divBdr>
            <w:top w:val="none" w:sz="0" w:space="0" w:color="auto"/>
            <w:left w:val="none" w:sz="0" w:space="0" w:color="auto"/>
            <w:bottom w:val="none" w:sz="0" w:space="0" w:color="auto"/>
            <w:right w:val="none" w:sz="0" w:space="0" w:color="auto"/>
          </w:divBdr>
        </w:div>
        <w:div w:id="1312060904">
          <w:blockQuote w:val="1"/>
          <w:marLeft w:val="0"/>
          <w:marRight w:val="720"/>
          <w:marTop w:val="100"/>
          <w:marBottom w:val="100"/>
          <w:divBdr>
            <w:top w:val="none" w:sz="0" w:space="0" w:color="auto"/>
            <w:left w:val="none" w:sz="0" w:space="0" w:color="auto"/>
            <w:bottom w:val="none" w:sz="0" w:space="0" w:color="auto"/>
            <w:right w:val="none" w:sz="0" w:space="0" w:color="auto"/>
          </w:divBdr>
        </w:div>
        <w:div w:id="939336071">
          <w:marLeft w:val="0"/>
          <w:marRight w:val="0"/>
          <w:marTop w:val="0"/>
          <w:marBottom w:val="0"/>
          <w:divBdr>
            <w:top w:val="none" w:sz="0" w:space="0" w:color="auto"/>
            <w:left w:val="none" w:sz="0" w:space="0" w:color="auto"/>
            <w:bottom w:val="none" w:sz="0" w:space="0" w:color="auto"/>
            <w:right w:val="none" w:sz="0" w:space="0" w:color="auto"/>
          </w:divBdr>
        </w:div>
        <w:div w:id="1536231025">
          <w:marLeft w:val="0"/>
          <w:marRight w:val="0"/>
          <w:marTop w:val="0"/>
          <w:marBottom w:val="0"/>
          <w:divBdr>
            <w:top w:val="none" w:sz="0" w:space="0" w:color="auto"/>
            <w:left w:val="none" w:sz="0" w:space="0" w:color="auto"/>
            <w:bottom w:val="none" w:sz="0" w:space="0" w:color="auto"/>
            <w:right w:val="none" w:sz="0" w:space="0" w:color="auto"/>
          </w:divBdr>
        </w:div>
        <w:div w:id="723797426">
          <w:marLeft w:val="0"/>
          <w:marRight w:val="0"/>
          <w:marTop w:val="0"/>
          <w:marBottom w:val="0"/>
          <w:divBdr>
            <w:top w:val="none" w:sz="0" w:space="0" w:color="auto"/>
            <w:left w:val="none" w:sz="0" w:space="0" w:color="auto"/>
            <w:bottom w:val="none" w:sz="0" w:space="0" w:color="auto"/>
            <w:right w:val="none" w:sz="0" w:space="0" w:color="auto"/>
          </w:divBdr>
        </w:div>
        <w:div w:id="1314719065">
          <w:marLeft w:val="0"/>
          <w:marRight w:val="0"/>
          <w:marTop w:val="0"/>
          <w:marBottom w:val="0"/>
          <w:divBdr>
            <w:top w:val="none" w:sz="0" w:space="0" w:color="auto"/>
            <w:left w:val="none" w:sz="0" w:space="0" w:color="auto"/>
            <w:bottom w:val="none" w:sz="0" w:space="0" w:color="auto"/>
            <w:right w:val="none" w:sz="0" w:space="0" w:color="auto"/>
          </w:divBdr>
        </w:div>
        <w:div w:id="861283192">
          <w:marLeft w:val="0"/>
          <w:marRight w:val="0"/>
          <w:marTop w:val="0"/>
          <w:marBottom w:val="0"/>
          <w:divBdr>
            <w:top w:val="none" w:sz="0" w:space="0" w:color="auto"/>
            <w:left w:val="none" w:sz="0" w:space="0" w:color="auto"/>
            <w:bottom w:val="none" w:sz="0" w:space="0" w:color="auto"/>
            <w:right w:val="none" w:sz="0" w:space="0" w:color="auto"/>
          </w:divBdr>
        </w:div>
        <w:div w:id="845244224">
          <w:marLeft w:val="0"/>
          <w:marRight w:val="0"/>
          <w:marTop w:val="0"/>
          <w:marBottom w:val="0"/>
          <w:divBdr>
            <w:top w:val="none" w:sz="0" w:space="0" w:color="auto"/>
            <w:left w:val="none" w:sz="0" w:space="0" w:color="auto"/>
            <w:bottom w:val="none" w:sz="0" w:space="0" w:color="auto"/>
            <w:right w:val="none" w:sz="0" w:space="0" w:color="auto"/>
          </w:divBdr>
        </w:div>
        <w:div w:id="1964921124">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6119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polaroid-corporation-v-polarad-electronics-corp" TargetMode="External"/><Relationship Id="rId3" Type="http://schemas.openxmlformats.org/officeDocument/2006/relationships/settings" Target="settings.xml"/><Relationship Id="rId7" Type="http://schemas.openxmlformats.org/officeDocument/2006/relationships/hyperlink" Target="https://drive.google.com/file/d/1MH2EqFBitDVc8UrVVEPP9YOFYi3xVDxX/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aw.justia.com/cases/federal/district-courts/FSupp2/221/410/2486298/" TargetMode="External"/><Relationship Id="rId4" Type="http://schemas.openxmlformats.org/officeDocument/2006/relationships/webSettings" Target="webSettings.xml"/><Relationship Id="rId9" Type="http://schemas.openxmlformats.org/officeDocument/2006/relationships/hyperlink" Target="https://www.leagle.com/decision/2006562454f3d108156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Tugwell F.</cp:lastModifiedBy>
  <cp:revision>2</cp:revision>
  <dcterms:created xsi:type="dcterms:W3CDTF">2018-10-18T12:25:00Z</dcterms:created>
  <dcterms:modified xsi:type="dcterms:W3CDTF">2018-10-18T12:25:00Z</dcterms:modified>
</cp:coreProperties>
</file>