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8121EF" w14:textId="6860915B" w:rsidR="00D664EF" w:rsidRPr="00974B01" w:rsidRDefault="00974B01" w:rsidP="00974B01">
      <w:pPr>
        <w:rPr>
          <w:sz w:val="28"/>
          <w:szCs w:val="28"/>
        </w:rPr>
      </w:pPr>
      <w:bookmarkStart w:id="0" w:name="_GoBack"/>
      <w:bookmarkEnd w:id="0"/>
      <w:r w:rsidRPr="00974B01">
        <w:rPr>
          <w:rFonts w:cs="Arial"/>
          <w:bCs/>
          <w:kern w:val="28"/>
          <w:sz w:val="28"/>
          <w:szCs w:val="28"/>
        </w:rPr>
        <w:t>Fulvestrant for untreated hormone-receptor positive locally advanced or metastatic breast cancer</w:t>
      </w:r>
      <w:r w:rsidR="000C0DCC" w:rsidRPr="00974B01">
        <w:rPr>
          <w:sz w:val="28"/>
          <w:szCs w:val="28"/>
        </w:rPr>
        <w:t xml:space="preserve">: An Evidence Review Group </w:t>
      </w:r>
      <w:r w:rsidR="00421DB2" w:rsidRPr="00974B01">
        <w:rPr>
          <w:sz w:val="28"/>
          <w:szCs w:val="28"/>
        </w:rPr>
        <w:t>perspective</w:t>
      </w:r>
      <w:r w:rsidR="000C0DCC" w:rsidRPr="00974B01">
        <w:rPr>
          <w:sz w:val="28"/>
          <w:szCs w:val="28"/>
        </w:rPr>
        <w:t xml:space="preserve"> of a NICE Single Technology Appraisal</w:t>
      </w:r>
    </w:p>
    <w:p w14:paraId="641C5BC2" w14:textId="77777777" w:rsidR="001024A5" w:rsidRPr="008E5F54" w:rsidRDefault="001024A5" w:rsidP="0011462D"/>
    <w:p w14:paraId="2EF91E02" w14:textId="77777777" w:rsidR="001024A5" w:rsidRPr="008E5F54" w:rsidRDefault="001024A5" w:rsidP="0011462D"/>
    <w:p w14:paraId="65BCC549" w14:textId="5CEC6708" w:rsidR="00190F35" w:rsidRDefault="00C76E0B" w:rsidP="00190F35">
      <w:pPr>
        <w:rPr>
          <w:color w:val="000000"/>
          <w:szCs w:val="22"/>
        </w:rPr>
      </w:pPr>
      <w:r>
        <w:rPr>
          <w:color w:val="000000"/>
          <w:szCs w:val="22"/>
        </w:rPr>
        <w:t>Joanna Picot</w:t>
      </w:r>
      <w:r w:rsidRPr="00C138BA">
        <w:rPr>
          <w:rFonts w:asciiTheme="minorBidi" w:hAnsiTheme="minorBidi"/>
          <w:vertAlign w:val="superscript"/>
        </w:rPr>
        <w:t>1</w:t>
      </w:r>
      <w:r>
        <w:rPr>
          <w:color w:val="000000"/>
          <w:szCs w:val="22"/>
        </w:rPr>
        <w:t>,</w:t>
      </w:r>
      <w:r w:rsidRPr="00C76E0B">
        <w:rPr>
          <w:color w:val="000000"/>
          <w:szCs w:val="22"/>
        </w:rPr>
        <w:t xml:space="preserve"> </w:t>
      </w:r>
      <w:r w:rsidR="00190F35">
        <w:rPr>
          <w:color w:val="000000"/>
          <w:szCs w:val="22"/>
        </w:rPr>
        <w:t>Neelam Kalita</w:t>
      </w:r>
      <w:r w:rsidR="00E4710A" w:rsidRPr="00C138BA">
        <w:rPr>
          <w:rFonts w:asciiTheme="minorBidi" w:hAnsiTheme="minorBidi"/>
          <w:vertAlign w:val="superscript"/>
        </w:rPr>
        <w:t>1</w:t>
      </w:r>
      <w:r w:rsidR="00E4710A">
        <w:rPr>
          <w:color w:val="000000"/>
          <w:szCs w:val="22"/>
        </w:rPr>
        <w:t>,</w:t>
      </w:r>
      <w:r w:rsidR="00190F35">
        <w:rPr>
          <w:color w:val="000000"/>
          <w:szCs w:val="22"/>
        </w:rPr>
        <w:t xml:space="preserve"> Wendy Gaisford</w:t>
      </w:r>
      <w:r w:rsidR="00E4710A" w:rsidRPr="00C138BA">
        <w:rPr>
          <w:rFonts w:asciiTheme="minorBidi" w:hAnsiTheme="minorBidi"/>
          <w:vertAlign w:val="superscript"/>
        </w:rPr>
        <w:t>1</w:t>
      </w:r>
      <w:r w:rsidR="00190F35">
        <w:rPr>
          <w:color w:val="000000"/>
          <w:szCs w:val="22"/>
        </w:rPr>
        <w:t>, Petra Harris</w:t>
      </w:r>
      <w:r w:rsidR="00E4710A" w:rsidRPr="00C138BA">
        <w:rPr>
          <w:rFonts w:asciiTheme="minorBidi" w:hAnsiTheme="minorBidi"/>
          <w:vertAlign w:val="superscript"/>
        </w:rPr>
        <w:t>1</w:t>
      </w:r>
      <w:r w:rsidR="00190F35">
        <w:rPr>
          <w:color w:val="000000"/>
          <w:szCs w:val="22"/>
        </w:rPr>
        <w:t>, Olu</w:t>
      </w:r>
      <w:r>
        <w:rPr>
          <w:color w:val="000000"/>
          <w:szCs w:val="22"/>
        </w:rPr>
        <w:t>chukwu</w:t>
      </w:r>
      <w:r w:rsidR="00190F35">
        <w:rPr>
          <w:color w:val="000000"/>
          <w:szCs w:val="22"/>
        </w:rPr>
        <w:t xml:space="preserve"> Onyimadu</w:t>
      </w:r>
      <w:r w:rsidR="00E4710A" w:rsidRPr="00C138BA">
        <w:rPr>
          <w:rFonts w:asciiTheme="minorBidi" w:hAnsiTheme="minorBidi"/>
          <w:vertAlign w:val="superscript"/>
        </w:rPr>
        <w:t>1</w:t>
      </w:r>
      <w:r w:rsidR="00190F35">
        <w:rPr>
          <w:color w:val="000000"/>
          <w:szCs w:val="22"/>
        </w:rPr>
        <w:t xml:space="preserve">, </w:t>
      </w:r>
      <w:r>
        <w:rPr>
          <w:color w:val="000000"/>
          <w:szCs w:val="22"/>
        </w:rPr>
        <w:t>Keith Cooper</w:t>
      </w:r>
      <w:r w:rsidRPr="00C138BA">
        <w:rPr>
          <w:rFonts w:asciiTheme="minorBidi" w:hAnsiTheme="minorBidi"/>
          <w:vertAlign w:val="superscript"/>
        </w:rPr>
        <w:t>1</w:t>
      </w:r>
    </w:p>
    <w:p w14:paraId="78BECE79" w14:textId="77777777" w:rsidR="00421DB2" w:rsidRDefault="00421DB2" w:rsidP="0011462D"/>
    <w:p w14:paraId="70678F45" w14:textId="4234B168" w:rsidR="000C0DCC" w:rsidRPr="008E5F54" w:rsidRDefault="000C0DCC" w:rsidP="0011462D">
      <w:r w:rsidRPr="008E5F54">
        <w:t xml:space="preserve">Corresponding Author: </w:t>
      </w:r>
      <w:r w:rsidR="008E5F54" w:rsidRPr="008E5F54">
        <w:t>Joanna Picot</w:t>
      </w:r>
      <w:r w:rsidR="00C816EC">
        <w:t xml:space="preserve">, email: </w:t>
      </w:r>
      <w:r w:rsidR="00C816EC" w:rsidRPr="001F7D04">
        <w:t>j.picot@soton.ac.uk</w:t>
      </w:r>
      <w:r w:rsidR="00C816EC">
        <w:t xml:space="preserve">, ORCiD </w:t>
      </w:r>
      <w:r w:rsidR="00C816EC" w:rsidRPr="00C816EC">
        <w:t>0000-0001-5987-996X</w:t>
      </w:r>
    </w:p>
    <w:p w14:paraId="4FF045C6" w14:textId="77777777" w:rsidR="000C0DCC" w:rsidRDefault="000C0DCC" w:rsidP="0011462D"/>
    <w:p w14:paraId="4FB19292" w14:textId="49A0547D" w:rsidR="000C0DCC" w:rsidRDefault="008E5F54" w:rsidP="0011462D">
      <w:r w:rsidRPr="008E5F54">
        <w:rPr>
          <w:vertAlign w:val="superscript"/>
        </w:rPr>
        <w:t>1</w:t>
      </w:r>
      <w:r w:rsidR="000C0DCC" w:rsidRPr="000C0DCC">
        <w:t>Southampton Health Technology Assessments Centre (SHTAC)</w:t>
      </w:r>
      <w:r w:rsidR="000C0DCC">
        <w:t xml:space="preserve">, </w:t>
      </w:r>
      <w:r w:rsidR="000C0DCC" w:rsidRPr="000C0DCC">
        <w:t>University of Southampton</w:t>
      </w:r>
      <w:r w:rsidR="000C0DCC">
        <w:t xml:space="preserve">, </w:t>
      </w:r>
      <w:r w:rsidR="000C0DCC" w:rsidRPr="000C0DCC">
        <w:t>First Floor, Epsilon House</w:t>
      </w:r>
      <w:r w:rsidR="000C0DCC">
        <w:t xml:space="preserve">, </w:t>
      </w:r>
      <w:r w:rsidR="000C0DCC" w:rsidRPr="000C0DCC">
        <w:t>Enterprise Road, Southampton Science Park</w:t>
      </w:r>
      <w:r w:rsidR="000C0DCC">
        <w:t xml:space="preserve">, </w:t>
      </w:r>
      <w:r w:rsidR="000C0DCC" w:rsidRPr="000C0DCC">
        <w:t>Southampton SO16 7NS</w:t>
      </w:r>
      <w:r w:rsidR="000C0DCC">
        <w:t>, UK</w:t>
      </w:r>
    </w:p>
    <w:p w14:paraId="6A50DC7A" w14:textId="22B1AED7" w:rsidR="000C34CD" w:rsidRDefault="000C34CD" w:rsidP="0011462D">
      <w:r>
        <w:br w:type="page"/>
      </w:r>
    </w:p>
    <w:p w14:paraId="3B2734AC" w14:textId="33FE2684" w:rsidR="000C0DCC" w:rsidRPr="00F457AC" w:rsidRDefault="000C0DCC" w:rsidP="00F457AC">
      <w:pPr>
        <w:rPr>
          <w:rStyle w:val="Strong"/>
          <w:bCs w:val="0"/>
        </w:rPr>
      </w:pPr>
      <w:r w:rsidRPr="00F457AC">
        <w:rPr>
          <w:rStyle w:val="Strong"/>
          <w:bCs w:val="0"/>
        </w:rPr>
        <w:lastRenderedPageBreak/>
        <w:t>Abstract</w:t>
      </w:r>
    </w:p>
    <w:p w14:paraId="0F200D46" w14:textId="708573F7" w:rsidR="009C49CC" w:rsidRDefault="00B64E31" w:rsidP="00C01328">
      <w:r>
        <w:t xml:space="preserve">Clinical and cost-effectiveness evidence on fulvestrant </w:t>
      </w:r>
      <w:r w:rsidRPr="008E5F54">
        <w:t>for untreated hormone-receptor positive locally advanced or metastatic breast cancer</w:t>
      </w:r>
      <w:r>
        <w:t xml:space="preserve"> evidence was submitted to the single technology appraisal (STA) process of the National Institute for Health and Care Excellence (NICE) by the manufacturer of fulvestrant. The Southampton Health Technology Assessments Centre (SHTAC) was commissioned by NICE as an independent Evidence Review Group (ERG) to critique the company’s submitted evidence.  Fulvestrant is compared directly with anastrozole in two RCTs and is compared indirectly by means of a network meta-analysis with anastrozole, letrozole and tamoxifen.  This paper is a summary of the ERG’s review of the company’s submission and a summary of the guidance the NICE Appraisal Committee issued in January 2018.  The ERG had several concerns, the most important of which related to the degree to which fulvestrant might confer a benefit in overall survival (OS). This was because mature data were not available from the key phase III trial FALCON.  The economic model was sensitive to changes in OS and the ERG considered the incremental cost-effectiveness ratio (ICER) was uncertain and likely to increase once mature results from FALCON become available.  The NICE Appraisal Committee concluded that fulvestrant could not be recommended for treating locally advanced or metastatic estrogen-receptor positive breast cancer in postmenopausal women who have not had previous endocrine therapy.</w:t>
      </w:r>
    </w:p>
    <w:p w14:paraId="7DE9444B" w14:textId="77777777" w:rsidR="00421DB2" w:rsidRDefault="00421DB2" w:rsidP="00F457AC"/>
    <w:p w14:paraId="66DD85CE" w14:textId="7E92475E" w:rsidR="00C20D29" w:rsidRPr="00F457AC" w:rsidRDefault="00C20D29" w:rsidP="00F457AC">
      <w:pPr>
        <w:rPr>
          <w:b/>
        </w:rPr>
      </w:pPr>
      <w:r w:rsidRPr="00F457AC">
        <w:rPr>
          <w:b/>
        </w:rPr>
        <w:t>Key Points for Decision Makers</w:t>
      </w:r>
    </w:p>
    <w:p w14:paraId="7554B659" w14:textId="6A8F56D6" w:rsidR="00247E67" w:rsidRDefault="00B64E31" w:rsidP="00247E67">
      <w:r>
        <w:t>Two randomised controlled trials</w:t>
      </w:r>
      <w:r w:rsidR="00B93B01">
        <w:t>, FALCON (phase III) and FIRST (phase II)</w:t>
      </w:r>
      <w:r>
        <w:t xml:space="preserve"> provide direct head-to-head evidence comparing fulvestrant with one of the current treatment options, anastrozole.</w:t>
      </w:r>
      <w:r w:rsidR="00B93B01">
        <w:t xml:space="preserve">  Fulvestrant treatment led to a gain in median time-to-progression of 10.3 months in FIRST [where time-to-progression had the same definition as progression-free survival (PFS)] but the median 2.8 month PFS in FALCON was modest in comparison to FIRST.</w:t>
      </w:r>
    </w:p>
    <w:p w14:paraId="36053285" w14:textId="30CAB5A8" w:rsidR="00B93B01" w:rsidRDefault="00B93B01" w:rsidP="00247E67"/>
    <w:p w14:paraId="6BA7BEE0" w14:textId="33D01DB7" w:rsidR="00B93B01" w:rsidRDefault="00B93B01" w:rsidP="00247E67">
      <w:r>
        <w:t>An overall survival (OS) benefit of 5.7 months has been shown in FIRST and this is much shorter than the gain in time-to-progression.  O</w:t>
      </w:r>
      <w:r w:rsidR="00673F1F">
        <w:t xml:space="preserve">S data from FALCON are immature, and </w:t>
      </w:r>
      <w:r>
        <w:t>the</w:t>
      </w:r>
      <w:r w:rsidR="00673F1F">
        <w:t xml:space="preserve"> ERG was concerned that the</w:t>
      </w:r>
      <w:r>
        <w:t xml:space="preserve"> final OS benefit may be much lower than that observed in FIRST because PFS </w:t>
      </w:r>
      <w:r w:rsidR="00673F1F">
        <w:t>is</w:t>
      </w:r>
      <w:r>
        <w:t xml:space="preserve"> much shorter in FALCON.</w:t>
      </w:r>
      <w:r w:rsidR="00673F1F">
        <w:t xml:space="preserve"> The uncertainty about the potential OS benefit that could be obtained with fulvestrant caused uncertainty in the outcomes from cost-effectiveness modelling.</w:t>
      </w:r>
    </w:p>
    <w:p w14:paraId="299ADFB3" w14:textId="3C4C3EA0" w:rsidR="00673F1F" w:rsidRDefault="00673F1F" w:rsidP="00247E67">
      <w:r>
        <w:lastRenderedPageBreak/>
        <w:t>The NICE Appraisal Committee concluded that further survival data from FALCON are required to enable robust estimates of the cost-effectiveness of fulvestrant to be produced.  The committee could not recommend fulvestrant as a cost-effective use of NHS resources at the present time for the treatment of postmenopausal women with untreated, locally advanced or metastatic estrogen-receptor positive breast cancer.</w:t>
      </w:r>
    </w:p>
    <w:p w14:paraId="3ADAC00B" w14:textId="3DEA6C29" w:rsidR="00247E67" w:rsidRDefault="00247E67" w:rsidP="00247E67"/>
    <w:p w14:paraId="65443B55" w14:textId="4B30A122" w:rsidR="00247E67" w:rsidRDefault="00247E67" w:rsidP="00247E67">
      <w:pPr>
        <w:tabs>
          <w:tab w:val="left" w:pos="7305"/>
        </w:tabs>
      </w:pPr>
      <w:r>
        <w:tab/>
      </w:r>
    </w:p>
    <w:p w14:paraId="283AC59C" w14:textId="71BBC2E4" w:rsidR="000C0DCC" w:rsidRPr="00247E67" w:rsidRDefault="00247E67" w:rsidP="00247E67">
      <w:pPr>
        <w:tabs>
          <w:tab w:val="left" w:pos="7305"/>
        </w:tabs>
        <w:sectPr w:rsidR="000C0DCC" w:rsidRPr="00247E67" w:rsidSect="00B456E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9" w:footer="709" w:gutter="0"/>
          <w:cols w:space="708"/>
          <w:docGrid w:linePitch="360"/>
        </w:sectPr>
      </w:pPr>
      <w:r>
        <w:tab/>
      </w:r>
    </w:p>
    <w:p w14:paraId="380492A0" w14:textId="77777777" w:rsidR="000C0DCC" w:rsidRDefault="000C0DCC" w:rsidP="0011462D">
      <w:pPr>
        <w:pStyle w:val="Heading1"/>
      </w:pPr>
      <w:r>
        <w:lastRenderedPageBreak/>
        <w:t>Introduction</w:t>
      </w:r>
    </w:p>
    <w:p w14:paraId="7576296B" w14:textId="50EFE36D" w:rsidR="00974B01" w:rsidRPr="00974B01" w:rsidRDefault="00974B01" w:rsidP="00974B01">
      <w:r w:rsidRPr="00974B01">
        <w:t>The National Institute for Health and Care Excellence (NICE) is a non-departmental public body that is independent of government.  NICE provides guidance and advice to improve health and social care in England.  One function of NICE is to assess whether health technologies (medicines, diagnostic tests and medical devices) are clinically effective and a cost-effective use of UK resources</w:t>
      </w:r>
      <w:r w:rsidR="00EA0E7E">
        <w:t>,</w:t>
      </w:r>
      <w:r w:rsidRPr="00974B01">
        <w:t xml:space="preserve"> such that they can be recommended for use within the English National Health Service (NHS).</w:t>
      </w:r>
    </w:p>
    <w:p w14:paraId="511FE109" w14:textId="77777777" w:rsidR="00974B01" w:rsidRPr="00974B01" w:rsidRDefault="00974B01" w:rsidP="00974B01"/>
    <w:p w14:paraId="4F08F727" w14:textId="0BFB6C9F" w:rsidR="00974B01" w:rsidRPr="00974B01" w:rsidRDefault="00974B01" w:rsidP="00974B01">
      <w:r w:rsidRPr="00974B01">
        <w:t>NICE’s technology appraisals take one of two forms, either a single technology appraisal (STA)</w:t>
      </w:r>
      <w:r w:rsidR="00EA0E7E">
        <w:t xml:space="preserve"> or a multiple technology appraisal (MTA).  An STA</w:t>
      </w:r>
      <w:r w:rsidRPr="00974B01">
        <w:t xml:space="preserve"> is designed to evaluate a single health technology for a single indication</w:t>
      </w:r>
      <w:r w:rsidR="00EA0E7E">
        <w:t xml:space="preserve"> whereas an</w:t>
      </w:r>
      <w:r w:rsidRPr="00974B01">
        <w:t xml:space="preserve"> </w:t>
      </w:r>
      <w:r w:rsidR="00EA0E7E">
        <w:t>MTA</w:t>
      </w:r>
      <w:r w:rsidRPr="00974B01">
        <w:t xml:space="preserve"> typically covers more than one technology or one technology for more than one indication. In an STA the company is invited to provide an evidence submission which includes the clinical effectiveness and cost-effectiveness </w:t>
      </w:r>
      <w:r w:rsidR="00EA0E7E">
        <w:t xml:space="preserve">evidence about their technology </w:t>
      </w:r>
      <w:r w:rsidRPr="00974B01">
        <w:t xml:space="preserve">required </w:t>
      </w:r>
      <w:r w:rsidR="00EA0E7E">
        <w:t>by NICE for an STA.  T</w:t>
      </w:r>
      <w:r w:rsidRPr="00974B01">
        <w:t>his evidence submission is critiqued by an independent research assessment team, the evidence review group (ERG).</w:t>
      </w:r>
    </w:p>
    <w:p w14:paraId="25FE67B0" w14:textId="77777777" w:rsidR="00974B01" w:rsidRPr="00974B01" w:rsidRDefault="00974B01" w:rsidP="00974B01"/>
    <w:p w14:paraId="2BDCA095" w14:textId="77777777" w:rsidR="00974B01" w:rsidRPr="00974B01" w:rsidRDefault="00974B01" w:rsidP="00974B01">
      <w:r w:rsidRPr="00974B01">
        <w:t>The NICE Appraisal Committee meets in public to discuss the evidence presented by the company and the ERG’s critique of this.  The committee also takes into account written submissions from other stakeholders (e.g. national bodies representing patients and carers, bodies representing health professionals, the Department of Health, NHS England and clinical commissioning groups) as well as hearing in person from any clinical, patient and commissioning representatives present at the meeting. The committee then makes provisional recommendations which enter a period of consultation before the final decision about the use of the technology in the NHS is made.</w:t>
      </w:r>
    </w:p>
    <w:p w14:paraId="4A093F35" w14:textId="77777777" w:rsidR="00974B01" w:rsidRPr="00974B01" w:rsidRDefault="00974B01" w:rsidP="00974B01"/>
    <w:p w14:paraId="5FCAAE3E" w14:textId="4060767F" w:rsidR="00974B01" w:rsidRPr="00974B01" w:rsidRDefault="00974B01" w:rsidP="00974B01">
      <w:r w:rsidRPr="00974B01">
        <w:t xml:space="preserve">This article presents a summary of the ERG’s review and critique of the company submission (CS) to NICE, additional work conducted by the ERG, and the key issues that arose during the committee decision-making processes for the technology appraisal of fulvestrant for untreated hormone-receptor positive </w:t>
      </w:r>
      <w:r w:rsidR="00EA0E7E">
        <w:t xml:space="preserve">locally advanced or metastatic </w:t>
      </w:r>
      <w:r w:rsidRPr="00974B01">
        <w:t>estrogen-receptor positive breast cancer.</w:t>
      </w:r>
    </w:p>
    <w:p w14:paraId="7D8B6021" w14:textId="77777777" w:rsidR="00974B01" w:rsidRPr="00974B01" w:rsidRDefault="00974B01" w:rsidP="00974B01"/>
    <w:p w14:paraId="6E08E4AD" w14:textId="4F3BB0ED" w:rsidR="00421DB2" w:rsidRDefault="00974B01">
      <w:r w:rsidRPr="00974B01">
        <w:lastRenderedPageBreak/>
        <w:t>In each section below, we summarise the evidence submitted by the company and then present our critique of this evidence. Full details of the appraisal documents; including, the company’s evidence submission, the ERG report, and appraisal committee decision documents are available on the NICE website (https://www.nice.org.uk/guidance/ta503).</w:t>
      </w:r>
    </w:p>
    <w:p w14:paraId="6639C53E" w14:textId="77777777" w:rsidR="00421DB2" w:rsidRDefault="00421DB2"/>
    <w:p w14:paraId="2D81A1C7" w14:textId="77777777" w:rsidR="00A3566D" w:rsidRDefault="00A3566D" w:rsidP="000C7666">
      <w:pPr>
        <w:pStyle w:val="Heading1"/>
      </w:pPr>
      <w:r>
        <w:t>The Decision Problem</w:t>
      </w:r>
    </w:p>
    <w:p w14:paraId="0ED914CC" w14:textId="5AC424F4" w:rsidR="00247693" w:rsidRPr="00247693" w:rsidRDefault="00247693" w:rsidP="00247693">
      <w:pPr>
        <w:rPr>
          <w:rFonts w:cs="Arial"/>
          <w:szCs w:val="22"/>
        </w:rPr>
      </w:pPr>
      <w:r w:rsidRPr="00247693">
        <w:rPr>
          <w:rFonts w:cs="Arial"/>
          <w:szCs w:val="22"/>
        </w:rPr>
        <w:t>Breast cancer is a leading cause of cancer death worldwide among women and with 45,656 female cases registered in 2016 in England, it accounted for 9,613 of deaths in England in 2016</w:t>
      </w:r>
      <w:r w:rsidR="001A601B">
        <w:rPr>
          <w:rFonts w:cs="Arial"/>
          <w:szCs w:val="22"/>
        </w:rPr>
        <w:t xml:space="preserve"> </w:t>
      </w:r>
      <w:r w:rsidR="005B756D">
        <w:rPr>
          <w:rFonts w:cs="Arial"/>
          <w:noProof/>
          <w:szCs w:val="22"/>
        </w:rPr>
        <w:t>[1]</w:t>
      </w:r>
      <w:r w:rsidRPr="00247693">
        <w:rPr>
          <w:rFonts w:cs="Arial"/>
          <w:szCs w:val="22"/>
        </w:rPr>
        <w:t>.</w:t>
      </w:r>
    </w:p>
    <w:p w14:paraId="38FF925A" w14:textId="77777777" w:rsidR="00247693" w:rsidRPr="00247693" w:rsidRDefault="00247693" w:rsidP="00247693">
      <w:pPr>
        <w:rPr>
          <w:rFonts w:cs="Arial"/>
          <w:szCs w:val="22"/>
        </w:rPr>
      </w:pPr>
    </w:p>
    <w:p w14:paraId="4902D38F" w14:textId="66BF7CDC" w:rsidR="00247693" w:rsidRPr="00247693" w:rsidRDefault="00247693" w:rsidP="00247693">
      <w:pPr>
        <w:rPr>
          <w:rFonts w:cs="Arial"/>
          <w:szCs w:val="22"/>
        </w:rPr>
      </w:pPr>
      <w:r w:rsidRPr="00247693">
        <w:rPr>
          <w:rFonts w:cs="Arial"/>
          <w:szCs w:val="22"/>
        </w:rPr>
        <w:t>The majority of breast cancers express rec</w:t>
      </w:r>
      <w:r w:rsidR="00EA0E7E">
        <w:rPr>
          <w:rFonts w:cs="Arial"/>
          <w:szCs w:val="22"/>
        </w:rPr>
        <w:t xml:space="preserve">eptors for the female hormones </w:t>
      </w:r>
      <w:r w:rsidRPr="00247693">
        <w:rPr>
          <w:rFonts w:cs="Arial"/>
          <w:szCs w:val="22"/>
        </w:rPr>
        <w:t xml:space="preserve">estrogen and/or </w:t>
      </w:r>
      <w:r w:rsidR="00B64AB6" w:rsidRPr="00247693">
        <w:rPr>
          <w:rFonts w:cs="Arial"/>
          <w:szCs w:val="22"/>
        </w:rPr>
        <w:t>progesterone</w:t>
      </w:r>
      <w:r w:rsidRPr="00247693">
        <w:rPr>
          <w:rFonts w:cs="Arial"/>
          <w:szCs w:val="22"/>
        </w:rPr>
        <w:t>.  T</w:t>
      </w:r>
      <w:r>
        <w:rPr>
          <w:rFonts w:cs="Arial"/>
          <w:szCs w:val="22"/>
        </w:rPr>
        <w:t>herefore t</w:t>
      </w:r>
      <w:r w:rsidRPr="00247693">
        <w:rPr>
          <w:rFonts w:cs="Arial"/>
          <w:szCs w:val="22"/>
        </w:rPr>
        <w:t>hese breast cancers are described as hormone-receptor positive (HR+).  About 70% of breast cancers express estrogen receptors (ER</w:t>
      </w:r>
      <w:r w:rsidR="004E7E88">
        <w:rPr>
          <w:rFonts w:cs="Arial"/>
          <w:szCs w:val="22"/>
        </w:rPr>
        <w:t>s)</w:t>
      </w:r>
      <w:r w:rsidR="001A601B">
        <w:rPr>
          <w:rFonts w:cs="Arial"/>
          <w:szCs w:val="22"/>
        </w:rPr>
        <w:t xml:space="preserve"> </w:t>
      </w:r>
      <w:r w:rsidR="005B756D">
        <w:rPr>
          <w:rFonts w:cs="Arial"/>
          <w:noProof/>
          <w:szCs w:val="22"/>
        </w:rPr>
        <w:t>[2]</w:t>
      </w:r>
      <w:r w:rsidRPr="00247693">
        <w:rPr>
          <w:rFonts w:cs="Arial"/>
          <w:szCs w:val="22"/>
        </w:rPr>
        <w:t xml:space="preserve"> with approximately 96% of these being ER</w:t>
      </w:r>
      <w:r w:rsidR="004E7E88">
        <w:rPr>
          <w:rFonts w:cs="Arial"/>
          <w:szCs w:val="22"/>
        </w:rPr>
        <w:t xml:space="preserve"> positive (ER</w:t>
      </w:r>
      <w:r w:rsidRPr="00247693">
        <w:rPr>
          <w:rFonts w:cs="Arial"/>
          <w:szCs w:val="22"/>
        </w:rPr>
        <w:t>+</w:t>
      </w:r>
      <w:r w:rsidR="004E7E88">
        <w:rPr>
          <w:rFonts w:cs="Arial"/>
          <w:szCs w:val="22"/>
        </w:rPr>
        <w:t>) and</w:t>
      </w:r>
      <w:r w:rsidRPr="00247693">
        <w:rPr>
          <w:rFonts w:cs="Arial"/>
          <w:szCs w:val="22"/>
        </w:rPr>
        <w:t xml:space="preserve"> human epidermal growth factor receptor negative (HER-). The relative incidence of ER+ breast cancer increases with age </w:t>
      </w:r>
      <w:r w:rsidR="005B756D">
        <w:rPr>
          <w:rFonts w:cs="Arial"/>
          <w:noProof/>
          <w:szCs w:val="22"/>
        </w:rPr>
        <w:t>[3]</w:t>
      </w:r>
      <w:r w:rsidR="000C1D6F">
        <w:rPr>
          <w:rFonts w:cs="Arial"/>
          <w:szCs w:val="22"/>
        </w:rPr>
        <w:t>,</w:t>
      </w:r>
      <w:r w:rsidRPr="00247693">
        <w:rPr>
          <w:rFonts w:cs="Arial"/>
          <w:szCs w:val="22"/>
        </w:rPr>
        <w:t xml:space="preserve"> consequently breast cancers in post-menopausal women are mostly ER+ at diagnosis. The number of newly diagnosed breast cancer cases registered for post-menopausal women aged 50 to 59 and 60 to 69 in England in 2016 was 10,227 and 11,684 respectively </w:t>
      </w:r>
      <w:r w:rsidR="005B756D">
        <w:rPr>
          <w:rFonts w:cs="Arial"/>
          <w:noProof/>
          <w:szCs w:val="22"/>
        </w:rPr>
        <w:t>[1]</w:t>
      </w:r>
      <w:r w:rsidRPr="00247693">
        <w:rPr>
          <w:rFonts w:cs="Arial"/>
          <w:szCs w:val="22"/>
        </w:rPr>
        <w:t xml:space="preserve">. Most breast cancer cases are diagnosed at an early stage, however between 6-10 % are diagnosed late, at metastatic stage </w:t>
      </w:r>
      <w:r w:rsidR="005B756D">
        <w:rPr>
          <w:rFonts w:cs="Arial"/>
          <w:noProof/>
          <w:szCs w:val="22"/>
        </w:rPr>
        <w:t>[4]</w:t>
      </w:r>
      <w:r w:rsidRPr="00247693">
        <w:rPr>
          <w:rFonts w:cs="Arial"/>
          <w:szCs w:val="22"/>
        </w:rPr>
        <w:t>.</w:t>
      </w:r>
    </w:p>
    <w:p w14:paraId="45CFE17E" w14:textId="77777777" w:rsidR="00E8090B" w:rsidRPr="00247693" w:rsidRDefault="00E8090B">
      <w:pPr>
        <w:rPr>
          <w:rFonts w:cs="Arial"/>
          <w:szCs w:val="22"/>
        </w:rPr>
      </w:pPr>
    </w:p>
    <w:p w14:paraId="452608AE" w14:textId="491C6D41" w:rsidR="00247693" w:rsidRPr="00247693" w:rsidRDefault="00247693" w:rsidP="00247693">
      <w:pPr>
        <w:rPr>
          <w:rFonts w:cs="Arial"/>
          <w:szCs w:val="22"/>
        </w:rPr>
      </w:pPr>
      <w:r w:rsidRPr="00247693">
        <w:rPr>
          <w:rFonts w:cs="Arial"/>
          <w:szCs w:val="22"/>
        </w:rPr>
        <w:t xml:space="preserve">The NICE treatment pathway for advanced breast cancer (ABC) </w:t>
      </w:r>
      <w:r w:rsidR="005B756D">
        <w:rPr>
          <w:rFonts w:cs="Arial"/>
          <w:noProof/>
          <w:szCs w:val="22"/>
        </w:rPr>
        <w:t>[5]</w:t>
      </w:r>
      <w:r w:rsidR="001A601B">
        <w:rPr>
          <w:rFonts w:cs="Arial"/>
          <w:szCs w:val="22"/>
        </w:rPr>
        <w:t xml:space="preserve"> </w:t>
      </w:r>
      <w:r w:rsidRPr="00247693">
        <w:rPr>
          <w:rFonts w:cs="Arial"/>
          <w:szCs w:val="22"/>
        </w:rPr>
        <w:t>states that post-menopausal women with ER+ ABC who do not have life threatening disease should be treated with endocrine therapy.  In the first instance the recommended endocrine therapy would be treatment with an aromatase inhibitor (AI) (either anast</w:t>
      </w:r>
      <w:r w:rsidR="000C1D6F">
        <w:rPr>
          <w:rFonts w:cs="Arial"/>
          <w:szCs w:val="22"/>
        </w:rPr>
        <w:t>r</w:t>
      </w:r>
      <w:r w:rsidR="002B36C1">
        <w:rPr>
          <w:rFonts w:cs="Arial"/>
          <w:szCs w:val="22"/>
        </w:rPr>
        <w:t>o</w:t>
      </w:r>
      <w:r w:rsidR="000C1D6F">
        <w:rPr>
          <w:rFonts w:cs="Arial"/>
          <w:szCs w:val="22"/>
        </w:rPr>
        <w:t>zole or letrozole), but if AI</w:t>
      </w:r>
      <w:r w:rsidRPr="00247693">
        <w:rPr>
          <w:rFonts w:cs="Arial"/>
          <w:szCs w:val="22"/>
        </w:rPr>
        <w:t>s are not tolerated or are contra-indicated, tamoxifen is suggested. Where disease is life-threatening or requires early relief of symptoms, chemotherapy is recommended.</w:t>
      </w:r>
    </w:p>
    <w:p w14:paraId="5F27DDAA" w14:textId="77777777" w:rsidR="00247693" w:rsidRPr="00247693" w:rsidRDefault="00247693" w:rsidP="00247693">
      <w:pPr>
        <w:rPr>
          <w:rFonts w:cs="Arial"/>
          <w:b/>
          <w:bCs/>
          <w:szCs w:val="22"/>
        </w:rPr>
      </w:pPr>
    </w:p>
    <w:p w14:paraId="176FB686" w14:textId="5F56C945" w:rsidR="00247693" w:rsidRPr="00247693" w:rsidRDefault="00247693" w:rsidP="00247693">
      <w:pPr>
        <w:rPr>
          <w:rFonts w:cs="Arial"/>
          <w:szCs w:val="22"/>
        </w:rPr>
      </w:pPr>
      <w:r w:rsidRPr="00247693">
        <w:rPr>
          <w:rFonts w:cs="Arial"/>
          <w:szCs w:val="22"/>
        </w:rPr>
        <w:t>Fulvestrant (Faslodex</w:t>
      </w:r>
      <w:r w:rsidRPr="00247693">
        <w:rPr>
          <w:rFonts w:cs="Arial"/>
          <w:szCs w:val="22"/>
          <w:vertAlign w:val="superscript"/>
        </w:rPr>
        <w:t>®</w:t>
      </w:r>
      <w:r w:rsidRPr="00247693">
        <w:rPr>
          <w:rFonts w:cs="Arial"/>
          <w:szCs w:val="22"/>
        </w:rPr>
        <w:t xml:space="preserve">) is an ER antagonist that binds competitively to the ER, </w:t>
      </w:r>
      <w:r w:rsidRPr="00247693">
        <w:rPr>
          <w:rFonts w:cs="Arial"/>
          <w:color w:val="000000"/>
          <w:szCs w:val="22"/>
          <w:shd w:val="clear" w:color="auto" w:fill="FFFFFF"/>
        </w:rPr>
        <w:t xml:space="preserve">promoting receptor degradation and down regulation of ER protein </w:t>
      </w:r>
      <w:r w:rsidRPr="00247693">
        <w:rPr>
          <w:rFonts w:cs="Arial"/>
          <w:szCs w:val="22"/>
        </w:rPr>
        <w:t xml:space="preserve">levels in human breast cancer cells. </w:t>
      </w:r>
      <w:r w:rsidRPr="00247693">
        <w:rPr>
          <w:rFonts w:cs="Arial"/>
          <w:color w:val="000000"/>
          <w:szCs w:val="22"/>
          <w:shd w:val="clear" w:color="auto" w:fill="FFFFFF"/>
        </w:rPr>
        <w:t xml:space="preserve">As a result, the growth of tumour cells, which are </w:t>
      </w:r>
      <w:r>
        <w:rPr>
          <w:rFonts w:cs="Arial"/>
          <w:color w:val="000000"/>
          <w:szCs w:val="22"/>
          <w:shd w:val="clear" w:color="auto" w:fill="FFFFFF"/>
        </w:rPr>
        <w:t xml:space="preserve">stimulated by </w:t>
      </w:r>
      <w:r w:rsidRPr="00247693">
        <w:rPr>
          <w:rFonts w:cs="Arial"/>
          <w:color w:val="000000"/>
          <w:szCs w:val="22"/>
          <w:shd w:val="clear" w:color="auto" w:fill="FFFFFF"/>
        </w:rPr>
        <w:t>estrogen</w:t>
      </w:r>
      <w:r w:rsidR="004E7E88">
        <w:rPr>
          <w:rFonts w:cs="Arial"/>
          <w:color w:val="000000"/>
          <w:szCs w:val="22"/>
          <w:shd w:val="clear" w:color="auto" w:fill="FFFFFF"/>
        </w:rPr>
        <w:t>,</w:t>
      </w:r>
      <w:r w:rsidRPr="00247693">
        <w:rPr>
          <w:rFonts w:cs="Arial"/>
          <w:color w:val="000000"/>
          <w:szCs w:val="22"/>
          <w:shd w:val="clear" w:color="auto" w:fill="FFFFFF"/>
        </w:rPr>
        <w:t xml:space="preserve"> is reduced. </w:t>
      </w:r>
      <w:r w:rsidRPr="00247693">
        <w:rPr>
          <w:rFonts w:cs="Arial"/>
          <w:szCs w:val="22"/>
        </w:rPr>
        <w:t xml:space="preserve">Fulvestrant can be described as a Selective </w:t>
      </w:r>
      <w:r w:rsidR="00EA0E7E">
        <w:rPr>
          <w:rFonts w:cs="Arial"/>
          <w:szCs w:val="22"/>
        </w:rPr>
        <w:t>E</w:t>
      </w:r>
      <w:r w:rsidRPr="00247693">
        <w:rPr>
          <w:rFonts w:cs="Arial"/>
          <w:szCs w:val="22"/>
        </w:rPr>
        <w:t>strogen Receptor Degrader (SERD)</w:t>
      </w:r>
      <w:r w:rsidR="001A601B">
        <w:rPr>
          <w:rFonts w:cs="Arial"/>
          <w:szCs w:val="22"/>
        </w:rPr>
        <w:t xml:space="preserve"> </w:t>
      </w:r>
      <w:r w:rsidR="005B756D">
        <w:rPr>
          <w:rFonts w:cs="Arial"/>
          <w:noProof/>
          <w:szCs w:val="22"/>
        </w:rPr>
        <w:t>[6]</w:t>
      </w:r>
      <w:r w:rsidRPr="00247693">
        <w:rPr>
          <w:rFonts w:cs="Arial"/>
          <w:szCs w:val="22"/>
        </w:rPr>
        <w:t>.</w:t>
      </w:r>
    </w:p>
    <w:p w14:paraId="33B9FE82" w14:textId="7356E1E4" w:rsidR="00247693" w:rsidRPr="00247693" w:rsidRDefault="00247693" w:rsidP="00247693">
      <w:pPr>
        <w:rPr>
          <w:rFonts w:cs="Arial"/>
          <w:szCs w:val="22"/>
        </w:rPr>
      </w:pPr>
    </w:p>
    <w:p w14:paraId="0165942D" w14:textId="79C4CF07" w:rsidR="00247693" w:rsidRPr="001A601B" w:rsidRDefault="00247693" w:rsidP="00247693">
      <w:pPr>
        <w:rPr>
          <w:rFonts w:cs="Arial"/>
          <w:szCs w:val="22"/>
        </w:rPr>
      </w:pPr>
      <w:r w:rsidRPr="00247693">
        <w:rPr>
          <w:rFonts w:cs="Arial"/>
          <w:szCs w:val="22"/>
        </w:rPr>
        <w:t xml:space="preserve">Fulvestrant has marketing authorisation in the UK for treating locally advanced or metastatic ER+ breast cancer in postmenopausal women, whose disease has progressed during, or relapsed during </w:t>
      </w:r>
      <w:r w:rsidR="00EA0E7E">
        <w:rPr>
          <w:rFonts w:cs="Arial"/>
          <w:szCs w:val="22"/>
        </w:rPr>
        <w:t>or after, adjuvant anti-</w:t>
      </w:r>
      <w:r w:rsidRPr="00247693">
        <w:rPr>
          <w:rFonts w:cs="Arial"/>
          <w:szCs w:val="22"/>
        </w:rPr>
        <w:t>estrogen therapy. The recommended dose is 500 mg [administered as two intramuscular injections (IM) of 250 mg] every month, with an additional 500 mg dose given 2 weeks after the initial dose. In</w:t>
      </w:r>
      <w:r w:rsidRPr="00247693">
        <w:rPr>
          <w:rFonts w:cs="Arial"/>
          <w:i/>
          <w:szCs w:val="22"/>
        </w:rPr>
        <w:t xml:space="preserve"> </w:t>
      </w:r>
      <w:r w:rsidRPr="00247693">
        <w:rPr>
          <w:rFonts w:cs="Arial"/>
          <w:iCs/>
          <w:szCs w:val="22"/>
        </w:rPr>
        <w:t>Aug 2017,</w:t>
      </w:r>
      <w:r w:rsidRPr="00247693">
        <w:rPr>
          <w:rFonts w:cs="Arial"/>
          <w:i/>
          <w:szCs w:val="22"/>
        </w:rPr>
        <w:t xml:space="preserve"> </w:t>
      </w:r>
      <w:r w:rsidR="004E7E88">
        <w:rPr>
          <w:rFonts w:cs="Arial"/>
          <w:iCs/>
          <w:szCs w:val="22"/>
        </w:rPr>
        <w:t>f</w:t>
      </w:r>
      <w:r w:rsidRPr="00247693">
        <w:rPr>
          <w:rFonts w:cs="Arial"/>
          <w:iCs/>
          <w:szCs w:val="22"/>
        </w:rPr>
        <w:t>ulvestrant was also licensed</w:t>
      </w:r>
      <w:r w:rsidRPr="00247693">
        <w:rPr>
          <w:rFonts w:cs="Arial"/>
          <w:i/>
          <w:szCs w:val="22"/>
        </w:rPr>
        <w:t xml:space="preserve"> </w:t>
      </w:r>
      <w:r w:rsidRPr="00247693">
        <w:rPr>
          <w:rFonts w:cs="Arial"/>
          <w:iCs/>
          <w:szCs w:val="22"/>
        </w:rPr>
        <w:t xml:space="preserve">for </w:t>
      </w:r>
      <w:r w:rsidRPr="00247693">
        <w:rPr>
          <w:rFonts w:cs="Arial"/>
          <w:szCs w:val="22"/>
        </w:rPr>
        <w:t>first line treatment of locally advanced or metastatic ER+ breast cancer, with a recommended dosing regimen of two IM injections of 250 mg delivered over 1-2 min</w:t>
      </w:r>
      <w:r w:rsidR="000C1D6F">
        <w:rPr>
          <w:rFonts w:cs="Arial"/>
          <w:szCs w:val="22"/>
        </w:rPr>
        <w:t>ute</w:t>
      </w:r>
      <w:r w:rsidRPr="00247693">
        <w:rPr>
          <w:rFonts w:cs="Arial"/>
          <w:szCs w:val="22"/>
        </w:rPr>
        <w:t>s on days 1, 15, 29 and once monthly thereafter</w:t>
      </w:r>
      <w:r w:rsidR="001A601B">
        <w:rPr>
          <w:rFonts w:cs="Arial"/>
          <w:szCs w:val="22"/>
        </w:rPr>
        <w:t xml:space="preserve"> </w:t>
      </w:r>
      <w:r w:rsidR="005B756D">
        <w:rPr>
          <w:rFonts w:cs="Arial"/>
          <w:noProof/>
          <w:szCs w:val="22"/>
        </w:rPr>
        <w:t>[6]</w:t>
      </w:r>
      <w:r w:rsidRPr="001A601B">
        <w:rPr>
          <w:rFonts w:cs="Arial"/>
          <w:szCs w:val="22"/>
        </w:rPr>
        <w:t>.</w:t>
      </w:r>
    </w:p>
    <w:p w14:paraId="30F238BF" w14:textId="77777777" w:rsidR="00247693" w:rsidRPr="00247693" w:rsidRDefault="00247693" w:rsidP="00247693">
      <w:pPr>
        <w:rPr>
          <w:rFonts w:cs="Arial"/>
          <w:i/>
          <w:szCs w:val="22"/>
        </w:rPr>
      </w:pPr>
    </w:p>
    <w:p w14:paraId="5777CC48" w14:textId="0E8D364B" w:rsidR="00247693" w:rsidRPr="00247693" w:rsidRDefault="00247693" w:rsidP="00247693">
      <w:pPr>
        <w:rPr>
          <w:rFonts w:cs="Arial"/>
          <w:szCs w:val="22"/>
        </w:rPr>
      </w:pPr>
      <w:r w:rsidRPr="00247693">
        <w:rPr>
          <w:rFonts w:cs="Arial"/>
          <w:szCs w:val="22"/>
        </w:rPr>
        <w:t>In 2011 NICE</w:t>
      </w:r>
      <w:r>
        <w:rPr>
          <w:rFonts w:cs="Arial"/>
          <w:szCs w:val="22"/>
        </w:rPr>
        <w:t xml:space="preserve"> </w:t>
      </w:r>
      <w:r w:rsidRPr="00247693">
        <w:rPr>
          <w:rFonts w:cs="Arial"/>
          <w:szCs w:val="22"/>
        </w:rPr>
        <w:t xml:space="preserve">issued guidance not recommending fulvestrant </w:t>
      </w:r>
      <w:r w:rsidRPr="00247693">
        <w:rPr>
          <w:rFonts w:cs="Arial"/>
          <w:color w:val="0E0E0E"/>
          <w:szCs w:val="22"/>
        </w:rPr>
        <w:t>as an alternative to aromatase i</w:t>
      </w:r>
      <w:r w:rsidR="00EA0E7E">
        <w:rPr>
          <w:rFonts w:cs="Arial"/>
          <w:color w:val="0E0E0E"/>
          <w:szCs w:val="22"/>
        </w:rPr>
        <w:t xml:space="preserve">nhibitors for the treatment of </w:t>
      </w:r>
      <w:r w:rsidRPr="00247693">
        <w:rPr>
          <w:rFonts w:cs="Arial"/>
          <w:color w:val="0E0E0E"/>
          <w:szCs w:val="22"/>
        </w:rPr>
        <w:t>estrogen-receptor positive, locally advanced or metastatic breast cancer in postmenopausal women whose cancer had rela</w:t>
      </w:r>
      <w:r w:rsidR="00EA0E7E">
        <w:rPr>
          <w:rFonts w:cs="Arial"/>
          <w:color w:val="0E0E0E"/>
          <w:szCs w:val="22"/>
        </w:rPr>
        <w:t>psed on or after adjuvant anti-</w:t>
      </w:r>
      <w:r w:rsidRPr="00247693">
        <w:rPr>
          <w:rFonts w:cs="Arial"/>
          <w:color w:val="0E0E0E"/>
          <w:szCs w:val="22"/>
        </w:rPr>
        <w:t>estrogen therapy, or who h</w:t>
      </w:r>
      <w:r w:rsidR="00EA0E7E">
        <w:rPr>
          <w:rFonts w:cs="Arial"/>
          <w:color w:val="0E0E0E"/>
          <w:szCs w:val="22"/>
        </w:rPr>
        <w:t>ad disease progression on anti-</w:t>
      </w:r>
      <w:r w:rsidRPr="00247693">
        <w:rPr>
          <w:rFonts w:cs="Arial"/>
          <w:color w:val="0E0E0E"/>
          <w:szCs w:val="22"/>
        </w:rPr>
        <w:t>estrogen therapy</w:t>
      </w:r>
      <w:r w:rsidRPr="00247693">
        <w:rPr>
          <w:rFonts w:cs="Arial"/>
          <w:szCs w:val="22"/>
        </w:rPr>
        <w:t xml:space="preserve"> </w:t>
      </w:r>
      <w:r w:rsidR="005B756D">
        <w:rPr>
          <w:rFonts w:cs="Arial"/>
          <w:noProof/>
          <w:szCs w:val="22"/>
        </w:rPr>
        <w:t>[7]</w:t>
      </w:r>
      <w:r w:rsidRPr="00247693">
        <w:rPr>
          <w:rFonts w:cs="Arial"/>
          <w:szCs w:val="22"/>
        </w:rPr>
        <w:t xml:space="preserve">. </w:t>
      </w:r>
    </w:p>
    <w:p w14:paraId="29E4C3C8" w14:textId="77777777" w:rsidR="00247693" w:rsidRPr="00247693" w:rsidRDefault="00247693" w:rsidP="00247693">
      <w:pPr>
        <w:rPr>
          <w:rFonts w:cs="Arial"/>
          <w:szCs w:val="22"/>
        </w:rPr>
      </w:pPr>
    </w:p>
    <w:p w14:paraId="2C333FDF" w14:textId="102AB36E" w:rsidR="00247693" w:rsidRDefault="00247693" w:rsidP="00247693">
      <w:pPr>
        <w:rPr>
          <w:rFonts w:cs="Arial"/>
          <w:szCs w:val="22"/>
        </w:rPr>
      </w:pPr>
      <w:r w:rsidRPr="0090338C">
        <w:rPr>
          <w:rFonts w:cs="Arial"/>
          <w:szCs w:val="22"/>
        </w:rPr>
        <w:t>In May 20</w:t>
      </w:r>
      <w:r w:rsidRPr="00247693">
        <w:rPr>
          <w:rFonts w:cs="Arial"/>
          <w:szCs w:val="22"/>
        </w:rPr>
        <w:t>17, AstraZeneca provided a submission to NICE regarding the clinical and cost effectiveness of fulvestrant for the treatment of ABC in post-menopausal women who had not been previously treated with endocrine therapy. The remit of this appraisal, specified by NICE’s final scope</w:t>
      </w:r>
      <w:r w:rsidR="00C60507">
        <w:rPr>
          <w:rFonts w:cs="Arial"/>
          <w:szCs w:val="22"/>
        </w:rPr>
        <w:t xml:space="preserve"> </w:t>
      </w:r>
      <w:r w:rsidR="005B756D">
        <w:rPr>
          <w:rFonts w:cs="Arial"/>
          <w:noProof/>
          <w:szCs w:val="22"/>
        </w:rPr>
        <w:t>[8]</w:t>
      </w:r>
      <w:r w:rsidRPr="00247693">
        <w:rPr>
          <w:rFonts w:cs="Arial"/>
          <w:szCs w:val="22"/>
        </w:rPr>
        <w:t>, was to evaluate the clinical and cost effectiveness of fulvestrant  for the first line treatment of ABC in post-menopausal women who had not been treated with previous endocrine therapy.</w:t>
      </w:r>
    </w:p>
    <w:p w14:paraId="26792F97" w14:textId="77777777" w:rsidR="00F55ED2" w:rsidRPr="00247693" w:rsidRDefault="00F55ED2" w:rsidP="00247693">
      <w:pPr>
        <w:rPr>
          <w:rFonts w:cs="Arial"/>
          <w:szCs w:val="22"/>
        </w:rPr>
      </w:pPr>
    </w:p>
    <w:p w14:paraId="530A6EA5" w14:textId="77777777" w:rsidR="00E8090B" w:rsidRDefault="00E8090B">
      <w:pPr>
        <w:pStyle w:val="Heading1"/>
      </w:pPr>
      <w:r>
        <w:t>The Independent Evidence review group (ERG) Review</w:t>
      </w:r>
    </w:p>
    <w:p w14:paraId="1DA18B0A" w14:textId="4458EDFB" w:rsidR="008C28F3" w:rsidRDefault="008C28F3">
      <w:pPr>
        <w:pStyle w:val="Heading2"/>
      </w:pPr>
      <w:r>
        <w:t xml:space="preserve">Clinical </w:t>
      </w:r>
      <w:r w:rsidR="00E6555B">
        <w:t xml:space="preserve">effectiveness </w:t>
      </w:r>
      <w:r w:rsidR="00AE2DCF">
        <w:t>e</w:t>
      </w:r>
      <w:r>
        <w:t>vidence</w:t>
      </w:r>
      <w:r w:rsidR="00F55ED2">
        <w:t xml:space="preserve"> provided by the company</w:t>
      </w:r>
    </w:p>
    <w:p w14:paraId="26AD8F06" w14:textId="4852EE29" w:rsidR="00F129B5" w:rsidRPr="00F55ED2" w:rsidRDefault="00F129B5" w:rsidP="00F129B5">
      <w:pPr>
        <w:rPr>
          <w:rFonts w:cs="Arial"/>
          <w:szCs w:val="22"/>
        </w:rPr>
      </w:pPr>
      <w:r w:rsidRPr="00F55ED2">
        <w:rPr>
          <w:rFonts w:cs="Arial"/>
          <w:szCs w:val="22"/>
        </w:rPr>
        <w:t>The company set out to compare the clinical effectiveness</w:t>
      </w:r>
      <w:r w:rsidR="00F55ED2" w:rsidRPr="00F55ED2">
        <w:rPr>
          <w:rFonts w:cs="Arial"/>
          <w:szCs w:val="22"/>
        </w:rPr>
        <w:t>,</w:t>
      </w:r>
      <w:r w:rsidRPr="00F55ED2">
        <w:rPr>
          <w:rFonts w:cs="Arial"/>
          <w:szCs w:val="22"/>
        </w:rPr>
        <w:t xml:space="preserve"> cost effectiveness and health related quality of life (HRQoL) of fulvestrant against two </w:t>
      </w:r>
      <w:r w:rsidR="00F55ED2" w:rsidRPr="00F55ED2">
        <w:rPr>
          <w:rFonts w:cs="Arial"/>
          <w:szCs w:val="22"/>
        </w:rPr>
        <w:t>AI</w:t>
      </w:r>
      <w:r w:rsidRPr="00F55ED2">
        <w:rPr>
          <w:rFonts w:cs="Arial"/>
          <w:szCs w:val="22"/>
        </w:rPr>
        <w:t>s (anastrozole and letrozole) or tamoxifen as defined by the NICE scope.</w:t>
      </w:r>
    </w:p>
    <w:p w14:paraId="56CA424B" w14:textId="77777777" w:rsidR="007717A0" w:rsidRPr="00F55ED2" w:rsidRDefault="007717A0">
      <w:pPr>
        <w:rPr>
          <w:rFonts w:cs="Arial"/>
          <w:szCs w:val="22"/>
        </w:rPr>
      </w:pPr>
    </w:p>
    <w:p w14:paraId="4FB85111" w14:textId="4AD02DD5" w:rsidR="00F129B5" w:rsidRPr="00F55ED2" w:rsidRDefault="00F129B5" w:rsidP="00F129B5">
      <w:pPr>
        <w:rPr>
          <w:rFonts w:cs="Arial"/>
          <w:szCs w:val="22"/>
        </w:rPr>
      </w:pPr>
      <w:r w:rsidRPr="00F55ED2">
        <w:rPr>
          <w:rFonts w:cs="Arial"/>
          <w:szCs w:val="22"/>
        </w:rPr>
        <w:t xml:space="preserve">The company carried out a clinical systematic </w:t>
      </w:r>
      <w:r w:rsidR="00A937D3">
        <w:rPr>
          <w:rFonts w:cs="Arial"/>
          <w:szCs w:val="22"/>
        </w:rPr>
        <w:t xml:space="preserve">literature </w:t>
      </w:r>
      <w:r w:rsidRPr="00F55ED2">
        <w:rPr>
          <w:rFonts w:cs="Arial"/>
          <w:szCs w:val="22"/>
        </w:rPr>
        <w:t>review (S</w:t>
      </w:r>
      <w:r w:rsidR="00A937D3">
        <w:rPr>
          <w:rFonts w:cs="Arial"/>
          <w:szCs w:val="22"/>
        </w:rPr>
        <w:t>L</w:t>
      </w:r>
      <w:r w:rsidRPr="00F55ED2">
        <w:rPr>
          <w:rFonts w:cs="Arial"/>
          <w:szCs w:val="22"/>
        </w:rPr>
        <w:t>R)</w:t>
      </w:r>
      <w:r w:rsidR="000C1D6F">
        <w:rPr>
          <w:rFonts w:cs="Arial"/>
          <w:szCs w:val="22"/>
        </w:rPr>
        <w:t>,</w:t>
      </w:r>
      <w:r w:rsidRPr="00F55ED2">
        <w:rPr>
          <w:rFonts w:cs="Arial"/>
          <w:szCs w:val="22"/>
        </w:rPr>
        <w:t xml:space="preserve"> which identified two relevant randomised controlled trials (RCTs)</w:t>
      </w:r>
      <w:r w:rsidR="00A937D3">
        <w:rPr>
          <w:rFonts w:cs="Arial"/>
          <w:szCs w:val="22"/>
        </w:rPr>
        <w:t xml:space="preserve"> comparing</w:t>
      </w:r>
      <w:r w:rsidRPr="00F55ED2">
        <w:rPr>
          <w:rFonts w:cs="Arial"/>
          <w:szCs w:val="22"/>
        </w:rPr>
        <w:t xml:space="preserve"> the licensed dose of fulvestrant against the standard care dose of </w:t>
      </w:r>
      <w:r w:rsidR="002B36C1" w:rsidRPr="00F55ED2">
        <w:rPr>
          <w:rFonts w:cs="Arial"/>
          <w:szCs w:val="22"/>
        </w:rPr>
        <w:t>anastrozole</w:t>
      </w:r>
      <w:r w:rsidRPr="00F55ED2">
        <w:rPr>
          <w:rFonts w:cs="Arial"/>
          <w:szCs w:val="22"/>
        </w:rPr>
        <w:t xml:space="preserve"> (oral, 1 mg). </w:t>
      </w:r>
    </w:p>
    <w:p w14:paraId="6D0ACF57" w14:textId="77777777" w:rsidR="00F129B5" w:rsidRPr="00F55ED2" w:rsidRDefault="00F129B5" w:rsidP="00F129B5">
      <w:pPr>
        <w:rPr>
          <w:rFonts w:cs="Arial"/>
          <w:szCs w:val="22"/>
        </w:rPr>
      </w:pPr>
    </w:p>
    <w:p w14:paraId="52C13876" w14:textId="4E13B29F" w:rsidR="00F129B5" w:rsidRPr="00F55ED2" w:rsidRDefault="00F129B5" w:rsidP="00F129B5">
      <w:pPr>
        <w:rPr>
          <w:rFonts w:cs="Arial"/>
          <w:szCs w:val="22"/>
        </w:rPr>
      </w:pPr>
      <w:r w:rsidRPr="00F55ED2">
        <w:rPr>
          <w:rFonts w:cs="Arial"/>
          <w:szCs w:val="22"/>
        </w:rPr>
        <w:t>The FIRST trial</w:t>
      </w:r>
      <w:r w:rsidR="000A65C4">
        <w:rPr>
          <w:rFonts w:cs="Arial"/>
          <w:szCs w:val="22"/>
        </w:rPr>
        <w:t xml:space="preserve"> </w:t>
      </w:r>
      <w:r w:rsidR="005B756D">
        <w:rPr>
          <w:rFonts w:cs="Arial"/>
          <w:noProof/>
          <w:szCs w:val="22"/>
        </w:rPr>
        <w:t>[9-11]</w:t>
      </w:r>
      <w:r w:rsidR="000C1D6F">
        <w:rPr>
          <w:rFonts w:cs="Arial"/>
          <w:szCs w:val="22"/>
        </w:rPr>
        <w:t xml:space="preserve"> was</w:t>
      </w:r>
      <w:r w:rsidRPr="00F55ED2">
        <w:rPr>
          <w:rFonts w:cs="Arial"/>
          <w:szCs w:val="22"/>
        </w:rPr>
        <w:t xml:space="preserve"> a phase II, open label, non-inferiority trial compared fulvestrant (500 mg) versus anastrozole (1 mg</w:t>
      </w:r>
      <w:r w:rsidR="00A937D3">
        <w:rPr>
          <w:rFonts w:cs="Arial"/>
          <w:szCs w:val="22"/>
        </w:rPr>
        <w:t xml:space="preserve">) in postmenopausal women with </w:t>
      </w:r>
      <w:r w:rsidRPr="00F55ED2">
        <w:rPr>
          <w:rFonts w:cs="Arial"/>
          <w:szCs w:val="22"/>
        </w:rPr>
        <w:t xml:space="preserve">HR+ ABC who had either never received endocrine therapy for advanced disease or who had received previous adjuvant endocrine therapy, completed at least 12 months prior to randomisation into the </w:t>
      </w:r>
      <w:r w:rsidR="00D22926">
        <w:rPr>
          <w:rFonts w:cs="Arial"/>
          <w:szCs w:val="22"/>
        </w:rPr>
        <w:t>trial</w:t>
      </w:r>
      <w:r w:rsidRPr="00F55ED2">
        <w:rPr>
          <w:rFonts w:cs="Arial"/>
          <w:szCs w:val="22"/>
        </w:rPr>
        <w:t xml:space="preserve">. A subsequent phase III, double blind, superiority trial (FALCON) </w:t>
      </w:r>
      <w:r w:rsidR="005B756D">
        <w:rPr>
          <w:rFonts w:cs="Arial"/>
          <w:noProof/>
          <w:szCs w:val="22"/>
        </w:rPr>
        <w:t>[12]</w:t>
      </w:r>
      <w:r w:rsidR="000A65C4">
        <w:rPr>
          <w:rFonts w:cs="Arial"/>
          <w:szCs w:val="22"/>
        </w:rPr>
        <w:t xml:space="preserve"> </w:t>
      </w:r>
      <w:r w:rsidRPr="00F55ED2">
        <w:rPr>
          <w:rFonts w:cs="Arial"/>
          <w:szCs w:val="22"/>
        </w:rPr>
        <w:t xml:space="preserve">compared fulvestrant (500 mg) versus anastrozole (1 mg) in postmenopausal women with ER+ and/or </w:t>
      </w:r>
      <w:r w:rsidR="002B36C1">
        <w:rPr>
          <w:rFonts w:cs="Arial"/>
          <w:szCs w:val="22"/>
        </w:rPr>
        <w:t>progesterone</w:t>
      </w:r>
      <w:r w:rsidR="000C1D6F">
        <w:rPr>
          <w:rFonts w:cs="Arial"/>
          <w:szCs w:val="22"/>
        </w:rPr>
        <w:t xml:space="preserve"> receptor positive (</w:t>
      </w:r>
      <w:r w:rsidRPr="00F55ED2">
        <w:rPr>
          <w:rFonts w:cs="Arial"/>
          <w:szCs w:val="22"/>
        </w:rPr>
        <w:t>PgR+</w:t>
      </w:r>
      <w:r w:rsidR="000C1D6F">
        <w:rPr>
          <w:rFonts w:cs="Arial"/>
          <w:szCs w:val="22"/>
        </w:rPr>
        <w:t>)</w:t>
      </w:r>
      <w:r w:rsidRPr="00F55ED2">
        <w:rPr>
          <w:rFonts w:cs="Arial"/>
          <w:szCs w:val="22"/>
        </w:rPr>
        <w:t xml:space="preserve"> ABC who had not previously been treated with any endocrine therapy. </w:t>
      </w:r>
    </w:p>
    <w:p w14:paraId="599FEA72" w14:textId="77777777" w:rsidR="00F129B5" w:rsidRPr="00F55ED2" w:rsidRDefault="00F129B5" w:rsidP="00F129B5">
      <w:pPr>
        <w:rPr>
          <w:rFonts w:cs="Arial"/>
          <w:szCs w:val="22"/>
        </w:rPr>
      </w:pPr>
    </w:p>
    <w:p w14:paraId="66F2009D" w14:textId="16256F94" w:rsidR="00F129B5" w:rsidRPr="00F55ED2" w:rsidRDefault="00F129B5" w:rsidP="00F129B5">
      <w:pPr>
        <w:rPr>
          <w:rFonts w:cs="Arial"/>
          <w:szCs w:val="22"/>
        </w:rPr>
      </w:pPr>
      <w:r w:rsidRPr="00F55ED2">
        <w:rPr>
          <w:rFonts w:cs="Arial"/>
          <w:szCs w:val="22"/>
        </w:rPr>
        <w:t>Outcomes reported by the two trials included progression free survival (PFS)</w:t>
      </w:r>
      <w:r w:rsidR="000C1D6F">
        <w:rPr>
          <w:rFonts w:cs="Arial"/>
          <w:szCs w:val="22"/>
        </w:rPr>
        <w:t>,</w:t>
      </w:r>
      <w:r w:rsidR="00A937D3">
        <w:rPr>
          <w:rFonts w:cs="Arial"/>
          <w:szCs w:val="22"/>
        </w:rPr>
        <w:t xml:space="preserve"> which was the primary outcome of the FALCON trial</w:t>
      </w:r>
      <w:r w:rsidR="000C1D6F">
        <w:rPr>
          <w:rFonts w:cs="Arial"/>
          <w:szCs w:val="22"/>
        </w:rPr>
        <w:t>,</w:t>
      </w:r>
      <w:r w:rsidR="00A937D3">
        <w:rPr>
          <w:rFonts w:cs="Arial"/>
          <w:szCs w:val="22"/>
        </w:rPr>
        <w:t xml:space="preserve"> and </w:t>
      </w:r>
      <w:r w:rsidRPr="00F55ED2">
        <w:rPr>
          <w:rFonts w:cs="Arial"/>
          <w:szCs w:val="22"/>
        </w:rPr>
        <w:t>time to progression (TTP)</w:t>
      </w:r>
      <w:r w:rsidR="000C1D6F">
        <w:rPr>
          <w:rFonts w:cs="Arial"/>
          <w:szCs w:val="22"/>
        </w:rPr>
        <w:t>,</w:t>
      </w:r>
      <w:r w:rsidR="00A937D3">
        <w:rPr>
          <w:rFonts w:cs="Arial"/>
          <w:szCs w:val="22"/>
        </w:rPr>
        <w:t xml:space="preserve"> a secondary outcome of the FIRST trial. The ERG noted that</w:t>
      </w:r>
      <w:r w:rsidRPr="00F55ED2">
        <w:rPr>
          <w:rFonts w:cs="Arial"/>
          <w:szCs w:val="22"/>
        </w:rPr>
        <w:t xml:space="preserve"> the definition of TTP in the FIRST </w:t>
      </w:r>
      <w:r w:rsidR="00D22926">
        <w:rPr>
          <w:rFonts w:cs="Arial"/>
          <w:szCs w:val="22"/>
        </w:rPr>
        <w:t>trial</w:t>
      </w:r>
      <w:r w:rsidRPr="00F55ED2">
        <w:rPr>
          <w:rFonts w:cs="Arial"/>
          <w:szCs w:val="22"/>
        </w:rPr>
        <w:t xml:space="preserve"> included death as an event and therefore </w:t>
      </w:r>
      <w:r w:rsidR="00A937D3">
        <w:rPr>
          <w:rFonts w:cs="Arial"/>
          <w:szCs w:val="22"/>
        </w:rPr>
        <w:t>this was</w:t>
      </w:r>
      <w:r w:rsidRPr="00F55ED2">
        <w:rPr>
          <w:rFonts w:cs="Arial"/>
          <w:szCs w:val="22"/>
        </w:rPr>
        <w:t xml:space="preserve"> the same definition as PFS for the FALCON </w:t>
      </w:r>
      <w:r w:rsidR="00D22926">
        <w:rPr>
          <w:rFonts w:cs="Arial"/>
          <w:szCs w:val="22"/>
        </w:rPr>
        <w:t>trial</w:t>
      </w:r>
      <w:r w:rsidR="00A937D3">
        <w:rPr>
          <w:rFonts w:cs="Arial"/>
          <w:szCs w:val="22"/>
        </w:rPr>
        <w:t>.  Other outcomes included</w:t>
      </w:r>
      <w:r w:rsidRPr="00F55ED2">
        <w:rPr>
          <w:rFonts w:cs="Arial"/>
          <w:szCs w:val="22"/>
        </w:rPr>
        <w:t xml:space="preserve"> overall survival (OS), clinical benefit rate (CBR),</w:t>
      </w:r>
      <w:r w:rsidR="00A937D3">
        <w:rPr>
          <w:rFonts w:cs="Arial"/>
          <w:szCs w:val="22"/>
        </w:rPr>
        <w:t xml:space="preserve"> </w:t>
      </w:r>
      <w:r w:rsidRPr="00F55ED2">
        <w:rPr>
          <w:rFonts w:cs="Arial"/>
          <w:szCs w:val="22"/>
        </w:rPr>
        <w:t xml:space="preserve">objective response rate (ORR), adverse events (AEs) and health-related quality of life (HRQoL).  These outcomes were consistent with those specified in the NICE scope </w:t>
      </w:r>
      <w:r w:rsidR="005B756D">
        <w:rPr>
          <w:rFonts w:cs="Arial"/>
          <w:noProof/>
          <w:szCs w:val="22"/>
        </w:rPr>
        <w:t>[8]</w:t>
      </w:r>
      <w:r w:rsidR="000A65C4">
        <w:rPr>
          <w:rFonts w:cs="Arial"/>
          <w:szCs w:val="22"/>
        </w:rPr>
        <w:t>.</w:t>
      </w:r>
    </w:p>
    <w:p w14:paraId="6D0E61C5" w14:textId="77777777" w:rsidR="00F129B5" w:rsidRPr="00F55ED2" w:rsidRDefault="00F129B5" w:rsidP="00F129B5">
      <w:pPr>
        <w:rPr>
          <w:rFonts w:cs="Arial"/>
          <w:szCs w:val="22"/>
        </w:rPr>
      </w:pPr>
    </w:p>
    <w:p w14:paraId="5BC9C17E" w14:textId="36902111" w:rsidR="00F129B5" w:rsidRPr="00F55ED2" w:rsidRDefault="005168B2" w:rsidP="00F129B5">
      <w:pPr>
        <w:rPr>
          <w:rFonts w:cs="Arial"/>
          <w:szCs w:val="22"/>
        </w:rPr>
      </w:pPr>
      <w:r>
        <w:rPr>
          <w:rFonts w:cs="Arial"/>
          <w:szCs w:val="22"/>
        </w:rPr>
        <w:t>In</w:t>
      </w:r>
      <w:r w:rsidR="00F129B5" w:rsidRPr="00F55ED2">
        <w:rPr>
          <w:rFonts w:cs="Arial"/>
          <w:szCs w:val="22"/>
        </w:rPr>
        <w:t xml:space="preserve"> the phase III FALCON </w:t>
      </w:r>
      <w:r>
        <w:rPr>
          <w:rFonts w:cs="Arial"/>
          <w:szCs w:val="22"/>
        </w:rPr>
        <w:t xml:space="preserve">trial median </w:t>
      </w:r>
      <w:r w:rsidR="00F129B5" w:rsidRPr="00F55ED2">
        <w:rPr>
          <w:rFonts w:cs="Arial"/>
          <w:szCs w:val="22"/>
        </w:rPr>
        <w:t>PFS</w:t>
      </w:r>
      <w:r>
        <w:rPr>
          <w:rFonts w:cs="Arial"/>
          <w:szCs w:val="22"/>
        </w:rPr>
        <w:t xml:space="preserve"> was</w:t>
      </w:r>
      <w:r w:rsidR="00F129B5" w:rsidRPr="00F55ED2">
        <w:rPr>
          <w:rFonts w:cs="Arial"/>
          <w:szCs w:val="22"/>
        </w:rPr>
        <w:t xml:space="preserve"> 2.8 months longer with fulvestrant compared to anastrozole (a statistically significant difference, HR = 0.</w:t>
      </w:r>
      <w:r w:rsidR="00205D75">
        <w:rPr>
          <w:rFonts w:cs="Arial"/>
          <w:szCs w:val="22"/>
        </w:rPr>
        <w:t>797</w:t>
      </w:r>
      <w:r w:rsidR="00F129B5" w:rsidRPr="00F55ED2">
        <w:rPr>
          <w:rFonts w:cs="Arial"/>
          <w:szCs w:val="22"/>
        </w:rPr>
        <w:t>, 95% CI 0.6</w:t>
      </w:r>
      <w:r w:rsidR="00205D75">
        <w:rPr>
          <w:rFonts w:cs="Arial"/>
          <w:szCs w:val="22"/>
        </w:rPr>
        <w:t>37</w:t>
      </w:r>
      <w:r w:rsidR="00F129B5" w:rsidRPr="00F55ED2">
        <w:rPr>
          <w:rFonts w:cs="Arial"/>
          <w:szCs w:val="22"/>
        </w:rPr>
        <w:t xml:space="preserve"> to </w:t>
      </w:r>
      <w:r w:rsidR="00205D75">
        <w:rPr>
          <w:rFonts w:cs="Arial"/>
          <w:szCs w:val="22"/>
        </w:rPr>
        <w:t>0.999</w:t>
      </w:r>
      <w:r w:rsidR="00F129B5" w:rsidRPr="00F55ED2">
        <w:rPr>
          <w:rFonts w:cs="Arial"/>
          <w:szCs w:val="22"/>
        </w:rPr>
        <w:t>, p = 0.04</w:t>
      </w:r>
      <w:r w:rsidR="00205D75">
        <w:rPr>
          <w:rFonts w:cs="Arial"/>
          <w:szCs w:val="22"/>
        </w:rPr>
        <w:t>86</w:t>
      </w:r>
      <w:r w:rsidR="00F129B5" w:rsidRPr="00F55ED2">
        <w:rPr>
          <w:rFonts w:cs="Arial"/>
          <w:szCs w:val="22"/>
        </w:rPr>
        <w:t>)</w:t>
      </w:r>
      <w:r w:rsidR="00205D75">
        <w:rPr>
          <w:rFonts w:cs="Arial"/>
          <w:szCs w:val="22"/>
        </w:rPr>
        <w:t xml:space="preserve"> </w:t>
      </w:r>
      <w:r w:rsidR="005B756D">
        <w:rPr>
          <w:rFonts w:cs="Arial"/>
          <w:noProof/>
          <w:szCs w:val="22"/>
        </w:rPr>
        <w:t>[12]</w:t>
      </w:r>
      <w:r>
        <w:rPr>
          <w:rFonts w:cs="Arial"/>
          <w:szCs w:val="22"/>
        </w:rPr>
        <w:t>.  However,</w:t>
      </w:r>
      <w:r w:rsidR="00F129B5" w:rsidRPr="00F55ED2">
        <w:rPr>
          <w:rFonts w:cs="Arial"/>
          <w:szCs w:val="22"/>
        </w:rPr>
        <w:t xml:space="preserve"> clinical experts consulted by the ERG did not believe that this was a clinically significant difference.  In contrast, in the FIRST </w:t>
      </w:r>
      <w:r w:rsidR="00D22926">
        <w:rPr>
          <w:rFonts w:cs="Arial"/>
          <w:szCs w:val="22"/>
        </w:rPr>
        <w:t>trial</w:t>
      </w:r>
      <w:r w:rsidR="00F129B5" w:rsidRPr="00F55ED2">
        <w:rPr>
          <w:rFonts w:cs="Arial"/>
          <w:szCs w:val="22"/>
        </w:rPr>
        <w:t>, median TTP was 10.3 months longer in the fulvestrant arm than the anastrozole arm, a difference that is both clinically and statistically significant (HR 0.66, 95% CI 0.47 to 0.92, p = 0.01)</w:t>
      </w:r>
      <w:r w:rsidR="00205D75">
        <w:rPr>
          <w:rFonts w:cs="Arial"/>
          <w:szCs w:val="22"/>
        </w:rPr>
        <w:t xml:space="preserve"> </w:t>
      </w:r>
      <w:r w:rsidR="005B756D">
        <w:rPr>
          <w:rFonts w:cs="Arial"/>
          <w:noProof/>
          <w:szCs w:val="22"/>
        </w:rPr>
        <w:t>[10]</w:t>
      </w:r>
      <w:r w:rsidR="00F129B5" w:rsidRPr="00F55ED2">
        <w:rPr>
          <w:rFonts w:cs="Arial"/>
          <w:szCs w:val="22"/>
        </w:rPr>
        <w:t xml:space="preserve">. </w:t>
      </w:r>
    </w:p>
    <w:p w14:paraId="6610F396" w14:textId="77777777" w:rsidR="00F129B5" w:rsidRPr="00F55ED2" w:rsidRDefault="00F129B5" w:rsidP="00F129B5">
      <w:pPr>
        <w:rPr>
          <w:rFonts w:cs="Arial"/>
          <w:szCs w:val="22"/>
        </w:rPr>
      </w:pPr>
    </w:p>
    <w:p w14:paraId="335DA227" w14:textId="4136BBAD" w:rsidR="00F129B5" w:rsidRPr="00F55ED2" w:rsidRDefault="00F129B5" w:rsidP="00F129B5">
      <w:pPr>
        <w:rPr>
          <w:rFonts w:cs="Arial"/>
          <w:szCs w:val="22"/>
        </w:rPr>
      </w:pPr>
      <w:r w:rsidRPr="00F55ED2">
        <w:rPr>
          <w:rFonts w:cs="Arial"/>
          <w:szCs w:val="22"/>
        </w:rPr>
        <w:t>OS was a secondary outcome of the FALCON trial.  However, at the time of the submission of evidence to NICE, it was not possible for the company to calculate a median OS due to the immaturity of the</w:t>
      </w:r>
      <w:r w:rsidR="005168B2">
        <w:rPr>
          <w:rFonts w:cs="Arial"/>
          <w:szCs w:val="22"/>
        </w:rPr>
        <w:t>se</w:t>
      </w:r>
      <w:r w:rsidRPr="00F55ED2">
        <w:rPr>
          <w:rFonts w:cs="Arial"/>
          <w:szCs w:val="22"/>
        </w:rPr>
        <w:t xml:space="preserve"> data.  A slightly lower proportion of deaths was observed in the fulvestrant arm (29% vs 32% in the anastrozole arm)</w:t>
      </w:r>
      <w:r w:rsidR="000C1D6F">
        <w:rPr>
          <w:rFonts w:cs="Arial"/>
          <w:szCs w:val="22"/>
        </w:rPr>
        <w:t>,</w:t>
      </w:r>
      <w:r w:rsidRPr="00F55ED2">
        <w:rPr>
          <w:rFonts w:cs="Arial"/>
          <w:szCs w:val="22"/>
        </w:rPr>
        <w:t xml:space="preserve"> but this was not a statistically significant difference (HR 0.8</w:t>
      </w:r>
      <w:r w:rsidR="002B5523">
        <w:rPr>
          <w:rFonts w:cs="Arial"/>
          <w:szCs w:val="22"/>
        </w:rPr>
        <w:t>8</w:t>
      </w:r>
      <w:r w:rsidRPr="00F55ED2">
        <w:rPr>
          <w:rFonts w:cs="Arial"/>
          <w:szCs w:val="22"/>
        </w:rPr>
        <w:t>, 95% CI 0.6</w:t>
      </w:r>
      <w:r w:rsidR="002B5523">
        <w:rPr>
          <w:rFonts w:cs="Arial"/>
          <w:szCs w:val="22"/>
        </w:rPr>
        <w:t>3</w:t>
      </w:r>
      <w:r w:rsidRPr="00F55ED2">
        <w:rPr>
          <w:rFonts w:cs="Arial"/>
          <w:szCs w:val="22"/>
        </w:rPr>
        <w:t xml:space="preserve"> to 1.2</w:t>
      </w:r>
      <w:r w:rsidR="002B5523">
        <w:rPr>
          <w:rFonts w:cs="Arial"/>
          <w:szCs w:val="22"/>
        </w:rPr>
        <w:t>2</w:t>
      </w:r>
      <w:r w:rsidRPr="00F55ED2">
        <w:rPr>
          <w:rFonts w:cs="Arial"/>
          <w:szCs w:val="22"/>
        </w:rPr>
        <w:t>, p = 0.4277)</w:t>
      </w:r>
      <w:r w:rsidR="00205D75">
        <w:rPr>
          <w:rFonts w:cs="Arial"/>
          <w:szCs w:val="22"/>
        </w:rPr>
        <w:t xml:space="preserve"> </w:t>
      </w:r>
      <w:r w:rsidR="005B756D">
        <w:rPr>
          <w:rFonts w:cs="Arial"/>
          <w:noProof/>
          <w:szCs w:val="22"/>
        </w:rPr>
        <w:t>[12]</w:t>
      </w:r>
      <w:r w:rsidRPr="00F55ED2">
        <w:rPr>
          <w:rFonts w:cs="Arial"/>
          <w:szCs w:val="22"/>
        </w:rPr>
        <w:t xml:space="preserve">. </w:t>
      </w:r>
      <w:r w:rsidRPr="00F55ED2">
        <w:rPr>
          <w:rFonts w:cs="Arial"/>
          <w:color w:val="000000" w:themeColor="text1"/>
          <w:szCs w:val="22"/>
        </w:rPr>
        <w:t xml:space="preserve"> </w:t>
      </w:r>
      <w:r w:rsidR="005168B2">
        <w:rPr>
          <w:rFonts w:cs="Arial"/>
          <w:color w:val="000000" w:themeColor="text1"/>
          <w:szCs w:val="22"/>
        </w:rPr>
        <w:t>In the FIRST trial a</w:t>
      </w:r>
      <w:r w:rsidRPr="00F55ED2">
        <w:rPr>
          <w:rFonts w:cs="Arial"/>
          <w:szCs w:val="22"/>
        </w:rPr>
        <w:t>n analysis of</w:t>
      </w:r>
      <w:r w:rsidR="005168B2">
        <w:rPr>
          <w:rFonts w:cs="Arial"/>
          <w:szCs w:val="22"/>
        </w:rPr>
        <w:t xml:space="preserve"> OS was not originally specified,</w:t>
      </w:r>
      <w:r w:rsidRPr="00F55ED2">
        <w:rPr>
          <w:rFonts w:cs="Arial"/>
          <w:szCs w:val="22"/>
        </w:rPr>
        <w:t xml:space="preserve"> but an analysis was undertaken when approximately 65% of patients had died </w:t>
      </w:r>
      <w:r w:rsidR="005B756D">
        <w:rPr>
          <w:rFonts w:cs="Arial"/>
          <w:noProof/>
          <w:szCs w:val="22"/>
        </w:rPr>
        <w:t>[11]</w:t>
      </w:r>
      <w:r w:rsidRPr="00F55ED2">
        <w:rPr>
          <w:rFonts w:cs="Arial"/>
          <w:szCs w:val="22"/>
        </w:rPr>
        <w:t xml:space="preserve">.  </w:t>
      </w:r>
      <w:r w:rsidRPr="00F55ED2">
        <w:rPr>
          <w:rFonts w:cs="Arial"/>
          <w:color w:val="000000" w:themeColor="text1"/>
          <w:szCs w:val="22"/>
        </w:rPr>
        <w:t>At the data cut-off, the proportion of patients who had died was lower in the fulvestrant arm than in the anastrozole arm (61.8% versus 71.8% respectively</w:t>
      </w:r>
      <w:r w:rsidRPr="00F55ED2">
        <w:rPr>
          <w:rFonts w:cs="Arial"/>
          <w:szCs w:val="22"/>
        </w:rPr>
        <w:t>)</w:t>
      </w:r>
      <w:r w:rsidR="000C1D6F">
        <w:rPr>
          <w:rFonts w:cs="Arial"/>
          <w:szCs w:val="22"/>
        </w:rPr>
        <w:t>,</w:t>
      </w:r>
      <w:r w:rsidRPr="00F55ED2">
        <w:rPr>
          <w:rFonts w:cs="Arial"/>
          <w:szCs w:val="22"/>
        </w:rPr>
        <w:t xml:space="preserve"> which </w:t>
      </w:r>
      <w:r w:rsidRPr="00F55ED2">
        <w:rPr>
          <w:rFonts w:cs="Arial"/>
          <w:color w:val="000000" w:themeColor="text1"/>
          <w:szCs w:val="22"/>
        </w:rPr>
        <w:t xml:space="preserve">was a </w:t>
      </w:r>
      <w:r w:rsidRPr="00F55ED2">
        <w:rPr>
          <w:rFonts w:cs="Arial"/>
          <w:color w:val="000000" w:themeColor="text1"/>
          <w:szCs w:val="22"/>
        </w:rPr>
        <w:lastRenderedPageBreak/>
        <w:t>statistically significant improvement in median survival in favour of fulvestrant (</w:t>
      </w:r>
      <w:r w:rsidRPr="00F55ED2">
        <w:rPr>
          <w:rFonts w:cs="Arial"/>
          <w:szCs w:val="22"/>
        </w:rPr>
        <w:t xml:space="preserve">54.1 months versus 48.4 months in the anastrozole arm, </w:t>
      </w:r>
      <w:r w:rsidRPr="00F55ED2">
        <w:rPr>
          <w:rFonts w:cs="Arial"/>
          <w:color w:val="000000" w:themeColor="text1"/>
          <w:szCs w:val="22"/>
        </w:rPr>
        <w:t xml:space="preserve">HR 0.70, 95% CI 0.50 </w:t>
      </w:r>
      <w:r w:rsidRPr="00F55ED2">
        <w:rPr>
          <w:rFonts w:cs="Arial"/>
          <w:szCs w:val="22"/>
        </w:rPr>
        <w:t>to 0.98, p=0.04)</w:t>
      </w:r>
      <w:r w:rsidR="00205D75">
        <w:rPr>
          <w:rFonts w:cs="Arial"/>
          <w:szCs w:val="22"/>
        </w:rPr>
        <w:t xml:space="preserve"> </w:t>
      </w:r>
      <w:r w:rsidR="005B756D">
        <w:rPr>
          <w:rFonts w:cs="Arial"/>
          <w:noProof/>
          <w:szCs w:val="22"/>
        </w:rPr>
        <w:t>[11]</w:t>
      </w:r>
      <w:r w:rsidR="005168B2">
        <w:rPr>
          <w:rFonts w:cs="Arial"/>
          <w:szCs w:val="22"/>
        </w:rPr>
        <w:t>.</w:t>
      </w:r>
    </w:p>
    <w:p w14:paraId="2A2271C9" w14:textId="5F5A6B99" w:rsidR="00F129B5" w:rsidRPr="00F55ED2" w:rsidRDefault="00F129B5" w:rsidP="00F129B5">
      <w:pPr>
        <w:rPr>
          <w:rFonts w:cs="Arial"/>
          <w:szCs w:val="22"/>
        </w:rPr>
      </w:pPr>
    </w:p>
    <w:p w14:paraId="0673E7AB" w14:textId="5CD49199" w:rsidR="00F129B5" w:rsidRPr="00F55ED2" w:rsidRDefault="00F129B5" w:rsidP="00F129B5">
      <w:pPr>
        <w:rPr>
          <w:rFonts w:cs="Arial"/>
          <w:szCs w:val="22"/>
        </w:rPr>
      </w:pPr>
      <w:r w:rsidRPr="00F55ED2">
        <w:rPr>
          <w:rFonts w:cs="Arial"/>
          <w:szCs w:val="22"/>
        </w:rPr>
        <w:t xml:space="preserve">The primary outcome for the FIRST </w:t>
      </w:r>
      <w:r w:rsidR="00D22926">
        <w:rPr>
          <w:rFonts w:cs="Arial"/>
          <w:szCs w:val="22"/>
        </w:rPr>
        <w:t>trial</w:t>
      </w:r>
      <w:r w:rsidRPr="00F55ED2">
        <w:rPr>
          <w:rFonts w:cs="Arial"/>
          <w:szCs w:val="22"/>
        </w:rPr>
        <w:t xml:space="preserve"> was clinical benefit rate (CBR), but as a non-inferiority trial, FIRST was not powered to detect a difference in CBR.  In the fulvestrant arm</w:t>
      </w:r>
      <w:r w:rsidR="000C1D6F">
        <w:rPr>
          <w:rFonts w:cs="Arial"/>
          <w:szCs w:val="22"/>
        </w:rPr>
        <w:t>,</w:t>
      </w:r>
      <w:r w:rsidRPr="00F55ED2">
        <w:rPr>
          <w:rFonts w:cs="Arial"/>
          <w:szCs w:val="22"/>
        </w:rPr>
        <w:t xml:space="preserve"> 72.5% achieved clinical benefit versus 67% in the anastrozole arm (OR 1.30, 95% CI 0.72 to 2.38, p = 0.386)</w:t>
      </w:r>
      <w:r w:rsidR="00205D75">
        <w:rPr>
          <w:rFonts w:cs="Arial"/>
          <w:szCs w:val="22"/>
        </w:rPr>
        <w:t xml:space="preserve"> </w:t>
      </w:r>
      <w:r w:rsidR="005B756D">
        <w:rPr>
          <w:rFonts w:cs="Arial"/>
          <w:noProof/>
          <w:szCs w:val="22"/>
        </w:rPr>
        <w:t>[9]</w:t>
      </w:r>
      <w:r w:rsidRPr="00F55ED2">
        <w:rPr>
          <w:rFonts w:cs="Arial"/>
          <w:szCs w:val="22"/>
        </w:rPr>
        <w:t>.  In the FALCON trial</w:t>
      </w:r>
      <w:r w:rsidR="000C1D6F">
        <w:rPr>
          <w:rFonts w:cs="Arial"/>
          <w:szCs w:val="22"/>
        </w:rPr>
        <w:t>,</w:t>
      </w:r>
      <w:r w:rsidRPr="00F55ED2">
        <w:rPr>
          <w:rFonts w:cs="Arial"/>
          <w:szCs w:val="22"/>
        </w:rPr>
        <w:t xml:space="preserve"> CBR was secondary outcome and</w:t>
      </w:r>
      <w:r w:rsidRPr="00F55ED2">
        <w:rPr>
          <w:rFonts w:eastAsiaTheme="minorEastAsia" w:cs="Arial"/>
          <w:szCs w:val="22"/>
        </w:rPr>
        <w:t xml:space="preserve"> results were similar to those seen in the FIRST </w:t>
      </w:r>
      <w:r w:rsidR="00D22926">
        <w:rPr>
          <w:rFonts w:cs="Arial"/>
          <w:szCs w:val="22"/>
        </w:rPr>
        <w:t>trial</w:t>
      </w:r>
      <w:r w:rsidRPr="00F55ED2">
        <w:rPr>
          <w:rFonts w:eastAsiaTheme="minorEastAsia" w:cs="Arial"/>
          <w:szCs w:val="22"/>
        </w:rPr>
        <w:t xml:space="preserve"> (78% in the fulvestrant arm versus 74% in the anastrozole arm, OR 1.25, 95% CI 0.82 to 1.93, p = 0.3045)</w:t>
      </w:r>
      <w:r w:rsidR="00205D75">
        <w:rPr>
          <w:rFonts w:eastAsiaTheme="minorEastAsia" w:cs="Arial"/>
          <w:szCs w:val="22"/>
        </w:rPr>
        <w:t xml:space="preserve"> </w:t>
      </w:r>
      <w:r w:rsidR="005B756D">
        <w:rPr>
          <w:rFonts w:eastAsiaTheme="minorEastAsia" w:cs="Arial"/>
          <w:noProof/>
          <w:szCs w:val="22"/>
        </w:rPr>
        <w:t>[12]</w:t>
      </w:r>
      <w:r w:rsidRPr="00F55ED2">
        <w:rPr>
          <w:rFonts w:eastAsiaTheme="minorEastAsia" w:cs="Arial"/>
          <w:szCs w:val="22"/>
        </w:rPr>
        <w:t>.</w:t>
      </w:r>
    </w:p>
    <w:p w14:paraId="278B2EB7" w14:textId="723B010F" w:rsidR="00F129B5" w:rsidRPr="00F55ED2" w:rsidRDefault="00F129B5" w:rsidP="00F129B5">
      <w:pPr>
        <w:rPr>
          <w:rFonts w:cs="Arial"/>
          <w:szCs w:val="22"/>
        </w:rPr>
      </w:pPr>
    </w:p>
    <w:p w14:paraId="218BE0AC" w14:textId="159C8360" w:rsidR="00F129B5" w:rsidRPr="00F55ED2" w:rsidRDefault="00F129B5" w:rsidP="00F129B5">
      <w:pPr>
        <w:rPr>
          <w:rFonts w:cs="Arial"/>
          <w:szCs w:val="22"/>
        </w:rPr>
      </w:pPr>
      <w:r w:rsidRPr="00F55ED2">
        <w:rPr>
          <w:rFonts w:cs="Arial"/>
          <w:szCs w:val="22"/>
        </w:rPr>
        <w:t xml:space="preserve">Only the FALCON trial collected data on HRQoL using the EQ-5D-3L and the FACT-B questionnaires.  Results from both measures indicated that HRQoL was typically maintained through to the 156 weeks visit and no difference was observed between the two treatment arms during this time. </w:t>
      </w:r>
    </w:p>
    <w:p w14:paraId="0E36F72F" w14:textId="1E64357F" w:rsidR="00F129B5" w:rsidRPr="00F55ED2" w:rsidRDefault="00F129B5" w:rsidP="00F129B5">
      <w:pPr>
        <w:rPr>
          <w:rFonts w:cs="Arial"/>
          <w:szCs w:val="22"/>
        </w:rPr>
      </w:pPr>
    </w:p>
    <w:p w14:paraId="6DB59199" w14:textId="77777777" w:rsidR="00F129B5" w:rsidRPr="00F55ED2" w:rsidRDefault="00F129B5" w:rsidP="00F129B5">
      <w:pPr>
        <w:rPr>
          <w:rFonts w:cs="Arial"/>
          <w:szCs w:val="22"/>
        </w:rPr>
      </w:pPr>
      <w:r w:rsidRPr="00F55ED2">
        <w:rPr>
          <w:rFonts w:cs="Arial"/>
          <w:szCs w:val="22"/>
        </w:rPr>
        <w:t>Among the other secondary outcomes recorded (e.g. ORR and other response-related outcomes), results were either similar between treatment arms or favoured the fulvestrant arm.</w:t>
      </w:r>
    </w:p>
    <w:p w14:paraId="35569342" w14:textId="77777777" w:rsidR="00E15630" w:rsidRPr="00F55ED2" w:rsidRDefault="00E15630">
      <w:pPr>
        <w:rPr>
          <w:rFonts w:cs="Arial"/>
          <w:szCs w:val="22"/>
        </w:rPr>
      </w:pPr>
    </w:p>
    <w:p w14:paraId="69FD3DB5" w14:textId="4056610C" w:rsidR="00982378" w:rsidRPr="00F55ED2" w:rsidRDefault="00982378" w:rsidP="00733902">
      <w:pPr>
        <w:pStyle w:val="Heading3"/>
      </w:pPr>
      <w:r w:rsidRPr="00F55ED2">
        <w:t>Network meta-analysis (NMA)</w:t>
      </w:r>
    </w:p>
    <w:p w14:paraId="4F432E94" w14:textId="0B08621E" w:rsidR="00982378" w:rsidRPr="00F55ED2" w:rsidRDefault="00982378" w:rsidP="00982378">
      <w:pPr>
        <w:rPr>
          <w:rFonts w:cs="Arial"/>
          <w:szCs w:val="22"/>
        </w:rPr>
      </w:pPr>
      <w:r w:rsidRPr="00F55ED2">
        <w:rPr>
          <w:rFonts w:cs="Arial"/>
          <w:szCs w:val="22"/>
        </w:rPr>
        <w:t>No direct comparisons of fulvestrant with letrozole or tamoxifen were available.  However, the company’s S</w:t>
      </w:r>
      <w:r w:rsidR="00740509">
        <w:rPr>
          <w:rFonts w:cs="Arial"/>
          <w:szCs w:val="22"/>
        </w:rPr>
        <w:t>L</w:t>
      </w:r>
      <w:r w:rsidRPr="00F55ED2">
        <w:rPr>
          <w:rFonts w:cs="Arial"/>
          <w:szCs w:val="22"/>
        </w:rPr>
        <w:t xml:space="preserve">R identified four additional RCTs that were </w:t>
      </w:r>
      <w:r w:rsidRPr="00740509">
        <w:rPr>
          <w:rFonts w:cs="Arial"/>
          <w:szCs w:val="22"/>
        </w:rPr>
        <w:t xml:space="preserve">considered </w:t>
      </w:r>
      <w:r w:rsidRPr="00F55ED2">
        <w:rPr>
          <w:rFonts w:cs="Arial"/>
          <w:szCs w:val="22"/>
        </w:rPr>
        <w:t>for inclu</w:t>
      </w:r>
      <w:r w:rsidR="000C1D6F">
        <w:rPr>
          <w:rFonts w:cs="Arial"/>
          <w:szCs w:val="22"/>
        </w:rPr>
        <w:t>sion</w:t>
      </w:r>
      <w:r w:rsidRPr="00F55ED2">
        <w:rPr>
          <w:rFonts w:cs="Arial"/>
          <w:szCs w:val="22"/>
        </w:rPr>
        <w:t xml:space="preserve"> in a network meta-analysis (NMA).  Two </w:t>
      </w:r>
      <w:r w:rsidR="00D22926">
        <w:rPr>
          <w:rFonts w:cs="Arial"/>
          <w:szCs w:val="22"/>
        </w:rPr>
        <w:t>trials</w:t>
      </w:r>
      <w:r w:rsidRPr="00F55ED2">
        <w:rPr>
          <w:rFonts w:cs="Arial"/>
          <w:szCs w:val="22"/>
        </w:rPr>
        <w:t xml:space="preserve"> compared anastrozole (1 mg) versus tamoxifen (20 mg) </w:t>
      </w:r>
      <w:r w:rsidR="005B756D">
        <w:rPr>
          <w:rFonts w:cs="Arial"/>
          <w:noProof/>
          <w:szCs w:val="22"/>
        </w:rPr>
        <w:t>[13, 14]</w:t>
      </w:r>
      <w:r w:rsidRPr="00F55ED2">
        <w:rPr>
          <w:rFonts w:cs="Arial"/>
          <w:szCs w:val="22"/>
        </w:rPr>
        <w:t xml:space="preserve"> and one compared anastrozole (1 mg) versus tamoxifen (40 mg)</w:t>
      </w:r>
      <w:r w:rsidR="00C0118F">
        <w:rPr>
          <w:rFonts w:cs="Arial"/>
          <w:szCs w:val="22"/>
        </w:rPr>
        <w:t xml:space="preserve"> </w:t>
      </w:r>
      <w:r w:rsidR="005B756D">
        <w:rPr>
          <w:rFonts w:cs="Arial"/>
          <w:noProof/>
          <w:szCs w:val="22"/>
        </w:rPr>
        <w:t>[15]</w:t>
      </w:r>
      <w:r w:rsidRPr="00F55ED2">
        <w:rPr>
          <w:rFonts w:cs="Arial"/>
          <w:szCs w:val="22"/>
        </w:rPr>
        <w:t xml:space="preserve">, a dose not recommended by the European Medicines Agency (EMA). This latter </w:t>
      </w:r>
      <w:r w:rsidR="00D22926">
        <w:rPr>
          <w:rFonts w:cs="Arial"/>
          <w:szCs w:val="22"/>
        </w:rPr>
        <w:t>trial</w:t>
      </w:r>
      <w:r w:rsidRPr="00F55ED2">
        <w:rPr>
          <w:rFonts w:cs="Arial"/>
          <w:szCs w:val="22"/>
        </w:rPr>
        <w:t xml:space="preserve"> was subsequently excluded from the NMA, as it also only reported the outcomes of interest for a subset of participants.  One further trial (the PO25 trial</w:t>
      </w:r>
      <w:r w:rsidR="00C0118F">
        <w:rPr>
          <w:rFonts w:cs="Arial"/>
          <w:szCs w:val="22"/>
        </w:rPr>
        <w:t xml:space="preserve"> </w:t>
      </w:r>
      <w:r w:rsidR="005B756D">
        <w:rPr>
          <w:rFonts w:cs="Arial"/>
          <w:noProof/>
          <w:szCs w:val="22"/>
        </w:rPr>
        <w:t>[16, 17]</w:t>
      </w:r>
      <w:r w:rsidRPr="00F55ED2">
        <w:rPr>
          <w:rFonts w:cs="Arial"/>
          <w:szCs w:val="22"/>
        </w:rPr>
        <w:t xml:space="preserve">) compared letrozole (2.5 mg) versus tamoxifen (20 mg).  The final network therefore included data from five trials: FIRST and FALCON (fulvestrant vs anastrozole); the North American and Target trials as a combined dataset termed NorthAmTARGET (anastrozole versus tamoxifen) and PO25 (letrozole versus tamoxifen). The studies included in the NMA are shown in </w:t>
      </w:r>
      <w:r w:rsidR="001F7D04">
        <w:t xml:space="preserve">Figure </w:t>
      </w:r>
      <w:r w:rsidR="001F7D04">
        <w:rPr>
          <w:noProof/>
        </w:rPr>
        <w:t>1</w:t>
      </w:r>
      <w:r w:rsidR="00740509">
        <w:rPr>
          <w:rFonts w:cs="Arial"/>
          <w:szCs w:val="22"/>
        </w:rPr>
        <w:t>.</w:t>
      </w:r>
    </w:p>
    <w:p w14:paraId="5F5ED08F" w14:textId="1FBD2E2D" w:rsidR="00982378" w:rsidRDefault="00982378" w:rsidP="00982378">
      <w:pPr>
        <w:outlineLvl w:val="0"/>
        <w:rPr>
          <w:rFonts w:cs="Arial"/>
          <w:iCs/>
          <w:szCs w:val="22"/>
        </w:rPr>
      </w:pPr>
    </w:p>
    <w:p w14:paraId="054B76E9" w14:textId="5B112432" w:rsidR="00740509" w:rsidRDefault="00740509" w:rsidP="00740509">
      <w:pPr>
        <w:pStyle w:val="Caption"/>
        <w:rPr>
          <w:rFonts w:ascii="Times New Roman" w:hAnsi="Times New Roman"/>
          <w:sz w:val="28"/>
          <w:szCs w:val="28"/>
        </w:rPr>
      </w:pPr>
      <w:bookmarkStart w:id="1" w:name="_Ref520722322"/>
      <w:r>
        <w:lastRenderedPageBreak/>
        <w:t xml:space="preserve">Figure </w:t>
      </w:r>
      <w:r w:rsidR="001F7D04">
        <w:rPr>
          <w:noProof/>
        </w:rPr>
        <w:t>1</w:t>
      </w:r>
      <w:bookmarkEnd w:id="1"/>
      <w:r>
        <w:t>. Studies included in the company’s NMA to compare fulvestrant, anastrozole, letrozole and tamoxifen</w:t>
      </w:r>
    </w:p>
    <w:p w14:paraId="2929DEB5" w14:textId="77777777" w:rsidR="00740509" w:rsidRPr="00F85846" w:rsidRDefault="00740509" w:rsidP="00982378">
      <w:pPr>
        <w:rPr>
          <w:rFonts w:cs="Arial"/>
          <w:szCs w:val="22"/>
        </w:rPr>
      </w:pPr>
    </w:p>
    <w:p w14:paraId="1F2A6376" w14:textId="51F2A92E" w:rsidR="00982378" w:rsidRPr="00F85846" w:rsidRDefault="00982378" w:rsidP="00982378">
      <w:pPr>
        <w:rPr>
          <w:rFonts w:cs="Arial"/>
          <w:szCs w:val="22"/>
        </w:rPr>
      </w:pPr>
      <w:r w:rsidRPr="00F85846">
        <w:rPr>
          <w:rFonts w:cs="Arial"/>
          <w:szCs w:val="22"/>
        </w:rPr>
        <w:t>In all studies, the enrolled population w</w:t>
      </w:r>
      <w:r w:rsidR="00DB136B">
        <w:rPr>
          <w:rFonts w:cs="Arial"/>
          <w:szCs w:val="22"/>
        </w:rPr>
        <w:t>as</w:t>
      </w:r>
      <w:r w:rsidRPr="00F85846">
        <w:rPr>
          <w:rFonts w:cs="Arial"/>
          <w:szCs w:val="22"/>
        </w:rPr>
        <w:t xml:space="preserve"> post-menopausal women with ER+ and/or PgR+ ABC. However, as HER status testing only became routine after the mid 2000’s, the only trial which fully excluded HER+ participants was the FALCON trial. </w:t>
      </w:r>
    </w:p>
    <w:p w14:paraId="1C4CFCC3" w14:textId="77777777" w:rsidR="00982378" w:rsidRPr="00F85846" w:rsidRDefault="00982378" w:rsidP="00982378">
      <w:pPr>
        <w:rPr>
          <w:rFonts w:cs="Arial"/>
          <w:szCs w:val="22"/>
        </w:rPr>
      </w:pPr>
    </w:p>
    <w:p w14:paraId="50897DEF" w14:textId="2B71B83E" w:rsidR="00982378" w:rsidRPr="00F85846" w:rsidRDefault="00982378" w:rsidP="00982378">
      <w:pPr>
        <w:rPr>
          <w:rFonts w:cs="Arial"/>
          <w:szCs w:val="22"/>
        </w:rPr>
      </w:pPr>
      <w:r w:rsidRPr="00F85846">
        <w:rPr>
          <w:rFonts w:cs="Arial"/>
          <w:szCs w:val="22"/>
        </w:rPr>
        <w:t xml:space="preserve">Individual patient data (IPD) </w:t>
      </w:r>
      <w:r w:rsidR="003C222C">
        <w:rPr>
          <w:rFonts w:cs="Arial"/>
          <w:szCs w:val="22"/>
        </w:rPr>
        <w:t>were</w:t>
      </w:r>
      <w:r w:rsidRPr="00F85846">
        <w:rPr>
          <w:rFonts w:cs="Arial"/>
          <w:szCs w:val="22"/>
        </w:rPr>
        <w:t xml:space="preserve"> available for the two fulvestrant trials and for the </w:t>
      </w:r>
      <w:r w:rsidR="003C222C">
        <w:rPr>
          <w:rFonts w:cs="Arial"/>
          <w:szCs w:val="22"/>
        </w:rPr>
        <w:t xml:space="preserve">pooled </w:t>
      </w:r>
      <w:r w:rsidRPr="00F85846">
        <w:rPr>
          <w:rFonts w:cs="Arial"/>
          <w:szCs w:val="22"/>
        </w:rPr>
        <w:t>NorthAmTARGET data set.  This enabled the company to match participants from the FIRST and NorthAmTARGET trials to the FALCON trial inclusion criteria that required participants to be</w:t>
      </w:r>
      <w:r w:rsidR="003C222C">
        <w:rPr>
          <w:rFonts w:cs="Arial"/>
          <w:szCs w:val="22"/>
        </w:rPr>
        <w:t xml:space="preserve"> </w:t>
      </w:r>
      <w:r w:rsidRPr="00F85846">
        <w:rPr>
          <w:rFonts w:cs="Arial"/>
          <w:szCs w:val="22"/>
        </w:rPr>
        <w:t>ER+/ P</w:t>
      </w:r>
      <w:r w:rsidR="003C222C">
        <w:rPr>
          <w:rFonts w:cs="Arial"/>
          <w:szCs w:val="22"/>
        </w:rPr>
        <w:t>g</w:t>
      </w:r>
      <w:r w:rsidRPr="00F85846">
        <w:rPr>
          <w:rFonts w:cs="Arial"/>
          <w:szCs w:val="22"/>
        </w:rPr>
        <w:t xml:space="preserve">R+ and endocrine treatment </w:t>
      </w:r>
      <w:r w:rsidR="00054094">
        <w:rPr>
          <w:rFonts w:cs="Arial"/>
          <w:szCs w:val="22"/>
        </w:rPr>
        <w:t>naïve</w:t>
      </w:r>
      <w:r w:rsidRPr="00F85846">
        <w:rPr>
          <w:rFonts w:cs="Arial"/>
          <w:szCs w:val="22"/>
        </w:rPr>
        <w:t xml:space="preserve">.  The purpose of this matching process was to increase homogeneity between </w:t>
      </w:r>
      <w:r w:rsidR="003C222C">
        <w:rPr>
          <w:rFonts w:cs="Arial"/>
          <w:szCs w:val="22"/>
        </w:rPr>
        <w:t xml:space="preserve">participants in </w:t>
      </w:r>
      <w:r w:rsidRPr="00F85846">
        <w:rPr>
          <w:rFonts w:cs="Arial"/>
          <w:szCs w:val="22"/>
        </w:rPr>
        <w:t xml:space="preserve">the FALCON trial and </w:t>
      </w:r>
      <w:r w:rsidR="003C222C">
        <w:rPr>
          <w:rFonts w:cs="Arial"/>
          <w:szCs w:val="22"/>
        </w:rPr>
        <w:t xml:space="preserve">those in </w:t>
      </w:r>
      <w:r w:rsidRPr="00F85846">
        <w:rPr>
          <w:rFonts w:cs="Arial"/>
          <w:szCs w:val="22"/>
        </w:rPr>
        <w:t xml:space="preserve">the FIRST </w:t>
      </w:r>
      <w:r w:rsidR="003C222C">
        <w:rPr>
          <w:rFonts w:cs="Arial"/>
          <w:szCs w:val="22"/>
        </w:rPr>
        <w:t>and NorthAmTARGET trials.</w:t>
      </w:r>
    </w:p>
    <w:p w14:paraId="45B12366" w14:textId="77777777" w:rsidR="00982378" w:rsidRPr="00F85846" w:rsidRDefault="00982378" w:rsidP="00982378">
      <w:pPr>
        <w:rPr>
          <w:rFonts w:cs="Arial"/>
          <w:szCs w:val="22"/>
        </w:rPr>
      </w:pPr>
    </w:p>
    <w:p w14:paraId="22F3330D" w14:textId="1CDA66CA" w:rsidR="003C222C" w:rsidRDefault="00982378" w:rsidP="00982378">
      <w:pPr>
        <w:rPr>
          <w:rFonts w:cs="Arial"/>
          <w:szCs w:val="22"/>
        </w:rPr>
      </w:pPr>
      <w:r w:rsidRPr="00F85846">
        <w:rPr>
          <w:rFonts w:cs="Arial"/>
          <w:szCs w:val="22"/>
        </w:rPr>
        <w:t xml:space="preserve">After the matching process described above, Kaplan-Meier (KM) plots of PFS and OS were produced for FALCON and the matched subgroups of participants from the FIRST, and NorthAmTARGET trials.  </w:t>
      </w:r>
      <w:r w:rsidR="003C222C">
        <w:rPr>
          <w:rFonts w:cs="Arial"/>
          <w:szCs w:val="22"/>
        </w:rPr>
        <w:t>I</w:t>
      </w:r>
      <w:r w:rsidRPr="00F85846">
        <w:rPr>
          <w:rFonts w:cs="Arial"/>
          <w:szCs w:val="22"/>
        </w:rPr>
        <w:t xml:space="preserve">t was not possible to match data from the PO25 trial comparing letrozole to tamoxifen because only aggregate data were available.  PFS and OS plots were redrawn by digitising the published KM plots for the </w:t>
      </w:r>
      <w:r w:rsidR="003C222C">
        <w:rPr>
          <w:rFonts w:cs="Arial"/>
          <w:szCs w:val="22"/>
        </w:rPr>
        <w:t>PO25 trial</w:t>
      </w:r>
      <w:r w:rsidRPr="00F85846">
        <w:rPr>
          <w:rFonts w:cs="Arial"/>
          <w:szCs w:val="22"/>
        </w:rPr>
        <w:t xml:space="preserve"> and reconstructing patient-level data using a published algorithm </w:t>
      </w:r>
      <w:r w:rsidR="005B756D">
        <w:rPr>
          <w:rFonts w:cs="Arial"/>
          <w:noProof/>
          <w:szCs w:val="22"/>
        </w:rPr>
        <w:t>[18]</w:t>
      </w:r>
      <w:r w:rsidRPr="00F85846">
        <w:rPr>
          <w:rFonts w:cs="Arial"/>
          <w:szCs w:val="22"/>
        </w:rPr>
        <w:t>.</w:t>
      </w:r>
    </w:p>
    <w:p w14:paraId="7FB148BD" w14:textId="77777777" w:rsidR="003C222C" w:rsidRDefault="003C222C" w:rsidP="00982378">
      <w:pPr>
        <w:rPr>
          <w:rFonts w:cs="Arial"/>
          <w:szCs w:val="22"/>
        </w:rPr>
      </w:pPr>
    </w:p>
    <w:p w14:paraId="37A7D746" w14:textId="2D88C789" w:rsidR="00982378" w:rsidRPr="00F85846" w:rsidRDefault="00982378" w:rsidP="00982378">
      <w:pPr>
        <w:rPr>
          <w:rFonts w:cs="Arial"/>
          <w:szCs w:val="22"/>
        </w:rPr>
      </w:pPr>
      <w:r w:rsidRPr="00F85846">
        <w:rPr>
          <w:rFonts w:cs="Arial"/>
          <w:szCs w:val="22"/>
        </w:rPr>
        <w:t xml:space="preserve">The KM plots and log cumulative hazard plots for OS and PFS </w:t>
      </w:r>
      <w:r w:rsidR="003C222C">
        <w:rPr>
          <w:rFonts w:cs="Arial"/>
          <w:szCs w:val="22"/>
        </w:rPr>
        <w:t xml:space="preserve">for each </w:t>
      </w:r>
      <w:r w:rsidR="00D22926">
        <w:rPr>
          <w:rFonts w:cs="Arial"/>
          <w:szCs w:val="22"/>
        </w:rPr>
        <w:t>trial</w:t>
      </w:r>
      <w:r w:rsidR="003C222C">
        <w:rPr>
          <w:rFonts w:cs="Arial"/>
          <w:szCs w:val="22"/>
        </w:rPr>
        <w:t xml:space="preserve"> were </w:t>
      </w:r>
      <w:r w:rsidRPr="00F85846">
        <w:rPr>
          <w:rFonts w:cs="Arial"/>
          <w:szCs w:val="22"/>
        </w:rPr>
        <w:t>then examined visually and it was concluded that the assumption of proportional hazards did not hold for all studies.  Therefore the company chose to use an NMA method developed by Ouwens et al.</w:t>
      </w:r>
      <w:r w:rsidR="00DB136B">
        <w:rPr>
          <w:rFonts w:cs="Arial"/>
          <w:szCs w:val="22"/>
        </w:rPr>
        <w:t xml:space="preserve"> </w:t>
      </w:r>
      <w:r w:rsidR="005B756D">
        <w:rPr>
          <w:rFonts w:cs="Arial"/>
          <w:noProof/>
          <w:szCs w:val="22"/>
        </w:rPr>
        <w:t>[19]</w:t>
      </w:r>
      <w:r w:rsidR="00BB4322">
        <w:rPr>
          <w:rFonts w:cs="Arial"/>
          <w:szCs w:val="22"/>
        </w:rPr>
        <w:t>,</w:t>
      </w:r>
      <w:r w:rsidR="003C222C">
        <w:rPr>
          <w:rFonts w:cs="Arial"/>
          <w:szCs w:val="22"/>
        </w:rPr>
        <w:t xml:space="preserve"> </w:t>
      </w:r>
      <w:r w:rsidRPr="00F85846">
        <w:rPr>
          <w:rFonts w:cs="Arial"/>
          <w:szCs w:val="22"/>
        </w:rPr>
        <w:t>in which the differences in the shape and scale parameters of the parametric survival function used to model PFS or OS between the intervention and each comparator over time are synthesised, and used both for the indirect comparison and to extrapolate the PFS and OS curves beyond the end of trial follow-up.</w:t>
      </w:r>
    </w:p>
    <w:p w14:paraId="3CFA5C64" w14:textId="77777777" w:rsidR="00982378" w:rsidRPr="00F85846" w:rsidRDefault="00982378" w:rsidP="00982378">
      <w:pPr>
        <w:rPr>
          <w:rFonts w:cs="Arial"/>
          <w:szCs w:val="22"/>
        </w:rPr>
      </w:pPr>
    </w:p>
    <w:p w14:paraId="6BB73880" w14:textId="02379F4F" w:rsidR="00982378" w:rsidRPr="00F85846" w:rsidRDefault="00982378" w:rsidP="00982378">
      <w:pPr>
        <w:rPr>
          <w:rFonts w:cs="Arial"/>
          <w:szCs w:val="22"/>
        </w:rPr>
      </w:pPr>
      <w:r w:rsidRPr="00F85846">
        <w:rPr>
          <w:rFonts w:cs="Arial"/>
          <w:szCs w:val="22"/>
        </w:rPr>
        <w:t>A fixed-effect NMA of PFS was conducted for five different parametric distributions (Weibull, Gompertz, log-logistic, lognormal and generalised gamma).  For all distributions except the Gompertz</w:t>
      </w:r>
      <w:r w:rsidR="00BB4322">
        <w:rPr>
          <w:rFonts w:cs="Arial"/>
          <w:szCs w:val="22"/>
        </w:rPr>
        <w:t>,</w:t>
      </w:r>
      <w:r w:rsidRPr="00F85846">
        <w:rPr>
          <w:rFonts w:cs="Arial"/>
          <w:szCs w:val="22"/>
        </w:rPr>
        <w:t xml:space="preserve"> the difference in the scale parameter PFS with fulvestrant was statistically significantly better than anastrozole and PFS was tamoxifen was statistically significantly worse </w:t>
      </w:r>
      <w:r w:rsidRPr="00F85846">
        <w:rPr>
          <w:rFonts w:cs="Arial"/>
          <w:szCs w:val="22"/>
        </w:rPr>
        <w:lastRenderedPageBreak/>
        <w:t>than anastrozole.  For the shape parameter</w:t>
      </w:r>
      <w:r w:rsidR="00BB4322">
        <w:rPr>
          <w:rFonts w:cs="Arial"/>
          <w:szCs w:val="22"/>
        </w:rPr>
        <w:t>,</w:t>
      </w:r>
      <w:r w:rsidRPr="00F85846">
        <w:rPr>
          <w:rFonts w:cs="Arial"/>
          <w:szCs w:val="22"/>
        </w:rPr>
        <w:t xml:space="preserve"> the lognormal distribution results also indicated fulvestrant was better than anastrozole</w:t>
      </w:r>
      <w:r w:rsidR="00BB4322">
        <w:rPr>
          <w:rFonts w:cs="Arial"/>
          <w:szCs w:val="22"/>
        </w:rPr>
        <w:t>,</w:t>
      </w:r>
      <w:r w:rsidRPr="00F85846">
        <w:rPr>
          <w:rFonts w:cs="Arial"/>
          <w:szCs w:val="22"/>
        </w:rPr>
        <w:t xml:space="preserve"> whereas tamoxifen was worse than anastrozole</w:t>
      </w:r>
      <w:r w:rsidR="00BB4322">
        <w:rPr>
          <w:rFonts w:cs="Arial"/>
          <w:szCs w:val="22"/>
        </w:rPr>
        <w:t>. T</w:t>
      </w:r>
      <w:r w:rsidRPr="00F85846">
        <w:rPr>
          <w:rFonts w:cs="Arial"/>
          <w:szCs w:val="22"/>
        </w:rPr>
        <w:t>hese were the only statistically significant results.</w:t>
      </w:r>
    </w:p>
    <w:p w14:paraId="6EFF6DF9" w14:textId="77777777" w:rsidR="00982378" w:rsidRPr="00F85846" w:rsidRDefault="00982378" w:rsidP="00982378">
      <w:pPr>
        <w:rPr>
          <w:rFonts w:cs="Arial"/>
          <w:szCs w:val="22"/>
        </w:rPr>
      </w:pPr>
    </w:p>
    <w:p w14:paraId="33353FF7" w14:textId="582AE3D0" w:rsidR="00982378" w:rsidRPr="00F85846" w:rsidRDefault="00982378" w:rsidP="00982378">
      <w:pPr>
        <w:rPr>
          <w:rFonts w:cs="Arial"/>
          <w:szCs w:val="22"/>
        </w:rPr>
      </w:pPr>
      <w:r w:rsidRPr="00F85846">
        <w:rPr>
          <w:rFonts w:cs="Arial"/>
          <w:szCs w:val="22"/>
        </w:rPr>
        <w:t>A fixed effect NMA of OS was also conducted for the five difference parametric distributions.  No statistically significant differences were observed for the fulvestrant versus anastrozole comparisons in either the shape or scale parameters.</w:t>
      </w:r>
    </w:p>
    <w:p w14:paraId="6851135B" w14:textId="77777777" w:rsidR="00982378" w:rsidRPr="00F85846" w:rsidRDefault="00982378">
      <w:pPr>
        <w:rPr>
          <w:rFonts w:cs="Arial"/>
          <w:szCs w:val="22"/>
        </w:rPr>
      </w:pPr>
    </w:p>
    <w:p w14:paraId="011153CC" w14:textId="77777777" w:rsidR="00982378" w:rsidRDefault="00982378" w:rsidP="00982378">
      <w:pPr>
        <w:pStyle w:val="Heading3"/>
      </w:pPr>
      <w:r>
        <w:t>ERG critique of the clinical effectiveness evidence</w:t>
      </w:r>
    </w:p>
    <w:p w14:paraId="724ED98F" w14:textId="6AE0DA4E" w:rsidR="00105E06" w:rsidRPr="00E34A52" w:rsidRDefault="00105E06" w:rsidP="00105E06">
      <w:pPr>
        <w:rPr>
          <w:rFonts w:cs="Arial"/>
          <w:szCs w:val="22"/>
        </w:rPr>
      </w:pPr>
      <w:r w:rsidRPr="00E34A52">
        <w:rPr>
          <w:rFonts w:cs="Arial"/>
          <w:szCs w:val="22"/>
        </w:rPr>
        <w:t xml:space="preserve">The company’s </w:t>
      </w:r>
      <w:r w:rsidR="003C222C" w:rsidRPr="00E34A52">
        <w:rPr>
          <w:rFonts w:cs="Arial"/>
          <w:szCs w:val="22"/>
        </w:rPr>
        <w:t>SLR</w:t>
      </w:r>
      <w:r w:rsidRPr="00E34A52">
        <w:rPr>
          <w:rFonts w:cs="Arial"/>
          <w:szCs w:val="22"/>
        </w:rPr>
        <w:t xml:space="preserve"> identified all the relevant evidence for fulvestrant and the comparators anastrozole, letrozole and tamoxifen.  The FIRST </w:t>
      </w:r>
      <w:r w:rsidR="005B756D">
        <w:rPr>
          <w:rFonts w:cs="Arial"/>
          <w:noProof/>
          <w:szCs w:val="22"/>
        </w:rPr>
        <w:t>[9-11]</w:t>
      </w:r>
      <w:r w:rsidR="00DB136B">
        <w:rPr>
          <w:rFonts w:cs="Arial"/>
          <w:szCs w:val="22"/>
        </w:rPr>
        <w:t xml:space="preserve"> </w:t>
      </w:r>
      <w:r w:rsidRPr="00E34A52">
        <w:rPr>
          <w:rFonts w:cs="Arial"/>
          <w:szCs w:val="22"/>
        </w:rPr>
        <w:t xml:space="preserve">and FALCON </w:t>
      </w:r>
      <w:r w:rsidR="005B756D">
        <w:rPr>
          <w:rFonts w:cs="Arial"/>
          <w:noProof/>
          <w:szCs w:val="22"/>
        </w:rPr>
        <w:t>[12]</w:t>
      </w:r>
      <w:r w:rsidR="00DB136B">
        <w:rPr>
          <w:rFonts w:cs="Arial"/>
          <w:szCs w:val="22"/>
        </w:rPr>
        <w:t xml:space="preserve"> </w:t>
      </w:r>
      <w:r w:rsidRPr="00E34A52">
        <w:rPr>
          <w:rFonts w:cs="Arial"/>
          <w:szCs w:val="22"/>
        </w:rPr>
        <w:t xml:space="preserve">trials comparing fulvestrant to </w:t>
      </w:r>
      <w:r w:rsidR="002B36C1" w:rsidRPr="00E34A52">
        <w:rPr>
          <w:rFonts w:cs="Arial"/>
          <w:szCs w:val="22"/>
        </w:rPr>
        <w:t>anastrozole</w:t>
      </w:r>
      <w:r w:rsidRPr="00E34A52">
        <w:rPr>
          <w:rFonts w:cs="Arial"/>
          <w:szCs w:val="22"/>
        </w:rPr>
        <w:t xml:space="preserve"> were of good methodological quality, but only interim </w:t>
      </w:r>
      <w:r w:rsidR="00B17C4D" w:rsidRPr="00E34A52">
        <w:rPr>
          <w:rFonts w:cs="Arial"/>
          <w:szCs w:val="22"/>
        </w:rPr>
        <w:t xml:space="preserve">OS </w:t>
      </w:r>
      <w:r w:rsidRPr="00E34A52">
        <w:rPr>
          <w:rFonts w:cs="Arial"/>
          <w:szCs w:val="22"/>
        </w:rPr>
        <w:t>results were available from FALCON at the time of the company’s submission to NICE.  This meant median OS could not be calculated for this trial.</w:t>
      </w:r>
    </w:p>
    <w:p w14:paraId="6D9BFCA4" w14:textId="77777777" w:rsidR="00105E06" w:rsidRPr="00E34A52" w:rsidRDefault="00105E06" w:rsidP="00105E06">
      <w:pPr>
        <w:rPr>
          <w:rFonts w:cs="Arial"/>
          <w:szCs w:val="22"/>
        </w:rPr>
      </w:pPr>
    </w:p>
    <w:p w14:paraId="48A3A7EB" w14:textId="7E2DD562" w:rsidR="00105E06" w:rsidRPr="00E34A52" w:rsidRDefault="00105E06" w:rsidP="00105E06">
      <w:pPr>
        <w:rPr>
          <w:rFonts w:cs="Arial"/>
          <w:szCs w:val="22"/>
        </w:rPr>
      </w:pPr>
      <w:r w:rsidRPr="00E34A52">
        <w:rPr>
          <w:rFonts w:cs="Arial"/>
          <w:szCs w:val="22"/>
        </w:rPr>
        <w:t xml:space="preserve">There was some heterogeneity between the FALCON </w:t>
      </w:r>
      <w:r w:rsidR="00D22926">
        <w:rPr>
          <w:rFonts w:cs="Arial"/>
          <w:szCs w:val="22"/>
        </w:rPr>
        <w:t>trial</w:t>
      </w:r>
      <w:r w:rsidRPr="00E34A52">
        <w:rPr>
          <w:rFonts w:cs="Arial"/>
          <w:szCs w:val="22"/>
        </w:rPr>
        <w:t xml:space="preserve"> (the key phase III trial for fulvestrant) and the other studies included in the NMA.  In FALCON</w:t>
      </w:r>
      <w:r w:rsidR="00513C81">
        <w:rPr>
          <w:rFonts w:cs="Arial"/>
          <w:szCs w:val="22"/>
        </w:rPr>
        <w:t xml:space="preserve"> </w:t>
      </w:r>
      <w:r w:rsidRPr="00E34A52">
        <w:rPr>
          <w:rFonts w:cs="Arial"/>
          <w:szCs w:val="22"/>
        </w:rPr>
        <w:t>all participants had breast cancer that was ER+ and/or PgR+, HER2</w:t>
      </w:r>
      <w:r w:rsidR="00D87BF1" w:rsidRPr="00E34A52">
        <w:rPr>
          <w:rFonts w:cs="Arial"/>
          <w:szCs w:val="22"/>
        </w:rPr>
        <w:t xml:space="preserve">-, </w:t>
      </w:r>
      <w:r w:rsidRPr="00E34A52">
        <w:rPr>
          <w:rFonts w:cs="Arial"/>
          <w:szCs w:val="22"/>
        </w:rPr>
        <w:t xml:space="preserve">and </w:t>
      </w:r>
      <w:r w:rsidR="00D87BF1" w:rsidRPr="00E34A52">
        <w:rPr>
          <w:rFonts w:cs="Arial"/>
          <w:szCs w:val="22"/>
        </w:rPr>
        <w:t xml:space="preserve">all </w:t>
      </w:r>
      <w:r w:rsidRPr="00E34A52">
        <w:rPr>
          <w:rFonts w:cs="Arial"/>
          <w:szCs w:val="22"/>
        </w:rPr>
        <w:t xml:space="preserve">participants were endocrine therapy </w:t>
      </w:r>
      <w:r w:rsidR="00BB4322">
        <w:rPr>
          <w:rFonts w:cs="Arial"/>
          <w:szCs w:val="22"/>
        </w:rPr>
        <w:t>naïve</w:t>
      </w:r>
      <w:r w:rsidRPr="00E34A52">
        <w:rPr>
          <w:rFonts w:cs="Arial"/>
          <w:szCs w:val="22"/>
        </w:rPr>
        <w:t>. In the FIRST trial 25% of patients had received previous endocrine therapy at least 12 months prior to trial randomisation</w:t>
      </w:r>
      <w:r w:rsidR="009055BE">
        <w:rPr>
          <w:rFonts w:cs="Arial"/>
          <w:szCs w:val="22"/>
        </w:rPr>
        <w:t>.  A</w:t>
      </w:r>
      <w:r w:rsidRPr="00E34A52">
        <w:rPr>
          <w:rFonts w:cs="Arial"/>
          <w:szCs w:val="22"/>
        </w:rPr>
        <w:t xml:space="preserve">mong the North American, TARGET and PO25 studies 11% to 20% of participants were not endocrine therapy naïve.  All participants in the FIRST trial had HR+ breast cancer but this was not the case in the other studies (North American 89%, TARGET 45% and PO25 66% were HR+).  Finally, because HER status was not routinely being tested until the mid-2000s </w:t>
      </w:r>
      <w:r w:rsidR="005B756D">
        <w:rPr>
          <w:rFonts w:cs="Arial"/>
          <w:noProof/>
          <w:szCs w:val="22"/>
        </w:rPr>
        <w:t>[20]</w:t>
      </w:r>
      <w:r w:rsidR="009055BE">
        <w:rPr>
          <w:rFonts w:cs="Arial"/>
          <w:szCs w:val="22"/>
        </w:rPr>
        <w:t>,</w:t>
      </w:r>
      <w:r w:rsidRPr="00E34A52">
        <w:rPr>
          <w:rFonts w:cs="Arial"/>
          <w:szCs w:val="22"/>
        </w:rPr>
        <w:t xml:space="preserve"> the FALCON </w:t>
      </w:r>
      <w:r w:rsidR="00D22926">
        <w:rPr>
          <w:rFonts w:cs="Arial"/>
          <w:szCs w:val="22"/>
        </w:rPr>
        <w:t>trial</w:t>
      </w:r>
      <w:r w:rsidRPr="00E34A52">
        <w:rPr>
          <w:rFonts w:cs="Arial"/>
          <w:szCs w:val="22"/>
        </w:rPr>
        <w:t xml:space="preserve"> was the only trial where participants were required to be HER-.  Information for some participants was obtained retrospectively for the FIRST </w:t>
      </w:r>
      <w:r w:rsidR="00D22926">
        <w:rPr>
          <w:rFonts w:cs="Arial"/>
          <w:szCs w:val="22"/>
        </w:rPr>
        <w:t>trial</w:t>
      </w:r>
      <w:r w:rsidR="009055BE">
        <w:rPr>
          <w:rFonts w:cs="Arial"/>
          <w:szCs w:val="22"/>
        </w:rPr>
        <w:t>,</w:t>
      </w:r>
      <w:r w:rsidRPr="00E34A52">
        <w:rPr>
          <w:rFonts w:cs="Arial"/>
          <w:szCs w:val="22"/>
        </w:rPr>
        <w:t xml:space="preserve"> but </w:t>
      </w:r>
      <w:r w:rsidR="00D87BF1" w:rsidRPr="00E34A52">
        <w:rPr>
          <w:rFonts w:cs="Arial"/>
          <w:szCs w:val="22"/>
        </w:rPr>
        <w:t xml:space="preserve">HER status </w:t>
      </w:r>
      <w:r w:rsidRPr="00E34A52">
        <w:rPr>
          <w:rFonts w:cs="Arial"/>
          <w:szCs w:val="22"/>
        </w:rPr>
        <w:t>remains unknown for the North American, TARGET and PO25 studies.</w:t>
      </w:r>
    </w:p>
    <w:p w14:paraId="496DB1F2" w14:textId="77777777" w:rsidR="00105E06" w:rsidRPr="00E34A52" w:rsidRDefault="00105E06" w:rsidP="00105E06">
      <w:pPr>
        <w:rPr>
          <w:rFonts w:cs="Arial"/>
          <w:i/>
          <w:iCs/>
          <w:szCs w:val="22"/>
        </w:rPr>
      </w:pPr>
    </w:p>
    <w:p w14:paraId="3F4ACD8E" w14:textId="71DA23F9" w:rsidR="00982378" w:rsidRPr="00E34A52" w:rsidRDefault="00105E06" w:rsidP="00105E06">
      <w:pPr>
        <w:rPr>
          <w:rFonts w:cs="Arial"/>
          <w:szCs w:val="22"/>
        </w:rPr>
      </w:pPr>
      <w:r w:rsidRPr="00E34A52">
        <w:rPr>
          <w:rFonts w:cs="Arial"/>
          <w:szCs w:val="22"/>
        </w:rPr>
        <w:t>T</w:t>
      </w:r>
      <w:r w:rsidRPr="00E34A52">
        <w:rPr>
          <w:rFonts w:cs="Arial"/>
          <w:iCs/>
          <w:szCs w:val="22"/>
        </w:rPr>
        <w:t>he matching process reported in the NMA to increase homogeneity between the FALCON trial and the FIRST and NorthAmTARGET trials, significantly reduced the numbers of patients contributing data to the NMA</w:t>
      </w:r>
      <w:r w:rsidR="00D87BF1" w:rsidRPr="00E34A52">
        <w:rPr>
          <w:rFonts w:cs="Arial"/>
          <w:iCs/>
          <w:szCs w:val="22"/>
        </w:rPr>
        <w:t xml:space="preserve"> </w:t>
      </w:r>
      <w:r w:rsidR="00DB136B">
        <w:rPr>
          <w:rFonts w:cs="Arial"/>
          <w:iCs/>
          <w:szCs w:val="22"/>
        </w:rPr>
        <w:t>(</w:t>
      </w:r>
      <w:r w:rsidR="001F7D04" w:rsidRPr="001F7D04">
        <w:rPr>
          <w:rFonts w:cs="Arial"/>
          <w:szCs w:val="22"/>
        </w:rPr>
        <w:t xml:space="preserve">Table </w:t>
      </w:r>
      <w:r w:rsidR="001F7D04" w:rsidRPr="001F7D04">
        <w:rPr>
          <w:rFonts w:cs="Arial"/>
          <w:noProof/>
          <w:szCs w:val="22"/>
        </w:rPr>
        <w:t>1</w:t>
      </w:r>
      <w:r w:rsidR="00DB136B">
        <w:rPr>
          <w:rFonts w:cs="Arial"/>
          <w:iCs/>
          <w:szCs w:val="22"/>
        </w:rPr>
        <w:t>)</w:t>
      </w:r>
      <w:r w:rsidRPr="00E34A52">
        <w:rPr>
          <w:rFonts w:cs="Arial"/>
          <w:iCs/>
          <w:szCs w:val="22"/>
        </w:rPr>
        <w:t xml:space="preserve">.  This reduction was most pronounced for the TARGET </w:t>
      </w:r>
      <w:r w:rsidR="00D22926">
        <w:rPr>
          <w:rFonts w:cs="Arial"/>
          <w:szCs w:val="22"/>
        </w:rPr>
        <w:t>trial</w:t>
      </w:r>
      <w:r w:rsidRPr="00E34A52">
        <w:rPr>
          <w:rFonts w:cs="Arial"/>
          <w:iCs/>
          <w:szCs w:val="22"/>
        </w:rPr>
        <w:t xml:space="preserve"> where only 39% of participants met the criteria. </w:t>
      </w:r>
      <w:r w:rsidRPr="00E34A52">
        <w:rPr>
          <w:rFonts w:cs="Arial"/>
          <w:szCs w:val="22"/>
        </w:rPr>
        <w:t xml:space="preserve"> Whilst it was clear that the matching process allowed for the exclusion of participants</w:t>
      </w:r>
      <w:r w:rsidRPr="00E34A52">
        <w:rPr>
          <w:rFonts w:cs="Arial"/>
          <w:szCs w:val="22"/>
          <w:shd w:val="clear" w:color="auto" w:fill="FFFFFF" w:themeFill="background1"/>
        </w:rPr>
        <w:t xml:space="preserve"> who would not have met the criteria to enter </w:t>
      </w:r>
      <w:r w:rsidRPr="00E34A52">
        <w:rPr>
          <w:rFonts w:cs="Arial"/>
          <w:szCs w:val="22"/>
          <w:shd w:val="clear" w:color="auto" w:fill="FFFFFF" w:themeFill="background1"/>
        </w:rPr>
        <w:lastRenderedPageBreak/>
        <w:t xml:space="preserve">the FALCON </w:t>
      </w:r>
      <w:r w:rsidR="00D22926">
        <w:rPr>
          <w:rFonts w:cs="Arial"/>
          <w:szCs w:val="22"/>
        </w:rPr>
        <w:t>trial</w:t>
      </w:r>
      <w:r w:rsidR="00A57FB5">
        <w:rPr>
          <w:rFonts w:cs="Arial"/>
          <w:szCs w:val="22"/>
          <w:shd w:val="clear" w:color="auto" w:fill="FFFFFF" w:themeFill="background1"/>
        </w:rPr>
        <w:t>, which created</w:t>
      </w:r>
      <w:r w:rsidRPr="00E34A52">
        <w:rPr>
          <w:rFonts w:cs="Arial"/>
          <w:szCs w:val="22"/>
        </w:rPr>
        <w:t xml:space="preserve"> a more homogeneous population in the NMA, the ERG was concerned about potential disadvantages.  An example disadvantage is that matching creates scope for bias because randomisation has been broken.  The ERG concluded that in this </w:t>
      </w:r>
      <w:r w:rsidR="00A57FB5">
        <w:rPr>
          <w:rFonts w:cs="Arial"/>
          <w:szCs w:val="22"/>
        </w:rPr>
        <w:t>specific</w:t>
      </w:r>
      <w:r w:rsidRPr="00E34A52">
        <w:rPr>
          <w:rFonts w:cs="Arial"/>
          <w:szCs w:val="22"/>
        </w:rPr>
        <w:t xml:space="preserve"> instance, the advantages of matching in reducing heterogeneity in the NMA (for the trials that could be matched) was likely to outweigh </w:t>
      </w:r>
      <w:r w:rsidR="00A57FB5">
        <w:rPr>
          <w:rFonts w:cs="Arial"/>
          <w:szCs w:val="22"/>
        </w:rPr>
        <w:t xml:space="preserve">the </w:t>
      </w:r>
      <w:r w:rsidRPr="00E34A52">
        <w:rPr>
          <w:rFonts w:cs="Arial"/>
          <w:szCs w:val="22"/>
        </w:rPr>
        <w:t>potential disadvantages of reduced power.  A similar conclusion was reached in a previous STA for fulvestrant (TA239</w:t>
      </w:r>
      <w:r w:rsidR="00AD5005">
        <w:rPr>
          <w:rFonts w:cs="Arial"/>
          <w:szCs w:val="22"/>
        </w:rPr>
        <w:t xml:space="preserve"> </w:t>
      </w:r>
      <w:r w:rsidR="005B756D">
        <w:rPr>
          <w:rFonts w:cs="Arial"/>
          <w:noProof/>
          <w:szCs w:val="22"/>
        </w:rPr>
        <w:t>[7]</w:t>
      </w:r>
      <w:r w:rsidRPr="00E34A52">
        <w:rPr>
          <w:rFonts w:cs="Arial"/>
          <w:szCs w:val="22"/>
        </w:rPr>
        <w:t>)</w:t>
      </w:r>
      <w:r w:rsidR="009055BE">
        <w:rPr>
          <w:rFonts w:cs="Arial"/>
          <w:szCs w:val="22"/>
        </w:rPr>
        <w:t>,</w:t>
      </w:r>
      <w:r w:rsidRPr="00E34A52">
        <w:rPr>
          <w:rFonts w:cs="Arial"/>
          <w:szCs w:val="22"/>
        </w:rPr>
        <w:t xml:space="preserve"> in which only a subgroup of one trial met the decision problem.</w:t>
      </w:r>
    </w:p>
    <w:p w14:paraId="684AD642" w14:textId="77777777" w:rsidR="00D87BF1" w:rsidRPr="00E34A52" w:rsidRDefault="00D87BF1" w:rsidP="00105E06">
      <w:pPr>
        <w:rPr>
          <w:rFonts w:cs="Arial"/>
          <w:szCs w:val="22"/>
        </w:rPr>
      </w:pPr>
    </w:p>
    <w:p w14:paraId="568E2FF7" w14:textId="39391B70" w:rsidR="00D87BF1" w:rsidRPr="00863F48" w:rsidRDefault="00D87BF1" w:rsidP="00D87BF1">
      <w:pPr>
        <w:pStyle w:val="Caption"/>
        <w:keepNext/>
        <w:rPr>
          <w:szCs w:val="22"/>
        </w:rPr>
      </w:pPr>
      <w:bookmarkStart w:id="2" w:name="_Ref485893258"/>
      <w:bookmarkStart w:id="3" w:name="_Toc488741058"/>
      <w:r w:rsidRPr="00863F48">
        <w:rPr>
          <w:szCs w:val="22"/>
        </w:rPr>
        <w:t xml:space="preserve">Table </w:t>
      </w:r>
      <w:r w:rsidR="001F7D04">
        <w:rPr>
          <w:noProof/>
          <w:szCs w:val="22"/>
        </w:rPr>
        <w:t>1</w:t>
      </w:r>
      <w:bookmarkEnd w:id="2"/>
      <w:r>
        <w:rPr>
          <w:szCs w:val="22"/>
        </w:rPr>
        <w:t xml:space="preserve">  Patient numbers in the NMA studies before and after matching to the FALCON trial.</w:t>
      </w:r>
      <w:bookmarkEnd w:id="3"/>
    </w:p>
    <w:p w14:paraId="1FF9C885" w14:textId="77777777" w:rsidR="008573A6" w:rsidRPr="008573A6" w:rsidRDefault="008573A6" w:rsidP="00D87BF1">
      <w:pPr>
        <w:rPr>
          <w:szCs w:val="22"/>
        </w:rPr>
      </w:pPr>
    </w:p>
    <w:p w14:paraId="4A78FD8C" w14:textId="77777777" w:rsidR="00E15630" w:rsidRDefault="00187A7F">
      <w:pPr>
        <w:pStyle w:val="Heading2"/>
      </w:pPr>
      <w:r>
        <w:t>Cost-effectiveness evidence</w:t>
      </w:r>
    </w:p>
    <w:p w14:paraId="6AE906AE" w14:textId="199AB810" w:rsidR="002760AF" w:rsidRPr="002760AF" w:rsidRDefault="002760AF" w:rsidP="002760AF">
      <w:pPr>
        <w:rPr>
          <w:iCs/>
        </w:rPr>
      </w:pPr>
      <w:r w:rsidRPr="002760AF">
        <w:rPr>
          <w:iCs/>
        </w:rPr>
        <w:t>T</w:t>
      </w:r>
      <w:r w:rsidR="00DD444B" w:rsidRPr="002760AF">
        <w:rPr>
          <w:iCs/>
        </w:rPr>
        <w:t>o establish the cost-effectiveness of fulvestrant compared with two AIs</w:t>
      </w:r>
      <w:r w:rsidR="00D37D31">
        <w:rPr>
          <w:iCs/>
        </w:rPr>
        <w:t xml:space="preserve"> (</w:t>
      </w:r>
      <w:r w:rsidR="00DD444B" w:rsidRPr="002760AF">
        <w:rPr>
          <w:iCs/>
        </w:rPr>
        <w:t>anastrozole and letrozole</w:t>
      </w:r>
      <w:r w:rsidR="00D37D31">
        <w:rPr>
          <w:iCs/>
        </w:rPr>
        <w:t>)</w:t>
      </w:r>
      <w:r w:rsidR="00DD444B">
        <w:rPr>
          <w:iCs/>
        </w:rPr>
        <w:t>, t</w:t>
      </w:r>
      <w:r w:rsidRPr="002760AF">
        <w:rPr>
          <w:iCs/>
        </w:rPr>
        <w:t xml:space="preserve">he company </w:t>
      </w:r>
      <w:r w:rsidR="00DD444B" w:rsidRPr="002760AF">
        <w:rPr>
          <w:iCs/>
        </w:rPr>
        <w:t xml:space="preserve">submitted </w:t>
      </w:r>
      <w:r w:rsidRPr="002760AF">
        <w:rPr>
          <w:iCs/>
        </w:rPr>
        <w:t>a de novo cohort</w:t>
      </w:r>
      <w:r w:rsidR="004117EB">
        <w:rPr>
          <w:iCs/>
        </w:rPr>
        <w:t>-</w:t>
      </w:r>
      <w:r w:rsidRPr="002760AF">
        <w:rPr>
          <w:iCs/>
        </w:rPr>
        <w:t>b</w:t>
      </w:r>
      <w:r w:rsidR="00DD444B">
        <w:rPr>
          <w:iCs/>
        </w:rPr>
        <w:t>ased partitioned survival economic model</w:t>
      </w:r>
      <w:r w:rsidRPr="002760AF">
        <w:rPr>
          <w:iCs/>
        </w:rPr>
        <w:t xml:space="preserve">. In patients where AIs were contra-indicated or not tolerated, </w:t>
      </w:r>
      <w:r w:rsidR="00DD444B">
        <w:rPr>
          <w:iCs/>
        </w:rPr>
        <w:t xml:space="preserve">the model compared </w:t>
      </w:r>
      <w:r w:rsidRPr="002760AF">
        <w:rPr>
          <w:iCs/>
        </w:rPr>
        <w:t xml:space="preserve">fulvestrant to tamoxifen. The analysis was conducted from the perspective of the NHS and </w:t>
      </w:r>
      <w:r w:rsidR="00D37D31">
        <w:rPr>
          <w:iCs/>
        </w:rPr>
        <w:t>Personal Social Services (</w:t>
      </w:r>
      <w:r w:rsidRPr="002760AF">
        <w:rPr>
          <w:iCs/>
        </w:rPr>
        <w:t>PSS</w:t>
      </w:r>
      <w:r w:rsidR="00D37D31">
        <w:rPr>
          <w:iCs/>
        </w:rPr>
        <w:t>)</w:t>
      </w:r>
      <w:r w:rsidRPr="002760AF">
        <w:rPr>
          <w:iCs/>
        </w:rPr>
        <w:t xml:space="preserve"> over a 30-year (lifetime) horizon. A half-cycle correction was applied to the model and costs and effects were discounted at 3.5% per annum.</w:t>
      </w:r>
    </w:p>
    <w:p w14:paraId="08B224A5" w14:textId="77777777" w:rsidR="002760AF" w:rsidRPr="002760AF" w:rsidRDefault="002760AF" w:rsidP="002760AF">
      <w:pPr>
        <w:rPr>
          <w:iCs/>
        </w:rPr>
      </w:pPr>
    </w:p>
    <w:p w14:paraId="552FD35C" w14:textId="63E8A589" w:rsidR="003F5AB4" w:rsidRDefault="002760AF" w:rsidP="002760AF">
      <w:pPr>
        <w:rPr>
          <w:iCs/>
        </w:rPr>
      </w:pPr>
      <w:r w:rsidRPr="002760AF">
        <w:rPr>
          <w:iCs/>
        </w:rPr>
        <w:t>The company’s model consisted of three mutually exclusive health states that are commonly used in oncology modelling</w:t>
      </w:r>
      <w:r w:rsidR="004117EB">
        <w:rPr>
          <w:iCs/>
        </w:rPr>
        <w:t>,</w:t>
      </w:r>
      <w:r w:rsidRPr="002760AF">
        <w:rPr>
          <w:iCs/>
        </w:rPr>
        <w:t xml:space="preserve"> i.e. PFS, progressed disease (PD) and death. All patients enter</w:t>
      </w:r>
      <w:r w:rsidR="003F5AB4">
        <w:rPr>
          <w:iCs/>
        </w:rPr>
        <w:t>ed</w:t>
      </w:r>
      <w:r w:rsidRPr="002760AF">
        <w:rPr>
          <w:iCs/>
        </w:rPr>
        <w:t xml:space="preserve"> the model in PFS and over time move</w:t>
      </w:r>
      <w:r w:rsidR="003F5AB4">
        <w:rPr>
          <w:iCs/>
        </w:rPr>
        <w:t>d</w:t>
      </w:r>
      <w:r w:rsidRPr="002760AF">
        <w:rPr>
          <w:iCs/>
        </w:rPr>
        <w:t xml:space="preserve"> to the PD health state. People who moved to the PD state could not return to the PFS health state. </w:t>
      </w:r>
      <w:r w:rsidR="003F5AB4">
        <w:rPr>
          <w:iCs/>
        </w:rPr>
        <w:t xml:space="preserve"> The ERG’s adapted diagram illustrating patient flow across the three health states is shown in </w:t>
      </w:r>
      <w:r w:rsidR="001F7D04" w:rsidRPr="00DA6D8E">
        <w:rPr>
          <w:szCs w:val="22"/>
        </w:rPr>
        <w:t xml:space="preserve">Figure </w:t>
      </w:r>
      <w:r w:rsidR="001F7D04">
        <w:rPr>
          <w:noProof/>
          <w:szCs w:val="22"/>
        </w:rPr>
        <w:t>2</w:t>
      </w:r>
      <w:r w:rsidR="003F5AB4">
        <w:rPr>
          <w:iCs/>
        </w:rPr>
        <w:t>.</w:t>
      </w:r>
    </w:p>
    <w:p w14:paraId="16752B5C" w14:textId="15DA6E95" w:rsidR="003F5AB4" w:rsidRDefault="003F5AB4" w:rsidP="002760AF">
      <w:pPr>
        <w:rPr>
          <w:iCs/>
        </w:rPr>
      </w:pPr>
    </w:p>
    <w:p w14:paraId="696A93E8" w14:textId="7D64F8B2" w:rsidR="003F5AB4" w:rsidRPr="00DA6D8E" w:rsidRDefault="003F5AB4" w:rsidP="003F5AB4">
      <w:pPr>
        <w:pStyle w:val="Caption"/>
        <w:rPr>
          <w:rFonts w:cs="Arial"/>
          <w:szCs w:val="22"/>
        </w:rPr>
      </w:pPr>
      <w:bookmarkStart w:id="4" w:name="_Ref485987862"/>
      <w:bookmarkStart w:id="5" w:name="_Toc488741118"/>
      <w:r w:rsidRPr="00DA6D8E">
        <w:rPr>
          <w:szCs w:val="22"/>
        </w:rPr>
        <w:t xml:space="preserve">Figure </w:t>
      </w:r>
      <w:r w:rsidR="001F7D04">
        <w:rPr>
          <w:noProof/>
          <w:szCs w:val="22"/>
        </w:rPr>
        <w:t>2</w:t>
      </w:r>
      <w:bookmarkEnd w:id="4"/>
      <w:r>
        <w:rPr>
          <w:szCs w:val="22"/>
        </w:rPr>
        <w:t xml:space="preserve">  </w:t>
      </w:r>
      <w:r w:rsidRPr="0008641D">
        <w:rPr>
          <w:rFonts w:cs="Arial"/>
        </w:rPr>
        <w:t xml:space="preserve">Model structure </w:t>
      </w:r>
      <w:r>
        <w:rPr>
          <w:rFonts w:cs="Arial"/>
        </w:rPr>
        <w:t>(adapted</w:t>
      </w:r>
      <w:r w:rsidRPr="0008641D">
        <w:rPr>
          <w:rFonts w:cs="Arial"/>
        </w:rPr>
        <w:t xml:space="preserve"> by the ERG)</w:t>
      </w:r>
      <w:bookmarkEnd w:id="5"/>
    </w:p>
    <w:p w14:paraId="4F46963D" w14:textId="77777777" w:rsidR="003F5AB4" w:rsidRDefault="003F5AB4" w:rsidP="002760AF">
      <w:pPr>
        <w:rPr>
          <w:iCs/>
        </w:rPr>
      </w:pPr>
    </w:p>
    <w:p w14:paraId="0E261EE6" w14:textId="77ED1B5F" w:rsidR="00F078CE" w:rsidRDefault="002760AF" w:rsidP="002760AF">
      <w:pPr>
        <w:rPr>
          <w:iCs/>
        </w:rPr>
      </w:pPr>
      <w:r w:rsidRPr="002760AF">
        <w:rPr>
          <w:iCs/>
        </w:rPr>
        <w:t>All patients were modelled to receive treatment</w:t>
      </w:r>
      <w:r w:rsidR="00F078CE">
        <w:rPr>
          <w:iCs/>
        </w:rPr>
        <w:t xml:space="preserve"> (fulvestrant or comparators)</w:t>
      </w:r>
      <w:r w:rsidRPr="002760AF">
        <w:rPr>
          <w:iCs/>
        </w:rPr>
        <w:t xml:space="preserve"> until disease progression.  </w:t>
      </w:r>
      <w:r w:rsidR="00F078CE" w:rsidRPr="002760AF">
        <w:rPr>
          <w:iCs/>
        </w:rPr>
        <w:t>T</w:t>
      </w:r>
      <w:r w:rsidR="00F078CE">
        <w:rPr>
          <w:iCs/>
        </w:rPr>
        <w:t>o account for the impact of AEs on costs and HRQoL these were included</w:t>
      </w:r>
      <w:r w:rsidR="00F078CE" w:rsidRPr="002760AF">
        <w:rPr>
          <w:iCs/>
        </w:rPr>
        <w:t xml:space="preserve"> as a one-off event in the first treatment cycle.</w:t>
      </w:r>
      <w:r w:rsidR="00F078CE">
        <w:rPr>
          <w:iCs/>
        </w:rPr>
        <w:t xml:space="preserve">  AE i</w:t>
      </w:r>
      <w:r w:rsidR="00F078CE" w:rsidRPr="002760AF" w:rsidDel="000E7670">
        <w:rPr>
          <w:iCs/>
        </w:rPr>
        <w:t xml:space="preserve">ncidence rates for fulvestrant and anastrozole </w:t>
      </w:r>
      <w:r w:rsidR="00F078CE">
        <w:rPr>
          <w:iCs/>
        </w:rPr>
        <w:t>were obtained from the FALCON trial</w:t>
      </w:r>
      <w:r w:rsidR="004117EB">
        <w:rPr>
          <w:iCs/>
        </w:rPr>
        <w:t>,</w:t>
      </w:r>
      <w:r w:rsidR="00F078CE">
        <w:rPr>
          <w:iCs/>
        </w:rPr>
        <w:t xml:space="preserve"> whereas</w:t>
      </w:r>
      <w:r w:rsidR="00F078CE" w:rsidRPr="002760AF" w:rsidDel="000E7670">
        <w:rPr>
          <w:iCs/>
        </w:rPr>
        <w:t xml:space="preserve"> the AE incidence rates </w:t>
      </w:r>
      <w:r w:rsidR="00F078CE">
        <w:rPr>
          <w:iCs/>
        </w:rPr>
        <w:t xml:space="preserve">for letrozole and tamoxifen </w:t>
      </w:r>
      <w:r w:rsidR="00F078CE" w:rsidRPr="002760AF" w:rsidDel="000E7670">
        <w:rPr>
          <w:iCs/>
        </w:rPr>
        <w:t>were sourced from the literature.</w:t>
      </w:r>
      <w:r w:rsidR="00F078CE">
        <w:rPr>
          <w:iCs/>
        </w:rPr>
        <w:t xml:space="preserve">  </w:t>
      </w:r>
      <w:r w:rsidRPr="002760AF">
        <w:rPr>
          <w:iCs/>
        </w:rPr>
        <w:t>After disease progression</w:t>
      </w:r>
      <w:r w:rsidR="004117EB">
        <w:rPr>
          <w:iCs/>
        </w:rPr>
        <w:t>,</w:t>
      </w:r>
      <w:r w:rsidRPr="002760AF">
        <w:rPr>
          <w:iCs/>
        </w:rPr>
        <w:t xml:space="preserve"> the company’s model </w:t>
      </w:r>
      <w:r w:rsidRPr="002760AF">
        <w:rPr>
          <w:iCs/>
        </w:rPr>
        <w:lastRenderedPageBreak/>
        <w:t xml:space="preserve">assumed that all patients received subsequent treatments and that subsequent treatments only impacted on costs and not on survival (as this was assumed to be captured in the overall survival estimate). </w:t>
      </w:r>
    </w:p>
    <w:p w14:paraId="00BD6313" w14:textId="77777777" w:rsidR="00F078CE" w:rsidRDefault="00F078CE" w:rsidP="002760AF">
      <w:pPr>
        <w:rPr>
          <w:iCs/>
        </w:rPr>
      </w:pPr>
    </w:p>
    <w:p w14:paraId="353482EB" w14:textId="19C19369" w:rsidR="002760AF" w:rsidRPr="002760AF" w:rsidRDefault="002760AF" w:rsidP="002760AF">
      <w:pPr>
        <w:rPr>
          <w:iCs/>
        </w:rPr>
      </w:pPr>
      <w:r w:rsidRPr="002760AF">
        <w:rPr>
          <w:iCs/>
        </w:rPr>
        <w:t xml:space="preserve">To inform HRQoL, the company conducted a </w:t>
      </w:r>
      <w:r w:rsidR="00A0297B">
        <w:rPr>
          <w:iCs/>
        </w:rPr>
        <w:t>SLR</w:t>
      </w:r>
      <w:r w:rsidRPr="002760AF">
        <w:rPr>
          <w:iCs/>
        </w:rPr>
        <w:t xml:space="preserve"> that identified two studies by Fukuda et al.</w:t>
      </w:r>
      <w:r w:rsidR="003E7475">
        <w:rPr>
          <w:iCs/>
        </w:rPr>
        <w:t xml:space="preserve"> </w:t>
      </w:r>
      <w:r w:rsidR="005B756D">
        <w:rPr>
          <w:iCs/>
          <w:noProof/>
        </w:rPr>
        <w:t>[21]</w:t>
      </w:r>
      <w:r w:rsidRPr="002760AF">
        <w:rPr>
          <w:iCs/>
        </w:rPr>
        <w:t xml:space="preserve"> and Eyles at al.</w:t>
      </w:r>
      <w:r w:rsidR="003E7475">
        <w:rPr>
          <w:iCs/>
        </w:rPr>
        <w:t xml:space="preserve"> </w:t>
      </w:r>
      <w:r w:rsidR="005B756D">
        <w:rPr>
          <w:iCs/>
          <w:noProof/>
        </w:rPr>
        <w:t>[22]</w:t>
      </w:r>
      <w:r w:rsidRPr="002760AF">
        <w:rPr>
          <w:iCs/>
        </w:rPr>
        <w:t xml:space="preserve"> alongside a review of the utility values used in NICE breast cancer appraisals. The economic model however was informed by the HRQoL data collected as part of the FALCON trial, which were adjusted using repeated measures mixed effects regression models. The economic model also included the costs of disease management, treatment acquisition, treatment administration, subsequent therapy and AEs. Costs were based on NHS Reference costs 2015/16 </w:t>
      </w:r>
      <w:r w:rsidR="005B756D">
        <w:rPr>
          <w:iCs/>
          <w:noProof/>
        </w:rPr>
        <w:t>[23]</w:t>
      </w:r>
      <w:r w:rsidR="003E7475">
        <w:rPr>
          <w:iCs/>
        </w:rPr>
        <w:t xml:space="preserve"> </w:t>
      </w:r>
      <w:r w:rsidRPr="002760AF">
        <w:rPr>
          <w:iCs/>
        </w:rPr>
        <w:t>and PSS</w:t>
      </w:r>
      <w:r w:rsidR="004117EB">
        <w:rPr>
          <w:iCs/>
        </w:rPr>
        <w:t xml:space="preserve"> Research Unit (PSS</w:t>
      </w:r>
      <w:r w:rsidRPr="002760AF">
        <w:rPr>
          <w:iCs/>
        </w:rPr>
        <w:t>RU</w:t>
      </w:r>
      <w:r w:rsidR="004117EB">
        <w:rPr>
          <w:iCs/>
        </w:rPr>
        <w:t>)</w:t>
      </w:r>
      <w:r w:rsidRPr="002760AF">
        <w:rPr>
          <w:iCs/>
        </w:rPr>
        <w:t xml:space="preserve"> costs</w:t>
      </w:r>
      <w:r w:rsidR="003E7475">
        <w:rPr>
          <w:iCs/>
        </w:rPr>
        <w:t xml:space="preserve"> </w:t>
      </w:r>
      <w:r w:rsidR="005B756D">
        <w:rPr>
          <w:iCs/>
          <w:noProof/>
        </w:rPr>
        <w:t>[24]</w:t>
      </w:r>
      <w:r w:rsidRPr="002760AF">
        <w:rPr>
          <w:iCs/>
        </w:rPr>
        <w:t xml:space="preserve">. </w:t>
      </w:r>
    </w:p>
    <w:p w14:paraId="3A8F34F5" w14:textId="77777777" w:rsidR="002760AF" w:rsidRPr="002760AF" w:rsidRDefault="002760AF" w:rsidP="002760AF">
      <w:pPr>
        <w:rPr>
          <w:iCs/>
        </w:rPr>
      </w:pPr>
    </w:p>
    <w:p w14:paraId="56769EBF" w14:textId="4186BC74" w:rsidR="002760AF" w:rsidRPr="002760AF" w:rsidRDefault="002760AF" w:rsidP="002760AF">
      <w:pPr>
        <w:rPr>
          <w:iCs/>
        </w:rPr>
      </w:pPr>
      <w:r w:rsidRPr="002760AF">
        <w:rPr>
          <w:iCs/>
        </w:rPr>
        <w:t>The proportion of patients transitioning through the health states were predicted by estimating shape and scale parameters of the PFS and OS curves. These survival curves were obtained from the results of a fixed-effect NMA. The long-term data for these curves were extrapolated by fitting generalised gamma and Weibull distributions to the P</w:t>
      </w:r>
      <w:r w:rsidR="00A0297B">
        <w:rPr>
          <w:iCs/>
        </w:rPr>
        <w:t>FS and OS curves, respectively.</w:t>
      </w:r>
    </w:p>
    <w:p w14:paraId="1FB4D76F" w14:textId="77777777" w:rsidR="002760AF" w:rsidRPr="002760AF" w:rsidRDefault="002760AF" w:rsidP="002760AF">
      <w:pPr>
        <w:rPr>
          <w:iCs/>
        </w:rPr>
      </w:pPr>
    </w:p>
    <w:p w14:paraId="34F11AA0" w14:textId="77B99330" w:rsidR="002760AF" w:rsidRDefault="002760AF" w:rsidP="002760AF">
      <w:pPr>
        <w:rPr>
          <w:iCs/>
        </w:rPr>
      </w:pPr>
      <w:r w:rsidRPr="002760AF">
        <w:rPr>
          <w:iCs/>
        </w:rPr>
        <w:t>The company’s base case comparison of fulvestrant versus anastrozole produced an incremental cost effectiveness ratio (ICER) of £34,099; the ICER was £29,991 for fulvestrant versus letrozole and £22,498 for fulvestrant versus tamoxifen. The company presented a series of sensitivity and scenario analyses to test the structural assumptions of the model. Whilst changing the scale parameter for the OS curve had the most significant impact on the ICERs, the scenario analyses did not have any significant impact on the base case results.</w:t>
      </w:r>
    </w:p>
    <w:p w14:paraId="05E958E8" w14:textId="77777777" w:rsidR="002760AF" w:rsidRDefault="002760AF" w:rsidP="002760AF"/>
    <w:p w14:paraId="065F60C0" w14:textId="77777777" w:rsidR="00187A7F" w:rsidRDefault="00187A7F">
      <w:pPr>
        <w:pStyle w:val="Heading3"/>
      </w:pPr>
      <w:r>
        <w:t>Critique of the cost-effectiveness evidence</w:t>
      </w:r>
    </w:p>
    <w:p w14:paraId="415C53B8" w14:textId="75E6AD75" w:rsidR="002760AF" w:rsidRPr="00C17AE2" w:rsidRDefault="002760AF" w:rsidP="002760AF">
      <w:r w:rsidRPr="00C17AE2">
        <w:t xml:space="preserve">The company’s model adequately reflected the clinical pathway of patients through the course of their treatment for advanced/metastatic breast cancer and conformed to </w:t>
      </w:r>
      <w:r w:rsidR="00B85E6D">
        <w:t xml:space="preserve">the </w:t>
      </w:r>
      <w:r w:rsidRPr="00C17AE2">
        <w:t>NICE reference case. However, it was noted that the economic evaluation had several significant limitations in relation to the literature search carried out, the NMA, extrapolation of the survival outcomes and the costs for disease management and resources used.</w:t>
      </w:r>
    </w:p>
    <w:p w14:paraId="0E0480CE" w14:textId="77777777" w:rsidR="002760AF" w:rsidRPr="00C17AE2" w:rsidRDefault="002760AF" w:rsidP="002760AF">
      <w:pPr>
        <w:outlineLvl w:val="0"/>
        <w:rPr>
          <w:rFonts w:asciiTheme="majorBidi" w:hAnsiTheme="majorBidi" w:cstheme="majorBidi"/>
          <w:iCs/>
          <w:sz w:val="28"/>
          <w:szCs w:val="28"/>
        </w:rPr>
      </w:pPr>
    </w:p>
    <w:p w14:paraId="5DCE12D6" w14:textId="1FB1C4D7" w:rsidR="002760AF" w:rsidRPr="00C17AE2" w:rsidRDefault="002760AF" w:rsidP="002760AF">
      <w:r w:rsidRPr="00C17AE2">
        <w:lastRenderedPageBreak/>
        <w:t xml:space="preserve">The ERG considered the company’s approach on the literature search for cost-effectiveness to be unusual as they only </w:t>
      </w:r>
      <w:r w:rsidR="00A0297B">
        <w:t>searched for</w:t>
      </w:r>
      <w:r w:rsidRPr="00C17AE2">
        <w:t xml:space="preserve"> previous </w:t>
      </w:r>
      <w:r w:rsidR="00B85E6D">
        <w:t>Health Technology Assessments (</w:t>
      </w:r>
      <w:r w:rsidRPr="00C17AE2">
        <w:t>HTAs</w:t>
      </w:r>
      <w:r w:rsidR="00B85E6D">
        <w:t>)</w:t>
      </w:r>
      <w:r w:rsidRPr="00C17AE2">
        <w:t xml:space="preserve">. In addition, their strategy had the following limitations: (i) the company did not provide any information on the eligibility criteria for the search; (ii) there was a lack of discussion about </w:t>
      </w:r>
      <w:r w:rsidR="00A0297B">
        <w:t>the HTAs</w:t>
      </w:r>
      <w:r w:rsidRPr="00C17AE2">
        <w:t xml:space="preserve"> identified, especially their relevance to the current submission and (iii) the company did not search for published cost-effectiveness studies. </w:t>
      </w:r>
    </w:p>
    <w:p w14:paraId="45B577D4" w14:textId="77777777" w:rsidR="002760AF" w:rsidRPr="00C17AE2" w:rsidRDefault="002760AF" w:rsidP="002760AF">
      <w:pPr>
        <w:outlineLvl w:val="0"/>
        <w:rPr>
          <w:rFonts w:asciiTheme="majorBidi" w:hAnsiTheme="majorBidi" w:cstheme="majorBidi"/>
          <w:iCs/>
          <w:sz w:val="28"/>
          <w:szCs w:val="28"/>
        </w:rPr>
      </w:pPr>
    </w:p>
    <w:p w14:paraId="5DC2E2EB" w14:textId="72DBB103" w:rsidR="002760AF" w:rsidRPr="00C17AE2" w:rsidRDefault="002760AF" w:rsidP="002760AF">
      <w:pPr>
        <w:outlineLvl w:val="0"/>
        <w:rPr>
          <w:rFonts w:asciiTheme="majorBidi" w:hAnsiTheme="majorBidi" w:cstheme="majorBidi"/>
          <w:iCs/>
          <w:color w:val="0070C0"/>
          <w:sz w:val="28"/>
          <w:szCs w:val="28"/>
        </w:rPr>
      </w:pPr>
      <w:r w:rsidRPr="00C17AE2">
        <w:t xml:space="preserve">To inform treatment effectiveness outcomes of PFS and OS, the company conducted a fixed-effect NMA. </w:t>
      </w:r>
      <w:r w:rsidR="00A0297B">
        <w:t xml:space="preserve"> T</w:t>
      </w:r>
      <w:r w:rsidRPr="00C17AE2">
        <w:t xml:space="preserve">he effect of treatment </w:t>
      </w:r>
      <w:r w:rsidR="00A0297B">
        <w:t xml:space="preserve">was estimated by the </w:t>
      </w:r>
      <w:r w:rsidRPr="00C17AE2">
        <w:t xml:space="preserve">shape and scale </w:t>
      </w:r>
      <w:r w:rsidR="00A0297B">
        <w:t xml:space="preserve">parameters </w:t>
      </w:r>
      <w:r w:rsidRPr="00C17AE2">
        <w:t>of parametric survival distributions</w:t>
      </w:r>
    </w:p>
    <w:p w14:paraId="18884896" w14:textId="77777777" w:rsidR="002760AF" w:rsidRPr="00C17AE2" w:rsidRDefault="002760AF" w:rsidP="002760AF">
      <w:pPr>
        <w:outlineLvl w:val="0"/>
        <w:rPr>
          <w:rFonts w:asciiTheme="majorBidi" w:hAnsiTheme="majorBidi" w:cstheme="majorBidi"/>
          <w:iCs/>
          <w:color w:val="0070C0"/>
          <w:sz w:val="28"/>
          <w:szCs w:val="28"/>
        </w:rPr>
      </w:pPr>
    </w:p>
    <w:p w14:paraId="3F555598" w14:textId="28E62909" w:rsidR="002760AF" w:rsidRPr="00A0297B" w:rsidRDefault="002760AF" w:rsidP="002760AF">
      <w:r w:rsidRPr="00C17AE2">
        <w:t xml:space="preserve">The ERG agreed with the company in excluding the Milla-Santos </w:t>
      </w:r>
      <w:r w:rsidR="00D22926">
        <w:rPr>
          <w:rFonts w:cs="Arial"/>
          <w:szCs w:val="22"/>
        </w:rPr>
        <w:t>trial</w:t>
      </w:r>
      <w:r w:rsidR="00761D10">
        <w:t xml:space="preserve"> </w:t>
      </w:r>
      <w:r w:rsidR="005B756D">
        <w:rPr>
          <w:noProof/>
        </w:rPr>
        <w:t>[15]</w:t>
      </w:r>
      <w:r w:rsidRPr="00C17AE2">
        <w:t xml:space="preserve"> from the NMA</w:t>
      </w:r>
      <w:r w:rsidR="004345E4">
        <w:t>,</w:t>
      </w:r>
      <w:r w:rsidRPr="00C17AE2">
        <w:t xml:space="preserve"> as its inclusion led to heterogeneity in the NMA for both OS and PFS curves (due to higher dose of tamoxifen used compared to other pooled studies). </w:t>
      </w:r>
      <w:r>
        <w:t>T</w:t>
      </w:r>
      <w:r w:rsidRPr="00C17AE2">
        <w:t xml:space="preserve">he ERG also </w:t>
      </w:r>
      <w:r>
        <w:t>believed</w:t>
      </w:r>
      <w:r w:rsidRPr="00C17AE2">
        <w:t xml:space="preserve"> that </w:t>
      </w:r>
      <w:r>
        <w:t xml:space="preserve">the </w:t>
      </w:r>
      <w:r w:rsidRPr="00C17AE2">
        <w:t xml:space="preserve">exclusion of the PO25 </w:t>
      </w:r>
      <w:r w:rsidR="00D22926">
        <w:rPr>
          <w:rFonts w:cs="Arial"/>
          <w:szCs w:val="22"/>
        </w:rPr>
        <w:t>trial</w:t>
      </w:r>
      <w:r w:rsidR="00761D10">
        <w:t xml:space="preserve"> </w:t>
      </w:r>
      <w:r w:rsidR="005B756D">
        <w:rPr>
          <w:noProof/>
        </w:rPr>
        <w:t>[17, 16]</w:t>
      </w:r>
      <w:r w:rsidRPr="00C17AE2">
        <w:t xml:space="preserve"> from the NMA analysis would be appropriate as, unlike other trials included in the NMA, i) patient level data</w:t>
      </w:r>
      <w:r>
        <w:t xml:space="preserve"> were not available</w:t>
      </w:r>
      <w:r w:rsidR="00A0297B">
        <w:t xml:space="preserve"> so PO25 data could not be matched to the FALCON trial</w:t>
      </w:r>
      <w:r w:rsidRPr="00C17AE2">
        <w:t xml:space="preserve">; ii) results </w:t>
      </w:r>
      <w:r>
        <w:t>we</w:t>
      </w:r>
      <w:r w:rsidRPr="00C17AE2">
        <w:t>re compromised by approximately 50% cross-over after progression; and iii) it is widely accepted that letrozole and anastrozole ha</w:t>
      </w:r>
      <w:r>
        <w:t>ve</w:t>
      </w:r>
      <w:r w:rsidRPr="00C17AE2">
        <w:t xml:space="preserve"> equiva</w:t>
      </w:r>
      <w:r w:rsidRPr="00A0297B">
        <w:t>lent efficacy.</w:t>
      </w:r>
    </w:p>
    <w:p w14:paraId="47C17D69" w14:textId="23EE2AC2" w:rsidR="002760AF" w:rsidRDefault="002760AF" w:rsidP="002760AF"/>
    <w:p w14:paraId="02EB1D29" w14:textId="475DF06D" w:rsidR="00A0297B" w:rsidRDefault="00A0297B" w:rsidP="002760AF">
      <w:pPr>
        <w:rPr>
          <w:rFonts w:cs="Arial"/>
          <w:szCs w:val="22"/>
        </w:rPr>
      </w:pPr>
      <w:r>
        <w:t>An important limitation of the cost-effectiveness analysis stems from the immature OS data of the FALCON trial.  Therefore OS for fulvestrant versus anastrozole is largely based upon the FI</w:t>
      </w:r>
      <w:r w:rsidR="00723807">
        <w:t>R</w:t>
      </w:r>
      <w:r>
        <w:t>ST trial data (where OS was not an originally specified outcome).  The ERG was concerned that the OS benefit in FALCON will be lower than in the FIRST trial once data are mature</w:t>
      </w:r>
      <w:r w:rsidR="004345E4">
        <w:t>,</w:t>
      </w:r>
      <w:r>
        <w:t xml:space="preserve"> </w:t>
      </w:r>
      <w:r w:rsidRPr="00A0297B">
        <w:rPr>
          <w:rFonts w:cs="Arial"/>
          <w:szCs w:val="22"/>
        </w:rPr>
        <w:t>because the gain in PFS with fulvestrant is lower in the FALCON trial then in the FIRST trial.</w:t>
      </w:r>
      <w:r>
        <w:rPr>
          <w:rFonts w:cs="Arial"/>
          <w:szCs w:val="22"/>
        </w:rPr>
        <w:t xml:space="preserve">  The model is sensitive to changes in OS and the ERG considered that the ICER was uncertain and likely to be higher once full results from FALCON are known.</w:t>
      </w:r>
    </w:p>
    <w:p w14:paraId="3E00E0CE" w14:textId="2CB574DC" w:rsidR="00A0297B" w:rsidRDefault="00A0297B" w:rsidP="002760AF">
      <w:pPr>
        <w:rPr>
          <w:rFonts w:cs="Arial"/>
          <w:szCs w:val="22"/>
        </w:rPr>
      </w:pPr>
    </w:p>
    <w:p w14:paraId="577B2408" w14:textId="6E957C3F" w:rsidR="00A0297B" w:rsidRDefault="006D370E" w:rsidP="002760AF">
      <w:pPr>
        <w:rPr>
          <w:rFonts w:cs="Arial"/>
          <w:iCs/>
          <w:szCs w:val="22"/>
        </w:rPr>
      </w:pPr>
      <w:r>
        <w:rPr>
          <w:rFonts w:cs="Arial"/>
          <w:iCs/>
          <w:szCs w:val="22"/>
        </w:rPr>
        <w:t>Resource use for the PFS and PD health states in the model were obtained from descriptions in NICE clinical guideline 81</w:t>
      </w:r>
      <w:r w:rsidR="00761D10">
        <w:rPr>
          <w:rFonts w:cs="Arial"/>
          <w:iCs/>
          <w:szCs w:val="22"/>
        </w:rPr>
        <w:t xml:space="preserve"> </w:t>
      </w:r>
      <w:r w:rsidR="005B756D">
        <w:rPr>
          <w:rFonts w:cs="Arial"/>
          <w:iCs/>
          <w:noProof/>
          <w:szCs w:val="22"/>
        </w:rPr>
        <w:t>[5]</w:t>
      </w:r>
      <w:r>
        <w:rPr>
          <w:rFonts w:cs="Arial"/>
          <w:iCs/>
          <w:szCs w:val="22"/>
        </w:rPr>
        <w:t>.  The ERG identified that these resources were for patients receiving chemotherapy, rather than endocrine therapy as in this STA.  Consequently the resource use may not have been estimated appropriately.</w:t>
      </w:r>
    </w:p>
    <w:p w14:paraId="7A8D564F" w14:textId="7E4F8124" w:rsidR="006D370E" w:rsidRDefault="006D370E" w:rsidP="002760AF">
      <w:pPr>
        <w:rPr>
          <w:rFonts w:cs="Arial"/>
          <w:iCs/>
          <w:szCs w:val="22"/>
        </w:rPr>
      </w:pPr>
    </w:p>
    <w:p w14:paraId="4B1A4D72" w14:textId="41F3AF68" w:rsidR="006D370E" w:rsidRDefault="006D370E" w:rsidP="002760AF">
      <w:pPr>
        <w:rPr>
          <w:rFonts w:cs="Arial"/>
          <w:iCs/>
          <w:szCs w:val="22"/>
        </w:rPr>
      </w:pPr>
      <w:r>
        <w:rPr>
          <w:rFonts w:cs="Arial"/>
          <w:iCs/>
          <w:szCs w:val="22"/>
        </w:rPr>
        <w:lastRenderedPageBreak/>
        <w:t>The ERG had concerns about the proportion of patients receiving endocrine therapy as their second-line treatment.  The company model assumed that approximately 54% of those at second-line therapy received endocrine therapy and approximately 38% chemotherapy, with the remainder receiving targeted therapy.  Clinical advice to the ERG was that the proportion of patients receiving endocrine therapy second-line would be higher, in the region of 67-80% and with fewer receiving chemotherapy.  One clinical expert considered that 20% of patients would have targeted therapy in combination with endocrine therapy or chemotherapy.</w:t>
      </w:r>
    </w:p>
    <w:p w14:paraId="3C9D01B9" w14:textId="1A57436A" w:rsidR="00AE715A" w:rsidRDefault="00AE715A" w:rsidP="002760AF">
      <w:pPr>
        <w:rPr>
          <w:rFonts w:cs="Arial"/>
          <w:iCs/>
          <w:szCs w:val="22"/>
        </w:rPr>
      </w:pPr>
    </w:p>
    <w:p w14:paraId="20C1E6B1" w14:textId="66D93A99" w:rsidR="00AE715A" w:rsidRPr="00A0297B" w:rsidRDefault="00AE715A" w:rsidP="002760AF">
      <w:pPr>
        <w:rPr>
          <w:rFonts w:cs="Arial"/>
          <w:iCs/>
          <w:szCs w:val="22"/>
        </w:rPr>
      </w:pPr>
      <w:r>
        <w:rPr>
          <w:rFonts w:cs="Arial"/>
          <w:iCs/>
          <w:szCs w:val="22"/>
        </w:rPr>
        <w:t>The final ERG concern regarding the economic model was the cost associated with fulvestrant administration.  The company assumed that after administration of the first fulvestrant cycle, 32% of the subsequent cycles of treatment would be administered in primary care and 58% in the secondary care outpatient setting.  One ERG clinical expert however believed that all patients in their locality would have fulvestrant administered in the secondary care setting.</w:t>
      </w:r>
    </w:p>
    <w:p w14:paraId="494081FA" w14:textId="77777777" w:rsidR="00CE26A9" w:rsidRPr="00A0297B" w:rsidRDefault="00CE26A9">
      <w:pPr>
        <w:rPr>
          <w:rFonts w:cs="Arial"/>
          <w:szCs w:val="22"/>
        </w:rPr>
      </w:pPr>
    </w:p>
    <w:p w14:paraId="4AC73560" w14:textId="77777777" w:rsidR="00CE26A9" w:rsidRDefault="00CE26A9">
      <w:pPr>
        <w:pStyle w:val="Heading3"/>
      </w:pPr>
      <w:r>
        <w:t>Additional analyses conducted by the ERG</w:t>
      </w:r>
    </w:p>
    <w:p w14:paraId="4143AF92" w14:textId="3AA3C713" w:rsidR="002760AF" w:rsidRPr="003F6095" w:rsidRDefault="002760AF" w:rsidP="002760AF">
      <w:pPr>
        <w:rPr>
          <w:rFonts w:cs="Arial"/>
          <w:iCs/>
          <w:szCs w:val="22"/>
        </w:rPr>
      </w:pPr>
      <w:r w:rsidRPr="003F6095">
        <w:rPr>
          <w:rFonts w:cs="Arial"/>
          <w:iCs/>
          <w:szCs w:val="22"/>
        </w:rPr>
        <w:t>The ERG undertook further exploratory analyses to test the robustness of the company’s base case economic analysis</w:t>
      </w:r>
      <w:r w:rsidR="00471CD4">
        <w:rPr>
          <w:rFonts w:cs="Arial"/>
          <w:iCs/>
          <w:szCs w:val="22"/>
        </w:rPr>
        <w:t xml:space="preserve"> in relation to areas where the ERG considered the company’s base case to have limitations.  These analyses were </w:t>
      </w:r>
      <w:r w:rsidRPr="003F6095">
        <w:rPr>
          <w:rFonts w:cs="Arial"/>
          <w:iCs/>
          <w:szCs w:val="22"/>
        </w:rPr>
        <w:t xml:space="preserve">based on the company's assumptions relating to the OS curve, resource use for </w:t>
      </w:r>
      <w:r w:rsidR="00471CD4">
        <w:rPr>
          <w:rFonts w:cs="Arial"/>
          <w:iCs/>
          <w:szCs w:val="22"/>
        </w:rPr>
        <w:t>the PFS and PD health states</w:t>
      </w:r>
      <w:r w:rsidRPr="003F6095">
        <w:rPr>
          <w:rFonts w:cs="Arial"/>
          <w:iCs/>
          <w:szCs w:val="22"/>
        </w:rPr>
        <w:t xml:space="preserve">, </w:t>
      </w:r>
      <w:r w:rsidR="00471CD4">
        <w:rPr>
          <w:rFonts w:cs="Arial"/>
          <w:iCs/>
          <w:szCs w:val="22"/>
        </w:rPr>
        <w:t>proportions of patients receiving different second-line</w:t>
      </w:r>
      <w:r w:rsidRPr="003F6095">
        <w:rPr>
          <w:rFonts w:cs="Arial"/>
          <w:iCs/>
          <w:szCs w:val="22"/>
        </w:rPr>
        <w:t xml:space="preserve"> treatments</w:t>
      </w:r>
      <w:r w:rsidR="00471CD4">
        <w:rPr>
          <w:rFonts w:cs="Arial"/>
          <w:iCs/>
          <w:szCs w:val="22"/>
        </w:rPr>
        <w:t>,</w:t>
      </w:r>
      <w:r w:rsidRPr="003F6095">
        <w:rPr>
          <w:rFonts w:cs="Arial"/>
          <w:iCs/>
          <w:szCs w:val="22"/>
        </w:rPr>
        <w:t xml:space="preserve"> </w:t>
      </w:r>
      <w:r w:rsidR="00471CD4" w:rsidRPr="003F6095">
        <w:rPr>
          <w:rFonts w:cs="Arial"/>
          <w:iCs/>
          <w:szCs w:val="22"/>
        </w:rPr>
        <w:t>the studies included in the NMA</w:t>
      </w:r>
      <w:r w:rsidR="00471CD4">
        <w:rPr>
          <w:rFonts w:cs="Arial"/>
          <w:iCs/>
          <w:szCs w:val="22"/>
        </w:rPr>
        <w:t xml:space="preserve"> </w:t>
      </w:r>
      <w:r w:rsidRPr="003F6095">
        <w:rPr>
          <w:rFonts w:cs="Arial"/>
          <w:iCs/>
          <w:szCs w:val="22"/>
        </w:rPr>
        <w:t xml:space="preserve">and </w:t>
      </w:r>
      <w:r w:rsidR="00471CD4">
        <w:rPr>
          <w:rFonts w:cs="Arial"/>
          <w:iCs/>
          <w:szCs w:val="22"/>
        </w:rPr>
        <w:t xml:space="preserve">the </w:t>
      </w:r>
      <w:r w:rsidRPr="003F6095">
        <w:rPr>
          <w:rFonts w:cs="Arial"/>
          <w:iCs/>
          <w:szCs w:val="22"/>
        </w:rPr>
        <w:t>administration cost for fulvestrant. The findings of these analyses are discussed below.</w:t>
      </w:r>
    </w:p>
    <w:p w14:paraId="5CB340EA" w14:textId="77777777" w:rsidR="002760AF" w:rsidRPr="003F6095" w:rsidRDefault="002760AF" w:rsidP="002760AF">
      <w:pPr>
        <w:rPr>
          <w:rFonts w:cs="Arial"/>
          <w:iCs/>
          <w:szCs w:val="22"/>
        </w:rPr>
      </w:pPr>
    </w:p>
    <w:p w14:paraId="63CE38C8" w14:textId="43191BB2" w:rsidR="002760AF" w:rsidRPr="003F6095" w:rsidRDefault="002760AF" w:rsidP="002760AF">
      <w:pPr>
        <w:rPr>
          <w:rFonts w:cs="Arial"/>
          <w:iCs/>
          <w:szCs w:val="22"/>
        </w:rPr>
      </w:pPr>
      <w:r w:rsidRPr="003F6095">
        <w:rPr>
          <w:rFonts w:cs="Arial"/>
          <w:iCs/>
          <w:szCs w:val="22"/>
        </w:rPr>
        <w:t>Owing to the uncertainties associated with OS</w:t>
      </w:r>
      <w:r w:rsidR="00471CD4">
        <w:rPr>
          <w:rFonts w:cs="Arial"/>
          <w:iCs/>
          <w:szCs w:val="22"/>
        </w:rPr>
        <w:t xml:space="preserve"> modelling</w:t>
      </w:r>
      <w:r w:rsidRPr="003F6095">
        <w:rPr>
          <w:rFonts w:cs="Arial"/>
          <w:iCs/>
          <w:szCs w:val="22"/>
        </w:rPr>
        <w:t>, the ERG undertook two scenario analyses</w:t>
      </w:r>
      <w:r w:rsidR="00471CD4">
        <w:rPr>
          <w:rFonts w:cs="Arial"/>
          <w:iCs/>
          <w:szCs w:val="22"/>
        </w:rPr>
        <w:t xml:space="preserve">.  The first ERG analysis involved extrapolating the OS curve using different distributions.  </w:t>
      </w:r>
      <w:r w:rsidRPr="003F6095">
        <w:rPr>
          <w:rFonts w:cs="Arial"/>
          <w:iCs/>
          <w:szCs w:val="22"/>
        </w:rPr>
        <w:t>On extrapolating the OS curve using the Gompertz distribution</w:t>
      </w:r>
      <w:r w:rsidR="00471CD4">
        <w:rPr>
          <w:rFonts w:cs="Arial"/>
          <w:iCs/>
          <w:szCs w:val="22"/>
        </w:rPr>
        <w:t xml:space="preserve"> (instead of the Weibull distribution of the company base case)</w:t>
      </w:r>
      <w:r w:rsidRPr="003F6095">
        <w:rPr>
          <w:rFonts w:cs="Arial"/>
          <w:iCs/>
          <w:szCs w:val="22"/>
        </w:rPr>
        <w:t>, the direction of the company’s base case changed, showing that fulvestrant was dominated by letrozole (letrozole being less expensive and more effective, with higher QALYs)</w:t>
      </w:r>
      <w:r w:rsidR="00471CD4">
        <w:rPr>
          <w:rFonts w:cs="Arial"/>
          <w:iCs/>
          <w:szCs w:val="22"/>
        </w:rPr>
        <w:t xml:space="preserve">.  In addition the ICER increased </w:t>
      </w:r>
      <w:r w:rsidRPr="003F6095">
        <w:rPr>
          <w:rFonts w:cs="Arial"/>
          <w:iCs/>
          <w:szCs w:val="22"/>
        </w:rPr>
        <w:t>significantly when fulvestrant was compared against anastrozole and tamoxifen</w:t>
      </w:r>
      <w:r w:rsidR="00471CD4">
        <w:rPr>
          <w:rFonts w:cs="Arial"/>
          <w:iCs/>
          <w:szCs w:val="22"/>
        </w:rPr>
        <w:t xml:space="preserve"> in this scenario</w:t>
      </w:r>
      <w:r w:rsidRPr="003F6095">
        <w:rPr>
          <w:rFonts w:cs="Arial"/>
          <w:iCs/>
          <w:szCs w:val="22"/>
        </w:rPr>
        <w:t xml:space="preserve">. However, the Gompertz distribution provided a poor fit to the observed data so it should be noted that the results are to be treated with caution. Assigning log-logistic and log-normal distributions had insignificant impacts on the base case results. </w:t>
      </w:r>
    </w:p>
    <w:p w14:paraId="79654072" w14:textId="77777777" w:rsidR="002760AF" w:rsidRPr="003F6095" w:rsidRDefault="002760AF" w:rsidP="002760AF">
      <w:pPr>
        <w:rPr>
          <w:rFonts w:cs="Arial"/>
          <w:iCs/>
          <w:szCs w:val="22"/>
        </w:rPr>
      </w:pPr>
    </w:p>
    <w:p w14:paraId="3C6655EB" w14:textId="3E00A8F9" w:rsidR="002760AF" w:rsidRPr="003F6095" w:rsidRDefault="00471CD4" w:rsidP="002760AF">
      <w:pPr>
        <w:rPr>
          <w:rFonts w:cs="Arial"/>
          <w:iCs/>
          <w:szCs w:val="22"/>
        </w:rPr>
      </w:pPr>
      <w:r>
        <w:rPr>
          <w:rFonts w:cs="Arial"/>
          <w:iCs/>
          <w:szCs w:val="22"/>
        </w:rPr>
        <w:t xml:space="preserve">The second OS scenario analysis involved changing the OS scale parameter for fulvestrant.  The ERG </w:t>
      </w:r>
      <w:r w:rsidR="002760AF" w:rsidRPr="003F6095">
        <w:rPr>
          <w:rFonts w:cs="Arial"/>
          <w:iCs/>
          <w:szCs w:val="22"/>
        </w:rPr>
        <w:t>varied the OS scale parameter between its mean value and the</w:t>
      </w:r>
      <w:r>
        <w:rPr>
          <w:rFonts w:cs="Arial"/>
          <w:iCs/>
          <w:szCs w:val="22"/>
        </w:rPr>
        <w:t xml:space="preserve"> lower</w:t>
      </w:r>
      <w:r w:rsidR="002760AF" w:rsidRPr="003F6095">
        <w:rPr>
          <w:rFonts w:cs="Arial"/>
          <w:iCs/>
          <w:szCs w:val="22"/>
        </w:rPr>
        <w:t xml:space="preserve"> 95% confidence interval</w:t>
      </w:r>
      <w:r>
        <w:rPr>
          <w:rFonts w:cs="Arial"/>
          <w:iCs/>
          <w:szCs w:val="22"/>
        </w:rPr>
        <w:t xml:space="preserve"> to illustrate the effect of changes to the treatment benefit.  The extent of survival benefit was uncertain due to the immaturity of the OS data from the FALCON trial.</w:t>
      </w:r>
      <w:r w:rsidR="002760AF" w:rsidRPr="003F6095">
        <w:rPr>
          <w:rFonts w:cs="Arial"/>
          <w:iCs/>
          <w:szCs w:val="22"/>
        </w:rPr>
        <w:t xml:space="preserve"> </w:t>
      </w:r>
      <w:r>
        <w:rPr>
          <w:rFonts w:cs="Arial"/>
          <w:iCs/>
          <w:szCs w:val="22"/>
        </w:rPr>
        <w:t xml:space="preserve"> Example</w:t>
      </w:r>
      <w:r w:rsidR="002760AF" w:rsidRPr="003F6095">
        <w:rPr>
          <w:rFonts w:cs="Arial"/>
          <w:iCs/>
          <w:szCs w:val="22"/>
        </w:rPr>
        <w:t xml:space="preserve"> results </w:t>
      </w:r>
      <w:r>
        <w:rPr>
          <w:rFonts w:cs="Arial"/>
          <w:iCs/>
          <w:szCs w:val="22"/>
        </w:rPr>
        <w:t xml:space="preserve">for incremental changes in the scale parameter </w:t>
      </w:r>
      <w:r w:rsidR="002760AF" w:rsidRPr="003F6095">
        <w:rPr>
          <w:rFonts w:cs="Arial"/>
          <w:iCs/>
          <w:szCs w:val="22"/>
        </w:rPr>
        <w:t>showed that a relatively small change had a significant impact on the ICER for fulvestrant vs anastrozole</w:t>
      </w:r>
      <w:r>
        <w:rPr>
          <w:rFonts w:cs="Arial"/>
          <w:iCs/>
          <w:szCs w:val="22"/>
        </w:rPr>
        <w:t xml:space="preserve"> </w:t>
      </w:r>
      <w:r w:rsidRPr="003F6095">
        <w:rPr>
          <w:rFonts w:cs="Arial"/>
          <w:iCs/>
          <w:szCs w:val="22"/>
        </w:rPr>
        <w:t>(</w:t>
      </w:r>
      <w:r w:rsidR="001F7D04" w:rsidRPr="003F6095">
        <w:rPr>
          <w:rFonts w:cs="Arial"/>
          <w:szCs w:val="22"/>
        </w:rPr>
        <w:t xml:space="preserve">Table </w:t>
      </w:r>
      <w:r w:rsidR="001F7D04">
        <w:rPr>
          <w:rFonts w:cs="Arial"/>
          <w:noProof/>
          <w:szCs w:val="22"/>
        </w:rPr>
        <w:t>2</w:t>
      </w:r>
      <w:r w:rsidRPr="003F6095">
        <w:rPr>
          <w:rFonts w:cs="Arial"/>
          <w:iCs/>
          <w:szCs w:val="22"/>
        </w:rPr>
        <w:t>)</w:t>
      </w:r>
      <w:r w:rsidR="002760AF" w:rsidRPr="003F6095">
        <w:rPr>
          <w:rFonts w:cs="Arial"/>
          <w:iCs/>
          <w:szCs w:val="22"/>
        </w:rPr>
        <w:t>.</w:t>
      </w:r>
    </w:p>
    <w:p w14:paraId="3CFADFA1" w14:textId="77777777" w:rsidR="002760AF" w:rsidRPr="003F6095" w:rsidRDefault="002760AF" w:rsidP="002760AF">
      <w:pPr>
        <w:rPr>
          <w:rFonts w:cs="Arial"/>
          <w:szCs w:val="22"/>
        </w:rPr>
      </w:pPr>
      <w:bookmarkStart w:id="6" w:name="_Ref486932161"/>
      <w:bookmarkStart w:id="7" w:name="_Toc487465099"/>
    </w:p>
    <w:p w14:paraId="7F61F35C" w14:textId="1D7532F3" w:rsidR="002760AF" w:rsidRPr="003F6095" w:rsidRDefault="002760AF" w:rsidP="002760AF">
      <w:pPr>
        <w:pStyle w:val="Caption"/>
        <w:rPr>
          <w:rFonts w:cs="Arial"/>
          <w:szCs w:val="22"/>
        </w:rPr>
      </w:pPr>
      <w:bookmarkStart w:id="8" w:name="_Ref520633768"/>
      <w:r w:rsidRPr="003F6095">
        <w:rPr>
          <w:rFonts w:cs="Arial"/>
          <w:szCs w:val="22"/>
        </w:rPr>
        <w:t xml:space="preserve">Table </w:t>
      </w:r>
      <w:r w:rsidR="001F7D04">
        <w:rPr>
          <w:rFonts w:cs="Arial"/>
          <w:noProof/>
          <w:szCs w:val="22"/>
        </w:rPr>
        <w:t>2</w:t>
      </w:r>
      <w:bookmarkEnd w:id="8"/>
      <w:r w:rsidRPr="003F6095">
        <w:rPr>
          <w:rFonts w:cs="Arial"/>
          <w:szCs w:val="22"/>
        </w:rPr>
        <w:t xml:space="preserve"> Effect of changes to the fulvestrant OS scale parameter, ERG scenario</w:t>
      </w:r>
    </w:p>
    <w:bookmarkEnd w:id="6"/>
    <w:bookmarkEnd w:id="7"/>
    <w:p w14:paraId="18FFE396" w14:textId="31D37D6D" w:rsidR="002760AF" w:rsidRDefault="002760AF" w:rsidP="002760AF">
      <w:pPr>
        <w:rPr>
          <w:rFonts w:cs="Arial"/>
          <w:iCs/>
          <w:szCs w:val="22"/>
        </w:rPr>
      </w:pPr>
    </w:p>
    <w:p w14:paraId="197F9BD0" w14:textId="03CBACB8" w:rsidR="008522A8" w:rsidRDefault="008522A8" w:rsidP="002760AF">
      <w:pPr>
        <w:rPr>
          <w:rFonts w:cs="Arial"/>
          <w:iCs/>
          <w:szCs w:val="22"/>
        </w:rPr>
      </w:pPr>
      <w:r>
        <w:rPr>
          <w:rFonts w:cs="Arial"/>
          <w:iCs/>
          <w:szCs w:val="22"/>
        </w:rPr>
        <w:t>To address the ERG’s concern that disease management costs for the PFS and PD health states may not have been estimated appropriately</w:t>
      </w:r>
      <w:r w:rsidR="004345E4">
        <w:rPr>
          <w:rFonts w:cs="Arial"/>
          <w:iCs/>
          <w:szCs w:val="22"/>
        </w:rPr>
        <w:t>,</w:t>
      </w:r>
      <w:r>
        <w:rPr>
          <w:rFonts w:cs="Arial"/>
          <w:iCs/>
          <w:szCs w:val="22"/>
        </w:rPr>
        <w:t xml:space="preserve"> the ERG estimated resource use from the study by Karnon et al.</w:t>
      </w:r>
      <w:r w:rsidR="00761D10">
        <w:rPr>
          <w:rFonts w:cs="Arial"/>
          <w:iCs/>
          <w:szCs w:val="22"/>
        </w:rPr>
        <w:t xml:space="preserve"> </w:t>
      </w:r>
      <w:r w:rsidR="005B756D">
        <w:rPr>
          <w:rFonts w:cs="Arial"/>
          <w:iCs/>
          <w:noProof/>
          <w:szCs w:val="22"/>
        </w:rPr>
        <w:t>[25]</w:t>
      </w:r>
      <w:r w:rsidR="00761D10">
        <w:rPr>
          <w:rFonts w:cs="Arial"/>
          <w:iCs/>
          <w:szCs w:val="22"/>
        </w:rPr>
        <w:t>.</w:t>
      </w:r>
      <w:r>
        <w:rPr>
          <w:rFonts w:cs="Arial"/>
          <w:iCs/>
          <w:szCs w:val="22"/>
        </w:rPr>
        <w:t xml:space="preserve">  This ERG scenario resulted in a decrease in total costs for all the treatments in comparison to the company’s base case.</w:t>
      </w:r>
    </w:p>
    <w:p w14:paraId="5B408C05" w14:textId="419F3CFD" w:rsidR="008522A8" w:rsidRDefault="008522A8" w:rsidP="002760AF">
      <w:pPr>
        <w:rPr>
          <w:rFonts w:cs="Arial"/>
          <w:iCs/>
          <w:szCs w:val="22"/>
        </w:rPr>
      </w:pPr>
    </w:p>
    <w:p w14:paraId="14F392F9" w14:textId="5B375C71" w:rsidR="008522A8" w:rsidRDefault="008522A8" w:rsidP="002760AF">
      <w:pPr>
        <w:rPr>
          <w:rFonts w:cs="Arial"/>
          <w:iCs/>
          <w:szCs w:val="22"/>
        </w:rPr>
      </w:pPr>
      <w:r>
        <w:rPr>
          <w:rFonts w:cs="Arial"/>
          <w:iCs/>
          <w:szCs w:val="22"/>
        </w:rPr>
        <w:t xml:space="preserve">The clinical advice which indicated a higher proportion of people would receive endocrine therapy as a second line treatment was addressed by changing the proportions of patients receiving second-line treatment.  Owing to limited information and different estimates of our clinical advisors the ERG pragmatically assumed the proportions shown in </w:t>
      </w:r>
      <w:r w:rsidR="001F7D04" w:rsidRPr="00F863C3">
        <w:rPr>
          <w:szCs w:val="22"/>
        </w:rPr>
        <w:t xml:space="preserve">Table </w:t>
      </w:r>
      <w:r w:rsidR="001F7D04">
        <w:rPr>
          <w:noProof/>
          <w:szCs w:val="22"/>
        </w:rPr>
        <w:t>3</w:t>
      </w:r>
      <w:r>
        <w:rPr>
          <w:rFonts w:cs="Arial"/>
          <w:iCs/>
          <w:szCs w:val="22"/>
        </w:rPr>
        <w:t>.</w:t>
      </w:r>
    </w:p>
    <w:p w14:paraId="35D86E92" w14:textId="2AB932CA" w:rsidR="008522A8" w:rsidRDefault="008522A8" w:rsidP="002760AF">
      <w:pPr>
        <w:rPr>
          <w:rFonts w:cs="Arial"/>
          <w:iCs/>
          <w:szCs w:val="22"/>
        </w:rPr>
      </w:pPr>
    </w:p>
    <w:p w14:paraId="62EA70D3" w14:textId="468DF9CA" w:rsidR="008522A8" w:rsidRDefault="008522A8" w:rsidP="00086371">
      <w:pPr>
        <w:pStyle w:val="Caption"/>
        <w:keepNext/>
        <w:rPr>
          <w:szCs w:val="22"/>
        </w:rPr>
      </w:pPr>
      <w:bookmarkStart w:id="9" w:name="_Ref486412514"/>
      <w:bookmarkStart w:id="10" w:name="_Toc488741103"/>
      <w:r w:rsidRPr="00F863C3">
        <w:rPr>
          <w:szCs w:val="22"/>
        </w:rPr>
        <w:t xml:space="preserve">Table </w:t>
      </w:r>
      <w:r w:rsidR="001F7D04">
        <w:rPr>
          <w:noProof/>
          <w:szCs w:val="22"/>
        </w:rPr>
        <w:t>3</w:t>
      </w:r>
      <w:bookmarkEnd w:id="9"/>
      <w:r w:rsidRPr="00F863C3">
        <w:rPr>
          <w:szCs w:val="22"/>
        </w:rPr>
        <w:t xml:space="preserve">  ERG’s assum</w:t>
      </w:r>
      <w:r>
        <w:rPr>
          <w:szCs w:val="22"/>
        </w:rPr>
        <w:t>ptions</w:t>
      </w:r>
      <w:r w:rsidRPr="00F863C3">
        <w:rPr>
          <w:szCs w:val="22"/>
        </w:rPr>
        <w:t xml:space="preserve"> related to the proportion of patients receiving </w:t>
      </w:r>
      <w:r>
        <w:rPr>
          <w:szCs w:val="22"/>
        </w:rPr>
        <w:t>second-</w:t>
      </w:r>
      <w:r w:rsidRPr="00F863C3">
        <w:rPr>
          <w:szCs w:val="22"/>
        </w:rPr>
        <w:t>line treatments</w:t>
      </w:r>
      <w:bookmarkEnd w:id="10"/>
    </w:p>
    <w:p w14:paraId="7A42C7B9" w14:textId="77777777" w:rsidR="00086371" w:rsidRPr="00086371" w:rsidRDefault="00086371" w:rsidP="00086371"/>
    <w:p w14:paraId="1DDE4BEC" w14:textId="78B577EE" w:rsidR="008522A8" w:rsidRDefault="002D6113" w:rsidP="002760AF">
      <w:pPr>
        <w:rPr>
          <w:rFonts w:cs="Arial"/>
          <w:iCs/>
          <w:szCs w:val="22"/>
        </w:rPr>
      </w:pPr>
      <w:r>
        <w:rPr>
          <w:rFonts w:cs="Arial"/>
          <w:iCs/>
          <w:szCs w:val="22"/>
        </w:rPr>
        <w:t>Varying the proportion of patients receiving different therapy options as a second-line treatment did not influence the base-case results.</w:t>
      </w:r>
    </w:p>
    <w:p w14:paraId="64C6EB95" w14:textId="5A9DE51D" w:rsidR="002D6113" w:rsidRDefault="002D6113" w:rsidP="002760AF">
      <w:pPr>
        <w:rPr>
          <w:rFonts w:cs="Arial"/>
          <w:iCs/>
          <w:szCs w:val="22"/>
        </w:rPr>
      </w:pPr>
    </w:p>
    <w:p w14:paraId="766B797A" w14:textId="29AD403C" w:rsidR="002D6113" w:rsidRDefault="002D6113" w:rsidP="002760AF">
      <w:pPr>
        <w:rPr>
          <w:rFonts w:cs="Arial"/>
          <w:iCs/>
          <w:szCs w:val="22"/>
        </w:rPr>
      </w:pPr>
      <w:r>
        <w:rPr>
          <w:rFonts w:cs="Arial"/>
          <w:iCs/>
          <w:szCs w:val="22"/>
        </w:rPr>
        <w:t>The ERG believed excluding the PO25 trial from the N</w:t>
      </w:r>
      <w:r w:rsidR="00761D10">
        <w:rPr>
          <w:rFonts w:cs="Arial"/>
          <w:iCs/>
          <w:szCs w:val="22"/>
        </w:rPr>
        <w:t>M</w:t>
      </w:r>
      <w:r>
        <w:rPr>
          <w:rFonts w:cs="Arial"/>
          <w:iCs/>
          <w:szCs w:val="22"/>
        </w:rPr>
        <w:t>A was appropriate.  This assumes that anastrozole and letrozole have similar efficacy.  Using the PFS and OS estimates from a fixed effect NMA excluding the PO25 trial had almost no impact on the ICER.</w:t>
      </w:r>
    </w:p>
    <w:p w14:paraId="34066AEA" w14:textId="223C78BB" w:rsidR="002D6113" w:rsidRDefault="002D6113" w:rsidP="002760AF">
      <w:pPr>
        <w:rPr>
          <w:rFonts w:cs="Arial"/>
          <w:iCs/>
          <w:szCs w:val="22"/>
        </w:rPr>
      </w:pPr>
    </w:p>
    <w:p w14:paraId="04F059CE" w14:textId="06CF542F" w:rsidR="002D6113" w:rsidRDefault="002D6113" w:rsidP="002760AF">
      <w:pPr>
        <w:rPr>
          <w:rFonts w:cs="Arial"/>
          <w:iCs/>
          <w:szCs w:val="22"/>
        </w:rPr>
      </w:pPr>
      <w:r>
        <w:rPr>
          <w:rFonts w:cs="Arial"/>
          <w:iCs/>
          <w:szCs w:val="22"/>
        </w:rPr>
        <w:t>In the last ERG scenario the administration cost for fulvestrant was based on all patients receiving fulvestrant in the outpatient setting.  This change increased the ICER for fulvestrant versus anastrozole by £1,397 to £35,496 per QALY.</w:t>
      </w:r>
    </w:p>
    <w:p w14:paraId="46FF6772" w14:textId="77777777" w:rsidR="008522A8" w:rsidRPr="00E1046C" w:rsidRDefault="008522A8" w:rsidP="002760AF">
      <w:pPr>
        <w:rPr>
          <w:rFonts w:cs="Arial"/>
          <w:iCs/>
          <w:szCs w:val="22"/>
        </w:rPr>
      </w:pPr>
    </w:p>
    <w:p w14:paraId="2BCABCA6" w14:textId="45B3EFF7" w:rsidR="002760AF" w:rsidRPr="003F6095" w:rsidRDefault="002760AF" w:rsidP="002760AF">
      <w:pPr>
        <w:rPr>
          <w:rFonts w:cs="Arial"/>
          <w:iCs/>
          <w:szCs w:val="22"/>
        </w:rPr>
      </w:pPr>
      <w:r w:rsidRPr="003F6095">
        <w:rPr>
          <w:rFonts w:cs="Arial"/>
          <w:iCs/>
          <w:szCs w:val="22"/>
        </w:rPr>
        <w:t xml:space="preserve">Finally, the ERG undertook an additional analysis to demonstrate its preferred base case scenario </w:t>
      </w:r>
      <w:r w:rsidR="002D6113">
        <w:rPr>
          <w:rFonts w:cs="Arial"/>
          <w:iCs/>
          <w:szCs w:val="22"/>
        </w:rPr>
        <w:t>combining the following analyses:</w:t>
      </w:r>
      <w:r w:rsidRPr="003F6095">
        <w:rPr>
          <w:rFonts w:cs="Arial"/>
          <w:iCs/>
          <w:szCs w:val="22"/>
        </w:rPr>
        <w:t xml:space="preserve"> i) using PFS and PD data from the study by Karnon et al.</w:t>
      </w:r>
      <w:r w:rsidR="00761D10">
        <w:rPr>
          <w:rFonts w:cs="Arial"/>
          <w:iCs/>
          <w:szCs w:val="22"/>
        </w:rPr>
        <w:t xml:space="preserve"> </w:t>
      </w:r>
      <w:r w:rsidR="005B756D">
        <w:rPr>
          <w:rFonts w:cs="Arial"/>
          <w:iCs/>
          <w:noProof/>
          <w:szCs w:val="22"/>
        </w:rPr>
        <w:t>[25]</w:t>
      </w:r>
      <w:r w:rsidRPr="003F6095">
        <w:rPr>
          <w:rFonts w:cs="Arial"/>
          <w:iCs/>
          <w:szCs w:val="22"/>
        </w:rPr>
        <w:t>; ii) using alternative proportions of patients receiving 2</w:t>
      </w:r>
      <w:r w:rsidRPr="003F6095">
        <w:rPr>
          <w:rFonts w:cs="Arial"/>
          <w:iCs/>
          <w:szCs w:val="22"/>
          <w:vertAlign w:val="superscript"/>
        </w:rPr>
        <w:t>nd</w:t>
      </w:r>
      <w:r w:rsidRPr="003F6095">
        <w:rPr>
          <w:rFonts w:cs="Arial"/>
          <w:iCs/>
          <w:szCs w:val="22"/>
        </w:rPr>
        <w:t xml:space="preserve"> line treatment based on expert clinical advice; iii) changing the proportion of patients receiving second line treatment and iv) by assuming a similar efficacy for both letrozole and anastrozole, the PO25 trial data for OS and PFS was excluded from the NMA.</w:t>
      </w:r>
    </w:p>
    <w:p w14:paraId="2C9F3485" w14:textId="77777777" w:rsidR="002760AF" w:rsidRPr="003F6095" w:rsidRDefault="002760AF" w:rsidP="002760AF">
      <w:pPr>
        <w:rPr>
          <w:rFonts w:cs="Arial"/>
          <w:iCs/>
          <w:szCs w:val="22"/>
        </w:rPr>
      </w:pPr>
    </w:p>
    <w:p w14:paraId="33ABD056" w14:textId="5DF43641" w:rsidR="002D6113" w:rsidRDefault="002D6113" w:rsidP="002760AF">
      <w:pPr>
        <w:rPr>
          <w:rFonts w:cs="Arial"/>
          <w:iCs/>
          <w:szCs w:val="22"/>
        </w:rPr>
      </w:pPr>
      <w:r>
        <w:rPr>
          <w:rFonts w:cs="Arial"/>
          <w:iCs/>
          <w:szCs w:val="22"/>
        </w:rPr>
        <w:t>The</w:t>
      </w:r>
      <w:r w:rsidR="002760AF" w:rsidRPr="003F6095">
        <w:rPr>
          <w:rFonts w:cs="Arial"/>
          <w:iCs/>
          <w:szCs w:val="22"/>
        </w:rPr>
        <w:t xml:space="preserve"> ERG</w:t>
      </w:r>
      <w:r>
        <w:rPr>
          <w:rFonts w:cs="Arial"/>
          <w:iCs/>
          <w:szCs w:val="22"/>
        </w:rPr>
        <w:t>’s</w:t>
      </w:r>
      <w:r w:rsidR="002760AF" w:rsidRPr="003F6095">
        <w:rPr>
          <w:rFonts w:cs="Arial"/>
          <w:iCs/>
          <w:szCs w:val="22"/>
        </w:rPr>
        <w:t xml:space="preserve"> base case produced an ICER of £33,455 per QALY </w:t>
      </w:r>
      <w:r>
        <w:rPr>
          <w:rFonts w:cs="Arial"/>
          <w:iCs/>
          <w:szCs w:val="22"/>
        </w:rPr>
        <w:t xml:space="preserve">for fulvestrant </w:t>
      </w:r>
      <w:r w:rsidR="002760AF" w:rsidRPr="003F6095">
        <w:rPr>
          <w:rFonts w:cs="Arial"/>
          <w:iCs/>
          <w:szCs w:val="22"/>
        </w:rPr>
        <w:t xml:space="preserve">compared to anastrozole. </w:t>
      </w:r>
      <w:r>
        <w:rPr>
          <w:rFonts w:cs="Arial"/>
          <w:iCs/>
          <w:szCs w:val="22"/>
        </w:rPr>
        <w:t xml:space="preserve"> Tamoxifen was dominated when compared with anastrozole because it is more expensive and less effective.</w:t>
      </w:r>
    </w:p>
    <w:p w14:paraId="7CD2469C" w14:textId="1794C39B" w:rsidR="002D6113" w:rsidRDefault="002D6113" w:rsidP="002760AF">
      <w:pPr>
        <w:rPr>
          <w:rFonts w:cs="Arial"/>
          <w:iCs/>
          <w:szCs w:val="22"/>
        </w:rPr>
      </w:pPr>
    </w:p>
    <w:p w14:paraId="72AE9DC4" w14:textId="1860D154" w:rsidR="002760AF" w:rsidRPr="003F6095" w:rsidRDefault="002D6113" w:rsidP="002760AF">
      <w:pPr>
        <w:rPr>
          <w:rFonts w:cs="Arial"/>
          <w:iCs/>
          <w:szCs w:val="22"/>
        </w:rPr>
      </w:pPr>
      <w:r>
        <w:rPr>
          <w:rFonts w:cs="Arial"/>
          <w:iCs/>
          <w:szCs w:val="22"/>
        </w:rPr>
        <w:t>It is important to note that</w:t>
      </w:r>
      <w:r w:rsidR="002760AF" w:rsidRPr="003F6095">
        <w:rPr>
          <w:rFonts w:cs="Arial"/>
          <w:iCs/>
          <w:szCs w:val="22"/>
        </w:rPr>
        <w:t xml:space="preserve"> despite the ERG considering that the parametric distributions chosen by the company to model PFS and OS were appropriate and a reasonable fit to the observed data,</w:t>
      </w:r>
      <w:r>
        <w:rPr>
          <w:rFonts w:cs="Arial"/>
          <w:iCs/>
          <w:szCs w:val="22"/>
        </w:rPr>
        <w:t xml:space="preserve"> uncertainty in the cost-effectiveness estimates remains.  This is due</w:t>
      </w:r>
      <w:r w:rsidR="002760AF" w:rsidRPr="003F6095">
        <w:rPr>
          <w:rFonts w:cs="Arial"/>
          <w:iCs/>
          <w:szCs w:val="22"/>
        </w:rPr>
        <w:t xml:space="preserve"> to the immature OS data from the FALCON trial </w:t>
      </w:r>
      <w:r>
        <w:rPr>
          <w:rFonts w:cs="Arial"/>
          <w:iCs/>
          <w:szCs w:val="22"/>
        </w:rPr>
        <w:t xml:space="preserve">and the </w:t>
      </w:r>
      <w:r w:rsidR="002760AF" w:rsidRPr="003F6095">
        <w:rPr>
          <w:rFonts w:cs="Arial"/>
          <w:iCs/>
          <w:szCs w:val="22"/>
        </w:rPr>
        <w:t>sensitivity of the model to changes in OS (</w:t>
      </w:r>
      <w:r w:rsidR="001F7D04" w:rsidRPr="003F6095">
        <w:rPr>
          <w:rFonts w:cs="Arial"/>
          <w:szCs w:val="22"/>
        </w:rPr>
        <w:t xml:space="preserve">Table </w:t>
      </w:r>
      <w:r w:rsidR="001F7D04">
        <w:rPr>
          <w:rFonts w:cs="Arial"/>
          <w:noProof/>
          <w:szCs w:val="22"/>
        </w:rPr>
        <w:t>2</w:t>
      </w:r>
      <w:r w:rsidR="002760AF" w:rsidRPr="003F6095">
        <w:rPr>
          <w:rFonts w:cs="Arial"/>
          <w:iCs/>
          <w:szCs w:val="22"/>
        </w:rPr>
        <w:t>)</w:t>
      </w:r>
      <w:r>
        <w:rPr>
          <w:rFonts w:cs="Arial"/>
          <w:iCs/>
          <w:szCs w:val="22"/>
        </w:rPr>
        <w:t xml:space="preserve">.  The ERG believes the </w:t>
      </w:r>
      <w:r w:rsidR="002760AF" w:rsidRPr="003F6095">
        <w:rPr>
          <w:rFonts w:cs="Arial"/>
          <w:iCs/>
          <w:szCs w:val="22"/>
        </w:rPr>
        <w:t xml:space="preserve">ICERs </w:t>
      </w:r>
      <w:r>
        <w:rPr>
          <w:rFonts w:cs="Arial"/>
          <w:iCs/>
          <w:szCs w:val="22"/>
        </w:rPr>
        <w:t xml:space="preserve">for fulvestrant versus anastrozole </w:t>
      </w:r>
      <w:r w:rsidR="002760AF" w:rsidRPr="003F6095">
        <w:rPr>
          <w:rFonts w:cs="Arial"/>
          <w:iCs/>
          <w:szCs w:val="22"/>
        </w:rPr>
        <w:t>are likely to be higher when the full results of the FALCON trial become available.</w:t>
      </w:r>
    </w:p>
    <w:p w14:paraId="5C4BC3AE" w14:textId="77777777" w:rsidR="00AE2B1E" w:rsidRPr="003F6095" w:rsidRDefault="00AE2B1E" w:rsidP="0011462D">
      <w:pPr>
        <w:rPr>
          <w:rFonts w:cs="Arial"/>
          <w:szCs w:val="22"/>
        </w:rPr>
      </w:pPr>
    </w:p>
    <w:p w14:paraId="25EA5495" w14:textId="1F5F9783" w:rsidR="00A86418" w:rsidRPr="003F6095" w:rsidRDefault="00A86418" w:rsidP="0011462D">
      <w:pPr>
        <w:rPr>
          <w:rFonts w:cs="Arial"/>
          <w:szCs w:val="22"/>
          <w:u w:val="single"/>
        </w:rPr>
      </w:pPr>
      <w:r w:rsidRPr="003F6095">
        <w:rPr>
          <w:rFonts w:cs="Arial"/>
          <w:szCs w:val="22"/>
          <w:u w:val="single"/>
        </w:rPr>
        <w:t>Conclusions of the ERG report</w:t>
      </w:r>
    </w:p>
    <w:p w14:paraId="29BBA96E" w14:textId="182BD3D2" w:rsidR="00A86418" w:rsidRPr="003F6095" w:rsidRDefault="00A86418" w:rsidP="0011462D">
      <w:pPr>
        <w:rPr>
          <w:rFonts w:cs="Arial"/>
          <w:szCs w:val="22"/>
        </w:rPr>
      </w:pPr>
      <w:r w:rsidRPr="003F6095">
        <w:rPr>
          <w:rFonts w:cs="Arial"/>
          <w:szCs w:val="22"/>
        </w:rPr>
        <w:t xml:space="preserve">The lack of mature OS data from the FALCON </w:t>
      </w:r>
      <w:r w:rsidR="00D22926">
        <w:rPr>
          <w:rFonts w:cs="Arial"/>
          <w:szCs w:val="22"/>
        </w:rPr>
        <w:t>trial</w:t>
      </w:r>
      <w:r w:rsidRPr="003F6095">
        <w:rPr>
          <w:rFonts w:cs="Arial"/>
          <w:szCs w:val="22"/>
        </w:rPr>
        <w:t xml:space="preserve"> was considered by the ERG to be a major issue in this trial. The absence of mature OS data means that it is not currently possible to accurately determine the cost effectiveness of fulvestrant compared with existing treatments. The additional exploratory analyses carried out by the ERG to test the robustness of the company’s base case economic analysis suggested that the cost is likely to be above that normally considered as cost-effective for NHS resources.</w:t>
      </w:r>
    </w:p>
    <w:p w14:paraId="420BF368" w14:textId="77777777" w:rsidR="00A86418" w:rsidRPr="003F6095" w:rsidRDefault="00A86418" w:rsidP="0011462D">
      <w:pPr>
        <w:rPr>
          <w:rFonts w:cs="Arial"/>
          <w:szCs w:val="22"/>
        </w:rPr>
      </w:pPr>
    </w:p>
    <w:p w14:paraId="30C9E01A" w14:textId="4A8703E6" w:rsidR="00AE2B1E" w:rsidRDefault="00F457AC" w:rsidP="00F457AC">
      <w:pPr>
        <w:pStyle w:val="Heading1"/>
      </w:pPr>
      <w:r w:rsidRPr="00F457AC">
        <w:t>National Institute for Health and Care Excellence Guidance</w:t>
      </w:r>
    </w:p>
    <w:p w14:paraId="7C5BB422" w14:textId="4538955E" w:rsidR="00AE2B1E" w:rsidRDefault="00AE2B1E">
      <w:r>
        <w:t>The NICE appraisal committee reviewed the clinical and cost-effectiveness evidence available through the company submission and the ERG report alongside testimony from clinical experts and patient representatives.</w:t>
      </w:r>
    </w:p>
    <w:p w14:paraId="43321D30" w14:textId="77777777" w:rsidR="00AE2B1E" w:rsidRDefault="00AE2B1E">
      <w:pPr>
        <w:pStyle w:val="Heading2"/>
      </w:pPr>
      <w:r>
        <w:lastRenderedPageBreak/>
        <w:t>NICE preliminary guidance</w:t>
      </w:r>
    </w:p>
    <w:p w14:paraId="57330017" w14:textId="7AA65ED6" w:rsidR="004E5099" w:rsidRPr="00B501BF" w:rsidRDefault="004E5099" w:rsidP="004E5099">
      <w:pPr>
        <w:rPr>
          <w:rFonts w:cs="Arial"/>
          <w:szCs w:val="22"/>
        </w:rPr>
      </w:pPr>
      <w:r w:rsidRPr="00B501BF">
        <w:rPr>
          <w:rFonts w:cs="Arial"/>
          <w:szCs w:val="22"/>
        </w:rPr>
        <w:t xml:space="preserve">Following consideration of the evidence </w:t>
      </w:r>
      <w:r w:rsidR="00D849C5">
        <w:rPr>
          <w:rFonts w:cs="Arial"/>
          <w:szCs w:val="22"/>
        </w:rPr>
        <w:t>presented in</w:t>
      </w:r>
      <w:r w:rsidRPr="00B501BF">
        <w:rPr>
          <w:rFonts w:cs="Arial"/>
          <w:szCs w:val="22"/>
        </w:rPr>
        <w:t xml:space="preserve"> the company submission</w:t>
      </w:r>
      <w:r w:rsidR="00D849C5">
        <w:rPr>
          <w:rFonts w:cs="Arial"/>
          <w:szCs w:val="22"/>
        </w:rPr>
        <w:t xml:space="preserve"> and </w:t>
      </w:r>
      <w:r w:rsidRPr="00B501BF">
        <w:rPr>
          <w:rFonts w:cs="Arial"/>
          <w:szCs w:val="22"/>
        </w:rPr>
        <w:t xml:space="preserve">the </w:t>
      </w:r>
      <w:r w:rsidR="00D849C5">
        <w:rPr>
          <w:rFonts w:cs="Arial"/>
          <w:szCs w:val="22"/>
        </w:rPr>
        <w:t xml:space="preserve">critique of this provided by the </w:t>
      </w:r>
      <w:r w:rsidRPr="00B501BF">
        <w:rPr>
          <w:rFonts w:cs="Arial"/>
          <w:szCs w:val="22"/>
        </w:rPr>
        <w:t>ERG, alongside testimony from clinical experts and patient repr</w:t>
      </w:r>
      <w:r w:rsidR="00D849C5">
        <w:rPr>
          <w:rFonts w:cs="Arial"/>
          <w:szCs w:val="22"/>
        </w:rPr>
        <w:t>esentatives, the NICE committee</w:t>
      </w:r>
      <w:r w:rsidRPr="00B501BF">
        <w:rPr>
          <w:rFonts w:cs="Arial"/>
          <w:szCs w:val="22"/>
        </w:rPr>
        <w:t xml:space="preserve"> presented its </w:t>
      </w:r>
      <w:r w:rsidR="00761D10">
        <w:rPr>
          <w:rFonts w:cs="Arial"/>
          <w:szCs w:val="22"/>
        </w:rPr>
        <w:t>preliminary</w:t>
      </w:r>
      <w:r w:rsidRPr="00B501BF">
        <w:rPr>
          <w:rFonts w:cs="Arial"/>
          <w:szCs w:val="22"/>
        </w:rPr>
        <w:t xml:space="preserve"> guidance. The committee determined that </w:t>
      </w:r>
      <w:r w:rsidRPr="00B501BF">
        <w:rPr>
          <w:rFonts w:cs="Arial"/>
          <w:color w:val="0E0E0E"/>
          <w:szCs w:val="22"/>
        </w:rPr>
        <w:t>fulvestrant could not be recommended</w:t>
      </w:r>
      <w:r w:rsidRPr="00B501BF">
        <w:rPr>
          <w:rFonts w:cs="Arial"/>
          <w:szCs w:val="22"/>
        </w:rPr>
        <w:t xml:space="preserve"> within its marketing authorisation, for treating </w:t>
      </w:r>
      <w:r w:rsidR="00EA0E7E" w:rsidRPr="00B501BF">
        <w:rPr>
          <w:rFonts w:cs="Arial"/>
          <w:szCs w:val="22"/>
        </w:rPr>
        <w:t xml:space="preserve">locally advanced or metastatic </w:t>
      </w:r>
      <w:r w:rsidRPr="00B501BF">
        <w:rPr>
          <w:rFonts w:cs="Arial"/>
          <w:szCs w:val="22"/>
        </w:rPr>
        <w:t>estrogen-receptor positive breast cancer in postmenopausal women who have not had previous endocrine therapy.</w:t>
      </w:r>
    </w:p>
    <w:p w14:paraId="4F8F7BCB" w14:textId="39E848D0" w:rsidR="00AE2B1E" w:rsidRPr="00B501BF" w:rsidRDefault="00AE2B1E">
      <w:pPr>
        <w:rPr>
          <w:rFonts w:cs="Arial"/>
          <w:szCs w:val="22"/>
        </w:rPr>
      </w:pPr>
    </w:p>
    <w:p w14:paraId="25D72BBD" w14:textId="1B74CB97" w:rsidR="00984589" w:rsidRPr="00984589" w:rsidRDefault="0011462D" w:rsidP="00F457AC">
      <w:pPr>
        <w:pStyle w:val="Heading2"/>
      </w:pPr>
      <w:r w:rsidRPr="00984589">
        <w:t>F</w:t>
      </w:r>
      <w:r w:rsidR="00AE2B1E" w:rsidRPr="00984589">
        <w:t>inal NICE Guidance</w:t>
      </w:r>
    </w:p>
    <w:p w14:paraId="112DC3EB" w14:textId="724D256C" w:rsidR="00C20DCB" w:rsidRPr="004C2E69" w:rsidRDefault="009C3681" w:rsidP="00D849C5">
      <w:pPr>
        <w:rPr>
          <w:rFonts w:cs="Arial"/>
          <w:szCs w:val="22"/>
        </w:rPr>
      </w:pPr>
      <w:r w:rsidRPr="004C2E69">
        <w:rPr>
          <w:rFonts w:cs="Arial"/>
          <w:szCs w:val="22"/>
        </w:rPr>
        <w:t>After a period of public consultation</w:t>
      </w:r>
      <w:r w:rsidR="00CA7E8F">
        <w:rPr>
          <w:rFonts w:cs="Arial"/>
          <w:szCs w:val="22"/>
        </w:rPr>
        <w:t>,</w:t>
      </w:r>
      <w:r w:rsidRPr="004C2E69">
        <w:rPr>
          <w:rFonts w:cs="Arial"/>
          <w:szCs w:val="22"/>
        </w:rPr>
        <w:t xml:space="preserve"> a second committee meeting was conducted in which the initial decision of the first appraisal committee was </w:t>
      </w:r>
      <w:r w:rsidR="007E0E27" w:rsidRPr="004C2E69">
        <w:rPr>
          <w:rFonts w:cs="Arial"/>
          <w:szCs w:val="22"/>
        </w:rPr>
        <w:t>affirmed</w:t>
      </w:r>
      <w:r w:rsidR="002A7A78">
        <w:rPr>
          <w:rFonts w:cs="Arial"/>
          <w:szCs w:val="22"/>
        </w:rPr>
        <w:t xml:space="preserve"> </w:t>
      </w:r>
      <w:r w:rsidR="005B756D">
        <w:rPr>
          <w:rFonts w:cs="Arial"/>
          <w:noProof/>
          <w:szCs w:val="22"/>
        </w:rPr>
        <w:t>[26]</w:t>
      </w:r>
      <w:r w:rsidR="00D849C5" w:rsidRPr="004C2E69">
        <w:rPr>
          <w:rFonts w:cs="Arial"/>
          <w:szCs w:val="22"/>
        </w:rPr>
        <w:t>.</w:t>
      </w:r>
    </w:p>
    <w:p w14:paraId="577EBD36" w14:textId="77777777" w:rsidR="00D14308" w:rsidRPr="004C2E69" w:rsidRDefault="00D14308" w:rsidP="00984589">
      <w:pPr>
        <w:rPr>
          <w:rFonts w:cs="Arial"/>
          <w:szCs w:val="22"/>
        </w:rPr>
      </w:pPr>
    </w:p>
    <w:p w14:paraId="125AF808" w14:textId="426D0A46" w:rsidR="004E5099" w:rsidRPr="004C2E69" w:rsidRDefault="004E5099" w:rsidP="004E5099">
      <w:pPr>
        <w:rPr>
          <w:rFonts w:cs="Arial"/>
          <w:szCs w:val="22"/>
        </w:rPr>
      </w:pPr>
      <w:r w:rsidRPr="004C2E69">
        <w:rPr>
          <w:rFonts w:cs="Arial"/>
          <w:szCs w:val="22"/>
        </w:rPr>
        <w:t xml:space="preserve">The committee considered that as the final results on overall survival from the FALCON trial were not yet available, it was unclear whether fulvestrant would extend </w:t>
      </w:r>
      <w:r w:rsidR="00CA7E8F">
        <w:rPr>
          <w:rFonts w:cs="Arial"/>
          <w:szCs w:val="22"/>
        </w:rPr>
        <w:t xml:space="preserve">OS </w:t>
      </w:r>
      <w:r w:rsidRPr="004C2E69">
        <w:rPr>
          <w:rFonts w:cs="Arial"/>
          <w:szCs w:val="22"/>
        </w:rPr>
        <w:t xml:space="preserve">compared with </w:t>
      </w:r>
      <w:r w:rsidR="00CA7E8F">
        <w:rPr>
          <w:rFonts w:cs="Arial"/>
          <w:szCs w:val="22"/>
        </w:rPr>
        <w:t>AIs</w:t>
      </w:r>
      <w:r w:rsidRPr="004C2E69">
        <w:rPr>
          <w:rFonts w:cs="Arial"/>
          <w:szCs w:val="22"/>
        </w:rPr>
        <w:t xml:space="preserve">. In addition, because of the uncertainty in the clinical evidence, the cost effectiveness of fulvestrant compared with existing treatments was also considered to be unclear. Furthermore, it was considered that the cost would be likely to be above the range normally considered a cost-effective use of NHS resources, as a result fulvestrant could not be recommended. </w:t>
      </w:r>
    </w:p>
    <w:p w14:paraId="768CCB2A" w14:textId="77777777" w:rsidR="004E5099" w:rsidRPr="004C2E69" w:rsidRDefault="004E5099" w:rsidP="00984589">
      <w:pPr>
        <w:rPr>
          <w:rFonts w:cs="Arial"/>
          <w:szCs w:val="22"/>
        </w:rPr>
      </w:pPr>
    </w:p>
    <w:p w14:paraId="02ECBA1F" w14:textId="77777777" w:rsidR="0011462D" w:rsidRDefault="007F65C1">
      <w:pPr>
        <w:pStyle w:val="Heading1"/>
      </w:pPr>
      <w:r>
        <w:t>conclusion</w:t>
      </w:r>
    </w:p>
    <w:p w14:paraId="5E07A38A" w14:textId="361C210F" w:rsidR="003B3FBC" w:rsidRDefault="003B3FBC" w:rsidP="004E5099">
      <w:pPr>
        <w:rPr>
          <w:rFonts w:cs="Arial"/>
          <w:szCs w:val="22"/>
        </w:rPr>
      </w:pPr>
      <w:r>
        <w:rPr>
          <w:rFonts w:cs="Arial"/>
          <w:szCs w:val="22"/>
        </w:rPr>
        <w:t>Two RCTs (one phase II and one phase III) provided evidence comparing fulvestrant to anastrozole for the treatment of HR+ locally advanced or metastatic breast cancer.  The extent o</w:t>
      </w:r>
      <w:r w:rsidR="002A7A78">
        <w:rPr>
          <w:rFonts w:cs="Arial"/>
          <w:szCs w:val="22"/>
        </w:rPr>
        <w:t>f</w:t>
      </w:r>
      <w:r>
        <w:rPr>
          <w:rFonts w:cs="Arial"/>
          <w:szCs w:val="22"/>
        </w:rPr>
        <w:t xml:space="preserve"> the PFS benefit obtained with fulvestrant differed between the two trials and OS data for the key phase III trial were immature.  The potential OS benefit was therefore unclear.  The uncertainty in the OS data was reflected in uncertainty in the cost-effectiveness analyses.</w:t>
      </w:r>
    </w:p>
    <w:p w14:paraId="3A11A942" w14:textId="3304288C" w:rsidR="003B3FBC" w:rsidRDefault="003B3FBC" w:rsidP="004E5099">
      <w:pPr>
        <w:rPr>
          <w:rFonts w:cs="Arial"/>
          <w:szCs w:val="22"/>
        </w:rPr>
      </w:pPr>
    </w:p>
    <w:p w14:paraId="7E8F34BE" w14:textId="1D6B0576" w:rsidR="004E5099" w:rsidRPr="000F7B3A" w:rsidRDefault="003B3FBC" w:rsidP="004E5099">
      <w:pPr>
        <w:rPr>
          <w:rFonts w:cs="Arial"/>
          <w:szCs w:val="22"/>
        </w:rPr>
      </w:pPr>
      <w:r>
        <w:rPr>
          <w:rFonts w:cs="Arial"/>
          <w:szCs w:val="22"/>
        </w:rPr>
        <w:t>Although</w:t>
      </w:r>
      <w:r w:rsidR="004E5099" w:rsidRPr="000F7B3A">
        <w:rPr>
          <w:rFonts w:cs="Arial"/>
          <w:szCs w:val="22"/>
        </w:rPr>
        <w:t xml:space="preserve"> patient and clinical expert opinion suggested that fulvestrant, administered as an intramuscular injection</w:t>
      </w:r>
      <w:r w:rsidR="00CA7E8F">
        <w:rPr>
          <w:rFonts w:cs="Arial"/>
          <w:szCs w:val="22"/>
        </w:rPr>
        <w:t>,</w:t>
      </w:r>
      <w:r w:rsidR="004E5099" w:rsidRPr="000F7B3A">
        <w:rPr>
          <w:rFonts w:cs="Arial"/>
          <w:szCs w:val="22"/>
        </w:rPr>
        <w:t xml:space="preserve"> has advantages over current oral treatments</w:t>
      </w:r>
      <w:r>
        <w:rPr>
          <w:rFonts w:cs="Arial"/>
          <w:szCs w:val="22"/>
        </w:rPr>
        <w:t xml:space="preserve"> (e.g.</w:t>
      </w:r>
      <w:r w:rsidR="004E5099" w:rsidRPr="000F7B3A">
        <w:rPr>
          <w:rFonts w:cs="Arial"/>
          <w:szCs w:val="22"/>
        </w:rPr>
        <w:t xml:space="preserve"> potentially increasing compliance</w:t>
      </w:r>
      <w:r>
        <w:rPr>
          <w:rFonts w:cs="Arial"/>
          <w:szCs w:val="22"/>
        </w:rPr>
        <w:t>)</w:t>
      </w:r>
      <w:r w:rsidR="00CA7E8F">
        <w:rPr>
          <w:rFonts w:cs="Arial"/>
          <w:szCs w:val="22"/>
        </w:rPr>
        <w:t>,</w:t>
      </w:r>
      <w:r>
        <w:rPr>
          <w:rFonts w:cs="Arial"/>
          <w:szCs w:val="22"/>
        </w:rPr>
        <w:t xml:space="preserve"> the </w:t>
      </w:r>
      <w:r w:rsidR="004E5099" w:rsidRPr="000F7B3A">
        <w:rPr>
          <w:rFonts w:cs="Arial"/>
          <w:color w:val="0E0E0E"/>
          <w:szCs w:val="22"/>
        </w:rPr>
        <w:t xml:space="preserve">cost </w:t>
      </w:r>
      <w:r>
        <w:rPr>
          <w:rFonts w:cs="Arial"/>
          <w:color w:val="0E0E0E"/>
          <w:szCs w:val="22"/>
        </w:rPr>
        <w:t>is</w:t>
      </w:r>
      <w:r w:rsidR="004E5099" w:rsidRPr="000F7B3A">
        <w:rPr>
          <w:rFonts w:cs="Arial"/>
          <w:color w:val="0E0E0E"/>
          <w:szCs w:val="22"/>
        </w:rPr>
        <w:t xml:space="preserve"> likely to be above the range normally considered a cost-effective use of NHS resources</w:t>
      </w:r>
      <w:r>
        <w:rPr>
          <w:rFonts w:cs="Arial"/>
          <w:color w:val="0E0E0E"/>
          <w:szCs w:val="22"/>
        </w:rPr>
        <w:t xml:space="preserve"> and consequently NICE could not recommend fulvestrant for untreated HR+ locally advanced or metastatic cancer. </w:t>
      </w:r>
      <w:r w:rsidR="004E5099" w:rsidRPr="000F7B3A">
        <w:rPr>
          <w:rFonts w:cs="Arial"/>
          <w:color w:val="0E0E0E"/>
          <w:szCs w:val="22"/>
          <w:shd w:val="clear" w:color="auto" w:fill="FAFAFB"/>
        </w:rPr>
        <w:t xml:space="preserve"> The appraisal committee</w:t>
      </w:r>
      <w:r w:rsidR="004E5099" w:rsidRPr="000F7B3A">
        <w:rPr>
          <w:rFonts w:cs="Arial"/>
          <w:color w:val="0E0E0E"/>
          <w:szCs w:val="22"/>
        </w:rPr>
        <w:t xml:space="preserve"> stated that t</w:t>
      </w:r>
      <w:r w:rsidR="004E5099" w:rsidRPr="000F7B3A">
        <w:rPr>
          <w:rFonts w:cs="Arial"/>
          <w:szCs w:val="22"/>
        </w:rPr>
        <w:t xml:space="preserve">he guidance </w:t>
      </w:r>
      <w:r w:rsidR="004E5099" w:rsidRPr="000F7B3A">
        <w:rPr>
          <w:rFonts w:cs="Arial"/>
          <w:szCs w:val="22"/>
        </w:rPr>
        <w:lastRenderedPageBreak/>
        <w:t xml:space="preserve">executive will decide whether the technology should be reviewed when mature </w:t>
      </w:r>
      <w:r w:rsidR="00CA7E8F">
        <w:rPr>
          <w:rFonts w:cs="Arial"/>
          <w:szCs w:val="22"/>
        </w:rPr>
        <w:t xml:space="preserve">OS </w:t>
      </w:r>
      <w:r w:rsidR="004E5099" w:rsidRPr="000F7B3A">
        <w:rPr>
          <w:rFonts w:cs="Arial"/>
          <w:szCs w:val="22"/>
        </w:rPr>
        <w:t>data from FALCON are available, which is expected at the end of 2019. A review of th</w:t>
      </w:r>
      <w:r w:rsidR="00CA7E8F">
        <w:rPr>
          <w:rFonts w:cs="Arial"/>
          <w:szCs w:val="22"/>
        </w:rPr>
        <w:t>ese</w:t>
      </w:r>
      <w:r w:rsidR="004E5099" w:rsidRPr="000F7B3A">
        <w:rPr>
          <w:rFonts w:cs="Arial"/>
          <w:szCs w:val="22"/>
        </w:rPr>
        <w:t xml:space="preserve"> data will be based on further information gathered by NICE, and in consultation with consultees and commentators.</w:t>
      </w:r>
    </w:p>
    <w:p w14:paraId="0159FC13" w14:textId="77777777" w:rsidR="007E0E27" w:rsidRPr="000F7B3A" w:rsidRDefault="007E0E27" w:rsidP="00247E67">
      <w:pPr>
        <w:rPr>
          <w:rFonts w:cs="Arial"/>
          <w:szCs w:val="22"/>
        </w:rPr>
      </w:pPr>
    </w:p>
    <w:p w14:paraId="01F932A2" w14:textId="4AFCA7C2" w:rsidR="006A78C8" w:rsidRDefault="006A78C8" w:rsidP="00247E67">
      <w:pPr>
        <w:pStyle w:val="Heading1"/>
      </w:pPr>
      <w:r>
        <w:t>Acknowledgements</w:t>
      </w:r>
    </w:p>
    <w:p w14:paraId="5018302A" w14:textId="1F20056E" w:rsidR="006A78C8" w:rsidRDefault="003F2F71" w:rsidP="00247E67">
      <w:pPr>
        <w:rPr>
          <w:rFonts w:cs="Arial"/>
          <w:bCs/>
          <w:iCs/>
          <w:color w:val="000000"/>
          <w:szCs w:val="22"/>
        </w:rPr>
      </w:pPr>
      <w:r>
        <w:rPr>
          <w:rFonts w:cs="Arial"/>
          <w:bCs/>
          <w:iCs/>
          <w:color w:val="000000"/>
          <w:szCs w:val="22"/>
        </w:rPr>
        <w:t>We are very grateful to</w:t>
      </w:r>
      <w:r w:rsidR="0078104C">
        <w:rPr>
          <w:rFonts w:cs="Arial"/>
          <w:bCs/>
          <w:iCs/>
          <w:color w:val="000000"/>
          <w:szCs w:val="22"/>
        </w:rPr>
        <w:t xml:space="preserve"> the clinical experts who provided us with information during the appraisal </w:t>
      </w:r>
      <w:r>
        <w:rPr>
          <w:rFonts w:cs="Arial"/>
          <w:bCs/>
          <w:iCs/>
          <w:color w:val="000000"/>
          <w:szCs w:val="22"/>
        </w:rPr>
        <w:t>and commented on the</w:t>
      </w:r>
      <w:r w:rsidR="0078104C">
        <w:rPr>
          <w:rFonts w:cs="Arial"/>
          <w:bCs/>
          <w:iCs/>
          <w:color w:val="000000"/>
          <w:szCs w:val="22"/>
        </w:rPr>
        <w:t xml:space="preserve"> draft</w:t>
      </w:r>
      <w:r>
        <w:rPr>
          <w:rFonts w:cs="Arial"/>
          <w:bCs/>
          <w:iCs/>
          <w:color w:val="000000"/>
          <w:szCs w:val="22"/>
        </w:rPr>
        <w:t xml:space="preserve"> ERG report. </w:t>
      </w:r>
      <w:r w:rsidRPr="00407C5F">
        <w:rPr>
          <w:rFonts w:cs="Arial"/>
          <w:bCs/>
          <w:iCs/>
          <w:color w:val="000000"/>
          <w:szCs w:val="22"/>
        </w:rPr>
        <w:t xml:space="preserve">We would also like to thank: Karen Welch, Information Scientist, SHTAC, for appraising the literature search strategies in the company’s submission, running updates of the company’s clinical effectiveness searches and searching for ongoing studies; </w:t>
      </w:r>
      <w:r w:rsidRPr="002A7A78">
        <w:rPr>
          <w:rFonts w:cs="Arial"/>
          <w:bCs/>
          <w:iCs/>
          <w:szCs w:val="22"/>
        </w:rPr>
        <w:t xml:space="preserve">and </w:t>
      </w:r>
      <w:r w:rsidR="002A7A78" w:rsidRPr="002A7A78">
        <w:rPr>
          <w:rFonts w:cs="Arial"/>
          <w:bCs/>
          <w:iCs/>
          <w:szCs w:val="22"/>
        </w:rPr>
        <w:t>Jonathan Shepherd</w:t>
      </w:r>
      <w:r w:rsidR="007E0E27" w:rsidRPr="002A7A78">
        <w:rPr>
          <w:rFonts w:cs="Arial"/>
          <w:bCs/>
          <w:iCs/>
          <w:szCs w:val="22"/>
        </w:rPr>
        <w:t xml:space="preserve"> </w:t>
      </w:r>
      <w:r w:rsidRPr="002A7A78">
        <w:rPr>
          <w:rFonts w:cs="Arial"/>
          <w:bCs/>
          <w:iCs/>
          <w:szCs w:val="22"/>
        </w:rPr>
        <w:t>for provi</w:t>
      </w:r>
      <w:r>
        <w:rPr>
          <w:rFonts w:cs="Arial"/>
          <w:bCs/>
          <w:iCs/>
          <w:color w:val="000000"/>
          <w:szCs w:val="22"/>
        </w:rPr>
        <w:t>ding feedback on</w:t>
      </w:r>
      <w:r w:rsidRPr="00407C5F">
        <w:rPr>
          <w:rFonts w:cs="Arial"/>
          <w:bCs/>
          <w:iCs/>
          <w:color w:val="000000"/>
          <w:szCs w:val="22"/>
        </w:rPr>
        <w:t xml:space="preserve"> </w:t>
      </w:r>
      <w:r w:rsidR="001168A2">
        <w:rPr>
          <w:rFonts w:cs="Arial"/>
          <w:bCs/>
          <w:iCs/>
          <w:color w:val="000000"/>
          <w:szCs w:val="22"/>
        </w:rPr>
        <w:t>the</w:t>
      </w:r>
      <w:r w:rsidR="007E0E27">
        <w:rPr>
          <w:rFonts w:cs="Arial"/>
          <w:bCs/>
          <w:iCs/>
          <w:color w:val="000000"/>
          <w:szCs w:val="22"/>
        </w:rPr>
        <w:t xml:space="preserve"> draft</w:t>
      </w:r>
      <w:r w:rsidR="001168A2">
        <w:rPr>
          <w:rFonts w:cs="Arial"/>
          <w:bCs/>
          <w:iCs/>
          <w:color w:val="000000"/>
          <w:szCs w:val="22"/>
        </w:rPr>
        <w:t xml:space="preserve"> </w:t>
      </w:r>
      <w:r w:rsidRPr="00407C5F">
        <w:rPr>
          <w:rFonts w:cs="Arial"/>
          <w:bCs/>
          <w:iCs/>
          <w:color w:val="000000"/>
          <w:szCs w:val="22"/>
        </w:rPr>
        <w:t>ERG report.</w:t>
      </w:r>
    </w:p>
    <w:p w14:paraId="742806B1" w14:textId="77777777" w:rsidR="007E0E27" w:rsidRDefault="007E0E27" w:rsidP="00247E67"/>
    <w:p w14:paraId="59BC888E" w14:textId="671CC03C" w:rsidR="006A78C8" w:rsidRDefault="006A78C8" w:rsidP="00247E67">
      <w:pPr>
        <w:pStyle w:val="Heading1"/>
      </w:pPr>
      <w:r>
        <w:t>Author contributions</w:t>
      </w:r>
    </w:p>
    <w:p w14:paraId="2134A464" w14:textId="367E1B0B" w:rsidR="0045281E" w:rsidRDefault="0045281E" w:rsidP="00247E67">
      <w:pPr>
        <w:rPr>
          <w:rFonts w:cs="Arial"/>
        </w:rPr>
      </w:pPr>
      <w:r>
        <w:rPr>
          <w:rFonts w:cs="Arial"/>
        </w:rPr>
        <w:t xml:space="preserve">All authors have commented on the submitted manuscript and have given their approval for the full version to be published. </w:t>
      </w:r>
    </w:p>
    <w:p w14:paraId="5E7726A8" w14:textId="77777777" w:rsidR="0045281E" w:rsidRDefault="0045281E" w:rsidP="00247E67"/>
    <w:p w14:paraId="1C4CC0BB" w14:textId="17BA3313" w:rsidR="006A78C8" w:rsidRPr="00247E67" w:rsidRDefault="002A7A78" w:rsidP="00247E67">
      <w:r>
        <w:rPr>
          <w:color w:val="000000"/>
          <w:szCs w:val="22"/>
        </w:rPr>
        <w:t xml:space="preserve">Neelam Kalita, Keith Cooper and Olu Onyimadu </w:t>
      </w:r>
      <w:r w:rsidR="006A78C8">
        <w:t xml:space="preserve">summarised and critiqued the economic analysis submitted by the company. </w:t>
      </w:r>
      <w:r>
        <w:rPr>
          <w:color w:val="000000"/>
          <w:szCs w:val="22"/>
        </w:rPr>
        <w:t>Petra Harris, Wendy Gaisford and Joanna Picot</w:t>
      </w:r>
      <w:r>
        <w:rPr>
          <w:color w:val="FF0000"/>
        </w:rPr>
        <w:t xml:space="preserve"> </w:t>
      </w:r>
      <w:r w:rsidR="006A78C8">
        <w:t xml:space="preserve">summarised and critiqued the clinical effectiveness evidence submitted by the company. </w:t>
      </w:r>
      <w:r>
        <w:t xml:space="preserve">Neelam Kalita and Wendy Gaisford </w:t>
      </w:r>
      <w:r w:rsidR="006A78C8">
        <w:t xml:space="preserve">drafted </w:t>
      </w:r>
      <w:r w:rsidR="00213F1D">
        <w:t xml:space="preserve">some parts of </w:t>
      </w:r>
      <w:r w:rsidR="006A78C8">
        <w:t>this manuscript</w:t>
      </w:r>
      <w:r w:rsidR="00213F1D">
        <w:t>, which were</w:t>
      </w:r>
      <w:r>
        <w:t xml:space="preserve"> then edited </w:t>
      </w:r>
      <w:r w:rsidR="00213F1D">
        <w:t xml:space="preserve">and added to </w:t>
      </w:r>
      <w:r>
        <w:t>by Joanna Picot who</w:t>
      </w:r>
      <w:r w:rsidR="00213F1D">
        <w:t xml:space="preserve"> completed the manuscript and</w:t>
      </w:r>
      <w:r w:rsidR="006A78C8">
        <w:t xml:space="preserve"> responded to feedback from all other authors</w:t>
      </w:r>
      <w:r w:rsidR="003F2F71">
        <w:t>. All authors reviewed, critiqued, and approved this manuscript.</w:t>
      </w:r>
    </w:p>
    <w:p w14:paraId="1193AA6C" w14:textId="473867F2" w:rsidR="002A7A78" w:rsidRDefault="002A7A78" w:rsidP="002E02FF">
      <w:pPr>
        <w:rPr>
          <w:rFonts w:cs="Arial"/>
        </w:rPr>
      </w:pPr>
    </w:p>
    <w:p w14:paraId="1645A6BA" w14:textId="2B7E89A1" w:rsidR="002F5D16" w:rsidRDefault="002F5D16" w:rsidP="002E02FF">
      <w:r>
        <w:t>This summary has not been externally reviewed by PharmacoEconomics</w:t>
      </w:r>
    </w:p>
    <w:p w14:paraId="3072A973" w14:textId="77777777" w:rsidR="002A7A78" w:rsidRDefault="002A7A78" w:rsidP="002E02FF">
      <w:pPr>
        <w:rPr>
          <w:rFonts w:cs="Arial"/>
        </w:rPr>
      </w:pPr>
    </w:p>
    <w:p w14:paraId="204C8DFA" w14:textId="4199CFC5" w:rsidR="002F5D16" w:rsidRDefault="002F5D16" w:rsidP="002E02FF">
      <w:pPr>
        <w:pStyle w:val="Heading1"/>
      </w:pPr>
      <w:r>
        <w:t>Compliance with Ethical Standards</w:t>
      </w:r>
    </w:p>
    <w:p w14:paraId="27B40F3D" w14:textId="7EF7FACA" w:rsidR="002F5D16" w:rsidRDefault="002F5D16" w:rsidP="002E02FF">
      <w:pPr>
        <w:rPr>
          <w:b/>
        </w:rPr>
      </w:pPr>
      <w:r w:rsidRPr="002F5D16">
        <w:rPr>
          <w:b/>
        </w:rPr>
        <w:t>Funding</w:t>
      </w:r>
    </w:p>
    <w:p w14:paraId="516A3165" w14:textId="42D6F906" w:rsidR="002F5D16" w:rsidRPr="002F5D16" w:rsidRDefault="002F5D16" w:rsidP="002E02FF">
      <w:r>
        <w:t xml:space="preserve">This project was funded by the National Institute for Health Research (NIHR) Health Technology Assessment (HTA) Program (project number </w:t>
      </w:r>
      <w:r w:rsidR="0077302A">
        <w:rPr>
          <w:rFonts w:cs="Arial"/>
          <w:bCs/>
          <w:color w:val="000000"/>
          <w:szCs w:val="22"/>
        </w:rPr>
        <w:t>16/54/04</w:t>
      </w:r>
      <w:r w:rsidRPr="002E02FF">
        <w:rPr>
          <w:rFonts w:cs="Arial"/>
          <w:sz w:val="21"/>
          <w:szCs w:val="21"/>
        </w:rPr>
        <w:t xml:space="preserve"> </w:t>
      </w:r>
      <w:r>
        <w:t xml:space="preserve">STA) [see the NIHR Journals Library website for further information— </w:t>
      </w:r>
      <w:r w:rsidRPr="001F7D04">
        <w:t>https://www.journalslibrary.nihr.ac.uk/#/</w:t>
      </w:r>
      <w:r>
        <w:t xml:space="preserve"> ]. The views and </w:t>
      </w:r>
      <w:r>
        <w:lastRenderedPageBreak/>
        <w:t xml:space="preserve">opinions expressed are the authors’ and do not necessarily reflect those of the HTA Programme, NICE, NIHR, NHS, or the Department of Health. </w:t>
      </w:r>
      <w:r>
        <w:rPr>
          <w:rFonts w:cs="Arial"/>
        </w:rPr>
        <w:t xml:space="preserve">Any errors are the responsibility of the authors. This summary of the ERG report was compiled after NICE issued the Final Appraisal Determination. </w:t>
      </w:r>
    </w:p>
    <w:p w14:paraId="71F5DC43" w14:textId="77777777" w:rsidR="002F5D16" w:rsidRDefault="002F5D16" w:rsidP="002E02FF"/>
    <w:p w14:paraId="0A5D078E" w14:textId="2DF782EB" w:rsidR="002F5D16" w:rsidRPr="002F5D16" w:rsidRDefault="002F5D16" w:rsidP="002E02FF">
      <w:pPr>
        <w:rPr>
          <w:b/>
        </w:rPr>
      </w:pPr>
      <w:r w:rsidRPr="002F5D16">
        <w:rPr>
          <w:b/>
        </w:rPr>
        <w:t>Conflicts of interest</w:t>
      </w:r>
    </w:p>
    <w:p w14:paraId="33EF68FE" w14:textId="2171C2DA" w:rsidR="002F5D16" w:rsidRDefault="002F5D16" w:rsidP="002E02FF">
      <w:r>
        <w:t>All authors (</w:t>
      </w:r>
      <w:r w:rsidR="002A6BC0">
        <w:t xml:space="preserve">JP, </w:t>
      </w:r>
      <w:r w:rsidR="0077302A">
        <w:rPr>
          <w:color w:val="000000"/>
          <w:szCs w:val="22"/>
        </w:rPr>
        <w:t>NK,</w:t>
      </w:r>
      <w:r w:rsidR="0077302A">
        <w:rPr>
          <w:rFonts w:asciiTheme="minorBidi" w:hAnsiTheme="minorBidi"/>
          <w:vertAlign w:val="superscript"/>
        </w:rPr>
        <w:t xml:space="preserve"> </w:t>
      </w:r>
      <w:r w:rsidR="0077302A">
        <w:rPr>
          <w:color w:val="000000"/>
          <w:szCs w:val="22"/>
        </w:rPr>
        <w:t xml:space="preserve">WG, PH, OO, </w:t>
      </w:r>
      <w:r w:rsidR="002A6BC0">
        <w:rPr>
          <w:color w:val="000000"/>
          <w:szCs w:val="22"/>
        </w:rPr>
        <w:t>KC</w:t>
      </w:r>
      <w:r>
        <w:t xml:space="preserve">) declare no conflicts of interest. </w:t>
      </w:r>
    </w:p>
    <w:p w14:paraId="029BA275" w14:textId="77777777" w:rsidR="002F5D16" w:rsidRDefault="002F5D16" w:rsidP="002E02FF"/>
    <w:p w14:paraId="2A306390" w14:textId="4B63E3AA" w:rsidR="00993FE4" w:rsidRDefault="006A78C8" w:rsidP="0078104C">
      <w:pPr>
        <w:pStyle w:val="Heading1"/>
      </w:pPr>
      <w:r>
        <w:t>References</w:t>
      </w:r>
    </w:p>
    <w:p w14:paraId="503A67FC" w14:textId="2B419C33" w:rsidR="005B756D" w:rsidRPr="005B756D" w:rsidRDefault="005B756D" w:rsidP="005B756D">
      <w:pPr>
        <w:pStyle w:val="EndNoteBibliography"/>
        <w:spacing w:line="360" w:lineRule="auto"/>
        <w:ind w:left="284" w:hanging="284"/>
      </w:pPr>
      <w:r w:rsidRPr="005B756D">
        <w:t>1. Office for National Statisitcs. Statistical Bulletin. Cancer Registration Statistics, England: 2016</w:t>
      </w:r>
      <w:r>
        <w:t xml:space="preserve"> </w:t>
      </w:r>
      <w:r w:rsidRPr="005B756D">
        <w:t>2017.</w:t>
      </w:r>
    </w:p>
    <w:p w14:paraId="594196C4" w14:textId="77777777" w:rsidR="005B756D" w:rsidRPr="005B756D" w:rsidRDefault="005B756D" w:rsidP="005B756D">
      <w:pPr>
        <w:pStyle w:val="EndNoteBibliography"/>
        <w:spacing w:line="360" w:lineRule="auto"/>
        <w:ind w:left="284" w:hanging="284"/>
      </w:pPr>
      <w:r w:rsidRPr="005B756D">
        <w:t xml:space="preserve">2. Setiawan VW MK, Wilkens LR, Kolonel LN, Pike MC, Henderson BE. Breast cancer risk factors defined by estrogen and progesterone receptor status: the multiethnic cohort study. Am J Epidemiol 2009;169(10):1251–9. </w:t>
      </w:r>
    </w:p>
    <w:p w14:paraId="292BE641" w14:textId="52E0CA86" w:rsidR="005B756D" w:rsidRPr="005B756D" w:rsidRDefault="005B756D" w:rsidP="005B756D">
      <w:pPr>
        <w:pStyle w:val="EndNoteBibliography"/>
        <w:spacing w:line="360" w:lineRule="auto"/>
        <w:ind w:left="284" w:hanging="284"/>
      </w:pPr>
      <w:r w:rsidRPr="005B756D">
        <w:t>3. Saha Roy S, Vadlamudi RK. Role of Estrogen Receptor Signaling in Breast Cancer Metastasis. International Journal of Breast Cancer. 2012;2012:8.</w:t>
      </w:r>
    </w:p>
    <w:p w14:paraId="35D0EF1A" w14:textId="7C70B73C" w:rsidR="005B756D" w:rsidRPr="005B756D" w:rsidRDefault="005B756D" w:rsidP="005B756D">
      <w:pPr>
        <w:pStyle w:val="EndNoteBibliography"/>
        <w:spacing w:line="360" w:lineRule="auto"/>
        <w:ind w:left="284" w:hanging="284"/>
      </w:pPr>
      <w:r w:rsidRPr="005B756D">
        <w:t xml:space="preserve">4. Metastatic Breast Cancer network. Metastatic Breast Cancer Incidence </w:t>
      </w:r>
      <w:r w:rsidRPr="001F7D04">
        <w:t>http://wwwmbcnorg/incidence-and-incidence-rates/</w:t>
      </w:r>
      <w:r w:rsidRPr="005B756D">
        <w:t xml:space="preserve">. 2017. </w:t>
      </w:r>
    </w:p>
    <w:p w14:paraId="3F75E726" w14:textId="77777777" w:rsidR="005B756D" w:rsidRPr="005B756D" w:rsidRDefault="005B756D" w:rsidP="005B756D">
      <w:pPr>
        <w:pStyle w:val="EndNoteBibliography"/>
        <w:spacing w:line="360" w:lineRule="auto"/>
        <w:ind w:left="284" w:hanging="284"/>
      </w:pPr>
      <w:r w:rsidRPr="005B756D">
        <w:t xml:space="preserve">5. National Collaborating Centre for Cancer. Advanced Breast cancer: diagnosis and treatment [CG81]. 2009. </w:t>
      </w:r>
    </w:p>
    <w:p w14:paraId="1208EAB0" w14:textId="0206C47B" w:rsidR="005B756D" w:rsidRPr="005B756D" w:rsidRDefault="005B756D" w:rsidP="005B756D">
      <w:pPr>
        <w:pStyle w:val="EndNoteBibliography"/>
        <w:spacing w:line="360" w:lineRule="auto"/>
        <w:ind w:left="284" w:hanging="284"/>
      </w:pPr>
      <w:r w:rsidRPr="005B756D">
        <w:t>6. European Medicines Agency. Summary of Product Characteristics.  Faslodex</w:t>
      </w:r>
      <w:r>
        <w:t xml:space="preserve"> </w:t>
      </w:r>
      <w:r w:rsidRPr="005B756D">
        <w:t>2009.</w:t>
      </w:r>
    </w:p>
    <w:p w14:paraId="1CDBE767" w14:textId="77777777" w:rsidR="005B756D" w:rsidRPr="005B756D" w:rsidRDefault="005B756D" w:rsidP="005B756D">
      <w:pPr>
        <w:pStyle w:val="EndNoteBibliography"/>
        <w:spacing w:line="360" w:lineRule="auto"/>
        <w:ind w:left="284" w:hanging="284"/>
      </w:pPr>
      <w:r w:rsidRPr="005B756D">
        <w:t>7. National Institute for Health and Care Excellence. TA239 Fulvestrant for the treatment of locally advanced or metastatic cancer 2011.</w:t>
      </w:r>
    </w:p>
    <w:p w14:paraId="0ACD40DD" w14:textId="4B162AF4" w:rsidR="005B756D" w:rsidRPr="005B756D" w:rsidRDefault="005B756D" w:rsidP="005B756D">
      <w:pPr>
        <w:pStyle w:val="EndNoteBibliography"/>
        <w:spacing w:line="360" w:lineRule="auto"/>
        <w:ind w:left="284" w:hanging="284"/>
      </w:pPr>
      <w:r w:rsidRPr="005B756D">
        <w:t xml:space="preserve">8. National Institute for Health Care and Excellence. Single Technology Appraisal. Fulvestrant for untreated hormone-receptor positive locally advanced or metastatic breast cancer. Final scope. Appendix B. </w:t>
      </w:r>
      <w:r w:rsidRPr="001F7D04">
        <w:t>https://wwwniceorguk/guidance/gid-ta10106/documents/final-scope</w:t>
      </w:r>
      <w:r w:rsidRPr="005B756D">
        <w:t xml:space="preserve">. 2017. </w:t>
      </w:r>
    </w:p>
    <w:p w14:paraId="6AE5C0B8" w14:textId="15B9AFC0" w:rsidR="005B756D" w:rsidRPr="005B756D" w:rsidRDefault="005B756D" w:rsidP="005B756D">
      <w:pPr>
        <w:pStyle w:val="EndNoteBibliography"/>
        <w:spacing w:line="360" w:lineRule="auto"/>
        <w:ind w:left="284" w:hanging="284"/>
      </w:pPr>
      <w:r w:rsidRPr="005B756D">
        <w:t>9. Robertson JF, Llombart-Cussac A, Rolski J, Feltl D, Dewar J, Macpherson E et al. Activity of fulvestrant 500 mg versus anastrozole 1 mg as first-line treatment for advanced breast cancer: results from the FIRST study. Journal of clinical oncology : official journal of the American Society of Clinica</w:t>
      </w:r>
      <w:r>
        <w:t>l Oncology. 2009;27(27):4530-5.</w:t>
      </w:r>
    </w:p>
    <w:p w14:paraId="308CBC03" w14:textId="62F49752" w:rsidR="005B756D" w:rsidRPr="005B756D" w:rsidRDefault="005B756D" w:rsidP="005B756D">
      <w:pPr>
        <w:pStyle w:val="EndNoteBibliography"/>
        <w:spacing w:line="360" w:lineRule="auto"/>
        <w:ind w:left="284" w:hanging="284"/>
      </w:pPr>
      <w:r w:rsidRPr="005B756D">
        <w:lastRenderedPageBreak/>
        <w:t>10. Robertson JF, Lindemann JP, Llombart-Cussac A, Rolski J, Feltl D, Dewar J et al. Fulvestrant 500 mg versus anastrozole 1 mg for the first-line treatment of advanced breast cancer: follow-up analysis from the randomized 'FIRST' study. Breast cancer research an</w:t>
      </w:r>
      <w:r>
        <w:t>d treatment. 2012;136(2):503-11</w:t>
      </w:r>
      <w:r w:rsidRPr="005B756D">
        <w:t>.</w:t>
      </w:r>
    </w:p>
    <w:p w14:paraId="32E2A34F" w14:textId="52E7DF3B" w:rsidR="005B756D" w:rsidRPr="005B756D" w:rsidRDefault="005B756D" w:rsidP="005B756D">
      <w:pPr>
        <w:pStyle w:val="EndNoteBibliography"/>
        <w:spacing w:line="360" w:lineRule="auto"/>
        <w:ind w:left="284" w:hanging="284"/>
      </w:pPr>
      <w:r w:rsidRPr="005B756D">
        <w:t>11. Ellis MJ, Llombart-Cussac A, Feltl D, Dewar JA, Jasiowka M, Hewson N et al. Fulvestrant 500 mg Versus Anastrozole 1 mg for the First-Line Treatment of Advanced Breast Cancer: Overall Survival Analysis From the Phase II FIRST Study. Journal of clinical oncology : official journal of the American Society of Clinica</w:t>
      </w:r>
      <w:r>
        <w:t>l Oncology. 2015;33(32):3781-7.</w:t>
      </w:r>
    </w:p>
    <w:p w14:paraId="304722F9" w14:textId="26A42946" w:rsidR="005B756D" w:rsidRPr="005B756D" w:rsidRDefault="005B756D" w:rsidP="005B756D">
      <w:pPr>
        <w:pStyle w:val="EndNoteBibliography"/>
        <w:spacing w:line="360" w:lineRule="auto"/>
        <w:ind w:left="284" w:hanging="284"/>
      </w:pPr>
      <w:r w:rsidRPr="005B756D">
        <w:t>12. Robertson JF, Bondarenko IM, Trishkina E, Dvorkin M, Panasci L, Manikhas A et al. Fulvestrant 500 mg versus anastrozole 1 mg for hormone receptor-positive advanced breast cancer (FALCON): an international, randomised, double-blind, phase 3 trial. Lancet (London, England). 2016;388(10063):2997-3005.</w:t>
      </w:r>
    </w:p>
    <w:p w14:paraId="368C2924" w14:textId="4A302483" w:rsidR="005B756D" w:rsidRPr="005B756D" w:rsidRDefault="005B756D" w:rsidP="005B756D">
      <w:pPr>
        <w:pStyle w:val="EndNoteBibliography"/>
        <w:spacing w:line="360" w:lineRule="auto"/>
        <w:ind w:left="284" w:hanging="284"/>
      </w:pPr>
      <w:r w:rsidRPr="005B756D">
        <w:t>13. Nabholtz JM, Buzdar A, Pollak M, Harwin W, Burton G, Mangalik A et al. Anastrozole is superior to tamoxifen as first-line therapy for advanced breast cancer in postmenopausal women: results of a North American multicenter randomized trial. Arimidex Study Group. Journal of clinical oncology : official journal of the American Society of Clinical Oncology. 2000;18(22):3758-67.</w:t>
      </w:r>
    </w:p>
    <w:p w14:paraId="577F2D2E" w14:textId="5F544BEE" w:rsidR="005B756D" w:rsidRPr="005B756D" w:rsidRDefault="005B756D" w:rsidP="005B756D">
      <w:pPr>
        <w:pStyle w:val="EndNoteBibliography"/>
        <w:spacing w:line="360" w:lineRule="auto"/>
        <w:ind w:left="284" w:hanging="284"/>
      </w:pPr>
      <w:r w:rsidRPr="005B756D">
        <w:t>14. Bonneterre J, Thurlimann B, Robertson JF, Krzakowski M, Mauriac L, Koralewski P et al. Anastrozole versus tamoxifen as first-line therapy for advanced breast cancer in 668 postmenopausal women: results of the Tamoxifen or Arimidex Randomized Group Efficacy and Tolerability study. Journal of clinical oncology : official journal of the American Society of Clinical Oncology. 2000;</w:t>
      </w:r>
      <w:r>
        <w:t>18(22):3748-57.</w:t>
      </w:r>
    </w:p>
    <w:p w14:paraId="556181D1" w14:textId="014A2982" w:rsidR="005B756D" w:rsidRPr="005B756D" w:rsidRDefault="005B756D" w:rsidP="005B756D">
      <w:pPr>
        <w:pStyle w:val="EndNoteBibliography"/>
        <w:spacing w:line="360" w:lineRule="auto"/>
        <w:ind w:left="284" w:hanging="284"/>
      </w:pPr>
      <w:r w:rsidRPr="005B756D">
        <w:t>15. Milla-Santos A, Milla L, Portella J, Rallo L, Pons M, Rodes E et al. Anastrozole Versus Tamoxifen as First-Line Therapy in Postmenopausal Patients With Hormone-Dependent Advanced Breast Cancer: A Prospective, Randomized, Phase III Study. American Journal of Clinic</w:t>
      </w:r>
      <w:r>
        <w:t>al Oncology. 2003;26(3):317-22.</w:t>
      </w:r>
    </w:p>
    <w:p w14:paraId="45E72FFB" w14:textId="71972927" w:rsidR="005B756D" w:rsidRPr="005B756D" w:rsidRDefault="005B756D" w:rsidP="005B756D">
      <w:pPr>
        <w:pStyle w:val="EndNoteBibliography"/>
        <w:spacing w:line="360" w:lineRule="auto"/>
        <w:ind w:left="284" w:hanging="284"/>
      </w:pPr>
      <w:r w:rsidRPr="005B756D">
        <w:t>16. Mouridsen H, Gershanovich M, Sun Y, Perez-Carrion R, Boni C, Monnier A et al. Superior efficacy of letrozole versus tamoxifen as first-line therapy for postmenopausal women with advanced breast cancer: results of a phase III study of the International Letrozole Breast Cancer Group. Journal of clinical oncology : official journal of the American Society of Clinical Oncology. 2001;19(10):2596-606.</w:t>
      </w:r>
    </w:p>
    <w:p w14:paraId="707A7A1A" w14:textId="4721C1CF" w:rsidR="005B756D" w:rsidRPr="005B756D" w:rsidRDefault="005B756D" w:rsidP="005B756D">
      <w:pPr>
        <w:pStyle w:val="EndNoteBibliography"/>
        <w:spacing w:line="360" w:lineRule="auto"/>
        <w:ind w:left="284" w:hanging="284"/>
      </w:pPr>
      <w:r w:rsidRPr="005B756D">
        <w:t xml:space="preserve">17. Mouridsen H, Gershanovich M, Sun Y, Perez-Carrion R, Boni C, Monnier A et al. Phase III study of letrozole versus tamoxifen as first-line therapy of advanced breast cancer in </w:t>
      </w:r>
      <w:r w:rsidRPr="005B756D">
        <w:lastRenderedPageBreak/>
        <w:t>postmenopausal women: analysis of survival and update of efficacy from the International Letrozole Breast Cancer Group. Journal of clinical oncology : official journal of the American Society of Clinical Oncology. 2003;21(11):2101-9.</w:t>
      </w:r>
    </w:p>
    <w:p w14:paraId="55675853" w14:textId="3E7FF570" w:rsidR="005B756D" w:rsidRPr="005B756D" w:rsidRDefault="005B756D" w:rsidP="005B756D">
      <w:pPr>
        <w:pStyle w:val="EndNoteBibliography"/>
        <w:spacing w:line="360" w:lineRule="auto"/>
        <w:ind w:left="284" w:hanging="284"/>
      </w:pPr>
      <w:r w:rsidRPr="005B756D">
        <w:t>18. Guyot P, Ades AE, Ouwens MJ, Welton NJ. Enhanced secondary analysis of survival data: reconstructing the data from published Kaplan-Meier survival curves. BMC medical research methodology. 2012;12:9.</w:t>
      </w:r>
    </w:p>
    <w:p w14:paraId="392E9E19" w14:textId="49B1D1AE" w:rsidR="005B756D" w:rsidRPr="005B756D" w:rsidRDefault="005B756D" w:rsidP="005B756D">
      <w:pPr>
        <w:pStyle w:val="EndNoteBibliography"/>
        <w:spacing w:line="360" w:lineRule="auto"/>
        <w:ind w:left="284" w:hanging="284"/>
      </w:pPr>
      <w:r w:rsidRPr="005B756D">
        <w:t>19. Ouwens MJ, Philips Z, Jansen JP. Network meta-analysis of parametric survival curves. Research synthesis methods. 2010;1(3-4):258-71.</w:t>
      </w:r>
    </w:p>
    <w:p w14:paraId="546110CA" w14:textId="28EE8B83" w:rsidR="005B756D" w:rsidRPr="005B756D" w:rsidRDefault="005B756D" w:rsidP="005B756D">
      <w:pPr>
        <w:pStyle w:val="EndNoteBibliography"/>
        <w:spacing w:line="360" w:lineRule="auto"/>
        <w:ind w:left="284" w:hanging="284"/>
      </w:pPr>
      <w:r w:rsidRPr="005B756D">
        <w:t>20. Ellis IO, Bartlett J, Dowsett M, Humphreys S, Jasani B, Miller K et al. Updated recommendations for HER2 testing in the UK</w:t>
      </w:r>
      <w:r>
        <w:t>. J Clin Pathol. 2004;57:233–7.</w:t>
      </w:r>
    </w:p>
    <w:p w14:paraId="07A48BB7" w14:textId="77777777" w:rsidR="005B756D" w:rsidRPr="005B756D" w:rsidRDefault="005B756D" w:rsidP="005B756D">
      <w:pPr>
        <w:pStyle w:val="EndNoteBibliography"/>
        <w:spacing w:line="360" w:lineRule="auto"/>
        <w:ind w:left="284" w:hanging="284"/>
      </w:pPr>
      <w:r w:rsidRPr="005B756D">
        <w:t>21. Fukuda T, Shirowas T, Shimozuma K, Mouri M, Dolhara H, Akabane H. Long-term EQ-5d score for patients with metastatic breast cancer; comparison of first-line oral S-1 and taxane therapies in the randomized 'Select' trial. Value in Health; 2015. p. A467.</w:t>
      </w:r>
    </w:p>
    <w:p w14:paraId="1EF8C594" w14:textId="52473BA5" w:rsidR="005B756D" w:rsidRPr="005B756D" w:rsidRDefault="005B756D" w:rsidP="005B756D">
      <w:pPr>
        <w:pStyle w:val="EndNoteBibliography"/>
        <w:spacing w:line="360" w:lineRule="auto"/>
        <w:ind w:left="284" w:hanging="284"/>
      </w:pPr>
      <w:r w:rsidRPr="005B756D">
        <w:t>22. Eyles C, Leydon GM, Hoffman CJ, Copson ER, Prescott P, Chorozoglou M et al. Mindfulness for the self-management of fatigue, anxiety, and depression in women with metastatic breast cancer: a mixed methods feasibility study. Integr Cancer Ther. 2015;14(1):42-56.</w:t>
      </w:r>
    </w:p>
    <w:p w14:paraId="0CC5273D" w14:textId="1FA86599" w:rsidR="005B756D" w:rsidRPr="005B756D" w:rsidRDefault="005B756D" w:rsidP="005B756D">
      <w:pPr>
        <w:pStyle w:val="EndNoteBibliography"/>
        <w:spacing w:line="360" w:lineRule="auto"/>
        <w:ind w:left="284" w:hanging="284"/>
      </w:pPr>
      <w:r w:rsidRPr="005B756D">
        <w:t xml:space="preserve">23. Department of Health. NHS reference costs 2015-2016. </w:t>
      </w:r>
      <w:r w:rsidRPr="001F7D04">
        <w:t>http://wwwdhgovuk/en/Publicationsandstatistics/Publications/PublicationsPolicyAndGuidance/DH_122803</w:t>
      </w:r>
      <w:r w:rsidRPr="005B756D">
        <w:t xml:space="preserve">. 2016. </w:t>
      </w:r>
    </w:p>
    <w:p w14:paraId="5EE269E2" w14:textId="687DC849" w:rsidR="005B756D" w:rsidRPr="005B756D" w:rsidRDefault="005B756D" w:rsidP="005B756D">
      <w:pPr>
        <w:pStyle w:val="EndNoteBibliography"/>
        <w:spacing w:line="360" w:lineRule="auto"/>
        <w:ind w:left="284" w:hanging="284"/>
      </w:pPr>
      <w:r w:rsidRPr="005B756D">
        <w:t xml:space="preserve">24. Curtis L. Unit Costs of Health and Social Care 2016. </w:t>
      </w:r>
      <w:r w:rsidRPr="001F7D04">
        <w:t>http://wwwpssruacuk/pdf/uc/uc2010/uc2010pdf</w:t>
      </w:r>
      <w:r w:rsidRPr="005B756D">
        <w:t xml:space="preserve">. 2016. </w:t>
      </w:r>
    </w:p>
    <w:p w14:paraId="364919E0" w14:textId="69AE3CD6" w:rsidR="005B756D" w:rsidRPr="005B756D" w:rsidRDefault="005B756D" w:rsidP="005B756D">
      <w:pPr>
        <w:pStyle w:val="EndNoteBibliography"/>
        <w:spacing w:line="360" w:lineRule="auto"/>
        <w:ind w:left="284" w:hanging="284"/>
      </w:pPr>
      <w:r w:rsidRPr="005B756D">
        <w:t>25. Karnon J. A trial-based cost-effectiveness analysis of letrozole followed by tamoxifen versus tamoxifen followed by letrozole for postmenopausal advanced breast cancer. Annals of Oncology. 2003;14(11):1629-33.</w:t>
      </w:r>
    </w:p>
    <w:p w14:paraId="7F3526EB" w14:textId="77777777" w:rsidR="005B756D" w:rsidRPr="005B756D" w:rsidRDefault="005B756D" w:rsidP="005B756D">
      <w:pPr>
        <w:pStyle w:val="EndNoteBibliography"/>
        <w:spacing w:line="360" w:lineRule="auto"/>
        <w:ind w:left="284" w:hanging="284"/>
      </w:pPr>
      <w:r w:rsidRPr="005B756D">
        <w:t>26. National Institute for Health and Care Excellence. TA503 Fulvestrant for untreated locally advanced or metastatic oestrogen-receptor positive breast cancer 2018.</w:t>
      </w:r>
    </w:p>
    <w:p w14:paraId="54C67EC6" w14:textId="0B327F12" w:rsidR="0049675D" w:rsidRDefault="0049675D" w:rsidP="005B756D">
      <w:pPr>
        <w:ind w:left="284" w:hanging="284"/>
      </w:pPr>
      <w:r>
        <w:br w:type="page"/>
      </w:r>
    </w:p>
    <w:p w14:paraId="68ACB92F" w14:textId="77F1AC48" w:rsidR="00B001A7" w:rsidRPr="00863F48" w:rsidRDefault="00B001A7" w:rsidP="00B001A7">
      <w:pPr>
        <w:pStyle w:val="Caption"/>
        <w:keepNext/>
        <w:rPr>
          <w:szCs w:val="22"/>
        </w:rPr>
      </w:pPr>
      <w:r w:rsidRPr="00863F48">
        <w:rPr>
          <w:szCs w:val="22"/>
        </w:rPr>
        <w:lastRenderedPageBreak/>
        <w:t xml:space="preserve">Table </w:t>
      </w:r>
      <w:r w:rsidR="001F7D04">
        <w:rPr>
          <w:noProof/>
          <w:szCs w:val="22"/>
        </w:rPr>
        <w:t>4</w:t>
      </w:r>
      <w:r>
        <w:rPr>
          <w:szCs w:val="22"/>
        </w:rPr>
        <w:t xml:space="preserve">  Patient numbers in the NMA studies before and after matching to the FALCON trial.</w:t>
      </w:r>
    </w:p>
    <w:tbl>
      <w:tblPr>
        <w:tblStyle w:val="TableGrid"/>
        <w:tblW w:w="0" w:type="auto"/>
        <w:tblLook w:val="04A0" w:firstRow="1" w:lastRow="0" w:firstColumn="1" w:lastColumn="0" w:noHBand="0" w:noVBand="1"/>
      </w:tblPr>
      <w:tblGrid>
        <w:gridCol w:w="2191"/>
        <w:gridCol w:w="730"/>
        <w:gridCol w:w="730"/>
        <w:gridCol w:w="608"/>
        <w:gridCol w:w="608"/>
        <w:gridCol w:w="769"/>
        <w:gridCol w:w="830"/>
        <w:gridCol w:w="608"/>
        <w:gridCol w:w="656"/>
        <w:gridCol w:w="779"/>
        <w:gridCol w:w="841"/>
      </w:tblGrid>
      <w:tr w:rsidR="00B001A7" w:rsidRPr="00863F48" w14:paraId="1B75332D" w14:textId="77777777" w:rsidTr="00497473">
        <w:tc>
          <w:tcPr>
            <w:tcW w:w="0" w:type="auto"/>
            <w:vMerge w:val="restart"/>
          </w:tcPr>
          <w:p w14:paraId="45492D65" w14:textId="77777777" w:rsidR="00B001A7" w:rsidRPr="00F96911" w:rsidRDefault="00B001A7" w:rsidP="00497473">
            <w:pPr>
              <w:keepNext/>
              <w:rPr>
                <w:szCs w:val="22"/>
              </w:rPr>
            </w:pPr>
          </w:p>
        </w:tc>
        <w:tc>
          <w:tcPr>
            <w:tcW w:w="0" w:type="auto"/>
            <w:gridSpan w:val="10"/>
          </w:tcPr>
          <w:p w14:paraId="235F560F" w14:textId="77777777" w:rsidR="00B001A7" w:rsidRPr="00F96911" w:rsidRDefault="00B001A7" w:rsidP="00497473">
            <w:pPr>
              <w:keepNext/>
              <w:jc w:val="center"/>
              <w:rPr>
                <w:b/>
                <w:bCs/>
                <w:szCs w:val="22"/>
              </w:rPr>
            </w:pPr>
            <w:r w:rsidRPr="00F96911">
              <w:rPr>
                <w:b/>
                <w:bCs/>
                <w:szCs w:val="22"/>
              </w:rPr>
              <w:t>Trial</w:t>
            </w:r>
          </w:p>
        </w:tc>
      </w:tr>
      <w:tr w:rsidR="00B001A7" w:rsidRPr="00863F48" w14:paraId="05E9BF1E" w14:textId="77777777" w:rsidTr="00497473">
        <w:tc>
          <w:tcPr>
            <w:tcW w:w="0" w:type="auto"/>
            <w:vMerge/>
          </w:tcPr>
          <w:p w14:paraId="7A3901E3" w14:textId="77777777" w:rsidR="00B001A7" w:rsidRPr="00F96911" w:rsidRDefault="00B001A7" w:rsidP="00497473">
            <w:pPr>
              <w:keepNext/>
              <w:rPr>
                <w:szCs w:val="22"/>
              </w:rPr>
            </w:pPr>
          </w:p>
        </w:tc>
        <w:tc>
          <w:tcPr>
            <w:tcW w:w="0" w:type="auto"/>
            <w:gridSpan w:val="2"/>
          </w:tcPr>
          <w:p w14:paraId="780A58AC" w14:textId="77777777" w:rsidR="00B001A7" w:rsidRPr="00F96911" w:rsidRDefault="00B001A7" w:rsidP="00497473">
            <w:pPr>
              <w:keepNext/>
              <w:jc w:val="center"/>
              <w:rPr>
                <w:b/>
                <w:bCs/>
                <w:szCs w:val="22"/>
              </w:rPr>
            </w:pPr>
            <w:r w:rsidRPr="00F96911">
              <w:rPr>
                <w:b/>
                <w:bCs/>
                <w:szCs w:val="22"/>
              </w:rPr>
              <w:t>FALCON</w:t>
            </w:r>
          </w:p>
        </w:tc>
        <w:tc>
          <w:tcPr>
            <w:tcW w:w="0" w:type="auto"/>
            <w:gridSpan w:val="2"/>
          </w:tcPr>
          <w:p w14:paraId="3FF8BE63" w14:textId="77777777" w:rsidR="00B001A7" w:rsidRPr="00F96911" w:rsidRDefault="00B001A7" w:rsidP="00497473">
            <w:pPr>
              <w:keepNext/>
              <w:jc w:val="center"/>
              <w:rPr>
                <w:b/>
                <w:bCs/>
                <w:szCs w:val="22"/>
              </w:rPr>
            </w:pPr>
            <w:r w:rsidRPr="00F96911">
              <w:rPr>
                <w:b/>
                <w:bCs/>
                <w:szCs w:val="22"/>
              </w:rPr>
              <w:t>FIRST</w:t>
            </w:r>
          </w:p>
        </w:tc>
        <w:tc>
          <w:tcPr>
            <w:tcW w:w="0" w:type="auto"/>
            <w:gridSpan w:val="2"/>
          </w:tcPr>
          <w:p w14:paraId="44ACB834" w14:textId="77777777" w:rsidR="00B001A7" w:rsidRPr="00F96911" w:rsidRDefault="00B001A7" w:rsidP="00497473">
            <w:pPr>
              <w:keepNext/>
              <w:jc w:val="center"/>
              <w:rPr>
                <w:b/>
                <w:bCs/>
                <w:szCs w:val="22"/>
              </w:rPr>
            </w:pPr>
            <w:r w:rsidRPr="00F96911">
              <w:rPr>
                <w:b/>
                <w:bCs/>
                <w:szCs w:val="22"/>
              </w:rPr>
              <w:t>North American</w:t>
            </w:r>
          </w:p>
        </w:tc>
        <w:tc>
          <w:tcPr>
            <w:tcW w:w="0" w:type="auto"/>
            <w:gridSpan w:val="2"/>
          </w:tcPr>
          <w:p w14:paraId="31236D5F" w14:textId="77777777" w:rsidR="00B001A7" w:rsidRPr="00F96911" w:rsidRDefault="00B001A7" w:rsidP="00497473">
            <w:pPr>
              <w:keepNext/>
              <w:jc w:val="center"/>
              <w:rPr>
                <w:b/>
                <w:bCs/>
                <w:szCs w:val="22"/>
              </w:rPr>
            </w:pPr>
            <w:r w:rsidRPr="00F96911">
              <w:rPr>
                <w:b/>
                <w:bCs/>
                <w:szCs w:val="22"/>
              </w:rPr>
              <w:t>TARGET</w:t>
            </w:r>
          </w:p>
        </w:tc>
        <w:tc>
          <w:tcPr>
            <w:tcW w:w="0" w:type="auto"/>
            <w:gridSpan w:val="2"/>
          </w:tcPr>
          <w:p w14:paraId="37279E1E" w14:textId="77777777" w:rsidR="00B001A7" w:rsidRPr="00F96911" w:rsidRDefault="00B001A7" w:rsidP="00497473">
            <w:pPr>
              <w:keepNext/>
              <w:jc w:val="center"/>
              <w:rPr>
                <w:b/>
                <w:bCs/>
                <w:szCs w:val="22"/>
              </w:rPr>
            </w:pPr>
            <w:r w:rsidRPr="00F96911">
              <w:rPr>
                <w:b/>
                <w:bCs/>
                <w:szCs w:val="22"/>
              </w:rPr>
              <w:t>NorthAm-Target</w:t>
            </w:r>
          </w:p>
        </w:tc>
      </w:tr>
      <w:tr w:rsidR="00B001A7" w:rsidRPr="00863F48" w14:paraId="790C95AE" w14:textId="77777777" w:rsidTr="00497473">
        <w:tc>
          <w:tcPr>
            <w:tcW w:w="0" w:type="auto"/>
          </w:tcPr>
          <w:p w14:paraId="735589AF" w14:textId="77777777" w:rsidR="00B001A7" w:rsidRPr="00F96911" w:rsidRDefault="00B001A7" w:rsidP="00497473">
            <w:pPr>
              <w:rPr>
                <w:szCs w:val="22"/>
              </w:rPr>
            </w:pPr>
            <w:r w:rsidRPr="00F96911">
              <w:rPr>
                <w:szCs w:val="22"/>
              </w:rPr>
              <w:t>Treatment arm</w:t>
            </w:r>
          </w:p>
        </w:tc>
        <w:tc>
          <w:tcPr>
            <w:tcW w:w="0" w:type="auto"/>
          </w:tcPr>
          <w:p w14:paraId="338FE9B9" w14:textId="77777777" w:rsidR="00B001A7" w:rsidRPr="00F96911" w:rsidRDefault="00B001A7" w:rsidP="00497473">
            <w:pPr>
              <w:jc w:val="center"/>
              <w:rPr>
                <w:szCs w:val="22"/>
              </w:rPr>
            </w:pPr>
            <w:r w:rsidRPr="00F96911">
              <w:rPr>
                <w:szCs w:val="22"/>
              </w:rPr>
              <w:t>Ful</w:t>
            </w:r>
          </w:p>
        </w:tc>
        <w:tc>
          <w:tcPr>
            <w:tcW w:w="0" w:type="auto"/>
          </w:tcPr>
          <w:p w14:paraId="33062E75" w14:textId="77777777" w:rsidR="00B001A7" w:rsidRPr="00F96911" w:rsidRDefault="00B001A7" w:rsidP="00497473">
            <w:pPr>
              <w:jc w:val="center"/>
              <w:rPr>
                <w:szCs w:val="22"/>
              </w:rPr>
            </w:pPr>
            <w:r w:rsidRPr="00F96911">
              <w:rPr>
                <w:szCs w:val="22"/>
              </w:rPr>
              <w:t>Ana</w:t>
            </w:r>
          </w:p>
        </w:tc>
        <w:tc>
          <w:tcPr>
            <w:tcW w:w="0" w:type="auto"/>
          </w:tcPr>
          <w:p w14:paraId="0F310697" w14:textId="77777777" w:rsidR="00B001A7" w:rsidRPr="00F96911" w:rsidRDefault="00B001A7" w:rsidP="00497473">
            <w:pPr>
              <w:jc w:val="center"/>
              <w:rPr>
                <w:szCs w:val="22"/>
              </w:rPr>
            </w:pPr>
            <w:r w:rsidRPr="00F96911">
              <w:rPr>
                <w:szCs w:val="22"/>
              </w:rPr>
              <w:t>Ful</w:t>
            </w:r>
          </w:p>
        </w:tc>
        <w:tc>
          <w:tcPr>
            <w:tcW w:w="0" w:type="auto"/>
          </w:tcPr>
          <w:p w14:paraId="66D6784A" w14:textId="77777777" w:rsidR="00B001A7" w:rsidRPr="00F96911" w:rsidRDefault="00B001A7" w:rsidP="00497473">
            <w:pPr>
              <w:jc w:val="center"/>
              <w:rPr>
                <w:szCs w:val="22"/>
              </w:rPr>
            </w:pPr>
            <w:r w:rsidRPr="00F96911">
              <w:rPr>
                <w:szCs w:val="22"/>
              </w:rPr>
              <w:t>Ana</w:t>
            </w:r>
          </w:p>
        </w:tc>
        <w:tc>
          <w:tcPr>
            <w:tcW w:w="0" w:type="auto"/>
          </w:tcPr>
          <w:p w14:paraId="4CD199E1" w14:textId="77777777" w:rsidR="00B001A7" w:rsidRPr="00F96911" w:rsidRDefault="00B001A7" w:rsidP="00497473">
            <w:pPr>
              <w:jc w:val="center"/>
              <w:rPr>
                <w:szCs w:val="22"/>
              </w:rPr>
            </w:pPr>
            <w:r w:rsidRPr="00F96911">
              <w:rPr>
                <w:szCs w:val="22"/>
              </w:rPr>
              <w:t>Ana</w:t>
            </w:r>
          </w:p>
        </w:tc>
        <w:tc>
          <w:tcPr>
            <w:tcW w:w="0" w:type="auto"/>
          </w:tcPr>
          <w:p w14:paraId="20093544" w14:textId="77777777" w:rsidR="00B001A7" w:rsidRPr="00F96911" w:rsidRDefault="00B001A7" w:rsidP="00497473">
            <w:pPr>
              <w:jc w:val="center"/>
              <w:rPr>
                <w:szCs w:val="22"/>
              </w:rPr>
            </w:pPr>
            <w:r w:rsidRPr="00F96911">
              <w:rPr>
                <w:szCs w:val="22"/>
              </w:rPr>
              <w:t>Tam</w:t>
            </w:r>
          </w:p>
        </w:tc>
        <w:tc>
          <w:tcPr>
            <w:tcW w:w="0" w:type="auto"/>
          </w:tcPr>
          <w:p w14:paraId="1C4D3418" w14:textId="77777777" w:rsidR="00B001A7" w:rsidRPr="00F96911" w:rsidRDefault="00B001A7" w:rsidP="00497473">
            <w:pPr>
              <w:jc w:val="center"/>
              <w:rPr>
                <w:szCs w:val="22"/>
              </w:rPr>
            </w:pPr>
            <w:r w:rsidRPr="00F96911">
              <w:rPr>
                <w:szCs w:val="22"/>
              </w:rPr>
              <w:t>Ana</w:t>
            </w:r>
          </w:p>
        </w:tc>
        <w:tc>
          <w:tcPr>
            <w:tcW w:w="0" w:type="auto"/>
          </w:tcPr>
          <w:p w14:paraId="58D42DA5" w14:textId="77777777" w:rsidR="00B001A7" w:rsidRPr="00F96911" w:rsidRDefault="00B001A7" w:rsidP="00497473">
            <w:pPr>
              <w:jc w:val="center"/>
              <w:rPr>
                <w:szCs w:val="22"/>
              </w:rPr>
            </w:pPr>
            <w:r w:rsidRPr="00F96911">
              <w:rPr>
                <w:szCs w:val="22"/>
              </w:rPr>
              <w:t>Tam</w:t>
            </w:r>
          </w:p>
        </w:tc>
        <w:tc>
          <w:tcPr>
            <w:tcW w:w="0" w:type="auto"/>
          </w:tcPr>
          <w:p w14:paraId="5EE8043B" w14:textId="77777777" w:rsidR="00B001A7" w:rsidRPr="00F96911" w:rsidRDefault="00B001A7" w:rsidP="00497473">
            <w:pPr>
              <w:jc w:val="center"/>
              <w:rPr>
                <w:szCs w:val="22"/>
              </w:rPr>
            </w:pPr>
            <w:r w:rsidRPr="00F96911">
              <w:rPr>
                <w:szCs w:val="22"/>
              </w:rPr>
              <w:t>Ana</w:t>
            </w:r>
          </w:p>
        </w:tc>
        <w:tc>
          <w:tcPr>
            <w:tcW w:w="0" w:type="auto"/>
          </w:tcPr>
          <w:p w14:paraId="05F73DDA" w14:textId="77777777" w:rsidR="00B001A7" w:rsidRPr="00F96911" w:rsidRDefault="00B001A7" w:rsidP="00497473">
            <w:pPr>
              <w:jc w:val="center"/>
              <w:rPr>
                <w:szCs w:val="22"/>
              </w:rPr>
            </w:pPr>
            <w:r w:rsidRPr="00F96911">
              <w:rPr>
                <w:szCs w:val="22"/>
              </w:rPr>
              <w:t>Tam</w:t>
            </w:r>
          </w:p>
        </w:tc>
      </w:tr>
      <w:tr w:rsidR="00B001A7" w:rsidRPr="00863F48" w14:paraId="61E84440" w14:textId="77777777" w:rsidTr="00497473">
        <w:tc>
          <w:tcPr>
            <w:tcW w:w="0" w:type="auto"/>
          </w:tcPr>
          <w:p w14:paraId="72D72AF8" w14:textId="77777777" w:rsidR="00B001A7" w:rsidRPr="00F96911" w:rsidRDefault="00B001A7" w:rsidP="00497473">
            <w:pPr>
              <w:rPr>
                <w:szCs w:val="22"/>
              </w:rPr>
            </w:pPr>
            <w:r w:rsidRPr="00F96911">
              <w:rPr>
                <w:szCs w:val="22"/>
              </w:rPr>
              <w:t>ITT population, n</w:t>
            </w:r>
          </w:p>
        </w:tc>
        <w:tc>
          <w:tcPr>
            <w:tcW w:w="0" w:type="auto"/>
          </w:tcPr>
          <w:p w14:paraId="4398688D" w14:textId="77777777" w:rsidR="00B001A7" w:rsidRPr="00F96911" w:rsidRDefault="00B001A7" w:rsidP="00497473">
            <w:pPr>
              <w:jc w:val="right"/>
              <w:rPr>
                <w:szCs w:val="22"/>
              </w:rPr>
            </w:pPr>
            <w:r w:rsidRPr="00F96911">
              <w:rPr>
                <w:szCs w:val="22"/>
              </w:rPr>
              <w:t>230</w:t>
            </w:r>
          </w:p>
        </w:tc>
        <w:tc>
          <w:tcPr>
            <w:tcW w:w="0" w:type="auto"/>
          </w:tcPr>
          <w:p w14:paraId="48EFB7D2" w14:textId="77777777" w:rsidR="00B001A7" w:rsidRPr="00F96911" w:rsidRDefault="00B001A7" w:rsidP="00497473">
            <w:pPr>
              <w:jc w:val="right"/>
              <w:rPr>
                <w:szCs w:val="22"/>
              </w:rPr>
            </w:pPr>
            <w:r w:rsidRPr="00F96911">
              <w:rPr>
                <w:szCs w:val="22"/>
              </w:rPr>
              <w:t>232</w:t>
            </w:r>
          </w:p>
        </w:tc>
        <w:tc>
          <w:tcPr>
            <w:tcW w:w="0" w:type="auto"/>
          </w:tcPr>
          <w:p w14:paraId="2F6BE1E2" w14:textId="77777777" w:rsidR="00B001A7" w:rsidRPr="00F96911" w:rsidRDefault="00B001A7" w:rsidP="00497473">
            <w:pPr>
              <w:jc w:val="right"/>
              <w:rPr>
                <w:szCs w:val="22"/>
              </w:rPr>
            </w:pPr>
            <w:r w:rsidRPr="00F96911">
              <w:rPr>
                <w:szCs w:val="22"/>
              </w:rPr>
              <w:t>102</w:t>
            </w:r>
          </w:p>
        </w:tc>
        <w:tc>
          <w:tcPr>
            <w:tcW w:w="0" w:type="auto"/>
          </w:tcPr>
          <w:p w14:paraId="58C578D6" w14:textId="77777777" w:rsidR="00B001A7" w:rsidRPr="00F96911" w:rsidRDefault="00B001A7" w:rsidP="00497473">
            <w:pPr>
              <w:jc w:val="right"/>
              <w:rPr>
                <w:szCs w:val="22"/>
              </w:rPr>
            </w:pPr>
            <w:r w:rsidRPr="00F96911">
              <w:rPr>
                <w:szCs w:val="22"/>
              </w:rPr>
              <w:t>103</w:t>
            </w:r>
          </w:p>
        </w:tc>
        <w:tc>
          <w:tcPr>
            <w:tcW w:w="0" w:type="auto"/>
          </w:tcPr>
          <w:p w14:paraId="2AB98C80" w14:textId="77777777" w:rsidR="00B001A7" w:rsidRPr="00F96911" w:rsidRDefault="00B001A7" w:rsidP="00497473">
            <w:pPr>
              <w:tabs>
                <w:tab w:val="center" w:pos="1134"/>
              </w:tabs>
              <w:jc w:val="right"/>
              <w:rPr>
                <w:szCs w:val="22"/>
              </w:rPr>
            </w:pPr>
            <w:r w:rsidRPr="00F96911">
              <w:rPr>
                <w:szCs w:val="22"/>
              </w:rPr>
              <w:t>171</w:t>
            </w:r>
          </w:p>
        </w:tc>
        <w:tc>
          <w:tcPr>
            <w:tcW w:w="0" w:type="auto"/>
          </w:tcPr>
          <w:p w14:paraId="2B4FCD6A" w14:textId="77777777" w:rsidR="00B001A7" w:rsidRPr="00F96911" w:rsidRDefault="00B001A7" w:rsidP="00497473">
            <w:pPr>
              <w:tabs>
                <w:tab w:val="center" w:pos="1134"/>
              </w:tabs>
              <w:jc w:val="right"/>
              <w:rPr>
                <w:szCs w:val="22"/>
              </w:rPr>
            </w:pPr>
            <w:r w:rsidRPr="00F96911">
              <w:rPr>
                <w:szCs w:val="22"/>
              </w:rPr>
              <w:t>182</w:t>
            </w:r>
          </w:p>
        </w:tc>
        <w:tc>
          <w:tcPr>
            <w:tcW w:w="0" w:type="auto"/>
          </w:tcPr>
          <w:p w14:paraId="2F8816DA" w14:textId="77777777" w:rsidR="00B001A7" w:rsidRPr="00F96911" w:rsidRDefault="00B001A7" w:rsidP="00497473">
            <w:pPr>
              <w:tabs>
                <w:tab w:val="center" w:pos="1134"/>
              </w:tabs>
              <w:jc w:val="right"/>
              <w:rPr>
                <w:szCs w:val="22"/>
              </w:rPr>
            </w:pPr>
            <w:r w:rsidRPr="00F96911">
              <w:rPr>
                <w:szCs w:val="22"/>
              </w:rPr>
              <w:t>340</w:t>
            </w:r>
          </w:p>
        </w:tc>
        <w:tc>
          <w:tcPr>
            <w:tcW w:w="0" w:type="auto"/>
          </w:tcPr>
          <w:p w14:paraId="12E17DA4" w14:textId="77777777" w:rsidR="00B001A7" w:rsidRPr="00F96911" w:rsidRDefault="00B001A7" w:rsidP="00497473">
            <w:pPr>
              <w:tabs>
                <w:tab w:val="center" w:pos="1134"/>
              </w:tabs>
              <w:jc w:val="right"/>
              <w:rPr>
                <w:szCs w:val="22"/>
              </w:rPr>
            </w:pPr>
            <w:r w:rsidRPr="00F96911">
              <w:rPr>
                <w:szCs w:val="22"/>
              </w:rPr>
              <w:t>328</w:t>
            </w:r>
          </w:p>
        </w:tc>
        <w:tc>
          <w:tcPr>
            <w:tcW w:w="0" w:type="auto"/>
          </w:tcPr>
          <w:p w14:paraId="6F9DCB40" w14:textId="77777777" w:rsidR="00B001A7" w:rsidRPr="00F96911" w:rsidRDefault="00B001A7" w:rsidP="00497473">
            <w:pPr>
              <w:tabs>
                <w:tab w:val="center" w:pos="1134"/>
              </w:tabs>
              <w:jc w:val="right"/>
              <w:rPr>
                <w:szCs w:val="22"/>
              </w:rPr>
            </w:pPr>
            <w:r w:rsidRPr="00F96911">
              <w:rPr>
                <w:szCs w:val="22"/>
              </w:rPr>
              <w:t>511</w:t>
            </w:r>
          </w:p>
        </w:tc>
        <w:tc>
          <w:tcPr>
            <w:tcW w:w="0" w:type="auto"/>
          </w:tcPr>
          <w:p w14:paraId="138B4BD1" w14:textId="77777777" w:rsidR="00B001A7" w:rsidRPr="00F96911" w:rsidRDefault="00B001A7" w:rsidP="00497473">
            <w:pPr>
              <w:tabs>
                <w:tab w:val="center" w:pos="1134"/>
              </w:tabs>
              <w:jc w:val="right"/>
              <w:rPr>
                <w:szCs w:val="22"/>
              </w:rPr>
            </w:pPr>
            <w:r w:rsidRPr="00F96911">
              <w:rPr>
                <w:szCs w:val="22"/>
              </w:rPr>
              <w:t>510</w:t>
            </w:r>
          </w:p>
        </w:tc>
      </w:tr>
      <w:tr w:rsidR="00B001A7" w:rsidRPr="00863F48" w14:paraId="56481DEE" w14:textId="77777777" w:rsidTr="00497473">
        <w:tc>
          <w:tcPr>
            <w:tcW w:w="0" w:type="auto"/>
          </w:tcPr>
          <w:p w14:paraId="268F355A" w14:textId="77777777" w:rsidR="00B001A7" w:rsidRPr="00F96911" w:rsidRDefault="00B001A7" w:rsidP="00497473">
            <w:pPr>
              <w:rPr>
                <w:szCs w:val="22"/>
              </w:rPr>
            </w:pPr>
            <w:r w:rsidRPr="00F96911">
              <w:rPr>
                <w:szCs w:val="22"/>
              </w:rPr>
              <w:t>Matched to FALCON, n (%)</w:t>
            </w:r>
          </w:p>
        </w:tc>
        <w:tc>
          <w:tcPr>
            <w:tcW w:w="0" w:type="auto"/>
          </w:tcPr>
          <w:p w14:paraId="5EFE78F6" w14:textId="77777777" w:rsidR="00B001A7" w:rsidRPr="00F96911" w:rsidRDefault="00B001A7" w:rsidP="00497473">
            <w:pPr>
              <w:jc w:val="right"/>
              <w:rPr>
                <w:szCs w:val="22"/>
              </w:rPr>
            </w:pPr>
            <w:r w:rsidRPr="00F96911">
              <w:rPr>
                <w:szCs w:val="22"/>
              </w:rPr>
              <w:t>230</w:t>
            </w:r>
          </w:p>
          <w:p w14:paraId="63736934" w14:textId="77777777" w:rsidR="00B001A7" w:rsidRPr="00F96911" w:rsidRDefault="00B001A7" w:rsidP="00497473">
            <w:pPr>
              <w:jc w:val="right"/>
              <w:rPr>
                <w:szCs w:val="22"/>
              </w:rPr>
            </w:pPr>
            <w:r w:rsidRPr="00F96911">
              <w:rPr>
                <w:szCs w:val="22"/>
              </w:rPr>
              <w:t>(100)</w:t>
            </w:r>
          </w:p>
        </w:tc>
        <w:tc>
          <w:tcPr>
            <w:tcW w:w="0" w:type="auto"/>
          </w:tcPr>
          <w:p w14:paraId="5D97E90C" w14:textId="77777777" w:rsidR="00B001A7" w:rsidRPr="00F96911" w:rsidRDefault="00B001A7" w:rsidP="00497473">
            <w:pPr>
              <w:jc w:val="right"/>
              <w:rPr>
                <w:szCs w:val="22"/>
              </w:rPr>
            </w:pPr>
            <w:r w:rsidRPr="00F96911">
              <w:rPr>
                <w:szCs w:val="22"/>
              </w:rPr>
              <w:t>232</w:t>
            </w:r>
          </w:p>
          <w:p w14:paraId="27D4668D" w14:textId="77777777" w:rsidR="00B001A7" w:rsidRPr="00F96911" w:rsidRDefault="00B001A7" w:rsidP="00497473">
            <w:pPr>
              <w:jc w:val="right"/>
              <w:rPr>
                <w:szCs w:val="22"/>
              </w:rPr>
            </w:pPr>
            <w:r w:rsidRPr="00F96911">
              <w:rPr>
                <w:szCs w:val="22"/>
              </w:rPr>
              <w:t>(100)</w:t>
            </w:r>
          </w:p>
        </w:tc>
        <w:tc>
          <w:tcPr>
            <w:tcW w:w="0" w:type="auto"/>
          </w:tcPr>
          <w:p w14:paraId="1A6EE5FF" w14:textId="77777777" w:rsidR="00B001A7" w:rsidRPr="00F96911" w:rsidRDefault="00B001A7" w:rsidP="00497473">
            <w:pPr>
              <w:jc w:val="right"/>
              <w:rPr>
                <w:szCs w:val="22"/>
              </w:rPr>
            </w:pPr>
            <w:r w:rsidRPr="00F96911">
              <w:rPr>
                <w:szCs w:val="22"/>
              </w:rPr>
              <w:t>73</w:t>
            </w:r>
          </w:p>
          <w:p w14:paraId="2B7A3903" w14:textId="77777777" w:rsidR="00B001A7" w:rsidRPr="00F96911" w:rsidRDefault="00B001A7" w:rsidP="00497473">
            <w:pPr>
              <w:jc w:val="right"/>
              <w:rPr>
                <w:szCs w:val="22"/>
              </w:rPr>
            </w:pPr>
            <w:r w:rsidRPr="00F96911">
              <w:rPr>
                <w:szCs w:val="22"/>
              </w:rPr>
              <w:t>(72)</w:t>
            </w:r>
          </w:p>
        </w:tc>
        <w:tc>
          <w:tcPr>
            <w:tcW w:w="0" w:type="auto"/>
          </w:tcPr>
          <w:p w14:paraId="0AE9E59C" w14:textId="77777777" w:rsidR="00B001A7" w:rsidRPr="00F96911" w:rsidRDefault="00B001A7" w:rsidP="00497473">
            <w:pPr>
              <w:jc w:val="right"/>
              <w:rPr>
                <w:szCs w:val="22"/>
              </w:rPr>
            </w:pPr>
            <w:r w:rsidRPr="00F96911">
              <w:rPr>
                <w:szCs w:val="22"/>
              </w:rPr>
              <w:t>80</w:t>
            </w:r>
          </w:p>
          <w:p w14:paraId="4A1A4A05" w14:textId="77777777" w:rsidR="00B001A7" w:rsidRPr="00F96911" w:rsidRDefault="00B001A7" w:rsidP="00497473">
            <w:pPr>
              <w:jc w:val="right"/>
              <w:rPr>
                <w:szCs w:val="22"/>
              </w:rPr>
            </w:pPr>
            <w:r w:rsidRPr="00F96911">
              <w:rPr>
                <w:szCs w:val="22"/>
              </w:rPr>
              <w:t>(78)</w:t>
            </w:r>
          </w:p>
        </w:tc>
        <w:tc>
          <w:tcPr>
            <w:tcW w:w="0" w:type="auto"/>
          </w:tcPr>
          <w:p w14:paraId="6D966C11" w14:textId="77777777" w:rsidR="00B001A7" w:rsidRPr="00F96911" w:rsidRDefault="00B001A7" w:rsidP="00497473">
            <w:pPr>
              <w:tabs>
                <w:tab w:val="center" w:pos="1134"/>
              </w:tabs>
              <w:jc w:val="right"/>
              <w:rPr>
                <w:szCs w:val="22"/>
              </w:rPr>
            </w:pPr>
            <w:r w:rsidRPr="00F96911">
              <w:rPr>
                <w:szCs w:val="22"/>
              </w:rPr>
              <w:t>119</w:t>
            </w:r>
          </w:p>
          <w:p w14:paraId="3EBCC89A" w14:textId="77777777" w:rsidR="00B001A7" w:rsidRPr="00F96911" w:rsidRDefault="00B001A7" w:rsidP="00497473">
            <w:pPr>
              <w:tabs>
                <w:tab w:val="center" w:pos="1134"/>
              </w:tabs>
              <w:jc w:val="right"/>
              <w:rPr>
                <w:szCs w:val="22"/>
              </w:rPr>
            </w:pPr>
            <w:r w:rsidRPr="00F96911">
              <w:rPr>
                <w:szCs w:val="22"/>
              </w:rPr>
              <w:t>(70)</w:t>
            </w:r>
          </w:p>
        </w:tc>
        <w:tc>
          <w:tcPr>
            <w:tcW w:w="0" w:type="auto"/>
          </w:tcPr>
          <w:p w14:paraId="6B68A2AB" w14:textId="77777777" w:rsidR="00B001A7" w:rsidRPr="00F96911" w:rsidRDefault="00B001A7" w:rsidP="00497473">
            <w:pPr>
              <w:tabs>
                <w:tab w:val="center" w:pos="1134"/>
              </w:tabs>
              <w:jc w:val="right"/>
              <w:rPr>
                <w:szCs w:val="22"/>
              </w:rPr>
            </w:pPr>
            <w:r w:rsidRPr="00F96911">
              <w:rPr>
                <w:szCs w:val="22"/>
              </w:rPr>
              <w:t>134</w:t>
            </w:r>
          </w:p>
          <w:p w14:paraId="28357B73" w14:textId="77777777" w:rsidR="00B001A7" w:rsidRPr="00F96911" w:rsidRDefault="00B001A7" w:rsidP="00497473">
            <w:pPr>
              <w:tabs>
                <w:tab w:val="center" w:pos="1134"/>
              </w:tabs>
              <w:jc w:val="right"/>
              <w:rPr>
                <w:szCs w:val="22"/>
              </w:rPr>
            </w:pPr>
            <w:r w:rsidRPr="00F96911">
              <w:rPr>
                <w:szCs w:val="22"/>
              </w:rPr>
              <w:t>(74)</w:t>
            </w:r>
          </w:p>
        </w:tc>
        <w:tc>
          <w:tcPr>
            <w:tcW w:w="0" w:type="auto"/>
          </w:tcPr>
          <w:p w14:paraId="26CDB209" w14:textId="77777777" w:rsidR="00B001A7" w:rsidRPr="00F96911" w:rsidRDefault="00B001A7" w:rsidP="00497473">
            <w:pPr>
              <w:tabs>
                <w:tab w:val="center" w:pos="1134"/>
              </w:tabs>
              <w:jc w:val="right"/>
              <w:rPr>
                <w:szCs w:val="22"/>
              </w:rPr>
            </w:pPr>
            <w:r w:rsidRPr="00F96911">
              <w:rPr>
                <w:szCs w:val="22"/>
              </w:rPr>
              <w:t>132</w:t>
            </w:r>
          </w:p>
          <w:p w14:paraId="3C33D325" w14:textId="77777777" w:rsidR="00B001A7" w:rsidRPr="00F96911" w:rsidRDefault="00B001A7" w:rsidP="00497473">
            <w:pPr>
              <w:tabs>
                <w:tab w:val="center" w:pos="1134"/>
              </w:tabs>
              <w:jc w:val="right"/>
              <w:rPr>
                <w:szCs w:val="22"/>
              </w:rPr>
            </w:pPr>
            <w:r w:rsidRPr="00F96911">
              <w:rPr>
                <w:szCs w:val="22"/>
              </w:rPr>
              <w:t>(39)</w:t>
            </w:r>
          </w:p>
        </w:tc>
        <w:tc>
          <w:tcPr>
            <w:tcW w:w="0" w:type="auto"/>
          </w:tcPr>
          <w:p w14:paraId="2B37FE0C" w14:textId="77777777" w:rsidR="00B001A7" w:rsidRPr="00F96911" w:rsidRDefault="00B001A7" w:rsidP="00497473">
            <w:pPr>
              <w:tabs>
                <w:tab w:val="center" w:pos="1134"/>
              </w:tabs>
              <w:jc w:val="right"/>
              <w:rPr>
                <w:szCs w:val="22"/>
              </w:rPr>
            </w:pPr>
            <w:r w:rsidRPr="00F96911">
              <w:rPr>
                <w:szCs w:val="22"/>
              </w:rPr>
              <w:t>128</w:t>
            </w:r>
          </w:p>
          <w:p w14:paraId="1E19D067" w14:textId="77777777" w:rsidR="00B001A7" w:rsidRPr="00F96911" w:rsidRDefault="00B001A7" w:rsidP="00497473">
            <w:pPr>
              <w:tabs>
                <w:tab w:val="center" w:pos="1134"/>
              </w:tabs>
              <w:jc w:val="right"/>
              <w:rPr>
                <w:szCs w:val="22"/>
              </w:rPr>
            </w:pPr>
            <w:r w:rsidRPr="00F96911">
              <w:rPr>
                <w:szCs w:val="22"/>
              </w:rPr>
              <w:t>(39)</w:t>
            </w:r>
          </w:p>
        </w:tc>
        <w:tc>
          <w:tcPr>
            <w:tcW w:w="0" w:type="auto"/>
          </w:tcPr>
          <w:p w14:paraId="5F5CC22D" w14:textId="77777777" w:rsidR="00B001A7" w:rsidRPr="00F96911" w:rsidRDefault="00B001A7" w:rsidP="00497473">
            <w:pPr>
              <w:tabs>
                <w:tab w:val="center" w:pos="1134"/>
              </w:tabs>
              <w:jc w:val="right"/>
              <w:rPr>
                <w:szCs w:val="22"/>
              </w:rPr>
            </w:pPr>
            <w:r w:rsidRPr="00F96911">
              <w:rPr>
                <w:szCs w:val="22"/>
              </w:rPr>
              <w:t>251</w:t>
            </w:r>
          </w:p>
          <w:p w14:paraId="0492327C" w14:textId="77777777" w:rsidR="00B001A7" w:rsidRPr="00F96911" w:rsidRDefault="00B001A7" w:rsidP="00497473">
            <w:pPr>
              <w:tabs>
                <w:tab w:val="center" w:pos="1134"/>
              </w:tabs>
              <w:jc w:val="right"/>
              <w:rPr>
                <w:szCs w:val="22"/>
              </w:rPr>
            </w:pPr>
            <w:r w:rsidRPr="00F96911">
              <w:rPr>
                <w:szCs w:val="22"/>
              </w:rPr>
              <w:t>(49)</w:t>
            </w:r>
          </w:p>
        </w:tc>
        <w:tc>
          <w:tcPr>
            <w:tcW w:w="0" w:type="auto"/>
          </w:tcPr>
          <w:p w14:paraId="77A7755E" w14:textId="77777777" w:rsidR="00B001A7" w:rsidRPr="00F96911" w:rsidRDefault="00B001A7" w:rsidP="00497473">
            <w:pPr>
              <w:tabs>
                <w:tab w:val="center" w:pos="1134"/>
              </w:tabs>
              <w:jc w:val="right"/>
              <w:rPr>
                <w:szCs w:val="22"/>
              </w:rPr>
            </w:pPr>
            <w:r w:rsidRPr="00F96911">
              <w:rPr>
                <w:szCs w:val="22"/>
              </w:rPr>
              <w:t>262</w:t>
            </w:r>
          </w:p>
          <w:p w14:paraId="6E4E8B6F" w14:textId="77777777" w:rsidR="00B001A7" w:rsidRPr="00F96911" w:rsidRDefault="00B001A7" w:rsidP="00497473">
            <w:pPr>
              <w:jc w:val="right"/>
              <w:rPr>
                <w:szCs w:val="22"/>
              </w:rPr>
            </w:pPr>
            <w:r w:rsidRPr="00F96911">
              <w:rPr>
                <w:szCs w:val="22"/>
              </w:rPr>
              <w:t>(51)</w:t>
            </w:r>
          </w:p>
        </w:tc>
      </w:tr>
    </w:tbl>
    <w:p w14:paraId="27B11000" w14:textId="77777777" w:rsidR="00B001A7" w:rsidRDefault="00B001A7" w:rsidP="00B001A7">
      <w:pPr>
        <w:rPr>
          <w:sz w:val="20"/>
          <w:szCs w:val="20"/>
        </w:rPr>
      </w:pPr>
      <w:r>
        <w:rPr>
          <w:bCs/>
          <w:sz w:val="20"/>
          <w:szCs w:val="20"/>
        </w:rPr>
        <w:t>PO25 trial is not included because only aggregate data were available so no matching was undertaken.</w:t>
      </w:r>
    </w:p>
    <w:p w14:paraId="4EBF8FFD" w14:textId="77777777" w:rsidR="00B001A7" w:rsidRDefault="00B001A7" w:rsidP="00B001A7">
      <w:pPr>
        <w:rPr>
          <w:sz w:val="20"/>
          <w:szCs w:val="20"/>
        </w:rPr>
      </w:pPr>
      <w:r w:rsidRPr="00863F48">
        <w:rPr>
          <w:sz w:val="20"/>
          <w:szCs w:val="20"/>
        </w:rPr>
        <w:t xml:space="preserve">Ana, anastrozole; Ful, fulvestrant; </w:t>
      </w:r>
      <w:r>
        <w:rPr>
          <w:sz w:val="20"/>
          <w:szCs w:val="20"/>
        </w:rPr>
        <w:t xml:space="preserve">ITT, intention-to-treat; </w:t>
      </w:r>
      <w:r w:rsidRPr="00863F48">
        <w:rPr>
          <w:sz w:val="20"/>
          <w:szCs w:val="20"/>
        </w:rPr>
        <w:t>Let, letrozole; n, number; Tam, tamoxifen</w:t>
      </w:r>
      <w:r>
        <w:rPr>
          <w:sz w:val="20"/>
          <w:szCs w:val="20"/>
        </w:rPr>
        <w:t>.</w:t>
      </w:r>
    </w:p>
    <w:p w14:paraId="6DB0FE1C" w14:textId="0C4A8DC2" w:rsidR="0049675D" w:rsidRDefault="0049675D" w:rsidP="0049675D">
      <w:pPr>
        <w:outlineLvl w:val="0"/>
        <w:rPr>
          <w:rFonts w:ascii="Times New Roman" w:hAnsi="Times New Roman"/>
          <w:sz w:val="28"/>
          <w:szCs w:val="28"/>
        </w:rPr>
      </w:pPr>
    </w:p>
    <w:p w14:paraId="1D60EA93" w14:textId="0A4B38D4" w:rsidR="00B001A7" w:rsidRPr="003F6095" w:rsidRDefault="00B001A7" w:rsidP="00B001A7">
      <w:pPr>
        <w:pStyle w:val="Caption"/>
        <w:rPr>
          <w:rFonts w:cs="Arial"/>
          <w:szCs w:val="22"/>
        </w:rPr>
      </w:pPr>
      <w:r w:rsidRPr="003F6095">
        <w:rPr>
          <w:rFonts w:cs="Arial"/>
          <w:szCs w:val="22"/>
        </w:rPr>
        <w:t xml:space="preserve">Table </w:t>
      </w:r>
      <w:r w:rsidR="001F7D04">
        <w:rPr>
          <w:rFonts w:cs="Arial"/>
          <w:noProof/>
          <w:szCs w:val="22"/>
        </w:rPr>
        <w:t>5</w:t>
      </w:r>
      <w:r w:rsidRPr="003F6095">
        <w:rPr>
          <w:rFonts w:cs="Arial"/>
          <w:szCs w:val="22"/>
        </w:rPr>
        <w:t xml:space="preserve"> Effect of changes to the fulvestrant OS scale parameter, ERG scenario</w:t>
      </w:r>
    </w:p>
    <w:tbl>
      <w:tblPr>
        <w:tblStyle w:val="TableGrid"/>
        <w:tblW w:w="0" w:type="auto"/>
        <w:tblLook w:val="04A0" w:firstRow="1" w:lastRow="0" w:firstColumn="1" w:lastColumn="0" w:noHBand="0" w:noVBand="1"/>
      </w:tblPr>
      <w:tblGrid>
        <w:gridCol w:w="2057"/>
        <w:gridCol w:w="2007"/>
        <w:gridCol w:w="2772"/>
        <w:gridCol w:w="2323"/>
      </w:tblGrid>
      <w:tr w:rsidR="00B001A7" w:rsidRPr="00E1046C" w14:paraId="74116858" w14:textId="77777777" w:rsidTr="00497473">
        <w:trPr>
          <w:trHeight w:val="237"/>
        </w:trPr>
        <w:tc>
          <w:tcPr>
            <w:tcW w:w="4064" w:type="dxa"/>
            <w:gridSpan w:val="2"/>
            <w:tcBorders>
              <w:bottom w:val="single" w:sz="4" w:space="0" w:color="auto"/>
            </w:tcBorders>
            <w:shd w:val="pct20" w:color="auto" w:fill="auto"/>
            <w:vAlign w:val="center"/>
          </w:tcPr>
          <w:p w14:paraId="568BE402" w14:textId="77777777" w:rsidR="00B001A7" w:rsidRPr="00E1046C" w:rsidRDefault="00B001A7" w:rsidP="00497473">
            <w:pPr>
              <w:keepNext/>
              <w:rPr>
                <w:rFonts w:cs="Arial"/>
                <w:b/>
                <w:iCs/>
                <w:color w:val="000000" w:themeColor="text1"/>
                <w:szCs w:val="22"/>
              </w:rPr>
            </w:pPr>
            <w:r w:rsidRPr="00E1046C">
              <w:rPr>
                <w:rFonts w:cs="Arial"/>
                <w:b/>
                <w:iCs/>
                <w:color w:val="000000" w:themeColor="text1"/>
                <w:szCs w:val="22"/>
              </w:rPr>
              <w:t>Parameters</w:t>
            </w:r>
          </w:p>
        </w:tc>
        <w:tc>
          <w:tcPr>
            <w:tcW w:w="2772" w:type="dxa"/>
            <w:tcBorders>
              <w:bottom w:val="single" w:sz="4" w:space="0" w:color="auto"/>
            </w:tcBorders>
            <w:shd w:val="pct20" w:color="auto" w:fill="auto"/>
            <w:vAlign w:val="center"/>
          </w:tcPr>
          <w:p w14:paraId="4FB6F8C4" w14:textId="77777777" w:rsidR="00B001A7" w:rsidRPr="00E1046C" w:rsidRDefault="00B001A7" w:rsidP="00497473">
            <w:pPr>
              <w:keepNext/>
              <w:rPr>
                <w:rFonts w:cs="Arial"/>
                <w:b/>
                <w:iCs/>
                <w:color w:val="000000" w:themeColor="text1"/>
                <w:szCs w:val="22"/>
              </w:rPr>
            </w:pPr>
            <w:r w:rsidRPr="00E1046C">
              <w:rPr>
                <w:rFonts w:cs="Arial"/>
                <w:b/>
                <w:iCs/>
                <w:color w:val="000000" w:themeColor="text1"/>
                <w:szCs w:val="22"/>
              </w:rPr>
              <w:t>Base case ICER (OS: Weibull)</w:t>
            </w:r>
          </w:p>
        </w:tc>
        <w:tc>
          <w:tcPr>
            <w:tcW w:w="2323" w:type="dxa"/>
            <w:tcBorders>
              <w:bottom w:val="single" w:sz="4" w:space="0" w:color="auto"/>
            </w:tcBorders>
            <w:shd w:val="pct20" w:color="auto" w:fill="auto"/>
            <w:vAlign w:val="center"/>
          </w:tcPr>
          <w:p w14:paraId="39726174" w14:textId="77777777" w:rsidR="00B001A7" w:rsidRPr="00E1046C" w:rsidRDefault="00B001A7" w:rsidP="00497473">
            <w:pPr>
              <w:keepNext/>
              <w:rPr>
                <w:rFonts w:cs="Arial"/>
                <w:b/>
                <w:iCs/>
                <w:color w:val="000000" w:themeColor="text1"/>
                <w:szCs w:val="22"/>
              </w:rPr>
            </w:pPr>
            <w:r w:rsidRPr="00E1046C">
              <w:rPr>
                <w:rFonts w:cs="Arial"/>
                <w:b/>
                <w:iCs/>
                <w:color w:val="000000" w:themeColor="text1"/>
                <w:szCs w:val="22"/>
              </w:rPr>
              <w:t>Scenario ICER</w:t>
            </w:r>
          </w:p>
        </w:tc>
      </w:tr>
      <w:tr w:rsidR="00B001A7" w:rsidRPr="00E1046C" w14:paraId="67130538" w14:textId="77777777" w:rsidTr="00497473">
        <w:trPr>
          <w:trHeight w:val="252"/>
        </w:trPr>
        <w:tc>
          <w:tcPr>
            <w:tcW w:w="9159" w:type="dxa"/>
            <w:gridSpan w:val="4"/>
            <w:shd w:val="clear" w:color="auto" w:fill="auto"/>
            <w:vAlign w:val="center"/>
          </w:tcPr>
          <w:p w14:paraId="5ADCE391" w14:textId="77777777" w:rsidR="00B001A7" w:rsidRPr="00E1046C" w:rsidRDefault="00B001A7" w:rsidP="00497473">
            <w:pPr>
              <w:keepNext/>
              <w:rPr>
                <w:rFonts w:cs="Arial"/>
                <w:b/>
                <w:i/>
                <w:iCs/>
                <w:color w:val="000000" w:themeColor="text1"/>
                <w:szCs w:val="22"/>
              </w:rPr>
            </w:pPr>
            <w:r w:rsidRPr="00E1046C">
              <w:rPr>
                <w:rFonts w:cs="Arial"/>
                <w:b/>
                <w:i/>
                <w:iCs/>
                <w:color w:val="000000" w:themeColor="text1"/>
                <w:szCs w:val="22"/>
              </w:rPr>
              <w:t>Scenario 2: Fulvestrant Incremental scale parameter value A</w:t>
            </w:r>
            <w:r w:rsidRPr="00E1046C">
              <w:rPr>
                <w:rFonts w:cs="Arial"/>
                <w:b/>
                <w:i/>
                <w:iCs/>
                <w:color w:val="000000" w:themeColor="text1"/>
                <w:szCs w:val="22"/>
                <w:vertAlign w:val="superscript"/>
              </w:rPr>
              <w:t>a</w:t>
            </w:r>
          </w:p>
        </w:tc>
      </w:tr>
      <w:tr w:rsidR="00B001A7" w:rsidRPr="00E1046C" w14:paraId="5C9C9A11" w14:textId="77777777" w:rsidTr="00497473">
        <w:trPr>
          <w:trHeight w:val="237"/>
        </w:trPr>
        <w:tc>
          <w:tcPr>
            <w:tcW w:w="2057" w:type="dxa"/>
            <w:vMerge w:val="restart"/>
            <w:vAlign w:val="center"/>
          </w:tcPr>
          <w:p w14:paraId="5FBC237D" w14:textId="77777777" w:rsidR="00B001A7" w:rsidRPr="00E1046C" w:rsidRDefault="00B001A7" w:rsidP="00497473">
            <w:pPr>
              <w:rPr>
                <w:rFonts w:cs="Arial"/>
                <w:color w:val="000000" w:themeColor="text1"/>
                <w:szCs w:val="22"/>
              </w:rPr>
            </w:pPr>
            <w:r w:rsidRPr="00E1046C">
              <w:rPr>
                <w:rFonts w:cs="Arial"/>
                <w:color w:val="000000" w:themeColor="text1"/>
                <w:szCs w:val="22"/>
              </w:rPr>
              <w:t xml:space="preserve">Fulvestrant vs </w:t>
            </w:r>
          </w:p>
        </w:tc>
        <w:tc>
          <w:tcPr>
            <w:tcW w:w="2007" w:type="dxa"/>
            <w:vAlign w:val="center"/>
          </w:tcPr>
          <w:p w14:paraId="4FAA4CB3" w14:textId="77777777" w:rsidR="00B001A7" w:rsidRPr="00E1046C" w:rsidRDefault="00B001A7" w:rsidP="00497473">
            <w:pPr>
              <w:rPr>
                <w:rFonts w:cs="Arial"/>
                <w:color w:val="000000" w:themeColor="text1"/>
                <w:szCs w:val="22"/>
              </w:rPr>
            </w:pPr>
            <w:r w:rsidRPr="00E1046C">
              <w:rPr>
                <w:rFonts w:cs="Arial"/>
                <w:color w:val="000000" w:themeColor="text1"/>
                <w:szCs w:val="22"/>
              </w:rPr>
              <w:t>Letrozole</w:t>
            </w:r>
          </w:p>
        </w:tc>
        <w:tc>
          <w:tcPr>
            <w:tcW w:w="2772" w:type="dxa"/>
            <w:vAlign w:val="center"/>
          </w:tcPr>
          <w:p w14:paraId="534D4425" w14:textId="77777777" w:rsidR="00B001A7" w:rsidRPr="00E1046C" w:rsidRDefault="00B001A7" w:rsidP="00497473">
            <w:pPr>
              <w:rPr>
                <w:rFonts w:cs="Arial"/>
                <w:color w:val="000000" w:themeColor="text1"/>
                <w:szCs w:val="22"/>
              </w:rPr>
            </w:pPr>
            <w:r w:rsidRPr="00E1046C">
              <w:rPr>
                <w:rFonts w:cs="Arial"/>
                <w:color w:val="000000" w:themeColor="text1"/>
                <w:szCs w:val="22"/>
              </w:rPr>
              <w:t>£29,991</w:t>
            </w:r>
          </w:p>
        </w:tc>
        <w:tc>
          <w:tcPr>
            <w:tcW w:w="2323" w:type="dxa"/>
            <w:vAlign w:val="bottom"/>
          </w:tcPr>
          <w:p w14:paraId="563C2677" w14:textId="77777777" w:rsidR="00B001A7" w:rsidRPr="00E1046C" w:rsidRDefault="00B001A7" w:rsidP="00497473">
            <w:pPr>
              <w:jc w:val="right"/>
              <w:rPr>
                <w:rFonts w:cs="Arial"/>
                <w:color w:val="000000" w:themeColor="text1"/>
                <w:szCs w:val="22"/>
              </w:rPr>
            </w:pPr>
            <w:r w:rsidRPr="00E1046C">
              <w:rPr>
                <w:rFonts w:cs="Arial"/>
                <w:color w:val="000000" w:themeColor="text1"/>
                <w:szCs w:val="22"/>
              </w:rPr>
              <w:t>£33,475</w:t>
            </w:r>
          </w:p>
        </w:tc>
      </w:tr>
      <w:tr w:rsidR="00B001A7" w:rsidRPr="00E1046C" w14:paraId="0CEAFB56" w14:textId="77777777" w:rsidTr="00497473">
        <w:trPr>
          <w:trHeight w:val="142"/>
        </w:trPr>
        <w:tc>
          <w:tcPr>
            <w:tcW w:w="2057" w:type="dxa"/>
            <w:vMerge/>
            <w:vAlign w:val="center"/>
          </w:tcPr>
          <w:p w14:paraId="7ECF5B29" w14:textId="77777777" w:rsidR="00B001A7" w:rsidRPr="00E1046C" w:rsidRDefault="00B001A7" w:rsidP="00497473">
            <w:pPr>
              <w:rPr>
                <w:rFonts w:cs="Arial"/>
                <w:color w:val="000000" w:themeColor="text1"/>
                <w:szCs w:val="22"/>
              </w:rPr>
            </w:pPr>
          </w:p>
        </w:tc>
        <w:tc>
          <w:tcPr>
            <w:tcW w:w="2007" w:type="dxa"/>
            <w:vAlign w:val="center"/>
          </w:tcPr>
          <w:p w14:paraId="73E91DB1" w14:textId="77777777" w:rsidR="00B001A7" w:rsidRPr="00E1046C" w:rsidRDefault="00B001A7" w:rsidP="00497473">
            <w:pPr>
              <w:rPr>
                <w:rFonts w:cs="Arial"/>
                <w:color w:val="000000" w:themeColor="text1"/>
                <w:szCs w:val="22"/>
              </w:rPr>
            </w:pPr>
            <w:r w:rsidRPr="00E1046C">
              <w:rPr>
                <w:rFonts w:cs="Arial"/>
                <w:color w:val="000000" w:themeColor="text1"/>
                <w:szCs w:val="22"/>
              </w:rPr>
              <w:t>Anastrozole</w:t>
            </w:r>
          </w:p>
        </w:tc>
        <w:tc>
          <w:tcPr>
            <w:tcW w:w="2772" w:type="dxa"/>
            <w:vAlign w:val="center"/>
          </w:tcPr>
          <w:p w14:paraId="5124FB6C" w14:textId="77777777" w:rsidR="00B001A7" w:rsidRPr="00E1046C" w:rsidRDefault="00B001A7" w:rsidP="00497473">
            <w:pPr>
              <w:rPr>
                <w:rFonts w:cs="Arial"/>
                <w:color w:val="000000" w:themeColor="text1"/>
                <w:szCs w:val="22"/>
              </w:rPr>
            </w:pPr>
            <w:r w:rsidRPr="00E1046C">
              <w:rPr>
                <w:rFonts w:cs="Arial"/>
                <w:color w:val="000000" w:themeColor="text1"/>
                <w:szCs w:val="22"/>
              </w:rPr>
              <w:t>£34,099</w:t>
            </w:r>
          </w:p>
        </w:tc>
        <w:tc>
          <w:tcPr>
            <w:tcW w:w="2323" w:type="dxa"/>
            <w:vAlign w:val="bottom"/>
          </w:tcPr>
          <w:p w14:paraId="12CE3C46" w14:textId="77777777" w:rsidR="00B001A7" w:rsidRPr="00E1046C" w:rsidRDefault="00B001A7" w:rsidP="00497473">
            <w:pPr>
              <w:jc w:val="right"/>
              <w:rPr>
                <w:rFonts w:cs="Arial"/>
                <w:color w:val="000000" w:themeColor="text1"/>
                <w:szCs w:val="22"/>
              </w:rPr>
            </w:pPr>
            <w:r w:rsidRPr="00E1046C">
              <w:rPr>
                <w:rFonts w:cs="Arial"/>
                <w:color w:val="000000" w:themeColor="text1"/>
                <w:szCs w:val="22"/>
              </w:rPr>
              <w:t>£40,761</w:t>
            </w:r>
          </w:p>
        </w:tc>
      </w:tr>
      <w:tr w:rsidR="00B001A7" w:rsidRPr="00E1046C" w14:paraId="41EEFAC0" w14:textId="77777777" w:rsidTr="00497473">
        <w:trPr>
          <w:trHeight w:val="142"/>
        </w:trPr>
        <w:tc>
          <w:tcPr>
            <w:tcW w:w="2057" w:type="dxa"/>
            <w:vMerge/>
            <w:vAlign w:val="center"/>
          </w:tcPr>
          <w:p w14:paraId="2DB8C4AC" w14:textId="77777777" w:rsidR="00B001A7" w:rsidRPr="00E1046C" w:rsidRDefault="00B001A7" w:rsidP="00497473">
            <w:pPr>
              <w:rPr>
                <w:rFonts w:cs="Arial"/>
                <w:color w:val="000000" w:themeColor="text1"/>
                <w:szCs w:val="22"/>
              </w:rPr>
            </w:pPr>
          </w:p>
        </w:tc>
        <w:tc>
          <w:tcPr>
            <w:tcW w:w="2007" w:type="dxa"/>
            <w:vAlign w:val="center"/>
          </w:tcPr>
          <w:p w14:paraId="245DB754" w14:textId="77777777" w:rsidR="00B001A7" w:rsidRPr="00E1046C" w:rsidRDefault="00B001A7" w:rsidP="00497473">
            <w:pPr>
              <w:rPr>
                <w:rFonts w:cs="Arial"/>
                <w:color w:val="000000" w:themeColor="text1"/>
                <w:szCs w:val="22"/>
              </w:rPr>
            </w:pPr>
            <w:r w:rsidRPr="00E1046C">
              <w:rPr>
                <w:rFonts w:cs="Arial"/>
                <w:color w:val="000000" w:themeColor="text1"/>
                <w:szCs w:val="22"/>
              </w:rPr>
              <w:t>Tamoxifen</w:t>
            </w:r>
          </w:p>
        </w:tc>
        <w:tc>
          <w:tcPr>
            <w:tcW w:w="2772" w:type="dxa"/>
            <w:vAlign w:val="center"/>
          </w:tcPr>
          <w:p w14:paraId="3A4ED7E0" w14:textId="77777777" w:rsidR="00B001A7" w:rsidRPr="00E1046C" w:rsidRDefault="00B001A7" w:rsidP="00497473">
            <w:pPr>
              <w:rPr>
                <w:rFonts w:cs="Arial"/>
                <w:color w:val="000000" w:themeColor="text1"/>
                <w:szCs w:val="22"/>
              </w:rPr>
            </w:pPr>
            <w:r w:rsidRPr="00E1046C">
              <w:rPr>
                <w:rFonts w:cs="Arial"/>
                <w:color w:val="000000" w:themeColor="text1"/>
                <w:szCs w:val="22"/>
              </w:rPr>
              <w:t>£22,498</w:t>
            </w:r>
          </w:p>
        </w:tc>
        <w:tc>
          <w:tcPr>
            <w:tcW w:w="2323" w:type="dxa"/>
            <w:vAlign w:val="bottom"/>
          </w:tcPr>
          <w:p w14:paraId="7DBC755A" w14:textId="77777777" w:rsidR="00B001A7" w:rsidRPr="00E1046C" w:rsidRDefault="00B001A7" w:rsidP="00497473">
            <w:pPr>
              <w:jc w:val="right"/>
              <w:rPr>
                <w:rFonts w:cs="Arial"/>
                <w:color w:val="000000" w:themeColor="text1"/>
                <w:szCs w:val="22"/>
              </w:rPr>
            </w:pPr>
            <w:r w:rsidRPr="00E1046C">
              <w:rPr>
                <w:rFonts w:cs="Arial"/>
                <w:color w:val="000000" w:themeColor="text1"/>
                <w:szCs w:val="22"/>
              </w:rPr>
              <w:t>£24,432</w:t>
            </w:r>
          </w:p>
        </w:tc>
      </w:tr>
      <w:tr w:rsidR="00B001A7" w:rsidRPr="00E1046C" w14:paraId="60FC34EC" w14:textId="77777777" w:rsidTr="00497473">
        <w:trPr>
          <w:trHeight w:val="142"/>
        </w:trPr>
        <w:tc>
          <w:tcPr>
            <w:tcW w:w="9159" w:type="dxa"/>
            <w:gridSpan w:val="4"/>
            <w:vAlign w:val="center"/>
          </w:tcPr>
          <w:p w14:paraId="081677BD" w14:textId="77777777" w:rsidR="00B001A7" w:rsidRPr="00E1046C" w:rsidRDefault="00B001A7" w:rsidP="00497473">
            <w:pPr>
              <w:rPr>
                <w:rFonts w:cs="Arial"/>
                <w:color w:val="000000" w:themeColor="text1"/>
                <w:szCs w:val="22"/>
              </w:rPr>
            </w:pPr>
            <w:r w:rsidRPr="00E1046C">
              <w:rPr>
                <w:rFonts w:cs="Arial"/>
                <w:b/>
                <w:i/>
                <w:iCs/>
                <w:color w:val="000000" w:themeColor="text1"/>
                <w:szCs w:val="22"/>
              </w:rPr>
              <w:t xml:space="preserve">Scenario 2: Fulvestrant Incremental scale parameter value </w:t>
            </w:r>
            <w:r>
              <w:rPr>
                <w:rFonts w:cs="Arial"/>
                <w:b/>
                <w:i/>
                <w:iCs/>
                <w:color w:val="000000" w:themeColor="text1"/>
                <w:szCs w:val="22"/>
              </w:rPr>
              <w:t>B</w:t>
            </w:r>
            <w:r w:rsidRPr="00E1046C">
              <w:rPr>
                <w:rFonts w:cs="Arial"/>
                <w:b/>
                <w:i/>
                <w:iCs/>
                <w:color w:val="000000" w:themeColor="text1"/>
                <w:szCs w:val="22"/>
                <w:vertAlign w:val="superscript"/>
              </w:rPr>
              <w:t>a</w:t>
            </w:r>
          </w:p>
        </w:tc>
      </w:tr>
      <w:tr w:rsidR="00B001A7" w:rsidRPr="00E1046C" w14:paraId="76675CA7" w14:textId="77777777" w:rsidTr="00497473">
        <w:trPr>
          <w:trHeight w:val="142"/>
        </w:trPr>
        <w:tc>
          <w:tcPr>
            <w:tcW w:w="2057" w:type="dxa"/>
            <w:vMerge w:val="restart"/>
            <w:vAlign w:val="center"/>
          </w:tcPr>
          <w:p w14:paraId="46872277" w14:textId="77777777" w:rsidR="00B001A7" w:rsidRPr="00E1046C" w:rsidRDefault="00B001A7" w:rsidP="00497473">
            <w:pPr>
              <w:rPr>
                <w:rFonts w:cs="Arial"/>
                <w:color w:val="000000" w:themeColor="text1"/>
                <w:szCs w:val="22"/>
              </w:rPr>
            </w:pPr>
            <w:r w:rsidRPr="00E1046C">
              <w:rPr>
                <w:rFonts w:cs="Arial"/>
                <w:color w:val="000000" w:themeColor="text1"/>
                <w:szCs w:val="22"/>
              </w:rPr>
              <w:t xml:space="preserve">Fulvestrant vs </w:t>
            </w:r>
          </w:p>
        </w:tc>
        <w:tc>
          <w:tcPr>
            <w:tcW w:w="2007" w:type="dxa"/>
            <w:vAlign w:val="center"/>
          </w:tcPr>
          <w:p w14:paraId="49421C2D" w14:textId="77777777" w:rsidR="00B001A7" w:rsidRPr="00E1046C" w:rsidRDefault="00B001A7" w:rsidP="00497473">
            <w:pPr>
              <w:rPr>
                <w:rFonts w:cs="Arial"/>
                <w:color w:val="000000" w:themeColor="text1"/>
                <w:szCs w:val="22"/>
              </w:rPr>
            </w:pPr>
            <w:r w:rsidRPr="00E1046C">
              <w:rPr>
                <w:rFonts w:cs="Arial"/>
                <w:color w:val="000000" w:themeColor="text1"/>
                <w:szCs w:val="22"/>
              </w:rPr>
              <w:t>Letrozole</w:t>
            </w:r>
          </w:p>
        </w:tc>
        <w:tc>
          <w:tcPr>
            <w:tcW w:w="2772" w:type="dxa"/>
            <w:vAlign w:val="center"/>
          </w:tcPr>
          <w:p w14:paraId="083FC83D" w14:textId="77777777" w:rsidR="00B001A7" w:rsidRPr="00E1046C" w:rsidRDefault="00B001A7" w:rsidP="00497473">
            <w:pPr>
              <w:rPr>
                <w:rFonts w:cs="Arial"/>
                <w:color w:val="000000" w:themeColor="text1"/>
                <w:szCs w:val="22"/>
              </w:rPr>
            </w:pPr>
            <w:r w:rsidRPr="00E1046C">
              <w:rPr>
                <w:rFonts w:cs="Arial"/>
                <w:color w:val="000000" w:themeColor="text1"/>
                <w:szCs w:val="22"/>
              </w:rPr>
              <w:t>£29,991</w:t>
            </w:r>
          </w:p>
        </w:tc>
        <w:tc>
          <w:tcPr>
            <w:tcW w:w="2323" w:type="dxa"/>
            <w:vAlign w:val="bottom"/>
          </w:tcPr>
          <w:p w14:paraId="11F17021" w14:textId="77777777" w:rsidR="00B001A7" w:rsidRPr="00E1046C" w:rsidRDefault="00B001A7" w:rsidP="00497473">
            <w:pPr>
              <w:jc w:val="right"/>
              <w:rPr>
                <w:rFonts w:cs="Arial"/>
                <w:color w:val="000000" w:themeColor="text1"/>
                <w:szCs w:val="22"/>
              </w:rPr>
            </w:pPr>
            <w:r w:rsidRPr="00E1046C">
              <w:rPr>
                <w:rFonts w:cs="Arial"/>
                <w:color w:val="000000" w:themeColor="text1"/>
                <w:szCs w:val="22"/>
              </w:rPr>
              <w:t>£38,326</w:t>
            </w:r>
          </w:p>
        </w:tc>
      </w:tr>
      <w:tr w:rsidR="00B001A7" w:rsidRPr="00E1046C" w14:paraId="46E3997D" w14:textId="77777777" w:rsidTr="00497473">
        <w:trPr>
          <w:trHeight w:val="142"/>
        </w:trPr>
        <w:tc>
          <w:tcPr>
            <w:tcW w:w="2057" w:type="dxa"/>
            <w:vMerge/>
            <w:vAlign w:val="center"/>
          </w:tcPr>
          <w:p w14:paraId="765A7B7C" w14:textId="77777777" w:rsidR="00B001A7" w:rsidRPr="00E1046C" w:rsidRDefault="00B001A7" w:rsidP="00497473">
            <w:pPr>
              <w:rPr>
                <w:rFonts w:cs="Arial"/>
                <w:color w:val="000000" w:themeColor="text1"/>
                <w:szCs w:val="22"/>
              </w:rPr>
            </w:pPr>
          </w:p>
        </w:tc>
        <w:tc>
          <w:tcPr>
            <w:tcW w:w="2007" w:type="dxa"/>
            <w:vAlign w:val="center"/>
          </w:tcPr>
          <w:p w14:paraId="084037F7" w14:textId="77777777" w:rsidR="00B001A7" w:rsidRPr="00E1046C" w:rsidRDefault="00B001A7" w:rsidP="00497473">
            <w:pPr>
              <w:rPr>
                <w:rFonts w:cs="Arial"/>
                <w:color w:val="000000" w:themeColor="text1"/>
                <w:szCs w:val="22"/>
              </w:rPr>
            </w:pPr>
            <w:r w:rsidRPr="00E1046C">
              <w:rPr>
                <w:rFonts w:cs="Arial"/>
                <w:color w:val="000000" w:themeColor="text1"/>
                <w:szCs w:val="22"/>
              </w:rPr>
              <w:t>Anastrozole</w:t>
            </w:r>
          </w:p>
        </w:tc>
        <w:tc>
          <w:tcPr>
            <w:tcW w:w="2772" w:type="dxa"/>
            <w:vAlign w:val="center"/>
          </w:tcPr>
          <w:p w14:paraId="22AFB235" w14:textId="77777777" w:rsidR="00B001A7" w:rsidRPr="00E1046C" w:rsidRDefault="00B001A7" w:rsidP="00497473">
            <w:pPr>
              <w:rPr>
                <w:rFonts w:cs="Arial"/>
                <w:color w:val="000000" w:themeColor="text1"/>
                <w:szCs w:val="22"/>
              </w:rPr>
            </w:pPr>
            <w:r w:rsidRPr="00E1046C">
              <w:rPr>
                <w:rFonts w:cs="Arial"/>
                <w:color w:val="000000" w:themeColor="text1"/>
                <w:szCs w:val="22"/>
              </w:rPr>
              <w:t>£34,099</w:t>
            </w:r>
          </w:p>
        </w:tc>
        <w:tc>
          <w:tcPr>
            <w:tcW w:w="2323" w:type="dxa"/>
            <w:vAlign w:val="bottom"/>
          </w:tcPr>
          <w:p w14:paraId="49546CED" w14:textId="77777777" w:rsidR="00B001A7" w:rsidRPr="00E1046C" w:rsidRDefault="00B001A7" w:rsidP="00497473">
            <w:pPr>
              <w:jc w:val="right"/>
              <w:rPr>
                <w:rFonts w:cs="Arial"/>
                <w:color w:val="000000" w:themeColor="text1"/>
                <w:szCs w:val="22"/>
              </w:rPr>
            </w:pPr>
            <w:r w:rsidRPr="00E1046C">
              <w:rPr>
                <w:rFonts w:cs="Arial"/>
                <w:color w:val="000000" w:themeColor="text1"/>
                <w:szCs w:val="22"/>
              </w:rPr>
              <w:t>£52,405</w:t>
            </w:r>
          </w:p>
        </w:tc>
      </w:tr>
      <w:tr w:rsidR="00B001A7" w:rsidRPr="00E1046C" w14:paraId="01DDE680" w14:textId="77777777" w:rsidTr="00497473">
        <w:trPr>
          <w:trHeight w:val="142"/>
        </w:trPr>
        <w:tc>
          <w:tcPr>
            <w:tcW w:w="2057" w:type="dxa"/>
            <w:vMerge/>
            <w:vAlign w:val="center"/>
          </w:tcPr>
          <w:p w14:paraId="24841EA3" w14:textId="77777777" w:rsidR="00B001A7" w:rsidRPr="00E1046C" w:rsidRDefault="00B001A7" w:rsidP="00497473">
            <w:pPr>
              <w:rPr>
                <w:rFonts w:cs="Arial"/>
                <w:color w:val="000000" w:themeColor="text1"/>
                <w:szCs w:val="22"/>
              </w:rPr>
            </w:pPr>
          </w:p>
        </w:tc>
        <w:tc>
          <w:tcPr>
            <w:tcW w:w="2007" w:type="dxa"/>
            <w:vAlign w:val="center"/>
          </w:tcPr>
          <w:p w14:paraId="7B981EF7" w14:textId="77777777" w:rsidR="00B001A7" w:rsidRPr="00E1046C" w:rsidRDefault="00B001A7" w:rsidP="00497473">
            <w:pPr>
              <w:rPr>
                <w:rFonts w:cs="Arial"/>
                <w:color w:val="000000" w:themeColor="text1"/>
                <w:szCs w:val="22"/>
              </w:rPr>
            </w:pPr>
            <w:r w:rsidRPr="00E1046C">
              <w:rPr>
                <w:rFonts w:cs="Arial"/>
                <w:color w:val="000000" w:themeColor="text1"/>
                <w:szCs w:val="22"/>
              </w:rPr>
              <w:t>Tamoxifen</w:t>
            </w:r>
          </w:p>
        </w:tc>
        <w:tc>
          <w:tcPr>
            <w:tcW w:w="2772" w:type="dxa"/>
            <w:vAlign w:val="center"/>
          </w:tcPr>
          <w:p w14:paraId="15E8DC13" w14:textId="77777777" w:rsidR="00B001A7" w:rsidRPr="00E1046C" w:rsidRDefault="00B001A7" w:rsidP="00497473">
            <w:pPr>
              <w:rPr>
                <w:rFonts w:cs="Arial"/>
                <w:color w:val="000000" w:themeColor="text1"/>
                <w:szCs w:val="22"/>
              </w:rPr>
            </w:pPr>
            <w:r w:rsidRPr="00E1046C">
              <w:rPr>
                <w:rFonts w:cs="Arial"/>
                <w:color w:val="000000" w:themeColor="text1"/>
                <w:szCs w:val="22"/>
              </w:rPr>
              <w:t>£22,498</w:t>
            </w:r>
          </w:p>
        </w:tc>
        <w:tc>
          <w:tcPr>
            <w:tcW w:w="2323" w:type="dxa"/>
            <w:vAlign w:val="bottom"/>
          </w:tcPr>
          <w:p w14:paraId="214F7F93" w14:textId="77777777" w:rsidR="00B001A7" w:rsidRPr="00E1046C" w:rsidRDefault="00B001A7" w:rsidP="00497473">
            <w:pPr>
              <w:jc w:val="right"/>
              <w:rPr>
                <w:rFonts w:cs="Arial"/>
                <w:color w:val="000000" w:themeColor="text1"/>
                <w:szCs w:val="22"/>
              </w:rPr>
            </w:pPr>
            <w:r w:rsidRPr="00E1046C">
              <w:rPr>
                <w:rFonts w:cs="Arial"/>
                <w:color w:val="000000" w:themeColor="text1"/>
                <w:szCs w:val="22"/>
              </w:rPr>
              <w:t>£27,146</w:t>
            </w:r>
          </w:p>
        </w:tc>
      </w:tr>
      <w:tr w:rsidR="00B001A7" w:rsidRPr="00E1046C" w14:paraId="135770F7" w14:textId="77777777" w:rsidTr="00497473">
        <w:trPr>
          <w:trHeight w:val="142"/>
        </w:trPr>
        <w:tc>
          <w:tcPr>
            <w:tcW w:w="9159" w:type="dxa"/>
            <w:gridSpan w:val="4"/>
            <w:vAlign w:val="center"/>
          </w:tcPr>
          <w:p w14:paraId="38E0638A" w14:textId="77777777" w:rsidR="00B001A7" w:rsidRPr="00E1046C" w:rsidRDefault="00B001A7" w:rsidP="00497473">
            <w:pPr>
              <w:rPr>
                <w:rFonts w:cs="Arial"/>
                <w:color w:val="000000" w:themeColor="text1"/>
                <w:szCs w:val="22"/>
              </w:rPr>
            </w:pPr>
            <w:r w:rsidRPr="00E1046C">
              <w:rPr>
                <w:rFonts w:cs="Arial"/>
                <w:b/>
                <w:i/>
                <w:iCs/>
                <w:color w:val="000000" w:themeColor="text1"/>
                <w:szCs w:val="22"/>
              </w:rPr>
              <w:t xml:space="preserve">Scenario 2: Fulvestrant Incremental scale parameter value </w:t>
            </w:r>
            <w:r>
              <w:rPr>
                <w:rFonts w:cs="Arial"/>
                <w:b/>
                <w:i/>
                <w:iCs/>
                <w:color w:val="000000" w:themeColor="text1"/>
                <w:szCs w:val="22"/>
              </w:rPr>
              <w:t>C</w:t>
            </w:r>
            <w:r w:rsidRPr="00E1046C">
              <w:rPr>
                <w:rFonts w:cs="Arial"/>
                <w:b/>
                <w:i/>
                <w:iCs/>
                <w:color w:val="000000" w:themeColor="text1"/>
                <w:szCs w:val="22"/>
                <w:vertAlign w:val="superscript"/>
              </w:rPr>
              <w:t>a</w:t>
            </w:r>
          </w:p>
        </w:tc>
      </w:tr>
      <w:tr w:rsidR="00B001A7" w:rsidRPr="00E1046C" w14:paraId="1D08C44E" w14:textId="77777777" w:rsidTr="00497473">
        <w:trPr>
          <w:trHeight w:val="142"/>
        </w:trPr>
        <w:tc>
          <w:tcPr>
            <w:tcW w:w="2057" w:type="dxa"/>
            <w:vMerge w:val="restart"/>
            <w:vAlign w:val="center"/>
          </w:tcPr>
          <w:p w14:paraId="1C957751" w14:textId="77777777" w:rsidR="00B001A7" w:rsidRPr="00E1046C" w:rsidRDefault="00B001A7" w:rsidP="00497473">
            <w:pPr>
              <w:rPr>
                <w:rFonts w:cs="Arial"/>
                <w:color w:val="000000" w:themeColor="text1"/>
                <w:szCs w:val="22"/>
              </w:rPr>
            </w:pPr>
            <w:r w:rsidRPr="00E1046C">
              <w:rPr>
                <w:rFonts w:cs="Arial"/>
                <w:color w:val="000000" w:themeColor="text1"/>
                <w:szCs w:val="22"/>
              </w:rPr>
              <w:t xml:space="preserve">Fulvestrant vs </w:t>
            </w:r>
          </w:p>
        </w:tc>
        <w:tc>
          <w:tcPr>
            <w:tcW w:w="2007" w:type="dxa"/>
            <w:vAlign w:val="center"/>
          </w:tcPr>
          <w:p w14:paraId="2D0F321F" w14:textId="77777777" w:rsidR="00B001A7" w:rsidRPr="00E1046C" w:rsidRDefault="00B001A7" w:rsidP="00497473">
            <w:pPr>
              <w:rPr>
                <w:rFonts w:cs="Arial"/>
                <w:color w:val="000000" w:themeColor="text1"/>
                <w:szCs w:val="22"/>
              </w:rPr>
            </w:pPr>
            <w:r w:rsidRPr="00E1046C">
              <w:rPr>
                <w:rFonts w:cs="Arial"/>
                <w:color w:val="000000" w:themeColor="text1"/>
                <w:szCs w:val="22"/>
              </w:rPr>
              <w:t>Letrozole</w:t>
            </w:r>
          </w:p>
        </w:tc>
        <w:tc>
          <w:tcPr>
            <w:tcW w:w="2772" w:type="dxa"/>
            <w:vAlign w:val="center"/>
          </w:tcPr>
          <w:p w14:paraId="3B02A4FB" w14:textId="77777777" w:rsidR="00B001A7" w:rsidRPr="00E1046C" w:rsidRDefault="00B001A7" w:rsidP="00497473">
            <w:pPr>
              <w:rPr>
                <w:rFonts w:cs="Arial"/>
                <w:color w:val="000000" w:themeColor="text1"/>
                <w:szCs w:val="22"/>
              </w:rPr>
            </w:pPr>
            <w:r w:rsidRPr="00E1046C">
              <w:rPr>
                <w:rFonts w:cs="Arial"/>
                <w:color w:val="000000" w:themeColor="text1"/>
                <w:szCs w:val="22"/>
              </w:rPr>
              <w:t>£29,991</w:t>
            </w:r>
          </w:p>
        </w:tc>
        <w:tc>
          <w:tcPr>
            <w:tcW w:w="2323" w:type="dxa"/>
            <w:vAlign w:val="bottom"/>
          </w:tcPr>
          <w:p w14:paraId="6F80033A" w14:textId="77777777" w:rsidR="00B001A7" w:rsidRPr="00E1046C" w:rsidRDefault="00B001A7" w:rsidP="00497473">
            <w:pPr>
              <w:jc w:val="right"/>
              <w:rPr>
                <w:rFonts w:cs="Arial"/>
                <w:color w:val="000000" w:themeColor="text1"/>
                <w:szCs w:val="22"/>
              </w:rPr>
            </w:pPr>
            <w:r w:rsidRPr="00E1046C">
              <w:rPr>
                <w:rFonts w:cs="Arial"/>
                <w:color w:val="000000" w:themeColor="text1"/>
                <w:szCs w:val="22"/>
              </w:rPr>
              <w:t>£45,842</w:t>
            </w:r>
          </w:p>
        </w:tc>
      </w:tr>
      <w:tr w:rsidR="00B001A7" w:rsidRPr="00E1046C" w14:paraId="03C76E4B" w14:textId="77777777" w:rsidTr="00497473">
        <w:trPr>
          <w:trHeight w:val="142"/>
        </w:trPr>
        <w:tc>
          <w:tcPr>
            <w:tcW w:w="2057" w:type="dxa"/>
            <w:vMerge/>
            <w:vAlign w:val="center"/>
          </w:tcPr>
          <w:p w14:paraId="745F9E1A" w14:textId="77777777" w:rsidR="00B001A7" w:rsidRPr="00E1046C" w:rsidRDefault="00B001A7" w:rsidP="00497473">
            <w:pPr>
              <w:rPr>
                <w:rFonts w:cs="Arial"/>
                <w:color w:val="000000" w:themeColor="text1"/>
                <w:szCs w:val="22"/>
              </w:rPr>
            </w:pPr>
          </w:p>
        </w:tc>
        <w:tc>
          <w:tcPr>
            <w:tcW w:w="2007" w:type="dxa"/>
            <w:vAlign w:val="center"/>
          </w:tcPr>
          <w:p w14:paraId="13414D60" w14:textId="77777777" w:rsidR="00B001A7" w:rsidRPr="00E1046C" w:rsidRDefault="00B001A7" w:rsidP="00497473">
            <w:pPr>
              <w:rPr>
                <w:rFonts w:cs="Arial"/>
                <w:color w:val="000000" w:themeColor="text1"/>
                <w:szCs w:val="22"/>
              </w:rPr>
            </w:pPr>
            <w:r w:rsidRPr="00E1046C">
              <w:rPr>
                <w:rFonts w:cs="Arial"/>
                <w:color w:val="000000" w:themeColor="text1"/>
                <w:szCs w:val="22"/>
              </w:rPr>
              <w:t>Anastrozole</w:t>
            </w:r>
          </w:p>
        </w:tc>
        <w:tc>
          <w:tcPr>
            <w:tcW w:w="2772" w:type="dxa"/>
            <w:vAlign w:val="center"/>
          </w:tcPr>
          <w:p w14:paraId="4B420E27" w14:textId="77777777" w:rsidR="00B001A7" w:rsidRPr="00E1046C" w:rsidRDefault="00B001A7" w:rsidP="00497473">
            <w:pPr>
              <w:rPr>
                <w:rFonts w:cs="Arial"/>
                <w:color w:val="000000" w:themeColor="text1"/>
                <w:szCs w:val="22"/>
              </w:rPr>
            </w:pPr>
            <w:r w:rsidRPr="00E1046C">
              <w:rPr>
                <w:rFonts w:cs="Arial"/>
                <w:color w:val="000000" w:themeColor="text1"/>
                <w:szCs w:val="22"/>
              </w:rPr>
              <w:t>£34,099</w:t>
            </w:r>
          </w:p>
        </w:tc>
        <w:tc>
          <w:tcPr>
            <w:tcW w:w="2323" w:type="dxa"/>
            <w:vAlign w:val="bottom"/>
          </w:tcPr>
          <w:p w14:paraId="4025C370" w14:textId="77777777" w:rsidR="00B001A7" w:rsidRPr="00E1046C" w:rsidRDefault="00B001A7" w:rsidP="00497473">
            <w:pPr>
              <w:jc w:val="right"/>
              <w:rPr>
                <w:rFonts w:cs="Arial"/>
                <w:color w:val="000000" w:themeColor="text1"/>
                <w:szCs w:val="22"/>
              </w:rPr>
            </w:pPr>
            <w:r w:rsidRPr="00E1046C">
              <w:rPr>
                <w:rFonts w:cs="Arial"/>
                <w:color w:val="000000" w:themeColor="text1"/>
                <w:szCs w:val="22"/>
              </w:rPr>
              <w:t>£79,337</w:t>
            </w:r>
          </w:p>
        </w:tc>
      </w:tr>
      <w:tr w:rsidR="00B001A7" w:rsidRPr="00E1046C" w14:paraId="4F1D6705" w14:textId="77777777" w:rsidTr="00497473">
        <w:trPr>
          <w:trHeight w:val="142"/>
        </w:trPr>
        <w:tc>
          <w:tcPr>
            <w:tcW w:w="2057" w:type="dxa"/>
            <w:vMerge/>
            <w:vAlign w:val="center"/>
          </w:tcPr>
          <w:p w14:paraId="14DED51E" w14:textId="77777777" w:rsidR="00B001A7" w:rsidRPr="00E1046C" w:rsidRDefault="00B001A7" w:rsidP="00497473">
            <w:pPr>
              <w:rPr>
                <w:rFonts w:cs="Arial"/>
                <w:color w:val="000000" w:themeColor="text1"/>
                <w:szCs w:val="22"/>
              </w:rPr>
            </w:pPr>
          </w:p>
        </w:tc>
        <w:tc>
          <w:tcPr>
            <w:tcW w:w="2007" w:type="dxa"/>
            <w:vAlign w:val="center"/>
          </w:tcPr>
          <w:p w14:paraId="43A29745" w14:textId="77777777" w:rsidR="00B001A7" w:rsidRPr="00E1046C" w:rsidRDefault="00B001A7" w:rsidP="00497473">
            <w:pPr>
              <w:rPr>
                <w:rFonts w:cs="Arial"/>
                <w:color w:val="000000" w:themeColor="text1"/>
                <w:szCs w:val="22"/>
              </w:rPr>
            </w:pPr>
            <w:r w:rsidRPr="00E1046C">
              <w:rPr>
                <w:rFonts w:cs="Arial"/>
                <w:color w:val="000000" w:themeColor="text1"/>
                <w:szCs w:val="22"/>
              </w:rPr>
              <w:t>Tamoxifen</w:t>
            </w:r>
          </w:p>
        </w:tc>
        <w:tc>
          <w:tcPr>
            <w:tcW w:w="2772" w:type="dxa"/>
            <w:vAlign w:val="center"/>
          </w:tcPr>
          <w:p w14:paraId="4F9214D2" w14:textId="77777777" w:rsidR="00B001A7" w:rsidRPr="00E1046C" w:rsidRDefault="00B001A7" w:rsidP="00497473">
            <w:pPr>
              <w:rPr>
                <w:rFonts w:cs="Arial"/>
                <w:color w:val="000000" w:themeColor="text1"/>
                <w:szCs w:val="22"/>
              </w:rPr>
            </w:pPr>
            <w:r w:rsidRPr="00E1046C">
              <w:rPr>
                <w:rFonts w:cs="Arial"/>
                <w:color w:val="000000" w:themeColor="text1"/>
                <w:szCs w:val="22"/>
              </w:rPr>
              <w:t>£22,498</w:t>
            </w:r>
          </w:p>
        </w:tc>
        <w:tc>
          <w:tcPr>
            <w:tcW w:w="2323" w:type="dxa"/>
            <w:vAlign w:val="bottom"/>
          </w:tcPr>
          <w:p w14:paraId="3235A591" w14:textId="77777777" w:rsidR="00B001A7" w:rsidRPr="00E1046C" w:rsidRDefault="00B001A7" w:rsidP="00497473">
            <w:pPr>
              <w:jc w:val="right"/>
              <w:rPr>
                <w:rFonts w:cs="Arial"/>
                <w:color w:val="000000" w:themeColor="text1"/>
                <w:szCs w:val="22"/>
              </w:rPr>
            </w:pPr>
            <w:r w:rsidRPr="00E1046C">
              <w:rPr>
                <w:rFonts w:cs="Arial"/>
                <w:color w:val="000000" w:themeColor="text1"/>
                <w:szCs w:val="22"/>
              </w:rPr>
              <w:t>£31,404</w:t>
            </w:r>
          </w:p>
        </w:tc>
      </w:tr>
      <w:tr w:rsidR="00B001A7" w:rsidRPr="00E1046C" w14:paraId="1F1E7C04" w14:textId="77777777" w:rsidTr="00497473">
        <w:trPr>
          <w:trHeight w:val="142"/>
        </w:trPr>
        <w:tc>
          <w:tcPr>
            <w:tcW w:w="9159" w:type="dxa"/>
            <w:gridSpan w:val="4"/>
            <w:vAlign w:val="center"/>
          </w:tcPr>
          <w:p w14:paraId="3605FF43" w14:textId="77777777" w:rsidR="00B001A7" w:rsidRPr="00E1046C" w:rsidRDefault="00B001A7" w:rsidP="00497473">
            <w:pPr>
              <w:rPr>
                <w:rFonts w:cs="Arial"/>
                <w:color w:val="000000" w:themeColor="text1"/>
                <w:szCs w:val="22"/>
              </w:rPr>
            </w:pPr>
            <w:r w:rsidRPr="00E1046C">
              <w:rPr>
                <w:rFonts w:cs="Arial"/>
                <w:b/>
                <w:i/>
                <w:iCs/>
                <w:color w:val="000000" w:themeColor="text1"/>
                <w:szCs w:val="22"/>
              </w:rPr>
              <w:t xml:space="preserve">Scenario 2: Fulvestrant Incremental scale parameter value </w:t>
            </w:r>
            <w:r>
              <w:rPr>
                <w:rFonts w:cs="Arial"/>
                <w:b/>
                <w:i/>
                <w:iCs/>
                <w:color w:val="000000" w:themeColor="text1"/>
                <w:szCs w:val="22"/>
              </w:rPr>
              <w:t>D</w:t>
            </w:r>
            <w:r w:rsidRPr="00E1046C">
              <w:rPr>
                <w:rFonts w:cs="Arial"/>
                <w:b/>
                <w:i/>
                <w:iCs/>
                <w:color w:val="000000" w:themeColor="text1"/>
                <w:szCs w:val="22"/>
                <w:vertAlign w:val="superscript"/>
              </w:rPr>
              <w:t>a</w:t>
            </w:r>
          </w:p>
        </w:tc>
      </w:tr>
      <w:tr w:rsidR="00B001A7" w:rsidRPr="00E1046C" w14:paraId="03A3F1AF" w14:textId="77777777" w:rsidTr="00497473">
        <w:trPr>
          <w:trHeight w:val="142"/>
        </w:trPr>
        <w:tc>
          <w:tcPr>
            <w:tcW w:w="2057" w:type="dxa"/>
            <w:vMerge w:val="restart"/>
            <w:vAlign w:val="center"/>
          </w:tcPr>
          <w:p w14:paraId="6F8874A6" w14:textId="77777777" w:rsidR="00B001A7" w:rsidRPr="00E1046C" w:rsidRDefault="00B001A7" w:rsidP="00497473">
            <w:pPr>
              <w:rPr>
                <w:rFonts w:cs="Arial"/>
                <w:color w:val="000000" w:themeColor="text1"/>
                <w:szCs w:val="22"/>
              </w:rPr>
            </w:pPr>
            <w:r w:rsidRPr="00E1046C">
              <w:rPr>
                <w:rFonts w:cs="Arial"/>
                <w:color w:val="000000" w:themeColor="text1"/>
                <w:szCs w:val="22"/>
              </w:rPr>
              <w:t>Fulvestrant vs</w:t>
            </w:r>
          </w:p>
        </w:tc>
        <w:tc>
          <w:tcPr>
            <w:tcW w:w="2007" w:type="dxa"/>
            <w:vAlign w:val="center"/>
          </w:tcPr>
          <w:p w14:paraId="60F00448" w14:textId="77777777" w:rsidR="00B001A7" w:rsidRPr="00E1046C" w:rsidRDefault="00B001A7" w:rsidP="00497473">
            <w:pPr>
              <w:rPr>
                <w:rFonts w:cs="Arial"/>
                <w:color w:val="000000" w:themeColor="text1"/>
                <w:szCs w:val="22"/>
              </w:rPr>
            </w:pPr>
            <w:r w:rsidRPr="00E1046C">
              <w:rPr>
                <w:rFonts w:cs="Arial"/>
                <w:color w:val="000000" w:themeColor="text1"/>
                <w:szCs w:val="22"/>
              </w:rPr>
              <w:t>Letrozole</w:t>
            </w:r>
          </w:p>
        </w:tc>
        <w:tc>
          <w:tcPr>
            <w:tcW w:w="2772" w:type="dxa"/>
            <w:vAlign w:val="center"/>
          </w:tcPr>
          <w:p w14:paraId="72E12149" w14:textId="77777777" w:rsidR="00B001A7" w:rsidRPr="00E1046C" w:rsidRDefault="00B001A7" w:rsidP="00497473">
            <w:pPr>
              <w:rPr>
                <w:rFonts w:cs="Arial"/>
                <w:color w:val="000000" w:themeColor="text1"/>
                <w:szCs w:val="22"/>
              </w:rPr>
            </w:pPr>
            <w:r w:rsidRPr="00E1046C">
              <w:rPr>
                <w:rFonts w:cs="Arial"/>
                <w:color w:val="000000" w:themeColor="text1"/>
                <w:szCs w:val="22"/>
              </w:rPr>
              <w:t>£29,991</w:t>
            </w:r>
          </w:p>
        </w:tc>
        <w:tc>
          <w:tcPr>
            <w:tcW w:w="2323" w:type="dxa"/>
            <w:vAlign w:val="bottom"/>
          </w:tcPr>
          <w:p w14:paraId="41C6D346" w14:textId="77777777" w:rsidR="00B001A7" w:rsidRPr="00E1046C" w:rsidRDefault="00B001A7" w:rsidP="00497473">
            <w:pPr>
              <w:jc w:val="right"/>
              <w:rPr>
                <w:rFonts w:cs="Arial"/>
                <w:color w:val="000000" w:themeColor="text1"/>
                <w:szCs w:val="22"/>
              </w:rPr>
            </w:pPr>
            <w:r w:rsidRPr="00E1046C">
              <w:rPr>
                <w:rFonts w:cs="Arial"/>
                <w:color w:val="000000" w:themeColor="text1"/>
                <w:szCs w:val="22"/>
              </w:rPr>
              <w:t>£59,000</w:t>
            </w:r>
          </w:p>
        </w:tc>
      </w:tr>
      <w:tr w:rsidR="00B001A7" w:rsidRPr="00E1046C" w14:paraId="7FB31E99" w14:textId="77777777" w:rsidTr="00497473">
        <w:trPr>
          <w:trHeight w:val="142"/>
        </w:trPr>
        <w:tc>
          <w:tcPr>
            <w:tcW w:w="2057" w:type="dxa"/>
            <w:vMerge/>
            <w:vAlign w:val="center"/>
          </w:tcPr>
          <w:p w14:paraId="437B8477" w14:textId="77777777" w:rsidR="00B001A7" w:rsidRPr="00E1046C" w:rsidRDefault="00B001A7" w:rsidP="00497473">
            <w:pPr>
              <w:rPr>
                <w:rFonts w:cs="Arial"/>
                <w:color w:val="000000" w:themeColor="text1"/>
                <w:szCs w:val="22"/>
              </w:rPr>
            </w:pPr>
          </w:p>
        </w:tc>
        <w:tc>
          <w:tcPr>
            <w:tcW w:w="2007" w:type="dxa"/>
            <w:vAlign w:val="center"/>
          </w:tcPr>
          <w:p w14:paraId="7495A46A" w14:textId="77777777" w:rsidR="00B001A7" w:rsidRPr="00E1046C" w:rsidRDefault="00B001A7" w:rsidP="00497473">
            <w:pPr>
              <w:rPr>
                <w:rFonts w:cs="Arial"/>
                <w:color w:val="000000" w:themeColor="text1"/>
                <w:szCs w:val="22"/>
              </w:rPr>
            </w:pPr>
            <w:r w:rsidRPr="00E1046C">
              <w:rPr>
                <w:rFonts w:cs="Arial"/>
                <w:color w:val="000000" w:themeColor="text1"/>
                <w:szCs w:val="22"/>
              </w:rPr>
              <w:t>Anastrozole</w:t>
            </w:r>
          </w:p>
        </w:tc>
        <w:tc>
          <w:tcPr>
            <w:tcW w:w="2772" w:type="dxa"/>
            <w:vAlign w:val="center"/>
          </w:tcPr>
          <w:p w14:paraId="2BD178E2" w14:textId="77777777" w:rsidR="00B001A7" w:rsidRPr="00E1046C" w:rsidRDefault="00B001A7" w:rsidP="00497473">
            <w:pPr>
              <w:rPr>
                <w:rFonts w:cs="Arial"/>
                <w:color w:val="000000" w:themeColor="text1"/>
                <w:szCs w:val="22"/>
              </w:rPr>
            </w:pPr>
            <w:r w:rsidRPr="00E1046C">
              <w:rPr>
                <w:rFonts w:cs="Arial"/>
                <w:color w:val="000000" w:themeColor="text1"/>
                <w:szCs w:val="22"/>
              </w:rPr>
              <w:t>£34,099</w:t>
            </w:r>
          </w:p>
        </w:tc>
        <w:tc>
          <w:tcPr>
            <w:tcW w:w="2323" w:type="dxa"/>
            <w:vAlign w:val="bottom"/>
          </w:tcPr>
          <w:p w14:paraId="1E17520A" w14:textId="77777777" w:rsidR="00B001A7" w:rsidRPr="00E1046C" w:rsidRDefault="00B001A7" w:rsidP="00497473">
            <w:pPr>
              <w:jc w:val="right"/>
              <w:rPr>
                <w:rFonts w:cs="Arial"/>
                <w:color w:val="000000" w:themeColor="text1"/>
                <w:szCs w:val="22"/>
              </w:rPr>
            </w:pPr>
            <w:r w:rsidRPr="00E1046C">
              <w:rPr>
                <w:rFonts w:cs="Arial"/>
                <w:color w:val="000000" w:themeColor="text1"/>
                <w:szCs w:val="22"/>
              </w:rPr>
              <w:t>£208,231</w:t>
            </w:r>
          </w:p>
        </w:tc>
      </w:tr>
      <w:tr w:rsidR="00B001A7" w:rsidRPr="00E1046C" w14:paraId="1AD3FB50" w14:textId="77777777" w:rsidTr="00497473">
        <w:trPr>
          <w:trHeight w:val="142"/>
        </w:trPr>
        <w:tc>
          <w:tcPr>
            <w:tcW w:w="2057" w:type="dxa"/>
            <w:vMerge/>
            <w:tcBorders>
              <w:bottom w:val="single" w:sz="4" w:space="0" w:color="auto"/>
            </w:tcBorders>
            <w:vAlign w:val="center"/>
          </w:tcPr>
          <w:p w14:paraId="15A9D30A" w14:textId="77777777" w:rsidR="00B001A7" w:rsidRPr="00E1046C" w:rsidRDefault="00B001A7" w:rsidP="00497473">
            <w:pPr>
              <w:rPr>
                <w:rFonts w:cs="Arial"/>
                <w:color w:val="000000" w:themeColor="text1"/>
                <w:szCs w:val="22"/>
              </w:rPr>
            </w:pPr>
          </w:p>
        </w:tc>
        <w:tc>
          <w:tcPr>
            <w:tcW w:w="2007" w:type="dxa"/>
            <w:tcBorders>
              <w:bottom w:val="single" w:sz="4" w:space="0" w:color="auto"/>
            </w:tcBorders>
            <w:vAlign w:val="center"/>
          </w:tcPr>
          <w:p w14:paraId="2F11D910" w14:textId="77777777" w:rsidR="00B001A7" w:rsidRPr="00E1046C" w:rsidRDefault="00B001A7" w:rsidP="00497473">
            <w:pPr>
              <w:rPr>
                <w:rFonts w:cs="Arial"/>
                <w:color w:val="000000" w:themeColor="text1"/>
                <w:szCs w:val="22"/>
              </w:rPr>
            </w:pPr>
            <w:r w:rsidRPr="00E1046C">
              <w:rPr>
                <w:rFonts w:cs="Arial"/>
                <w:color w:val="000000" w:themeColor="text1"/>
                <w:szCs w:val="22"/>
              </w:rPr>
              <w:t>Tamoxifen</w:t>
            </w:r>
          </w:p>
        </w:tc>
        <w:tc>
          <w:tcPr>
            <w:tcW w:w="2772" w:type="dxa"/>
            <w:tcBorders>
              <w:bottom w:val="single" w:sz="4" w:space="0" w:color="auto"/>
            </w:tcBorders>
            <w:vAlign w:val="center"/>
          </w:tcPr>
          <w:p w14:paraId="5AC0F7A7" w14:textId="77777777" w:rsidR="00B001A7" w:rsidRPr="00E1046C" w:rsidRDefault="00B001A7" w:rsidP="00497473">
            <w:pPr>
              <w:rPr>
                <w:rFonts w:cs="Arial"/>
                <w:color w:val="000000" w:themeColor="text1"/>
                <w:szCs w:val="22"/>
              </w:rPr>
            </w:pPr>
            <w:r w:rsidRPr="00E1046C">
              <w:rPr>
                <w:rFonts w:cs="Arial"/>
                <w:color w:val="000000" w:themeColor="text1"/>
                <w:szCs w:val="22"/>
              </w:rPr>
              <w:t>£22,498</w:t>
            </w:r>
          </w:p>
        </w:tc>
        <w:tc>
          <w:tcPr>
            <w:tcW w:w="2323" w:type="dxa"/>
            <w:tcBorders>
              <w:bottom w:val="single" w:sz="4" w:space="0" w:color="auto"/>
            </w:tcBorders>
            <w:vAlign w:val="bottom"/>
          </w:tcPr>
          <w:p w14:paraId="37E9AE64" w14:textId="77777777" w:rsidR="00B001A7" w:rsidRPr="00E1046C" w:rsidRDefault="00B001A7" w:rsidP="00497473">
            <w:pPr>
              <w:jc w:val="right"/>
              <w:rPr>
                <w:rFonts w:cs="Arial"/>
                <w:color w:val="000000" w:themeColor="text1"/>
                <w:szCs w:val="22"/>
              </w:rPr>
            </w:pPr>
            <w:r w:rsidRPr="00E1046C">
              <w:rPr>
                <w:rFonts w:cs="Arial"/>
                <w:color w:val="000000" w:themeColor="text1"/>
                <w:szCs w:val="22"/>
              </w:rPr>
              <w:t>£39,027</w:t>
            </w:r>
          </w:p>
        </w:tc>
      </w:tr>
    </w:tbl>
    <w:p w14:paraId="515CDC64" w14:textId="0303F390" w:rsidR="00B001A7" w:rsidRPr="00E1046C" w:rsidRDefault="00B001A7" w:rsidP="00B001A7">
      <w:pPr>
        <w:rPr>
          <w:rFonts w:cs="Arial"/>
          <w:color w:val="000000" w:themeColor="text1"/>
          <w:szCs w:val="22"/>
        </w:rPr>
      </w:pPr>
      <w:r w:rsidRPr="00E1046C">
        <w:rPr>
          <w:rFonts w:cs="Arial"/>
          <w:b/>
          <w:i/>
          <w:iCs/>
          <w:color w:val="000000" w:themeColor="text1"/>
          <w:szCs w:val="22"/>
          <w:vertAlign w:val="superscript"/>
        </w:rPr>
        <w:lastRenderedPageBreak/>
        <w:t>a</w:t>
      </w:r>
      <w:r>
        <w:rPr>
          <w:rFonts w:cs="Arial"/>
          <w:iCs/>
          <w:color w:val="000000" w:themeColor="text1"/>
          <w:szCs w:val="22"/>
        </w:rPr>
        <w:t xml:space="preserve"> Values A, B, C and D differed </w:t>
      </w:r>
      <w:r w:rsidR="001E73EB">
        <w:rPr>
          <w:rFonts w:cs="Arial"/>
          <w:iCs/>
          <w:color w:val="000000" w:themeColor="text1"/>
          <w:szCs w:val="22"/>
        </w:rPr>
        <w:t>by small increments</w:t>
      </w:r>
      <w:r>
        <w:rPr>
          <w:rFonts w:cs="Arial"/>
          <w:iCs/>
          <w:color w:val="000000" w:themeColor="text1"/>
          <w:szCs w:val="22"/>
        </w:rPr>
        <w:t>.  The actual values used remain confidential.</w:t>
      </w:r>
    </w:p>
    <w:p w14:paraId="232D0FAA" w14:textId="2CACD2E3" w:rsidR="00B001A7" w:rsidRDefault="00B001A7" w:rsidP="0049675D">
      <w:pPr>
        <w:outlineLvl w:val="0"/>
        <w:rPr>
          <w:rFonts w:ascii="Times New Roman" w:hAnsi="Times New Roman"/>
          <w:sz w:val="28"/>
          <w:szCs w:val="28"/>
        </w:rPr>
      </w:pPr>
    </w:p>
    <w:p w14:paraId="07CEAE23" w14:textId="2CE5AEB5" w:rsidR="00086371" w:rsidRPr="00F863C3" w:rsidRDefault="00086371" w:rsidP="00086371">
      <w:pPr>
        <w:pStyle w:val="Caption"/>
        <w:keepNext/>
        <w:rPr>
          <w:szCs w:val="22"/>
        </w:rPr>
      </w:pPr>
      <w:r w:rsidRPr="00F863C3">
        <w:rPr>
          <w:szCs w:val="22"/>
        </w:rPr>
        <w:t xml:space="preserve">Table </w:t>
      </w:r>
      <w:r w:rsidR="001F7D04">
        <w:rPr>
          <w:noProof/>
          <w:szCs w:val="22"/>
        </w:rPr>
        <w:t>6</w:t>
      </w:r>
      <w:r w:rsidRPr="00F863C3">
        <w:rPr>
          <w:szCs w:val="22"/>
        </w:rPr>
        <w:t xml:space="preserve">  ERG’s assum</w:t>
      </w:r>
      <w:r>
        <w:rPr>
          <w:szCs w:val="22"/>
        </w:rPr>
        <w:t>ptions</w:t>
      </w:r>
      <w:r w:rsidRPr="00F863C3">
        <w:rPr>
          <w:szCs w:val="22"/>
        </w:rPr>
        <w:t xml:space="preserve"> related to the proportion of patients receiving </w:t>
      </w:r>
      <w:r>
        <w:rPr>
          <w:szCs w:val="22"/>
        </w:rPr>
        <w:t>second-</w:t>
      </w:r>
      <w:r w:rsidRPr="00F863C3">
        <w:rPr>
          <w:szCs w:val="22"/>
        </w:rPr>
        <w:t>line treatments</w:t>
      </w:r>
    </w:p>
    <w:tbl>
      <w:tblPr>
        <w:tblStyle w:val="TableGrid"/>
        <w:tblW w:w="0" w:type="auto"/>
        <w:tblLook w:val="04A0" w:firstRow="1" w:lastRow="0" w:firstColumn="1" w:lastColumn="0" w:noHBand="0" w:noVBand="1"/>
      </w:tblPr>
      <w:tblGrid>
        <w:gridCol w:w="2917"/>
        <w:gridCol w:w="2148"/>
        <w:gridCol w:w="1757"/>
        <w:gridCol w:w="2001"/>
      </w:tblGrid>
      <w:tr w:rsidR="00086371" w:rsidRPr="00F863C3" w14:paraId="2C5E2FEE" w14:textId="77777777" w:rsidTr="00497473">
        <w:trPr>
          <w:trHeight w:val="455"/>
        </w:trPr>
        <w:tc>
          <w:tcPr>
            <w:tcW w:w="0" w:type="auto"/>
          </w:tcPr>
          <w:p w14:paraId="1EFB3814" w14:textId="77777777" w:rsidR="00086371" w:rsidRPr="00F863C3" w:rsidRDefault="00086371" w:rsidP="00497473">
            <w:pPr>
              <w:rPr>
                <w:b/>
                <w:bCs/>
                <w:iCs/>
                <w:szCs w:val="22"/>
              </w:rPr>
            </w:pPr>
            <w:r w:rsidRPr="00F863C3">
              <w:rPr>
                <w:b/>
                <w:bCs/>
                <w:iCs/>
                <w:szCs w:val="22"/>
              </w:rPr>
              <w:t>Proportion of patients (%)</w:t>
            </w:r>
          </w:p>
        </w:tc>
        <w:tc>
          <w:tcPr>
            <w:tcW w:w="0" w:type="auto"/>
          </w:tcPr>
          <w:p w14:paraId="26A3160F" w14:textId="77777777" w:rsidR="00086371" w:rsidRPr="00F863C3" w:rsidRDefault="00086371" w:rsidP="00497473">
            <w:pPr>
              <w:rPr>
                <w:b/>
                <w:bCs/>
                <w:iCs/>
                <w:szCs w:val="22"/>
              </w:rPr>
            </w:pPr>
            <w:r w:rsidRPr="00F863C3">
              <w:rPr>
                <w:b/>
                <w:bCs/>
                <w:iCs/>
                <w:szCs w:val="22"/>
              </w:rPr>
              <w:t xml:space="preserve">Endocrine therapy </w:t>
            </w:r>
          </w:p>
        </w:tc>
        <w:tc>
          <w:tcPr>
            <w:tcW w:w="0" w:type="auto"/>
          </w:tcPr>
          <w:p w14:paraId="5991F92A" w14:textId="77777777" w:rsidR="00086371" w:rsidRPr="00F863C3" w:rsidRDefault="00086371" w:rsidP="00497473">
            <w:pPr>
              <w:rPr>
                <w:b/>
                <w:bCs/>
                <w:iCs/>
                <w:szCs w:val="22"/>
              </w:rPr>
            </w:pPr>
            <w:r w:rsidRPr="00F863C3">
              <w:rPr>
                <w:b/>
                <w:bCs/>
                <w:iCs/>
                <w:szCs w:val="22"/>
              </w:rPr>
              <w:t>Chemotherapy</w:t>
            </w:r>
          </w:p>
        </w:tc>
        <w:tc>
          <w:tcPr>
            <w:tcW w:w="0" w:type="auto"/>
          </w:tcPr>
          <w:p w14:paraId="5010B78B" w14:textId="77777777" w:rsidR="00086371" w:rsidRPr="00F863C3" w:rsidRDefault="00086371" w:rsidP="00497473">
            <w:pPr>
              <w:rPr>
                <w:b/>
                <w:bCs/>
                <w:iCs/>
                <w:szCs w:val="22"/>
              </w:rPr>
            </w:pPr>
            <w:r w:rsidRPr="00F863C3">
              <w:rPr>
                <w:b/>
                <w:bCs/>
                <w:iCs/>
                <w:szCs w:val="22"/>
              </w:rPr>
              <w:t>Targeted therapy</w:t>
            </w:r>
          </w:p>
        </w:tc>
      </w:tr>
      <w:tr w:rsidR="00086371" w:rsidRPr="00F863C3" w14:paraId="687E6163" w14:textId="77777777" w:rsidTr="00497473">
        <w:tc>
          <w:tcPr>
            <w:tcW w:w="0" w:type="auto"/>
          </w:tcPr>
          <w:p w14:paraId="34618E89" w14:textId="77777777" w:rsidR="00086371" w:rsidRPr="00F863C3" w:rsidRDefault="00086371" w:rsidP="00497473">
            <w:pPr>
              <w:rPr>
                <w:b/>
                <w:bCs/>
                <w:iCs/>
                <w:szCs w:val="22"/>
              </w:rPr>
            </w:pPr>
            <w:r w:rsidRPr="00F863C3">
              <w:rPr>
                <w:b/>
                <w:bCs/>
                <w:iCs/>
                <w:szCs w:val="22"/>
              </w:rPr>
              <w:t>Baseline</w:t>
            </w:r>
          </w:p>
        </w:tc>
        <w:tc>
          <w:tcPr>
            <w:tcW w:w="0" w:type="auto"/>
          </w:tcPr>
          <w:p w14:paraId="1DA5E5C7" w14:textId="77777777" w:rsidR="00086371" w:rsidRPr="00F863C3" w:rsidRDefault="00086371" w:rsidP="00497473">
            <w:pPr>
              <w:rPr>
                <w:iCs/>
                <w:szCs w:val="22"/>
              </w:rPr>
            </w:pPr>
            <w:r w:rsidRPr="00F863C3">
              <w:rPr>
                <w:iCs/>
                <w:szCs w:val="22"/>
              </w:rPr>
              <w:t>54.35%</w:t>
            </w:r>
          </w:p>
        </w:tc>
        <w:tc>
          <w:tcPr>
            <w:tcW w:w="0" w:type="auto"/>
          </w:tcPr>
          <w:p w14:paraId="006CCC21" w14:textId="77777777" w:rsidR="00086371" w:rsidRPr="00F863C3" w:rsidRDefault="00086371" w:rsidP="00497473">
            <w:pPr>
              <w:rPr>
                <w:iCs/>
                <w:szCs w:val="22"/>
              </w:rPr>
            </w:pPr>
            <w:r w:rsidRPr="00F863C3">
              <w:rPr>
                <w:iCs/>
                <w:szCs w:val="22"/>
              </w:rPr>
              <w:t>37.57%</w:t>
            </w:r>
          </w:p>
        </w:tc>
        <w:tc>
          <w:tcPr>
            <w:tcW w:w="0" w:type="auto"/>
          </w:tcPr>
          <w:p w14:paraId="68DFB061" w14:textId="77777777" w:rsidR="00086371" w:rsidRPr="00F863C3" w:rsidRDefault="00086371" w:rsidP="00497473">
            <w:pPr>
              <w:rPr>
                <w:iCs/>
                <w:szCs w:val="22"/>
              </w:rPr>
            </w:pPr>
            <w:r w:rsidRPr="00F863C3">
              <w:rPr>
                <w:iCs/>
                <w:szCs w:val="22"/>
              </w:rPr>
              <w:t>8.08%</w:t>
            </w:r>
          </w:p>
        </w:tc>
      </w:tr>
      <w:tr w:rsidR="00086371" w:rsidRPr="00F863C3" w14:paraId="6556311B" w14:textId="77777777" w:rsidTr="00497473">
        <w:tc>
          <w:tcPr>
            <w:tcW w:w="0" w:type="auto"/>
          </w:tcPr>
          <w:p w14:paraId="536B0AB3" w14:textId="77777777" w:rsidR="00086371" w:rsidRPr="00F863C3" w:rsidRDefault="00086371" w:rsidP="00497473">
            <w:pPr>
              <w:rPr>
                <w:b/>
                <w:bCs/>
                <w:iCs/>
                <w:szCs w:val="22"/>
              </w:rPr>
            </w:pPr>
            <w:r w:rsidRPr="00F863C3">
              <w:rPr>
                <w:b/>
                <w:bCs/>
                <w:iCs/>
                <w:szCs w:val="22"/>
              </w:rPr>
              <w:t>Scenario</w:t>
            </w:r>
          </w:p>
        </w:tc>
        <w:tc>
          <w:tcPr>
            <w:tcW w:w="0" w:type="auto"/>
          </w:tcPr>
          <w:p w14:paraId="4C8658E8" w14:textId="77777777" w:rsidR="00086371" w:rsidRPr="00F863C3" w:rsidRDefault="00086371" w:rsidP="00497473">
            <w:pPr>
              <w:rPr>
                <w:iCs/>
                <w:szCs w:val="22"/>
              </w:rPr>
            </w:pPr>
            <w:r>
              <w:rPr>
                <w:iCs/>
                <w:szCs w:val="22"/>
              </w:rPr>
              <w:t>67</w:t>
            </w:r>
            <w:r w:rsidRPr="00F863C3">
              <w:rPr>
                <w:iCs/>
                <w:szCs w:val="22"/>
              </w:rPr>
              <w:t>.00%</w:t>
            </w:r>
          </w:p>
        </w:tc>
        <w:tc>
          <w:tcPr>
            <w:tcW w:w="0" w:type="auto"/>
          </w:tcPr>
          <w:p w14:paraId="590D9AFD" w14:textId="77777777" w:rsidR="00086371" w:rsidRPr="00F863C3" w:rsidRDefault="00086371" w:rsidP="00497473">
            <w:pPr>
              <w:rPr>
                <w:iCs/>
                <w:szCs w:val="22"/>
              </w:rPr>
            </w:pPr>
            <w:r>
              <w:rPr>
                <w:iCs/>
                <w:szCs w:val="22"/>
              </w:rPr>
              <w:t>24</w:t>
            </w:r>
            <w:r w:rsidRPr="00F863C3">
              <w:rPr>
                <w:iCs/>
                <w:szCs w:val="22"/>
              </w:rPr>
              <w:t>.92%</w:t>
            </w:r>
          </w:p>
        </w:tc>
        <w:tc>
          <w:tcPr>
            <w:tcW w:w="0" w:type="auto"/>
          </w:tcPr>
          <w:p w14:paraId="79FFCC86" w14:textId="77777777" w:rsidR="00086371" w:rsidRPr="00F863C3" w:rsidRDefault="00086371" w:rsidP="00497473">
            <w:pPr>
              <w:rPr>
                <w:iCs/>
                <w:szCs w:val="22"/>
              </w:rPr>
            </w:pPr>
            <w:r w:rsidRPr="00F863C3">
              <w:rPr>
                <w:iCs/>
                <w:szCs w:val="22"/>
              </w:rPr>
              <w:t>8.08%</w:t>
            </w:r>
          </w:p>
        </w:tc>
      </w:tr>
    </w:tbl>
    <w:p w14:paraId="36A6BF89" w14:textId="77777777" w:rsidR="00086371" w:rsidRPr="00377664" w:rsidRDefault="00086371" w:rsidP="00086371">
      <w:pPr>
        <w:rPr>
          <w:iCs/>
          <w:szCs w:val="22"/>
        </w:rPr>
      </w:pPr>
    </w:p>
    <w:p w14:paraId="47755863" w14:textId="77777777" w:rsidR="0049675D" w:rsidRDefault="0049675D" w:rsidP="0049675D">
      <w:pPr>
        <w:rPr>
          <w:rFonts w:ascii="Times New Roman" w:hAnsi="Times New Roman"/>
          <w:sz w:val="28"/>
          <w:szCs w:val="28"/>
        </w:rPr>
      </w:pPr>
      <w:r>
        <w:rPr>
          <w:rFonts w:cs="Arial"/>
          <w:noProof/>
          <w:lang w:eastAsia="en-GB"/>
        </w:rPr>
        <mc:AlternateContent>
          <mc:Choice Requires="wpg">
            <w:drawing>
              <wp:anchor distT="0" distB="0" distL="114300" distR="114300" simplePos="0" relativeHeight="251663360" behindDoc="0" locked="0" layoutInCell="1" allowOverlap="1" wp14:anchorId="61F00146" wp14:editId="4F6DC068">
                <wp:simplePos x="0" y="0"/>
                <wp:positionH relativeFrom="column">
                  <wp:posOffset>724205</wp:posOffset>
                </wp:positionH>
                <wp:positionV relativeFrom="paragraph">
                  <wp:posOffset>40691</wp:posOffset>
                </wp:positionV>
                <wp:extent cx="4857292" cy="3006725"/>
                <wp:effectExtent l="0" t="0" r="19685" b="22225"/>
                <wp:wrapNone/>
                <wp:docPr id="1" name="Group 1"/>
                <wp:cNvGraphicFramePr/>
                <a:graphic xmlns:a="http://schemas.openxmlformats.org/drawingml/2006/main">
                  <a:graphicData uri="http://schemas.microsoft.com/office/word/2010/wordprocessingGroup">
                    <wpg:wgp>
                      <wpg:cNvGrpSpPr/>
                      <wpg:grpSpPr>
                        <a:xfrm>
                          <a:off x="0" y="0"/>
                          <a:ext cx="4857292" cy="3006725"/>
                          <a:chOff x="416966" y="0"/>
                          <a:chExt cx="4857292" cy="3006725"/>
                        </a:xfrm>
                      </wpg:grpSpPr>
                      <wpg:grpSp>
                        <wpg:cNvPr id="2" name="Group 2"/>
                        <wpg:cNvGrpSpPr/>
                        <wpg:grpSpPr>
                          <a:xfrm>
                            <a:off x="716280" y="0"/>
                            <a:ext cx="3471545" cy="3006725"/>
                            <a:chOff x="0" y="0"/>
                            <a:chExt cx="3471545" cy="3006725"/>
                          </a:xfrm>
                        </wpg:grpSpPr>
                        <wps:wsp>
                          <wps:cNvPr id="3" name="Flowchart: Process 3"/>
                          <wps:cNvSpPr/>
                          <wps:spPr>
                            <a:xfrm>
                              <a:off x="1228725" y="0"/>
                              <a:ext cx="1181100" cy="539750"/>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7CA163" w14:textId="77777777" w:rsidR="0049675D" w:rsidRPr="00BD724B" w:rsidRDefault="0049675D" w:rsidP="0049675D">
                                <w:pPr>
                                  <w:pStyle w:val="NormalWeb"/>
                                  <w:keepNext/>
                                  <w:spacing w:before="0" w:beforeAutospacing="0" w:after="0" w:afterAutospacing="0"/>
                                  <w:jc w:val="center"/>
                                  <w:rPr>
                                    <w:rFonts w:ascii="Arial" w:hAnsi="Arial" w:cs="Arial"/>
                                    <w:sz w:val="20"/>
                                    <w:szCs w:val="20"/>
                                  </w:rPr>
                                </w:pPr>
                                <w:r w:rsidRPr="00BD724B">
                                  <w:rPr>
                                    <w:rFonts w:ascii="Arial" w:hAnsi="Arial" w:cs="Arial"/>
                                    <w:color w:val="000000" w:themeColor="text1"/>
                                    <w:kern w:val="24"/>
                                    <w:sz w:val="20"/>
                                    <w:szCs w:val="20"/>
                                  </w:rPr>
                                  <w:t>ANASTROZOLE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Flowchart: Process 4"/>
                          <wps:cNvSpPr/>
                          <wps:spPr>
                            <a:xfrm>
                              <a:off x="0" y="1266825"/>
                              <a:ext cx="1169670" cy="539750"/>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E28A71" w14:textId="77777777" w:rsidR="0049675D" w:rsidRPr="00BD724B" w:rsidRDefault="0049675D" w:rsidP="0049675D">
                                <w:pPr>
                                  <w:pStyle w:val="NormalWeb"/>
                                  <w:keepNext/>
                                  <w:spacing w:before="0" w:beforeAutospacing="0" w:after="0" w:afterAutospacing="0"/>
                                  <w:jc w:val="center"/>
                                  <w:rPr>
                                    <w:rFonts w:ascii="Arial" w:hAnsi="Arial" w:cs="Arial"/>
                                    <w:sz w:val="20"/>
                                    <w:szCs w:val="20"/>
                                  </w:rPr>
                                </w:pPr>
                                <w:r w:rsidRPr="00BD724B">
                                  <w:rPr>
                                    <w:rFonts w:ascii="Arial" w:hAnsi="Arial" w:cs="Arial"/>
                                    <w:color w:val="000000" w:themeColor="text1"/>
                                    <w:kern w:val="24"/>
                                    <w:sz w:val="20"/>
                                    <w:szCs w:val="20"/>
                                  </w:rPr>
                                  <w:t>FULVESTRANT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Flowchart: Process 5"/>
                          <wps:cNvSpPr/>
                          <wps:spPr>
                            <a:xfrm>
                              <a:off x="2466975" y="1266825"/>
                              <a:ext cx="1004570" cy="539750"/>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5A2B0C" w14:textId="77777777" w:rsidR="0049675D" w:rsidRPr="00BD724B" w:rsidRDefault="0049675D" w:rsidP="0049675D">
                                <w:pPr>
                                  <w:pStyle w:val="NormalWeb"/>
                                  <w:keepNext/>
                                  <w:spacing w:before="0" w:beforeAutospacing="0" w:after="0" w:afterAutospacing="0"/>
                                  <w:jc w:val="center"/>
                                  <w:rPr>
                                    <w:rFonts w:ascii="Arial" w:hAnsi="Arial" w:cs="Arial"/>
                                    <w:sz w:val="20"/>
                                    <w:szCs w:val="20"/>
                                  </w:rPr>
                                </w:pPr>
                                <w:r w:rsidRPr="00BD724B">
                                  <w:rPr>
                                    <w:rFonts w:ascii="Arial" w:hAnsi="Arial" w:cs="Arial"/>
                                    <w:color w:val="000000" w:themeColor="text1"/>
                                    <w:kern w:val="24"/>
                                    <w:sz w:val="20"/>
                                    <w:szCs w:val="20"/>
                                  </w:rPr>
                                  <w:t>TAMOXIFEN</w:t>
                                </w:r>
                              </w:p>
                              <w:p w14:paraId="10322E93" w14:textId="77777777" w:rsidR="0049675D" w:rsidRDefault="0049675D" w:rsidP="0049675D">
                                <w:pPr>
                                  <w:pStyle w:val="NormalWeb"/>
                                  <w:keepNext/>
                                  <w:spacing w:before="0" w:beforeAutospacing="0" w:after="0" w:afterAutospacing="0"/>
                                  <w:jc w:val="center"/>
                                </w:pPr>
                                <w:r w:rsidRPr="00BD724B">
                                  <w:rPr>
                                    <w:rFonts w:ascii="Arial" w:hAnsi="Arial" w:cs="Arial"/>
                                    <w:color w:val="000000" w:themeColor="text1"/>
                                    <w:kern w:val="24"/>
                                    <w:sz w:val="20"/>
                                    <w:szCs w:val="20"/>
                                  </w:rPr>
                                  <w:t>20</w:t>
                                </w:r>
                                <w:r>
                                  <w:rPr>
                                    <w:rFonts w:ascii="Arial" w:hAnsi="Arial" w:cs="Arial"/>
                                    <w:color w:val="000000" w:themeColor="text1"/>
                                    <w:kern w:val="24"/>
                                    <w:sz w:val="20"/>
                                    <w:szCs w:val="20"/>
                                  </w:rPr>
                                  <w:t> </w:t>
                                </w:r>
                                <w:r w:rsidRPr="00BD724B">
                                  <w:rPr>
                                    <w:rFonts w:ascii="Arial" w:hAnsi="Arial" w:cs="Arial"/>
                                    <w:color w:val="000000" w:themeColor="text1"/>
                                    <w:kern w:val="24"/>
                                    <w:sz w:val="20"/>
                                    <w:szCs w:val="20"/>
                                  </w:rPr>
                                  <w:t>mg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 name="Flowchart: Process 6"/>
                          <wps:cNvSpPr/>
                          <wps:spPr>
                            <a:xfrm>
                              <a:off x="1333500" y="2466975"/>
                              <a:ext cx="980440" cy="539750"/>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5F9DF0" w14:textId="77777777" w:rsidR="0049675D" w:rsidRPr="00BD724B" w:rsidRDefault="0049675D" w:rsidP="0049675D">
                                <w:pPr>
                                  <w:pStyle w:val="NormalWeb"/>
                                  <w:keepNext/>
                                  <w:spacing w:before="0" w:beforeAutospacing="0" w:after="0" w:afterAutospacing="0"/>
                                  <w:jc w:val="center"/>
                                  <w:rPr>
                                    <w:rFonts w:ascii="Arial" w:hAnsi="Arial" w:cs="Arial"/>
                                    <w:sz w:val="20"/>
                                    <w:szCs w:val="20"/>
                                  </w:rPr>
                                </w:pPr>
                                <w:r w:rsidRPr="00BD724B">
                                  <w:rPr>
                                    <w:rFonts w:ascii="Arial" w:hAnsi="Arial" w:cs="Arial"/>
                                    <w:color w:val="000000" w:themeColor="text1"/>
                                    <w:kern w:val="24"/>
                                    <w:sz w:val="20"/>
                                    <w:szCs w:val="20"/>
                                  </w:rPr>
                                  <w:t>LETROZOLE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Straight Connector 7"/>
                          <wps:cNvCnPr/>
                          <wps:spPr>
                            <a:xfrm>
                              <a:off x="2409825" y="266700"/>
                              <a:ext cx="567690" cy="99822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flipV="1">
                              <a:off x="581025" y="266700"/>
                              <a:ext cx="647700" cy="99822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 name="Straight Connector 9"/>
                          <wps:cNvCnPr/>
                          <wps:spPr>
                            <a:xfrm flipV="1">
                              <a:off x="2314575" y="1809750"/>
                              <a:ext cx="664845" cy="93345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Straight Connector 10"/>
                          <wps:cNvCnPr/>
                          <wps:spPr>
                            <a:xfrm>
                              <a:off x="1171575" y="1533525"/>
                              <a:ext cx="1303474" cy="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11" name="Straight Connector 11"/>
                          <wps:cNvCnPr/>
                          <wps:spPr>
                            <a:xfrm>
                              <a:off x="581025" y="1809750"/>
                              <a:ext cx="752475" cy="981075"/>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grpSp>
                      <wps:wsp>
                        <wps:cNvPr id="12" name="Oval 73"/>
                        <wps:cNvSpPr/>
                        <wps:spPr>
                          <a:xfrm>
                            <a:off x="416966" y="152401"/>
                            <a:ext cx="1470721" cy="871728"/>
                          </a:xfrm>
                          <a:prstGeom prst="ellipse">
                            <a:avLst/>
                          </a:prstGeom>
                          <a:noFill/>
                          <a:ln>
                            <a:solidFill>
                              <a:schemeClr val="bg1">
                                <a:lumMod val="65000"/>
                              </a:schemeClr>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495B20C5" w14:textId="77777777" w:rsidR="0049675D" w:rsidRPr="00BD724B" w:rsidRDefault="0049675D" w:rsidP="0049675D">
                              <w:pPr>
                                <w:pStyle w:val="NormalWeb"/>
                                <w:keepNext/>
                                <w:spacing w:before="0" w:beforeAutospacing="0" w:after="0" w:afterAutospacing="0"/>
                                <w:jc w:val="center"/>
                                <w:rPr>
                                  <w:sz w:val="22"/>
                                  <w:szCs w:val="22"/>
                                </w:rPr>
                              </w:pPr>
                              <w:r w:rsidRPr="00BD724B">
                                <w:rPr>
                                  <w:rFonts w:eastAsia="SimSun" w:cstheme="minorBidi"/>
                                  <w:b/>
                                  <w:bCs/>
                                  <w:color w:val="000000"/>
                                  <w:kern w:val="24"/>
                                  <w:sz w:val="22"/>
                                  <w:szCs w:val="22"/>
                                </w:rPr>
                                <w:t>FIRST n=</w:t>
                              </w:r>
                              <w:r>
                                <w:rPr>
                                  <w:rFonts w:eastAsia="SimSun" w:cstheme="minorBidi"/>
                                  <w:b/>
                                  <w:bCs/>
                                  <w:color w:val="000000"/>
                                  <w:kern w:val="24"/>
                                  <w:sz w:val="22"/>
                                  <w:szCs w:val="22"/>
                                </w:rPr>
                                <w:t>205</w:t>
                              </w:r>
                            </w:p>
                            <w:p w14:paraId="4804F584" w14:textId="77777777" w:rsidR="0049675D" w:rsidRDefault="0049675D" w:rsidP="0049675D">
                              <w:pPr>
                                <w:pStyle w:val="NormalWeb"/>
                                <w:keepNext/>
                                <w:spacing w:before="0" w:beforeAutospacing="0" w:after="0" w:afterAutospacing="0"/>
                                <w:jc w:val="center"/>
                              </w:pPr>
                              <w:r w:rsidRPr="00BD724B">
                                <w:rPr>
                                  <w:rFonts w:eastAsia="SimSun" w:cstheme="minorBidi"/>
                                  <w:b/>
                                  <w:bCs/>
                                  <w:color w:val="000000"/>
                                  <w:kern w:val="24"/>
                                  <w:sz w:val="22"/>
                                  <w:szCs w:val="22"/>
                                </w:rPr>
                                <w:t>FALCON n=462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4" name="Oval 75"/>
                        <wps:cNvSpPr/>
                        <wps:spPr>
                          <a:xfrm>
                            <a:off x="3017111" y="312420"/>
                            <a:ext cx="2257147" cy="792175"/>
                          </a:xfrm>
                          <a:prstGeom prst="ellipse">
                            <a:avLst/>
                          </a:prstGeom>
                          <a:noFill/>
                          <a:ln>
                            <a:solidFill>
                              <a:schemeClr val="bg1">
                                <a:lumMod val="65000"/>
                              </a:schemeClr>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4C9A43F6" w14:textId="77777777" w:rsidR="0049675D" w:rsidRDefault="0049675D" w:rsidP="0049675D">
                              <w:pPr>
                                <w:pStyle w:val="NormalWeb"/>
                                <w:keepNext/>
                                <w:spacing w:before="0" w:beforeAutospacing="0" w:after="0" w:afterAutospacing="0"/>
                                <w:jc w:val="center"/>
                                <w:rPr>
                                  <w:rFonts w:eastAsia="SimSun" w:cstheme="minorBidi"/>
                                  <w:b/>
                                  <w:bCs/>
                                  <w:color w:val="000000"/>
                                  <w:kern w:val="24"/>
                                  <w:sz w:val="22"/>
                                  <w:szCs w:val="22"/>
                                </w:rPr>
                              </w:pPr>
                              <w:r w:rsidRPr="00BD724B">
                                <w:rPr>
                                  <w:rFonts w:eastAsia="SimSun" w:cstheme="minorBidi"/>
                                  <w:b/>
                                  <w:bCs/>
                                  <w:color w:val="000000"/>
                                  <w:kern w:val="24"/>
                                  <w:sz w:val="22"/>
                                  <w:szCs w:val="22"/>
                                </w:rPr>
                                <w:t>North American n=</w:t>
                              </w:r>
                              <w:r>
                                <w:rPr>
                                  <w:rFonts w:eastAsia="SimSun" w:cstheme="minorBidi"/>
                                  <w:b/>
                                  <w:bCs/>
                                  <w:color w:val="000000"/>
                                  <w:kern w:val="24"/>
                                  <w:sz w:val="22"/>
                                  <w:szCs w:val="22"/>
                                </w:rPr>
                                <w:t>3</w:t>
                              </w:r>
                              <w:r w:rsidRPr="00BD724B">
                                <w:rPr>
                                  <w:rFonts w:eastAsia="SimSun" w:cstheme="minorBidi"/>
                                  <w:b/>
                                  <w:bCs/>
                                  <w:color w:val="000000"/>
                                  <w:kern w:val="24"/>
                                  <w:sz w:val="22"/>
                                  <w:szCs w:val="22"/>
                                </w:rPr>
                                <w:t>53</w:t>
                              </w:r>
                            </w:p>
                            <w:p w14:paraId="552E1DDE" w14:textId="77777777" w:rsidR="0049675D" w:rsidRDefault="0049675D" w:rsidP="0049675D">
                              <w:pPr>
                                <w:pStyle w:val="NormalWeb"/>
                                <w:keepNext/>
                                <w:spacing w:before="0" w:beforeAutospacing="0" w:after="0" w:afterAutospacing="0"/>
                                <w:jc w:val="center"/>
                              </w:pPr>
                              <w:r w:rsidRPr="00BD724B">
                                <w:rPr>
                                  <w:rFonts w:eastAsia="SimSun" w:cstheme="minorBidi"/>
                                  <w:b/>
                                  <w:bCs/>
                                  <w:color w:val="000000"/>
                                  <w:kern w:val="24"/>
                                  <w:sz w:val="22"/>
                                  <w:szCs w:val="22"/>
                                </w:rPr>
                                <w:t>Target</w:t>
                              </w:r>
                              <w:r>
                                <w:rPr>
                                  <w:rFonts w:eastAsia="SimSun" w:cstheme="minorBidi"/>
                                  <w:b/>
                                  <w:bCs/>
                                  <w:color w:val="000000"/>
                                  <w:kern w:val="24"/>
                                  <w:sz w:val="22"/>
                                  <w:szCs w:val="22"/>
                                </w:rPr>
                                <w:t xml:space="preserve"> </w:t>
                              </w:r>
                              <w:r w:rsidRPr="00BD724B">
                                <w:rPr>
                                  <w:rFonts w:eastAsia="SimSun" w:cstheme="minorBidi"/>
                                  <w:b/>
                                  <w:bCs/>
                                  <w:color w:val="000000"/>
                                  <w:kern w:val="24"/>
                                  <w:sz w:val="22"/>
                                  <w:szCs w:val="22"/>
                                </w:rPr>
                                <w:t>n=</w:t>
                              </w:r>
                              <w:r>
                                <w:rPr>
                                  <w:rFonts w:eastAsia="SimSun" w:cstheme="minorBidi"/>
                                  <w:b/>
                                  <w:bCs/>
                                  <w:color w:val="000000"/>
                                  <w:kern w:val="24"/>
                                  <w:sz w:val="22"/>
                                  <w:szCs w:val="22"/>
                                </w:rPr>
                                <w:t>668</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5" name="Oval 76"/>
                        <wps:cNvSpPr/>
                        <wps:spPr>
                          <a:xfrm>
                            <a:off x="3124200" y="2026920"/>
                            <a:ext cx="1457325" cy="609600"/>
                          </a:xfrm>
                          <a:prstGeom prst="ellipse">
                            <a:avLst/>
                          </a:prstGeom>
                          <a:noFill/>
                          <a:ln>
                            <a:solidFill>
                              <a:schemeClr val="bg1">
                                <a:lumMod val="65000"/>
                              </a:schemeClr>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633A14D9" w14:textId="77777777" w:rsidR="0049675D" w:rsidRPr="00BD724B" w:rsidRDefault="0049675D" w:rsidP="0049675D">
                              <w:pPr>
                                <w:pStyle w:val="NormalWeb"/>
                                <w:keepNext/>
                                <w:spacing w:before="0" w:beforeAutospacing="0" w:after="0" w:afterAutospacing="0"/>
                                <w:jc w:val="center"/>
                                <w:rPr>
                                  <w:sz w:val="22"/>
                                  <w:szCs w:val="22"/>
                                </w:rPr>
                              </w:pPr>
                              <w:r>
                                <w:rPr>
                                  <w:rFonts w:eastAsia="SimSun" w:cstheme="minorBidi"/>
                                  <w:b/>
                                  <w:bCs/>
                                  <w:color w:val="000000"/>
                                  <w:kern w:val="24"/>
                                  <w:sz w:val="22"/>
                                  <w:szCs w:val="22"/>
                                </w:rPr>
                                <w:t xml:space="preserve">PO25 n= </w:t>
                              </w:r>
                              <w:r w:rsidRPr="00BD724B">
                                <w:rPr>
                                  <w:rFonts w:eastAsia="SimSun" w:cstheme="minorBidi"/>
                                  <w:b/>
                                  <w:bCs/>
                                  <w:color w:val="000000"/>
                                  <w:kern w:val="24"/>
                                  <w:sz w:val="22"/>
                                  <w:szCs w:val="22"/>
                                </w:rPr>
                                <w:t>9</w:t>
                              </w:r>
                              <w:r>
                                <w:rPr>
                                  <w:rFonts w:eastAsia="SimSun" w:cstheme="minorBidi"/>
                                  <w:b/>
                                  <w:bCs/>
                                  <w:color w:val="000000"/>
                                  <w:kern w:val="24"/>
                                  <w:sz w:val="22"/>
                                  <w:szCs w:val="22"/>
                                </w:rPr>
                                <w:t>07</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group w14:anchorId="61F00146" id="Group 1" o:spid="_x0000_s1026" style="position:absolute;margin-left:57pt;margin-top:3.2pt;width:382.45pt;height:236.75pt;z-index:251663360;mso-width-relative:margin" coordorigin="4169" coordsize="48572,30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">
                <v:group id="Group 2" o:spid="_x0000_s1027" style="position:absolute;left:7162;width:34716;height:30067" coordsize="34715,30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109" coordsize="21600,21600" o:spt="109" path="m,l,21600r21600,l21600,xe">
                    <v:stroke joinstyle="miter"/>
                    <v:path gradientshapeok="t" o:connecttype="rect"/>
                  </v:shapetype>
                  <v:shape id="Flowchart: Process 3" o:spid="_x0000_s1028" type="#_x0000_t109" style="position:absolute;left:12287;width:11811;height:5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" filled="f" strokecolor="black [3213]" strokeweight="2pt">
                    <v:textbox>
                      <w:txbxContent>
                        <w:p w14:paraId="7D7CA163" w14:textId="77777777" w:rsidR="0049675D" w:rsidRPr="00BD724B" w:rsidRDefault="0049675D" w:rsidP="0049675D">
                          <w:pPr>
                            <w:pStyle w:val="NormalWeb"/>
                            <w:keepNext/>
                            <w:spacing w:before="0" w:beforeAutospacing="0" w:after="0" w:afterAutospacing="0"/>
                            <w:jc w:val="center"/>
                            <w:rPr>
                              <w:rFonts w:ascii="Arial" w:hAnsi="Arial" w:cs="Arial"/>
                              <w:sz w:val="20"/>
                              <w:szCs w:val="20"/>
                            </w:rPr>
                          </w:pPr>
                          <w:r w:rsidRPr="00BD724B">
                            <w:rPr>
                              <w:rFonts w:ascii="Arial" w:hAnsi="Arial" w:cs="Arial"/>
                              <w:color w:val="000000" w:themeColor="text1"/>
                              <w:kern w:val="24"/>
                              <w:sz w:val="20"/>
                              <w:szCs w:val="20"/>
                            </w:rPr>
                            <w:t>ANASTROZOLE</w:t>
                          </w:r>
                        </w:p>
                      </w:txbxContent>
                    </v:textbox>
                  </v:shape>
                  <v:shape id="Flowchart: Process 4" o:spid="_x0000_s1029" type="#_x0000_t109" style="position:absolute;top:12668;width:11696;height:5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" filled="f" strokecolor="black [3213]" strokeweight="2pt">
                    <v:textbox>
                      <w:txbxContent>
                        <w:p w14:paraId="3BE28A71" w14:textId="77777777" w:rsidR="0049675D" w:rsidRPr="00BD724B" w:rsidRDefault="0049675D" w:rsidP="0049675D">
                          <w:pPr>
                            <w:pStyle w:val="NormalWeb"/>
                            <w:keepNext/>
                            <w:spacing w:before="0" w:beforeAutospacing="0" w:after="0" w:afterAutospacing="0"/>
                            <w:jc w:val="center"/>
                            <w:rPr>
                              <w:rFonts w:ascii="Arial" w:hAnsi="Arial" w:cs="Arial"/>
                              <w:sz w:val="20"/>
                              <w:szCs w:val="20"/>
                            </w:rPr>
                          </w:pPr>
                          <w:r w:rsidRPr="00BD724B">
                            <w:rPr>
                              <w:rFonts w:ascii="Arial" w:hAnsi="Arial" w:cs="Arial"/>
                              <w:color w:val="000000" w:themeColor="text1"/>
                              <w:kern w:val="24"/>
                              <w:sz w:val="20"/>
                              <w:szCs w:val="20"/>
                            </w:rPr>
                            <w:t>FULVESTRANT</w:t>
                          </w:r>
                        </w:p>
                      </w:txbxContent>
                    </v:textbox>
                  </v:shape>
                  <v:shape id="Flowchart: Process 5" o:spid="_x0000_s1030" type="#_x0000_t109" style="position:absolute;left:24669;top:12668;width:10046;height:5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" filled="f" strokecolor="black [3213]" strokeweight="2pt">
                    <v:textbox>
                      <w:txbxContent>
                        <w:p w14:paraId="1A5A2B0C" w14:textId="77777777" w:rsidR="0049675D" w:rsidRPr="00BD724B" w:rsidRDefault="0049675D" w:rsidP="0049675D">
                          <w:pPr>
                            <w:pStyle w:val="NormalWeb"/>
                            <w:keepNext/>
                            <w:spacing w:before="0" w:beforeAutospacing="0" w:after="0" w:afterAutospacing="0"/>
                            <w:jc w:val="center"/>
                            <w:rPr>
                              <w:rFonts w:ascii="Arial" w:hAnsi="Arial" w:cs="Arial"/>
                              <w:sz w:val="20"/>
                              <w:szCs w:val="20"/>
                            </w:rPr>
                          </w:pPr>
                          <w:r w:rsidRPr="00BD724B">
                            <w:rPr>
                              <w:rFonts w:ascii="Arial" w:hAnsi="Arial" w:cs="Arial"/>
                              <w:color w:val="000000" w:themeColor="text1"/>
                              <w:kern w:val="24"/>
                              <w:sz w:val="20"/>
                              <w:szCs w:val="20"/>
                            </w:rPr>
                            <w:t>TAMOXIFEN</w:t>
                          </w:r>
                        </w:p>
                        <w:p w14:paraId="10322E93" w14:textId="77777777" w:rsidR="0049675D" w:rsidRDefault="0049675D" w:rsidP="0049675D">
                          <w:pPr>
                            <w:pStyle w:val="NormalWeb"/>
                            <w:keepNext/>
                            <w:spacing w:before="0" w:beforeAutospacing="0" w:after="0" w:afterAutospacing="0"/>
                            <w:jc w:val="center"/>
                          </w:pPr>
                          <w:r w:rsidRPr="00BD724B">
                            <w:rPr>
                              <w:rFonts w:ascii="Arial" w:hAnsi="Arial" w:cs="Arial"/>
                              <w:color w:val="000000" w:themeColor="text1"/>
                              <w:kern w:val="24"/>
                              <w:sz w:val="20"/>
                              <w:szCs w:val="20"/>
                            </w:rPr>
                            <w:t>20</w:t>
                          </w:r>
                          <w:r>
                            <w:rPr>
                              <w:rFonts w:ascii="Arial" w:hAnsi="Arial" w:cs="Arial"/>
                              <w:color w:val="000000" w:themeColor="text1"/>
                              <w:kern w:val="24"/>
                              <w:sz w:val="20"/>
                              <w:szCs w:val="20"/>
                            </w:rPr>
                            <w:t> </w:t>
                          </w:r>
                          <w:r w:rsidRPr="00BD724B">
                            <w:rPr>
                              <w:rFonts w:ascii="Arial" w:hAnsi="Arial" w:cs="Arial"/>
                              <w:color w:val="000000" w:themeColor="text1"/>
                              <w:kern w:val="24"/>
                              <w:sz w:val="20"/>
                              <w:szCs w:val="20"/>
                            </w:rPr>
                            <w:t>mg</w:t>
                          </w:r>
                        </w:p>
                      </w:txbxContent>
                    </v:textbox>
                  </v:shape>
                  <v:shape id="Flowchart: Process 6" o:spid="_x0000_s1031" type="#_x0000_t109" style="position:absolute;left:13335;top:24669;width:9804;height:5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" filled="f" strokecolor="black [3213]" strokeweight="2pt">
                    <v:textbox>
                      <w:txbxContent>
                        <w:p w14:paraId="335F9DF0" w14:textId="77777777" w:rsidR="0049675D" w:rsidRPr="00BD724B" w:rsidRDefault="0049675D" w:rsidP="0049675D">
                          <w:pPr>
                            <w:pStyle w:val="NormalWeb"/>
                            <w:keepNext/>
                            <w:spacing w:before="0" w:beforeAutospacing="0" w:after="0" w:afterAutospacing="0"/>
                            <w:jc w:val="center"/>
                            <w:rPr>
                              <w:rFonts w:ascii="Arial" w:hAnsi="Arial" w:cs="Arial"/>
                              <w:sz w:val="20"/>
                              <w:szCs w:val="20"/>
                            </w:rPr>
                          </w:pPr>
                          <w:r w:rsidRPr="00BD724B">
                            <w:rPr>
                              <w:rFonts w:ascii="Arial" w:hAnsi="Arial" w:cs="Arial"/>
                              <w:color w:val="000000" w:themeColor="text1"/>
                              <w:kern w:val="24"/>
                              <w:sz w:val="20"/>
                              <w:szCs w:val="20"/>
                            </w:rPr>
                            <w:t>LETROZOLE</w:t>
                          </w:r>
                        </w:p>
                      </w:txbxContent>
                    </v:textbox>
                  </v:shape>
                  <v:line id="Straight Connector 7" o:spid="_x0000_s1032" style="position:absolute;visibility:visible;mso-wrap-style:square" from="24098,2667" to="29775,12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" strokecolor="black [3213]" strokeweight="2pt"/>
                  <v:line id="Straight Connector 8" o:spid="_x0000_s1033" style="position:absolute;flip:y;visibility:visible;mso-wrap-style:square" from="5810,2667" to="12287,12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" strokecolor="black [3213]" strokeweight="2pt"/>
                  <v:line id="Straight Connector 9" o:spid="_x0000_s1034" style="position:absolute;flip:y;visibility:visible;mso-wrap-style:square" from="23145,18097" to="29794,27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" strokecolor="black [3213]" strokeweight="2pt"/>
                  <v:line id="Straight Connector 10" o:spid="_x0000_s1035" style="position:absolute;visibility:visible;mso-wrap-style:square" from="11715,15335" to="24750,15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" strokecolor="black [3213]" strokeweight="2pt">
                    <v:stroke dashstyle="3 1"/>
                  </v:line>
                  <v:line id="Straight Connector 11" o:spid="_x0000_s1036" style="position:absolute;visibility:visible;mso-wrap-style:square" from="5810,18097" to="13335,27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" strokecolor="black [3213]" strokeweight="2pt">
                    <v:stroke dashstyle="3 1"/>
                  </v:line>
                </v:group>
                <v:oval id="Oval 73" o:spid="_x0000_s1037" style="position:absolute;left:4169;top:1524;width:14707;height:8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" filled="f" strokecolor="#a5a5a5 [2092]" strokeweight="2pt">
                  <v:textbox inset="0,0,0,0">
                    <w:txbxContent>
                      <w:p w14:paraId="495B20C5" w14:textId="77777777" w:rsidR="0049675D" w:rsidRPr="00BD724B" w:rsidRDefault="0049675D" w:rsidP="0049675D">
                        <w:pPr>
                          <w:pStyle w:val="NormalWeb"/>
                          <w:keepNext/>
                          <w:spacing w:before="0" w:beforeAutospacing="0" w:after="0" w:afterAutospacing="0"/>
                          <w:jc w:val="center"/>
                          <w:rPr>
                            <w:sz w:val="22"/>
                            <w:szCs w:val="22"/>
                          </w:rPr>
                        </w:pPr>
                        <w:r w:rsidRPr="00BD724B">
                          <w:rPr>
                            <w:rFonts w:eastAsia="SimSun" w:cstheme="minorBidi"/>
                            <w:b/>
                            <w:bCs/>
                            <w:color w:val="000000"/>
                            <w:kern w:val="24"/>
                            <w:sz w:val="22"/>
                            <w:szCs w:val="22"/>
                          </w:rPr>
                          <w:t>FIRST n=</w:t>
                        </w:r>
                        <w:r>
                          <w:rPr>
                            <w:rFonts w:eastAsia="SimSun" w:cstheme="minorBidi"/>
                            <w:b/>
                            <w:bCs/>
                            <w:color w:val="000000"/>
                            <w:kern w:val="24"/>
                            <w:sz w:val="22"/>
                            <w:szCs w:val="22"/>
                          </w:rPr>
                          <w:t>205</w:t>
                        </w:r>
                      </w:p>
                      <w:p w14:paraId="4804F584" w14:textId="77777777" w:rsidR="0049675D" w:rsidRDefault="0049675D" w:rsidP="0049675D">
                        <w:pPr>
                          <w:pStyle w:val="NormalWeb"/>
                          <w:keepNext/>
                          <w:spacing w:before="0" w:beforeAutospacing="0" w:after="0" w:afterAutospacing="0"/>
                          <w:jc w:val="center"/>
                        </w:pPr>
                        <w:r w:rsidRPr="00BD724B">
                          <w:rPr>
                            <w:rFonts w:eastAsia="SimSun" w:cstheme="minorBidi"/>
                            <w:b/>
                            <w:bCs/>
                            <w:color w:val="000000"/>
                            <w:kern w:val="24"/>
                            <w:sz w:val="22"/>
                            <w:szCs w:val="22"/>
                          </w:rPr>
                          <w:t>FALCON n=462</w:t>
                        </w:r>
                      </w:p>
                    </w:txbxContent>
                  </v:textbox>
                </v:oval>
                <v:oval id="Oval 75" o:spid="_x0000_s1038" style="position:absolute;left:30171;top:3124;width:22571;height:7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" filled="f" strokecolor="#a5a5a5 [2092]" strokeweight="2pt">
                  <v:textbox inset="1mm,1mm,1mm,1mm">
                    <w:txbxContent>
                      <w:p w14:paraId="4C9A43F6" w14:textId="77777777" w:rsidR="0049675D" w:rsidRDefault="0049675D" w:rsidP="0049675D">
                        <w:pPr>
                          <w:pStyle w:val="NormalWeb"/>
                          <w:keepNext/>
                          <w:spacing w:before="0" w:beforeAutospacing="0" w:after="0" w:afterAutospacing="0"/>
                          <w:jc w:val="center"/>
                          <w:rPr>
                            <w:rFonts w:eastAsia="SimSun" w:cstheme="minorBidi"/>
                            <w:b/>
                            <w:bCs/>
                            <w:color w:val="000000"/>
                            <w:kern w:val="24"/>
                            <w:sz w:val="22"/>
                            <w:szCs w:val="22"/>
                          </w:rPr>
                        </w:pPr>
                        <w:r w:rsidRPr="00BD724B">
                          <w:rPr>
                            <w:rFonts w:eastAsia="SimSun" w:cstheme="minorBidi"/>
                            <w:b/>
                            <w:bCs/>
                            <w:color w:val="000000"/>
                            <w:kern w:val="24"/>
                            <w:sz w:val="22"/>
                            <w:szCs w:val="22"/>
                          </w:rPr>
                          <w:t>North American n=</w:t>
                        </w:r>
                        <w:r>
                          <w:rPr>
                            <w:rFonts w:eastAsia="SimSun" w:cstheme="minorBidi"/>
                            <w:b/>
                            <w:bCs/>
                            <w:color w:val="000000"/>
                            <w:kern w:val="24"/>
                            <w:sz w:val="22"/>
                            <w:szCs w:val="22"/>
                          </w:rPr>
                          <w:t>3</w:t>
                        </w:r>
                        <w:r w:rsidRPr="00BD724B">
                          <w:rPr>
                            <w:rFonts w:eastAsia="SimSun" w:cstheme="minorBidi"/>
                            <w:b/>
                            <w:bCs/>
                            <w:color w:val="000000"/>
                            <w:kern w:val="24"/>
                            <w:sz w:val="22"/>
                            <w:szCs w:val="22"/>
                          </w:rPr>
                          <w:t>53</w:t>
                        </w:r>
                      </w:p>
                      <w:p w14:paraId="552E1DDE" w14:textId="77777777" w:rsidR="0049675D" w:rsidRDefault="0049675D" w:rsidP="0049675D">
                        <w:pPr>
                          <w:pStyle w:val="NormalWeb"/>
                          <w:keepNext/>
                          <w:spacing w:before="0" w:beforeAutospacing="0" w:after="0" w:afterAutospacing="0"/>
                          <w:jc w:val="center"/>
                        </w:pPr>
                        <w:r w:rsidRPr="00BD724B">
                          <w:rPr>
                            <w:rFonts w:eastAsia="SimSun" w:cstheme="minorBidi"/>
                            <w:b/>
                            <w:bCs/>
                            <w:color w:val="000000"/>
                            <w:kern w:val="24"/>
                            <w:sz w:val="22"/>
                            <w:szCs w:val="22"/>
                          </w:rPr>
                          <w:t>Target</w:t>
                        </w:r>
                        <w:r>
                          <w:rPr>
                            <w:rFonts w:eastAsia="SimSun" w:cstheme="minorBidi"/>
                            <w:b/>
                            <w:bCs/>
                            <w:color w:val="000000"/>
                            <w:kern w:val="24"/>
                            <w:sz w:val="22"/>
                            <w:szCs w:val="22"/>
                          </w:rPr>
                          <w:t xml:space="preserve"> </w:t>
                        </w:r>
                        <w:r w:rsidRPr="00BD724B">
                          <w:rPr>
                            <w:rFonts w:eastAsia="SimSun" w:cstheme="minorBidi"/>
                            <w:b/>
                            <w:bCs/>
                            <w:color w:val="000000"/>
                            <w:kern w:val="24"/>
                            <w:sz w:val="22"/>
                            <w:szCs w:val="22"/>
                          </w:rPr>
                          <w:t>n=</w:t>
                        </w:r>
                        <w:r>
                          <w:rPr>
                            <w:rFonts w:eastAsia="SimSun" w:cstheme="minorBidi"/>
                            <w:b/>
                            <w:bCs/>
                            <w:color w:val="000000"/>
                            <w:kern w:val="24"/>
                            <w:sz w:val="22"/>
                            <w:szCs w:val="22"/>
                          </w:rPr>
                          <w:t>668</w:t>
                        </w:r>
                      </w:p>
                    </w:txbxContent>
                  </v:textbox>
                </v:oval>
                <v:oval id="Oval 76" o:spid="_x0000_s1039" style="position:absolute;left:31242;top:20269;width:14573;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" filled="f" strokecolor="#a5a5a5 [2092]" strokeweight="2pt">
                  <v:textbox>
                    <w:txbxContent>
                      <w:p w14:paraId="633A14D9" w14:textId="77777777" w:rsidR="0049675D" w:rsidRPr="00BD724B" w:rsidRDefault="0049675D" w:rsidP="0049675D">
                        <w:pPr>
                          <w:pStyle w:val="NormalWeb"/>
                          <w:keepNext/>
                          <w:spacing w:before="0" w:beforeAutospacing="0" w:after="0" w:afterAutospacing="0"/>
                          <w:jc w:val="center"/>
                          <w:rPr>
                            <w:sz w:val="22"/>
                            <w:szCs w:val="22"/>
                          </w:rPr>
                        </w:pPr>
                        <w:r>
                          <w:rPr>
                            <w:rFonts w:eastAsia="SimSun" w:cstheme="minorBidi"/>
                            <w:b/>
                            <w:bCs/>
                            <w:color w:val="000000"/>
                            <w:kern w:val="24"/>
                            <w:sz w:val="22"/>
                            <w:szCs w:val="22"/>
                          </w:rPr>
                          <w:t xml:space="preserve">PO25 n= </w:t>
                        </w:r>
                        <w:r w:rsidRPr="00BD724B">
                          <w:rPr>
                            <w:rFonts w:eastAsia="SimSun" w:cstheme="minorBidi"/>
                            <w:b/>
                            <w:bCs/>
                            <w:color w:val="000000"/>
                            <w:kern w:val="24"/>
                            <w:sz w:val="22"/>
                            <w:szCs w:val="22"/>
                          </w:rPr>
                          <w:t>9</w:t>
                        </w:r>
                        <w:r>
                          <w:rPr>
                            <w:rFonts w:eastAsia="SimSun" w:cstheme="minorBidi"/>
                            <w:b/>
                            <w:bCs/>
                            <w:color w:val="000000"/>
                            <w:kern w:val="24"/>
                            <w:sz w:val="22"/>
                            <w:szCs w:val="22"/>
                          </w:rPr>
                          <w:t>07</w:t>
                        </w:r>
                      </w:p>
                    </w:txbxContent>
                  </v:textbox>
                </v:oval>
              </v:group>
            </w:pict>
          </mc:Fallback>
        </mc:AlternateContent>
      </w:r>
    </w:p>
    <w:p w14:paraId="7BCCB750" w14:textId="77777777" w:rsidR="0049675D" w:rsidRDefault="0049675D" w:rsidP="0049675D">
      <w:pPr>
        <w:rPr>
          <w:rFonts w:ascii="Times New Roman" w:hAnsi="Times New Roman"/>
          <w:sz w:val="28"/>
          <w:szCs w:val="28"/>
        </w:rPr>
      </w:pPr>
    </w:p>
    <w:p w14:paraId="77A160BC" w14:textId="77777777" w:rsidR="0049675D" w:rsidRDefault="0049675D" w:rsidP="0049675D">
      <w:pPr>
        <w:rPr>
          <w:rFonts w:ascii="Times New Roman" w:hAnsi="Times New Roman"/>
          <w:sz w:val="28"/>
          <w:szCs w:val="28"/>
        </w:rPr>
      </w:pPr>
    </w:p>
    <w:p w14:paraId="05090310" w14:textId="77777777" w:rsidR="0049675D" w:rsidRDefault="0049675D" w:rsidP="0049675D">
      <w:pPr>
        <w:rPr>
          <w:rFonts w:ascii="Times New Roman" w:hAnsi="Times New Roman"/>
          <w:sz w:val="28"/>
          <w:szCs w:val="28"/>
        </w:rPr>
      </w:pPr>
    </w:p>
    <w:p w14:paraId="45C72C8B" w14:textId="77777777" w:rsidR="0049675D" w:rsidRDefault="0049675D" w:rsidP="0049675D">
      <w:pPr>
        <w:rPr>
          <w:rFonts w:ascii="Times New Roman" w:hAnsi="Times New Roman"/>
          <w:sz w:val="28"/>
          <w:szCs w:val="28"/>
        </w:rPr>
      </w:pPr>
    </w:p>
    <w:p w14:paraId="05049F06" w14:textId="77777777" w:rsidR="0049675D" w:rsidRDefault="0049675D" w:rsidP="0049675D">
      <w:pPr>
        <w:rPr>
          <w:rFonts w:ascii="Times New Roman" w:hAnsi="Times New Roman"/>
          <w:sz w:val="28"/>
          <w:szCs w:val="28"/>
        </w:rPr>
      </w:pPr>
    </w:p>
    <w:p w14:paraId="1D556A72" w14:textId="77777777" w:rsidR="0049675D" w:rsidRDefault="0049675D" w:rsidP="0049675D">
      <w:pPr>
        <w:rPr>
          <w:rFonts w:ascii="Times New Roman" w:hAnsi="Times New Roman"/>
          <w:sz w:val="28"/>
          <w:szCs w:val="28"/>
        </w:rPr>
      </w:pPr>
    </w:p>
    <w:p w14:paraId="70E152E8" w14:textId="77777777" w:rsidR="0049675D" w:rsidRDefault="0049675D" w:rsidP="0049675D">
      <w:pPr>
        <w:rPr>
          <w:rFonts w:ascii="Times New Roman" w:hAnsi="Times New Roman"/>
          <w:sz w:val="28"/>
          <w:szCs w:val="28"/>
        </w:rPr>
      </w:pPr>
    </w:p>
    <w:p w14:paraId="0F3670AA" w14:textId="77777777" w:rsidR="0049675D" w:rsidRDefault="0049675D" w:rsidP="0049675D">
      <w:pPr>
        <w:rPr>
          <w:rFonts w:ascii="Times New Roman" w:hAnsi="Times New Roman"/>
          <w:sz w:val="28"/>
          <w:szCs w:val="28"/>
        </w:rPr>
      </w:pPr>
    </w:p>
    <w:p w14:paraId="368CF044" w14:textId="77777777" w:rsidR="0049675D" w:rsidRDefault="0049675D" w:rsidP="0049675D">
      <w:pPr>
        <w:rPr>
          <w:rFonts w:ascii="Times New Roman" w:hAnsi="Times New Roman"/>
          <w:sz w:val="28"/>
          <w:szCs w:val="28"/>
        </w:rPr>
      </w:pPr>
    </w:p>
    <w:p w14:paraId="4F649D36" w14:textId="324EBE14" w:rsidR="0049675D" w:rsidRDefault="0049675D" w:rsidP="0049675D">
      <w:pPr>
        <w:pStyle w:val="Caption"/>
        <w:rPr>
          <w:rFonts w:ascii="Times New Roman" w:hAnsi="Times New Roman"/>
          <w:sz w:val="28"/>
          <w:szCs w:val="28"/>
        </w:rPr>
      </w:pPr>
      <w:r>
        <w:t xml:space="preserve">Figure </w:t>
      </w:r>
      <w:r w:rsidR="001F7D04">
        <w:rPr>
          <w:noProof/>
        </w:rPr>
        <w:t>3</w:t>
      </w:r>
      <w:r>
        <w:t>. Studies included in the company’s NMA to compare fulvestrant, anastrozole, letrozole and tamoxifen</w:t>
      </w:r>
    </w:p>
    <w:p w14:paraId="5B048E26" w14:textId="4210B52F" w:rsidR="00C42631" w:rsidRDefault="00C42631" w:rsidP="005B756D">
      <w:pPr>
        <w:ind w:left="284" w:hanging="284"/>
      </w:pPr>
    </w:p>
    <w:p w14:paraId="6317C9CD" w14:textId="77777777" w:rsidR="00B001A7" w:rsidRDefault="00B001A7" w:rsidP="00B001A7">
      <w:pPr>
        <w:rPr>
          <w:iCs/>
        </w:rPr>
      </w:pPr>
      <w:r>
        <w:rPr>
          <w:rFonts w:cs="Arial"/>
          <w:noProof/>
          <w:lang w:eastAsia="en-GB"/>
        </w:rPr>
        <mc:AlternateContent>
          <mc:Choice Requires="wpg">
            <w:drawing>
              <wp:anchor distT="0" distB="0" distL="114300" distR="114300" simplePos="0" relativeHeight="251665408" behindDoc="0" locked="0" layoutInCell="1" allowOverlap="1" wp14:anchorId="765BEF55" wp14:editId="3FF986B7">
                <wp:simplePos x="0" y="0"/>
                <wp:positionH relativeFrom="column">
                  <wp:posOffset>133350</wp:posOffset>
                </wp:positionH>
                <wp:positionV relativeFrom="paragraph">
                  <wp:posOffset>18008</wp:posOffset>
                </wp:positionV>
                <wp:extent cx="5697509" cy="966932"/>
                <wp:effectExtent l="247650" t="0" r="17780" b="24130"/>
                <wp:wrapNone/>
                <wp:docPr id="23" name="Group 23"/>
                <wp:cNvGraphicFramePr/>
                <a:graphic xmlns:a="http://schemas.openxmlformats.org/drawingml/2006/main">
                  <a:graphicData uri="http://schemas.microsoft.com/office/word/2010/wordprocessingGroup">
                    <wpg:wgp>
                      <wpg:cNvGrpSpPr/>
                      <wpg:grpSpPr>
                        <a:xfrm>
                          <a:off x="0" y="0"/>
                          <a:ext cx="5697509" cy="966932"/>
                          <a:chOff x="0" y="0"/>
                          <a:chExt cx="5697509" cy="966932"/>
                        </a:xfrm>
                      </wpg:grpSpPr>
                      <wps:wsp>
                        <wps:cNvPr id="25" name="Oval 25"/>
                        <wps:cNvSpPr/>
                        <wps:spPr>
                          <a:xfrm>
                            <a:off x="0" y="20782"/>
                            <a:ext cx="1711325" cy="946150"/>
                          </a:xfrm>
                          <a:prstGeom prst="ellipse">
                            <a:avLst/>
                          </a:prstGeom>
                        </wps:spPr>
                        <wps:style>
                          <a:lnRef idx="2">
                            <a:schemeClr val="dk1"/>
                          </a:lnRef>
                          <a:fillRef idx="1">
                            <a:schemeClr val="lt1"/>
                          </a:fillRef>
                          <a:effectRef idx="0">
                            <a:schemeClr val="dk1"/>
                          </a:effectRef>
                          <a:fontRef idx="minor">
                            <a:schemeClr val="dk1"/>
                          </a:fontRef>
                        </wps:style>
                        <wps:txbx>
                          <w:txbxContent>
                            <w:p w14:paraId="1FD7589E" w14:textId="77777777" w:rsidR="00B001A7" w:rsidRPr="000C422C" w:rsidRDefault="00B001A7" w:rsidP="00B001A7">
                              <w:pPr>
                                <w:keepNext/>
                                <w:keepLines/>
                                <w:spacing w:line="240" w:lineRule="auto"/>
                                <w:jc w:val="center"/>
                                <w:rPr>
                                  <w:b/>
                                  <w:bCs/>
                                </w:rPr>
                              </w:pPr>
                              <w:r>
                                <w:rPr>
                                  <w:b/>
                                  <w:bCs/>
                                </w:rPr>
                                <w:t>Progression-free survival (PFS)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Oval 26"/>
                        <wps:cNvSpPr/>
                        <wps:spPr>
                          <a:xfrm>
                            <a:off x="2126673" y="20782"/>
                            <a:ext cx="1594485" cy="946150"/>
                          </a:xfrm>
                          <a:prstGeom prst="ellipse">
                            <a:avLst/>
                          </a:prstGeom>
                        </wps:spPr>
                        <wps:style>
                          <a:lnRef idx="2">
                            <a:schemeClr val="dk1"/>
                          </a:lnRef>
                          <a:fillRef idx="1">
                            <a:schemeClr val="lt1"/>
                          </a:fillRef>
                          <a:effectRef idx="0">
                            <a:schemeClr val="dk1"/>
                          </a:effectRef>
                          <a:fontRef idx="minor">
                            <a:schemeClr val="dk1"/>
                          </a:fontRef>
                        </wps:style>
                        <wps:txbx>
                          <w:txbxContent>
                            <w:p w14:paraId="236F598D" w14:textId="77777777" w:rsidR="00B001A7" w:rsidRPr="000C422C" w:rsidRDefault="00B001A7" w:rsidP="00B001A7">
                              <w:pPr>
                                <w:keepNext/>
                                <w:keepLines/>
                                <w:spacing w:line="240" w:lineRule="auto"/>
                                <w:jc w:val="center"/>
                                <w:rPr>
                                  <w:b/>
                                  <w:bCs/>
                                </w:rPr>
                              </w:pPr>
                              <w:r w:rsidRPr="000C422C">
                                <w:rPr>
                                  <w:b/>
                                  <w:bCs/>
                                </w:rPr>
                                <w:t>Progressed disease</w:t>
                              </w:r>
                              <w:r>
                                <w:rPr>
                                  <w:b/>
                                  <w:bCs/>
                                </w:rPr>
                                <w:t xml:space="preserve"> (PD)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Oval 27"/>
                        <wps:cNvSpPr/>
                        <wps:spPr>
                          <a:xfrm>
                            <a:off x="4156364" y="20782"/>
                            <a:ext cx="1541145" cy="946150"/>
                          </a:xfrm>
                          <a:prstGeom prst="ellipse">
                            <a:avLst/>
                          </a:prstGeom>
                        </wps:spPr>
                        <wps:style>
                          <a:lnRef idx="2">
                            <a:schemeClr val="dk1"/>
                          </a:lnRef>
                          <a:fillRef idx="1">
                            <a:schemeClr val="lt1"/>
                          </a:fillRef>
                          <a:effectRef idx="0">
                            <a:schemeClr val="dk1"/>
                          </a:effectRef>
                          <a:fontRef idx="minor">
                            <a:schemeClr val="dk1"/>
                          </a:fontRef>
                        </wps:style>
                        <wps:txbx>
                          <w:txbxContent>
                            <w:p w14:paraId="01CB39E3" w14:textId="77777777" w:rsidR="00B001A7" w:rsidRPr="000C422C" w:rsidRDefault="00B001A7" w:rsidP="00B001A7">
                              <w:pPr>
                                <w:keepNext/>
                                <w:keepLines/>
                                <w:jc w:val="center"/>
                                <w:rPr>
                                  <w:b/>
                                  <w:bCs/>
                                </w:rPr>
                              </w:pPr>
                              <w:r w:rsidRPr="000C422C">
                                <w:rPr>
                                  <w:b/>
                                  <w:bCs/>
                                </w:rPr>
                                <w:t>Death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Straight Arrow Connector 28"/>
                        <wps:cNvCnPr/>
                        <wps:spPr>
                          <a:xfrm flipV="1">
                            <a:off x="1711037" y="443345"/>
                            <a:ext cx="414655" cy="1016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9" name="Straight Arrow Connector 29"/>
                        <wps:cNvCnPr/>
                        <wps:spPr>
                          <a:xfrm flipV="1">
                            <a:off x="3747655" y="436418"/>
                            <a:ext cx="414655" cy="1016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0" name="Curved Connector 30"/>
                        <wps:cNvCnPr/>
                        <wps:spPr>
                          <a:xfrm rot="10800000" flipV="1">
                            <a:off x="62346" y="13047"/>
                            <a:ext cx="669290" cy="260927"/>
                          </a:xfrm>
                          <a:prstGeom prst="curvedConnector3">
                            <a:avLst>
                              <a:gd name="adj1" fmla="val 145318"/>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1" name="Curved Connector 31"/>
                        <wps:cNvCnPr/>
                        <wps:spPr>
                          <a:xfrm rot="10800000" flipV="1">
                            <a:off x="4204855" y="0"/>
                            <a:ext cx="669290" cy="287020"/>
                          </a:xfrm>
                          <a:prstGeom prst="curvedConnector3">
                            <a:avLst>
                              <a:gd name="adj1" fmla="val 145318"/>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7344" name="Curved Connector 57344"/>
                        <wps:cNvCnPr/>
                        <wps:spPr>
                          <a:xfrm rot="10800000" flipV="1">
                            <a:off x="2189018" y="0"/>
                            <a:ext cx="669290" cy="287020"/>
                          </a:xfrm>
                          <a:prstGeom prst="curvedConnector3">
                            <a:avLst>
                              <a:gd name="adj1" fmla="val 145318"/>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w14:anchorId="765BEF55" id="Group 23" o:spid="_x0000_s1040" style="position:absolute;margin-left:10.5pt;margin-top:1.4pt;width:448.6pt;height:76.15pt;z-index:251665408;mso-height-relative:margin" coordsize="56975,9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">
                <v:oval id="Oval 25" o:spid="_x0000_s1041" style="position:absolute;top:207;width:17113;height:9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" fillcolor="white [3201]" strokecolor="black [3200]" strokeweight="2pt">
                  <v:textbox>
                    <w:txbxContent>
                      <w:p w14:paraId="1FD7589E" w14:textId="77777777" w:rsidR="00B001A7" w:rsidRPr="000C422C" w:rsidRDefault="00B001A7" w:rsidP="00B001A7">
                        <w:pPr>
                          <w:keepNext/>
                          <w:keepLines/>
                          <w:spacing w:line="240" w:lineRule="auto"/>
                          <w:jc w:val="center"/>
                          <w:rPr>
                            <w:b/>
                            <w:bCs/>
                          </w:rPr>
                        </w:pPr>
                        <w:r>
                          <w:rPr>
                            <w:b/>
                            <w:bCs/>
                          </w:rPr>
                          <w:t>Progression-free survival (PFS)</w:t>
                        </w:r>
                      </w:p>
                    </w:txbxContent>
                  </v:textbox>
                </v:oval>
                <v:oval id="Oval 26" o:spid="_x0000_s1042" style="position:absolute;left:21266;top:207;width:15945;height:9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" fillcolor="white [3201]" strokecolor="black [3200]" strokeweight="2pt">
                  <v:textbox>
                    <w:txbxContent>
                      <w:p w14:paraId="236F598D" w14:textId="77777777" w:rsidR="00B001A7" w:rsidRPr="000C422C" w:rsidRDefault="00B001A7" w:rsidP="00B001A7">
                        <w:pPr>
                          <w:keepNext/>
                          <w:keepLines/>
                          <w:spacing w:line="240" w:lineRule="auto"/>
                          <w:jc w:val="center"/>
                          <w:rPr>
                            <w:b/>
                            <w:bCs/>
                          </w:rPr>
                        </w:pPr>
                        <w:r w:rsidRPr="000C422C">
                          <w:rPr>
                            <w:b/>
                            <w:bCs/>
                          </w:rPr>
                          <w:t>Progressed disease</w:t>
                        </w:r>
                        <w:r>
                          <w:rPr>
                            <w:b/>
                            <w:bCs/>
                          </w:rPr>
                          <w:t xml:space="preserve"> (PD)</w:t>
                        </w:r>
                      </w:p>
                    </w:txbxContent>
                  </v:textbox>
                </v:oval>
                <v:oval id="Oval 27" o:spid="_x0000_s1043" style="position:absolute;left:41563;top:207;width:15412;height:9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" fillcolor="white [3201]" strokecolor="black [3200]" strokeweight="2pt">
                  <v:textbox>
                    <w:txbxContent>
                      <w:p w14:paraId="01CB39E3" w14:textId="77777777" w:rsidR="00B001A7" w:rsidRPr="000C422C" w:rsidRDefault="00B001A7" w:rsidP="00B001A7">
                        <w:pPr>
                          <w:keepNext/>
                          <w:keepLines/>
                          <w:jc w:val="center"/>
                          <w:rPr>
                            <w:b/>
                            <w:bCs/>
                          </w:rPr>
                        </w:pPr>
                        <w:r w:rsidRPr="000C422C">
                          <w:rPr>
                            <w:b/>
                            <w:bCs/>
                          </w:rPr>
                          <w:t>Death</w:t>
                        </w:r>
                      </w:p>
                    </w:txbxContent>
                  </v:textbox>
                </v:oval>
                <v:shapetype id="_x0000_t32" coordsize="21600,21600" o:spt="32" o:oned="t" path="m,l21600,21600e" filled="f">
                  <v:path arrowok="t" fillok="f" o:connecttype="none"/>
                  <o:lock v:ext="edit" shapetype="t"/>
                </v:shapetype>
                <v:shape id="Straight Arrow Connector 28" o:spid="_x0000_s1044" type="#_x0000_t32" style="position:absolute;left:17110;top:4433;width:4146;height:10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" strokecolor="black [3213]">
                  <v:stroke endarrow="open"/>
                </v:shape>
                <v:shape id="Straight Arrow Connector 29" o:spid="_x0000_s1045" type="#_x0000_t32" style="position:absolute;left:37476;top:4364;width:4147;height:1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" strokecolor="black [3213]">
                  <v:stroke endarrow="open"/>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30" o:spid="_x0000_s1046" type="#_x0000_t38" style="position:absolute;left:623;top:130;width:6693;height:2609;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" adj="31389" strokecolor="black [3213]">
                  <v:stroke endarrow="open"/>
                </v:shape>
                <v:shape id="Curved Connector 31" o:spid="_x0000_s1047" type="#_x0000_t38" style="position:absolute;left:42048;width:6693;height:2870;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" adj="31389" strokecolor="black [3213]">
                  <v:stroke endarrow="open"/>
                </v:shape>
                <v:shape id="Curved Connector 57344" o:spid="_x0000_s1048" type="#_x0000_t38" style="position:absolute;left:21890;width:6693;height:2870;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" adj="31389" strokecolor="black [3213]">
                  <v:stroke endarrow="open"/>
                </v:shape>
              </v:group>
            </w:pict>
          </mc:Fallback>
        </mc:AlternateContent>
      </w:r>
    </w:p>
    <w:p w14:paraId="22A5A6E6" w14:textId="77777777" w:rsidR="00B001A7" w:rsidRDefault="00B001A7" w:rsidP="00B001A7">
      <w:pPr>
        <w:rPr>
          <w:iCs/>
        </w:rPr>
      </w:pPr>
    </w:p>
    <w:p w14:paraId="48008ED6" w14:textId="77777777" w:rsidR="00B001A7" w:rsidRDefault="00B001A7" w:rsidP="00B001A7">
      <w:pPr>
        <w:rPr>
          <w:iCs/>
        </w:rPr>
      </w:pPr>
    </w:p>
    <w:p w14:paraId="587473F1" w14:textId="77777777" w:rsidR="00B001A7" w:rsidRPr="0008641D" w:rsidRDefault="00B001A7" w:rsidP="00B001A7">
      <w:pPr>
        <w:rPr>
          <w:rFonts w:cs="Arial"/>
        </w:rPr>
      </w:pPr>
    </w:p>
    <w:p w14:paraId="7A8F3E3C" w14:textId="77777777" w:rsidR="00086371" w:rsidRDefault="00086371" w:rsidP="00B001A7">
      <w:pPr>
        <w:pStyle w:val="Caption"/>
        <w:rPr>
          <w:szCs w:val="22"/>
        </w:rPr>
      </w:pPr>
    </w:p>
    <w:p w14:paraId="7E1503C2" w14:textId="0FE50F5D" w:rsidR="00B001A7" w:rsidRPr="00DA6D8E" w:rsidRDefault="00B001A7" w:rsidP="00B001A7">
      <w:pPr>
        <w:pStyle w:val="Caption"/>
        <w:rPr>
          <w:rFonts w:cs="Arial"/>
          <w:szCs w:val="22"/>
        </w:rPr>
      </w:pPr>
      <w:r w:rsidRPr="00DA6D8E">
        <w:rPr>
          <w:szCs w:val="22"/>
        </w:rPr>
        <w:t xml:space="preserve">Figure </w:t>
      </w:r>
      <w:r w:rsidR="001F7D04">
        <w:rPr>
          <w:noProof/>
          <w:szCs w:val="22"/>
        </w:rPr>
        <w:t>4</w:t>
      </w:r>
      <w:r>
        <w:rPr>
          <w:szCs w:val="22"/>
        </w:rPr>
        <w:t xml:space="preserve">  </w:t>
      </w:r>
      <w:r w:rsidRPr="0008641D">
        <w:rPr>
          <w:rFonts w:cs="Arial"/>
        </w:rPr>
        <w:t xml:space="preserve">Model structure </w:t>
      </w:r>
      <w:r>
        <w:rPr>
          <w:rFonts w:cs="Arial"/>
        </w:rPr>
        <w:t>(adapted</w:t>
      </w:r>
      <w:r w:rsidRPr="0008641D">
        <w:rPr>
          <w:rFonts w:cs="Arial"/>
        </w:rPr>
        <w:t xml:space="preserve"> by the ERG)</w:t>
      </w:r>
    </w:p>
    <w:p w14:paraId="073E269C" w14:textId="77777777" w:rsidR="00B001A7" w:rsidRDefault="00B001A7" w:rsidP="00B001A7">
      <w:pPr>
        <w:rPr>
          <w:iCs/>
        </w:rPr>
      </w:pPr>
    </w:p>
    <w:p w14:paraId="55756E2E" w14:textId="77777777" w:rsidR="0049675D" w:rsidRDefault="0049675D" w:rsidP="005B756D">
      <w:pPr>
        <w:ind w:left="284" w:hanging="284"/>
      </w:pPr>
    </w:p>
    <w:sectPr w:rsidR="0049675D" w:rsidSect="00B456E8">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136F0A" w14:textId="77777777" w:rsidR="00DB136B" w:rsidRDefault="00DB136B" w:rsidP="0011462D">
      <w:r>
        <w:separator/>
      </w:r>
    </w:p>
    <w:p w14:paraId="3A979D43" w14:textId="77777777" w:rsidR="00DB136B" w:rsidRDefault="00DB136B" w:rsidP="0011462D"/>
  </w:endnote>
  <w:endnote w:type="continuationSeparator" w:id="0">
    <w:p w14:paraId="6AB15512" w14:textId="77777777" w:rsidR="00DB136B" w:rsidRDefault="00DB136B" w:rsidP="0011462D">
      <w:r>
        <w:continuationSeparator/>
      </w:r>
    </w:p>
    <w:p w14:paraId="301988CE" w14:textId="77777777" w:rsidR="00DB136B" w:rsidRDefault="00DB136B" w:rsidP="001146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B1B91" w14:textId="77777777" w:rsidR="00DB136B" w:rsidRDefault="00DB136B" w:rsidP="00823642">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E3D3F40" w14:textId="77777777" w:rsidR="00DB136B" w:rsidRDefault="00DB136B" w:rsidP="00823642">
    <w:pPr>
      <w:pStyle w:val="Footer"/>
    </w:pPr>
  </w:p>
  <w:p w14:paraId="2EB04F38" w14:textId="77777777" w:rsidR="00DB136B" w:rsidRDefault="00DB136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3AB0A" w14:textId="057B2E77" w:rsidR="00DB136B" w:rsidRDefault="00DB136B" w:rsidP="00D03DA3">
    <w:pPr>
      <w:pStyle w:val="Footer"/>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D4215E">
      <w:rPr>
        <w:rStyle w:val="PageNumber"/>
        <w:noProof/>
      </w:rPr>
      <w:t>2</w:t>
    </w:r>
    <w:r>
      <w:rPr>
        <w:rStyle w:val="PageNumber"/>
      </w:rPr>
      <w:fldChar w:fldCharType="end"/>
    </w:r>
  </w:p>
  <w:p w14:paraId="0DE57ADF" w14:textId="77777777" w:rsidR="00DB136B" w:rsidRDefault="00DB136B" w:rsidP="00247E67">
    <w:pPr>
      <w:pStyle w:val="Footer"/>
    </w:pPr>
  </w:p>
  <w:p w14:paraId="37A7877E" w14:textId="77777777" w:rsidR="00DB136B" w:rsidRDefault="00DB136B" w:rsidP="0011462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E1DBA" w14:textId="77777777" w:rsidR="001F7D04" w:rsidRDefault="001F7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5F4C9B" w14:textId="77777777" w:rsidR="00DB136B" w:rsidRDefault="00DB136B" w:rsidP="0011462D">
      <w:r>
        <w:separator/>
      </w:r>
    </w:p>
    <w:p w14:paraId="440AC01B" w14:textId="77777777" w:rsidR="00DB136B" w:rsidRDefault="00DB136B" w:rsidP="0011462D"/>
  </w:footnote>
  <w:footnote w:type="continuationSeparator" w:id="0">
    <w:p w14:paraId="1135036D" w14:textId="77777777" w:rsidR="00DB136B" w:rsidRDefault="00DB136B" w:rsidP="0011462D">
      <w:r>
        <w:continuationSeparator/>
      </w:r>
    </w:p>
    <w:p w14:paraId="39D117AF" w14:textId="77777777" w:rsidR="00DB136B" w:rsidRDefault="00DB136B" w:rsidP="0011462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08905" w14:textId="77777777" w:rsidR="001F7D04" w:rsidRDefault="001F7D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DD0B6" w14:textId="5F63D1C9" w:rsidR="00DB136B" w:rsidRPr="00974B01" w:rsidRDefault="00DB136B" w:rsidP="00974B01">
    <w:pPr>
      <w:pStyle w:val="Header"/>
    </w:pPr>
    <w:r w:rsidRPr="00974B01">
      <w:rPr>
        <w:sz w:val="20"/>
        <w:szCs w:val="20"/>
      </w:rPr>
      <w:t>Fulvestrant for untreated HR+ locally advanced or metastatic breast cancer: an ERG perspective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F47E2" w14:textId="77777777" w:rsidR="001F7D04" w:rsidRDefault="001F7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5E240E5E"/>
    <w:lvl w:ilvl="0">
      <w:start w:val="1"/>
      <w:numFmt w:val="bullet"/>
      <w:pStyle w:val="Numberedheading3"/>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B60A435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50784B"/>
    <w:multiLevelType w:val="hybridMultilevel"/>
    <w:tmpl w:val="4DC6F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AA6101"/>
    <w:multiLevelType w:val="hybridMultilevel"/>
    <w:tmpl w:val="768A309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2C87395"/>
    <w:multiLevelType w:val="hybridMultilevel"/>
    <w:tmpl w:val="D098CF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CB7D91"/>
    <w:multiLevelType w:val="hybridMultilevel"/>
    <w:tmpl w:val="BFA6EE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B67084"/>
    <w:multiLevelType w:val="hybridMultilevel"/>
    <w:tmpl w:val="6C5CA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BCB0E1C"/>
    <w:multiLevelType w:val="multilevel"/>
    <w:tmpl w:val="C71C2F9C"/>
    <w:lvl w:ilvl="0">
      <w:start w:val="1"/>
      <w:numFmt w:val="decimal"/>
      <w:pStyle w:val="List1ai"/>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2E35066"/>
    <w:multiLevelType w:val="hybridMultilevel"/>
    <w:tmpl w:val="32AC3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F156B8"/>
    <w:multiLevelType w:val="hybridMultilevel"/>
    <w:tmpl w:val="3EA24034"/>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F70F8E"/>
    <w:multiLevelType w:val="hybridMultilevel"/>
    <w:tmpl w:val="C9E29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A11109"/>
    <w:multiLevelType w:val="hybridMultilevel"/>
    <w:tmpl w:val="CBA4EA98"/>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51464B"/>
    <w:multiLevelType w:val="hybridMultilevel"/>
    <w:tmpl w:val="056E9EE6"/>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4A34204"/>
    <w:multiLevelType w:val="hybridMultilevel"/>
    <w:tmpl w:val="BF186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ED5B86"/>
    <w:multiLevelType w:val="multilevel"/>
    <w:tmpl w:val="E4FE6FA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2A4717BF"/>
    <w:multiLevelType w:val="hybridMultilevel"/>
    <w:tmpl w:val="713808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110F82"/>
    <w:multiLevelType w:val="multilevel"/>
    <w:tmpl w:val="39B2AE4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03640F4"/>
    <w:multiLevelType w:val="hybridMultilevel"/>
    <w:tmpl w:val="755A5B2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375EBC"/>
    <w:multiLevelType w:val="hybridMultilevel"/>
    <w:tmpl w:val="3794737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1759DC"/>
    <w:multiLevelType w:val="hybridMultilevel"/>
    <w:tmpl w:val="2D9AB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7B3683"/>
    <w:multiLevelType w:val="hybridMultilevel"/>
    <w:tmpl w:val="817ACA44"/>
    <w:lvl w:ilvl="0" w:tplc="5CA237D2">
      <w:start w:val="1"/>
      <w:numFmt w:val="lowerRoman"/>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66C7FA1"/>
    <w:multiLevelType w:val="hybridMultilevel"/>
    <w:tmpl w:val="28DE2A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05455D"/>
    <w:multiLevelType w:val="hybridMultilevel"/>
    <w:tmpl w:val="3E1C46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63265B"/>
    <w:multiLevelType w:val="multilevel"/>
    <w:tmpl w:val="E5B86C5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3597D61"/>
    <w:multiLevelType w:val="hybridMultilevel"/>
    <w:tmpl w:val="418AA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C76F97"/>
    <w:multiLevelType w:val="hybridMultilevel"/>
    <w:tmpl w:val="65443E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FD5FF3"/>
    <w:multiLevelType w:val="hybridMultilevel"/>
    <w:tmpl w:val="4AF4F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45157E"/>
    <w:multiLevelType w:val="hybridMultilevel"/>
    <w:tmpl w:val="7D70A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CD2C17"/>
    <w:multiLevelType w:val="hybridMultilevel"/>
    <w:tmpl w:val="4D788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E22C8D"/>
    <w:multiLevelType w:val="hybridMultilevel"/>
    <w:tmpl w:val="B19C3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376B43"/>
    <w:multiLevelType w:val="hybridMultilevel"/>
    <w:tmpl w:val="7A905A48"/>
    <w:lvl w:ilvl="0" w:tplc="08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715065BC">
      <w:start w:val="1"/>
      <w:numFmt w:val="bullet"/>
      <w:lvlRestart w:val="0"/>
      <w:lvlText w:val="o"/>
      <w:lvlJc w:val="left"/>
      <w:pPr>
        <w:tabs>
          <w:tab w:val="num" w:pos="2163"/>
        </w:tabs>
        <w:ind w:left="2163" w:hanging="363"/>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1C5383"/>
    <w:multiLevelType w:val="multilevel"/>
    <w:tmpl w:val="B39626E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2A07AE6"/>
    <w:multiLevelType w:val="singleLevel"/>
    <w:tmpl w:val="CF128CBE"/>
    <w:lvl w:ilvl="0">
      <w:start w:val="1"/>
      <w:numFmt w:val="decimal"/>
      <w:pStyle w:val="audit"/>
      <w:lvlText w:val="%1."/>
      <w:lvlJc w:val="left"/>
      <w:pPr>
        <w:tabs>
          <w:tab w:val="num" w:pos="360"/>
        </w:tabs>
        <w:ind w:left="360" w:hanging="360"/>
      </w:pPr>
      <w:rPr>
        <w:rFonts w:hint="default"/>
      </w:rPr>
    </w:lvl>
  </w:abstractNum>
  <w:abstractNum w:abstractNumId="33" w15:restartNumberingAfterBreak="0">
    <w:nsid w:val="54E64B7C"/>
    <w:multiLevelType w:val="hybridMultilevel"/>
    <w:tmpl w:val="24D0A3B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EE7D56"/>
    <w:multiLevelType w:val="hybridMultilevel"/>
    <w:tmpl w:val="27AEC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8B23A3"/>
    <w:multiLevelType w:val="hybridMultilevel"/>
    <w:tmpl w:val="34449A0A"/>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C835850"/>
    <w:multiLevelType w:val="hybridMultilevel"/>
    <w:tmpl w:val="3D60F1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99492F"/>
    <w:multiLevelType w:val="hybridMultilevel"/>
    <w:tmpl w:val="C0F61FD2"/>
    <w:lvl w:ilvl="0" w:tplc="3E16408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50004F"/>
    <w:multiLevelType w:val="hybridMultilevel"/>
    <w:tmpl w:val="E1FE9282"/>
    <w:lvl w:ilvl="0" w:tplc="04090003">
      <w:start w:val="1"/>
      <w:numFmt w:val="bullet"/>
      <w:lvlText w:val="o"/>
      <w:lvlJc w:val="left"/>
      <w:pPr>
        <w:tabs>
          <w:tab w:val="num" w:pos="1440"/>
        </w:tabs>
        <w:ind w:left="144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1BC3590"/>
    <w:multiLevelType w:val="multilevel"/>
    <w:tmpl w:val="F612B08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66214BE9"/>
    <w:multiLevelType w:val="hybridMultilevel"/>
    <w:tmpl w:val="F5822020"/>
    <w:lvl w:ilvl="0" w:tplc="208A9D3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C311AE"/>
    <w:multiLevelType w:val="hybridMultilevel"/>
    <w:tmpl w:val="CEE01E5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7D63D1E"/>
    <w:multiLevelType w:val="hybridMultilevel"/>
    <w:tmpl w:val="B8A078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EBD0B6D"/>
    <w:multiLevelType w:val="hybridMultilevel"/>
    <w:tmpl w:val="027C8EE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EE75336"/>
    <w:multiLevelType w:val="hybridMultilevel"/>
    <w:tmpl w:val="02F0EA3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1D1CBB"/>
    <w:multiLevelType w:val="hybridMultilevel"/>
    <w:tmpl w:val="EBF84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3583C56"/>
    <w:multiLevelType w:val="hybridMultilevel"/>
    <w:tmpl w:val="C24C9A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4D73251"/>
    <w:multiLevelType w:val="hybridMultilevel"/>
    <w:tmpl w:val="3A6A6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AA67E89"/>
    <w:multiLevelType w:val="multilevel"/>
    <w:tmpl w:val="787A4A6E"/>
    <w:lvl w:ilvl="0">
      <w:start w:val="1"/>
      <w:numFmt w:val="decimal"/>
      <w:pStyle w:val="ListNumbered"/>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7B7C0A54"/>
    <w:multiLevelType w:val="hybridMultilevel"/>
    <w:tmpl w:val="DB9229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4"/>
  </w:num>
  <w:num w:numId="3">
    <w:abstractNumId w:val="39"/>
  </w:num>
  <w:num w:numId="4">
    <w:abstractNumId w:val="31"/>
  </w:num>
  <w:num w:numId="5">
    <w:abstractNumId w:val="16"/>
  </w:num>
  <w:num w:numId="6">
    <w:abstractNumId w:val="32"/>
  </w:num>
  <w:num w:numId="7">
    <w:abstractNumId w:val="24"/>
  </w:num>
  <w:num w:numId="8">
    <w:abstractNumId w:val="21"/>
  </w:num>
  <w:num w:numId="9">
    <w:abstractNumId w:val="20"/>
  </w:num>
  <w:num w:numId="10">
    <w:abstractNumId w:val="25"/>
  </w:num>
  <w:num w:numId="11">
    <w:abstractNumId w:val="36"/>
  </w:num>
  <w:num w:numId="12">
    <w:abstractNumId w:val="22"/>
  </w:num>
  <w:num w:numId="13">
    <w:abstractNumId w:val="46"/>
  </w:num>
  <w:num w:numId="14">
    <w:abstractNumId w:val="4"/>
  </w:num>
  <w:num w:numId="15">
    <w:abstractNumId w:val="15"/>
  </w:num>
  <w:num w:numId="16">
    <w:abstractNumId w:val="5"/>
  </w:num>
  <w:num w:numId="17">
    <w:abstractNumId w:val="49"/>
  </w:num>
  <w:num w:numId="18">
    <w:abstractNumId w:val="12"/>
  </w:num>
  <w:num w:numId="19">
    <w:abstractNumId w:val="17"/>
  </w:num>
  <w:num w:numId="20">
    <w:abstractNumId w:val="35"/>
  </w:num>
  <w:num w:numId="21">
    <w:abstractNumId w:val="30"/>
  </w:num>
  <w:num w:numId="22">
    <w:abstractNumId w:val="41"/>
  </w:num>
  <w:num w:numId="23">
    <w:abstractNumId w:val="3"/>
  </w:num>
  <w:num w:numId="24">
    <w:abstractNumId w:val="33"/>
  </w:num>
  <w:num w:numId="25">
    <w:abstractNumId w:val="9"/>
  </w:num>
  <w:num w:numId="26">
    <w:abstractNumId w:val="11"/>
  </w:num>
  <w:num w:numId="27">
    <w:abstractNumId w:val="18"/>
  </w:num>
  <w:num w:numId="28">
    <w:abstractNumId w:val="38"/>
  </w:num>
  <w:num w:numId="29">
    <w:abstractNumId w:val="26"/>
  </w:num>
  <w:num w:numId="30">
    <w:abstractNumId w:val="43"/>
  </w:num>
  <w:num w:numId="31">
    <w:abstractNumId w:val="44"/>
  </w:num>
  <w:num w:numId="32">
    <w:abstractNumId w:val="42"/>
  </w:num>
  <w:num w:numId="33">
    <w:abstractNumId w:val="37"/>
  </w:num>
  <w:num w:numId="34">
    <w:abstractNumId w:val="23"/>
  </w:num>
  <w:num w:numId="35">
    <w:abstractNumId w:val="1"/>
  </w:num>
  <w:num w:numId="36">
    <w:abstractNumId w:val="7"/>
  </w:num>
  <w:num w:numId="37">
    <w:abstractNumId w:val="48"/>
  </w:num>
  <w:num w:numId="38">
    <w:abstractNumId w:val="19"/>
  </w:num>
  <w:num w:numId="39">
    <w:abstractNumId w:val="8"/>
  </w:num>
  <w:num w:numId="40">
    <w:abstractNumId w:val="6"/>
  </w:num>
  <w:num w:numId="41">
    <w:abstractNumId w:val="40"/>
  </w:num>
  <w:num w:numId="42">
    <w:abstractNumId w:val="28"/>
  </w:num>
  <w:num w:numId="43">
    <w:abstractNumId w:val="47"/>
  </w:num>
  <w:num w:numId="44">
    <w:abstractNumId w:val="34"/>
  </w:num>
  <w:num w:numId="45">
    <w:abstractNumId w:val="27"/>
  </w:num>
  <w:num w:numId="46">
    <w:abstractNumId w:val="45"/>
  </w:num>
  <w:num w:numId="47">
    <w:abstractNumId w:val="10"/>
  </w:num>
  <w:num w:numId="48">
    <w:abstractNumId w:val="2"/>
  </w:num>
  <w:num w:numId="49">
    <w:abstractNumId w:val="13"/>
  </w:num>
  <w:num w:numId="50">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4"/>
  <w:defaultTabStop w:val="72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SpringerVancouverNumber&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rd9v5wafvwpwdedasvpa05lvp99xxw09a25&quot;&gt;endnote library 19th Oct wg&lt;record-ids&gt;&lt;item&gt;1&lt;/item&gt;&lt;item&gt;2&lt;/item&gt;&lt;item&gt;3&lt;/item&gt;&lt;item&gt;4&lt;/item&gt;&lt;item&gt;5&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record-ids&gt;&lt;/item&gt;&lt;/Libraries&gt;"/>
  </w:docVars>
  <w:rsids>
    <w:rsidRoot w:val="00D83243"/>
    <w:rsid w:val="00014512"/>
    <w:rsid w:val="00025C65"/>
    <w:rsid w:val="00027685"/>
    <w:rsid w:val="00027C36"/>
    <w:rsid w:val="00034287"/>
    <w:rsid w:val="000350C8"/>
    <w:rsid w:val="00035261"/>
    <w:rsid w:val="00036EA6"/>
    <w:rsid w:val="00043D11"/>
    <w:rsid w:val="000441F0"/>
    <w:rsid w:val="00054094"/>
    <w:rsid w:val="00067FF3"/>
    <w:rsid w:val="00073CEF"/>
    <w:rsid w:val="00076B01"/>
    <w:rsid w:val="00084E0E"/>
    <w:rsid w:val="00086371"/>
    <w:rsid w:val="00087BF9"/>
    <w:rsid w:val="000932E6"/>
    <w:rsid w:val="00095CD3"/>
    <w:rsid w:val="000A5F93"/>
    <w:rsid w:val="000A65C4"/>
    <w:rsid w:val="000B007C"/>
    <w:rsid w:val="000B16D3"/>
    <w:rsid w:val="000B1768"/>
    <w:rsid w:val="000B5717"/>
    <w:rsid w:val="000B697B"/>
    <w:rsid w:val="000C0DCC"/>
    <w:rsid w:val="000C1D6F"/>
    <w:rsid w:val="000C34CD"/>
    <w:rsid w:val="000C7666"/>
    <w:rsid w:val="000D1719"/>
    <w:rsid w:val="000D1D00"/>
    <w:rsid w:val="000E2B3E"/>
    <w:rsid w:val="000E376D"/>
    <w:rsid w:val="000F7B3A"/>
    <w:rsid w:val="00100E8A"/>
    <w:rsid w:val="001024A5"/>
    <w:rsid w:val="00105D3F"/>
    <w:rsid w:val="00105E06"/>
    <w:rsid w:val="0011462D"/>
    <w:rsid w:val="00114FEE"/>
    <w:rsid w:val="001168A2"/>
    <w:rsid w:val="0013225D"/>
    <w:rsid w:val="00134F18"/>
    <w:rsid w:val="001419EB"/>
    <w:rsid w:val="00146A10"/>
    <w:rsid w:val="00151393"/>
    <w:rsid w:val="00152E4B"/>
    <w:rsid w:val="001560B5"/>
    <w:rsid w:val="001670C2"/>
    <w:rsid w:val="00171E76"/>
    <w:rsid w:val="00181866"/>
    <w:rsid w:val="00183919"/>
    <w:rsid w:val="00185740"/>
    <w:rsid w:val="00187A7F"/>
    <w:rsid w:val="00190F35"/>
    <w:rsid w:val="00193F0D"/>
    <w:rsid w:val="00195928"/>
    <w:rsid w:val="001A1441"/>
    <w:rsid w:val="001A434C"/>
    <w:rsid w:val="001A43B9"/>
    <w:rsid w:val="001A601B"/>
    <w:rsid w:val="001B3110"/>
    <w:rsid w:val="001B75B9"/>
    <w:rsid w:val="001C1A1A"/>
    <w:rsid w:val="001D08BB"/>
    <w:rsid w:val="001D1B82"/>
    <w:rsid w:val="001D41BC"/>
    <w:rsid w:val="001E0085"/>
    <w:rsid w:val="001E1214"/>
    <w:rsid w:val="001E146C"/>
    <w:rsid w:val="001E73EB"/>
    <w:rsid w:val="001F0893"/>
    <w:rsid w:val="001F11F7"/>
    <w:rsid w:val="001F7D04"/>
    <w:rsid w:val="00201916"/>
    <w:rsid w:val="00203749"/>
    <w:rsid w:val="0020394A"/>
    <w:rsid w:val="00205D75"/>
    <w:rsid w:val="00206037"/>
    <w:rsid w:val="00210704"/>
    <w:rsid w:val="00213F1D"/>
    <w:rsid w:val="0021686C"/>
    <w:rsid w:val="00216C00"/>
    <w:rsid w:val="00220F74"/>
    <w:rsid w:val="0022102E"/>
    <w:rsid w:val="002252C8"/>
    <w:rsid w:val="00225DDB"/>
    <w:rsid w:val="0022682C"/>
    <w:rsid w:val="00227E5E"/>
    <w:rsid w:val="00231158"/>
    <w:rsid w:val="00233204"/>
    <w:rsid w:val="00233968"/>
    <w:rsid w:val="002354AF"/>
    <w:rsid w:val="00242C6D"/>
    <w:rsid w:val="00247693"/>
    <w:rsid w:val="00247E67"/>
    <w:rsid w:val="00251782"/>
    <w:rsid w:val="00255688"/>
    <w:rsid w:val="002556F7"/>
    <w:rsid w:val="002654E8"/>
    <w:rsid w:val="0026799E"/>
    <w:rsid w:val="002760AF"/>
    <w:rsid w:val="00281460"/>
    <w:rsid w:val="002900B3"/>
    <w:rsid w:val="002A2F8F"/>
    <w:rsid w:val="002A6BC0"/>
    <w:rsid w:val="002A7A78"/>
    <w:rsid w:val="002B28C3"/>
    <w:rsid w:val="002B36C1"/>
    <w:rsid w:val="002B5523"/>
    <w:rsid w:val="002B63B4"/>
    <w:rsid w:val="002C189B"/>
    <w:rsid w:val="002C2D90"/>
    <w:rsid w:val="002D22E3"/>
    <w:rsid w:val="002D6113"/>
    <w:rsid w:val="002E02FF"/>
    <w:rsid w:val="002E52F2"/>
    <w:rsid w:val="002E6140"/>
    <w:rsid w:val="002F4532"/>
    <w:rsid w:val="002F551B"/>
    <w:rsid w:val="002F5D16"/>
    <w:rsid w:val="002F71D7"/>
    <w:rsid w:val="00301D76"/>
    <w:rsid w:val="0030210D"/>
    <w:rsid w:val="003037F9"/>
    <w:rsid w:val="003046E0"/>
    <w:rsid w:val="00310513"/>
    <w:rsid w:val="00311BDA"/>
    <w:rsid w:val="003121C0"/>
    <w:rsid w:val="00313F2D"/>
    <w:rsid w:val="00315FC0"/>
    <w:rsid w:val="00343108"/>
    <w:rsid w:val="003450D5"/>
    <w:rsid w:val="00346615"/>
    <w:rsid w:val="003472D2"/>
    <w:rsid w:val="0035567F"/>
    <w:rsid w:val="003574E0"/>
    <w:rsid w:val="003673AB"/>
    <w:rsid w:val="00382F4F"/>
    <w:rsid w:val="0038743B"/>
    <w:rsid w:val="00387ECA"/>
    <w:rsid w:val="003A2CA6"/>
    <w:rsid w:val="003A3038"/>
    <w:rsid w:val="003B3FBC"/>
    <w:rsid w:val="003C222C"/>
    <w:rsid w:val="003C652B"/>
    <w:rsid w:val="003C7243"/>
    <w:rsid w:val="003D39DA"/>
    <w:rsid w:val="003E488D"/>
    <w:rsid w:val="003E5A38"/>
    <w:rsid w:val="003E5A9B"/>
    <w:rsid w:val="003E6D10"/>
    <w:rsid w:val="003E7475"/>
    <w:rsid w:val="003E7AE2"/>
    <w:rsid w:val="003F0AD7"/>
    <w:rsid w:val="003F2F71"/>
    <w:rsid w:val="003F5AB4"/>
    <w:rsid w:val="003F6095"/>
    <w:rsid w:val="004029AB"/>
    <w:rsid w:val="00404EC5"/>
    <w:rsid w:val="00410CB8"/>
    <w:rsid w:val="00411080"/>
    <w:rsid w:val="004117EB"/>
    <w:rsid w:val="004158DF"/>
    <w:rsid w:val="00420735"/>
    <w:rsid w:val="00421DB2"/>
    <w:rsid w:val="00424444"/>
    <w:rsid w:val="00430498"/>
    <w:rsid w:val="004331AE"/>
    <w:rsid w:val="004345E4"/>
    <w:rsid w:val="0043550D"/>
    <w:rsid w:val="004364A6"/>
    <w:rsid w:val="0043721E"/>
    <w:rsid w:val="00442040"/>
    <w:rsid w:val="004479D5"/>
    <w:rsid w:val="0045026D"/>
    <w:rsid w:val="00450E59"/>
    <w:rsid w:val="0045281E"/>
    <w:rsid w:val="00455021"/>
    <w:rsid w:val="0046423F"/>
    <w:rsid w:val="00467023"/>
    <w:rsid w:val="00470B63"/>
    <w:rsid w:val="00471CD4"/>
    <w:rsid w:val="00475F21"/>
    <w:rsid w:val="004809E1"/>
    <w:rsid w:val="00480BCB"/>
    <w:rsid w:val="00482030"/>
    <w:rsid w:val="0048620C"/>
    <w:rsid w:val="00491394"/>
    <w:rsid w:val="004922A0"/>
    <w:rsid w:val="00493421"/>
    <w:rsid w:val="00493EE2"/>
    <w:rsid w:val="00496163"/>
    <w:rsid w:val="0049675D"/>
    <w:rsid w:val="004A1070"/>
    <w:rsid w:val="004A1461"/>
    <w:rsid w:val="004A4A81"/>
    <w:rsid w:val="004A7CBA"/>
    <w:rsid w:val="004B1EB4"/>
    <w:rsid w:val="004C2E69"/>
    <w:rsid w:val="004C3FE8"/>
    <w:rsid w:val="004C5E6E"/>
    <w:rsid w:val="004D02B4"/>
    <w:rsid w:val="004D07BF"/>
    <w:rsid w:val="004E10BD"/>
    <w:rsid w:val="004E1737"/>
    <w:rsid w:val="004E2646"/>
    <w:rsid w:val="004E5099"/>
    <w:rsid w:val="004E7C96"/>
    <w:rsid w:val="004E7E88"/>
    <w:rsid w:val="004F06A2"/>
    <w:rsid w:val="00513C81"/>
    <w:rsid w:val="005168B2"/>
    <w:rsid w:val="00520E8B"/>
    <w:rsid w:val="00527834"/>
    <w:rsid w:val="005354D2"/>
    <w:rsid w:val="00536AFD"/>
    <w:rsid w:val="00536E72"/>
    <w:rsid w:val="0053734A"/>
    <w:rsid w:val="00540023"/>
    <w:rsid w:val="005425D7"/>
    <w:rsid w:val="00545591"/>
    <w:rsid w:val="00550C56"/>
    <w:rsid w:val="00561731"/>
    <w:rsid w:val="005618D4"/>
    <w:rsid w:val="005663B1"/>
    <w:rsid w:val="00571AA5"/>
    <w:rsid w:val="00580813"/>
    <w:rsid w:val="00590DA9"/>
    <w:rsid w:val="005923C1"/>
    <w:rsid w:val="005A0F09"/>
    <w:rsid w:val="005A359A"/>
    <w:rsid w:val="005A67F9"/>
    <w:rsid w:val="005B116F"/>
    <w:rsid w:val="005B756D"/>
    <w:rsid w:val="005C1F12"/>
    <w:rsid w:val="005C73BB"/>
    <w:rsid w:val="005D06FE"/>
    <w:rsid w:val="005D7163"/>
    <w:rsid w:val="005E17F4"/>
    <w:rsid w:val="005E24CB"/>
    <w:rsid w:val="005E3109"/>
    <w:rsid w:val="00600929"/>
    <w:rsid w:val="00603E4E"/>
    <w:rsid w:val="006052D1"/>
    <w:rsid w:val="00611A5F"/>
    <w:rsid w:val="00615E2D"/>
    <w:rsid w:val="00631E64"/>
    <w:rsid w:val="00640578"/>
    <w:rsid w:val="00643D70"/>
    <w:rsid w:val="00654052"/>
    <w:rsid w:val="00656313"/>
    <w:rsid w:val="0066034B"/>
    <w:rsid w:val="00664B50"/>
    <w:rsid w:val="00667453"/>
    <w:rsid w:val="00671CB2"/>
    <w:rsid w:val="00673F1F"/>
    <w:rsid w:val="006811DA"/>
    <w:rsid w:val="006874D1"/>
    <w:rsid w:val="00692D42"/>
    <w:rsid w:val="006978A9"/>
    <w:rsid w:val="006A04DA"/>
    <w:rsid w:val="006A1A70"/>
    <w:rsid w:val="006A3061"/>
    <w:rsid w:val="006A78C8"/>
    <w:rsid w:val="006B0F09"/>
    <w:rsid w:val="006B122F"/>
    <w:rsid w:val="006C08DB"/>
    <w:rsid w:val="006C0FB2"/>
    <w:rsid w:val="006C25AB"/>
    <w:rsid w:val="006C3457"/>
    <w:rsid w:val="006C56C8"/>
    <w:rsid w:val="006C65F5"/>
    <w:rsid w:val="006C76D3"/>
    <w:rsid w:val="006D370E"/>
    <w:rsid w:val="006E254D"/>
    <w:rsid w:val="006E377A"/>
    <w:rsid w:val="006E522E"/>
    <w:rsid w:val="006E7F8B"/>
    <w:rsid w:val="006F41B5"/>
    <w:rsid w:val="006F61D0"/>
    <w:rsid w:val="006F6791"/>
    <w:rsid w:val="00707188"/>
    <w:rsid w:val="00710274"/>
    <w:rsid w:val="00713346"/>
    <w:rsid w:val="007137F5"/>
    <w:rsid w:val="00723807"/>
    <w:rsid w:val="00726F25"/>
    <w:rsid w:val="0072763F"/>
    <w:rsid w:val="00733902"/>
    <w:rsid w:val="00740509"/>
    <w:rsid w:val="00752E87"/>
    <w:rsid w:val="0075361C"/>
    <w:rsid w:val="00754718"/>
    <w:rsid w:val="0076083A"/>
    <w:rsid w:val="00761D10"/>
    <w:rsid w:val="007655F0"/>
    <w:rsid w:val="007717A0"/>
    <w:rsid w:val="00772630"/>
    <w:rsid w:val="0077302A"/>
    <w:rsid w:val="00775C6A"/>
    <w:rsid w:val="00777F5B"/>
    <w:rsid w:val="0078104C"/>
    <w:rsid w:val="00781832"/>
    <w:rsid w:val="007846FE"/>
    <w:rsid w:val="00790934"/>
    <w:rsid w:val="00793CCE"/>
    <w:rsid w:val="007A0805"/>
    <w:rsid w:val="007A0B92"/>
    <w:rsid w:val="007A65A0"/>
    <w:rsid w:val="007A7582"/>
    <w:rsid w:val="007B3B49"/>
    <w:rsid w:val="007C557D"/>
    <w:rsid w:val="007C58C6"/>
    <w:rsid w:val="007C5C4D"/>
    <w:rsid w:val="007D2FB1"/>
    <w:rsid w:val="007D43FE"/>
    <w:rsid w:val="007E0E27"/>
    <w:rsid w:val="007E4D97"/>
    <w:rsid w:val="007E64C4"/>
    <w:rsid w:val="007F3EF9"/>
    <w:rsid w:val="007F65C1"/>
    <w:rsid w:val="008009DD"/>
    <w:rsid w:val="00806448"/>
    <w:rsid w:val="00811903"/>
    <w:rsid w:val="00811B2B"/>
    <w:rsid w:val="008133A1"/>
    <w:rsid w:val="00817DFF"/>
    <w:rsid w:val="00823642"/>
    <w:rsid w:val="00827A45"/>
    <w:rsid w:val="00836EA4"/>
    <w:rsid w:val="00845F75"/>
    <w:rsid w:val="008473EC"/>
    <w:rsid w:val="00851420"/>
    <w:rsid w:val="008522A8"/>
    <w:rsid w:val="008573A6"/>
    <w:rsid w:val="0086047C"/>
    <w:rsid w:val="0087158D"/>
    <w:rsid w:val="0087544C"/>
    <w:rsid w:val="00877737"/>
    <w:rsid w:val="0088323F"/>
    <w:rsid w:val="00883AA1"/>
    <w:rsid w:val="008866B6"/>
    <w:rsid w:val="0088688C"/>
    <w:rsid w:val="0089035E"/>
    <w:rsid w:val="00890789"/>
    <w:rsid w:val="00895F2C"/>
    <w:rsid w:val="008A1ABA"/>
    <w:rsid w:val="008A2075"/>
    <w:rsid w:val="008A26C6"/>
    <w:rsid w:val="008A4671"/>
    <w:rsid w:val="008A4EEA"/>
    <w:rsid w:val="008A50FE"/>
    <w:rsid w:val="008A6006"/>
    <w:rsid w:val="008A61CC"/>
    <w:rsid w:val="008A64A0"/>
    <w:rsid w:val="008A72CA"/>
    <w:rsid w:val="008C28F3"/>
    <w:rsid w:val="008C33AB"/>
    <w:rsid w:val="008D5E2E"/>
    <w:rsid w:val="008D7BDC"/>
    <w:rsid w:val="008E09E9"/>
    <w:rsid w:val="008E325F"/>
    <w:rsid w:val="008E5F54"/>
    <w:rsid w:val="008F33DD"/>
    <w:rsid w:val="008F3BCD"/>
    <w:rsid w:val="00902832"/>
    <w:rsid w:val="0090338C"/>
    <w:rsid w:val="009055BE"/>
    <w:rsid w:val="00913B9D"/>
    <w:rsid w:val="00921BA5"/>
    <w:rsid w:val="00924637"/>
    <w:rsid w:val="00926283"/>
    <w:rsid w:val="00926752"/>
    <w:rsid w:val="00933F3D"/>
    <w:rsid w:val="00936111"/>
    <w:rsid w:val="009413A7"/>
    <w:rsid w:val="009434B5"/>
    <w:rsid w:val="00945E16"/>
    <w:rsid w:val="00951B0C"/>
    <w:rsid w:val="00960B39"/>
    <w:rsid w:val="00966A07"/>
    <w:rsid w:val="00974232"/>
    <w:rsid w:val="00974B01"/>
    <w:rsid w:val="0098112B"/>
    <w:rsid w:val="00982378"/>
    <w:rsid w:val="00983401"/>
    <w:rsid w:val="00984589"/>
    <w:rsid w:val="00993FE4"/>
    <w:rsid w:val="0099559C"/>
    <w:rsid w:val="00995B1B"/>
    <w:rsid w:val="009A324F"/>
    <w:rsid w:val="009A4D3C"/>
    <w:rsid w:val="009A5BCC"/>
    <w:rsid w:val="009A5F83"/>
    <w:rsid w:val="009A639C"/>
    <w:rsid w:val="009B1862"/>
    <w:rsid w:val="009B71B3"/>
    <w:rsid w:val="009C1326"/>
    <w:rsid w:val="009C3681"/>
    <w:rsid w:val="009C49CC"/>
    <w:rsid w:val="009C7216"/>
    <w:rsid w:val="009D223A"/>
    <w:rsid w:val="009D3586"/>
    <w:rsid w:val="009D5AE6"/>
    <w:rsid w:val="009E5109"/>
    <w:rsid w:val="009F3D25"/>
    <w:rsid w:val="00A01356"/>
    <w:rsid w:val="00A0297B"/>
    <w:rsid w:val="00A073FB"/>
    <w:rsid w:val="00A07F60"/>
    <w:rsid w:val="00A11CE3"/>
    <w:rsid w:val="00A11D21"/>
    <w:rsid w:val="00A12559"/>
    <w:rsid w:val="00A128DF"/>
    <w:rsid w:val="00A14D64"/>
    <w:rsid w:val="00A2280D"/>
    <w:rsid w:val="00A242DD"/>
    <w:rsid w:val="00A26400"/>
    <w:rsid w:val="00A27677"/>
    <w:rsid w:val="00A3189A"/>
    <w:rsid w:val="00A3207E"/>
    <w:rsid w:val="00A32344"/>
    <w:rsid w:val="00A330BE"/>
    <w:rsid w:val="00A3566D"/>
    <w:rsid w:val="00A37BC2"/>
    <w:rsid w:val="00A42CC9"/>
    <w:rsid w:val="00A45B61"/>
    <w:rsid w:val="00A53AA9"/>
    <w:rsid w:val="00A54897"/>
    <w:rsid w:val="00A57FB5"/>
    <w:rsid w:val="00A63557"/>
    <w:rsid w:val="00A64E84"/>
    <w:rsid w:val="00A74B17"/>
    <w:rsid w:val="00A77F41"/>
    <w:rsid w:val="00A86418"/>
    <w:rsid w:val="00A9083B"/>
    <w:rsid w:val="00A937D3"/>
    <w:rsid w:val="00AA66E3"/>
    <w:rsid w:val="00AB22D3"/>
    <w:rsid w:val="00AB3077"/>
    <w:rsid w:val="00AB3CFC"/>
    <w:rsid w:val="00AB433C"/>
    <w:rsid w:val="00AC53A8"/>
    <w:rsid w:val="00AD07B9"/>
    <w:rsid w:val="00AD5005"/>
    <w:rsid w:val="00AE13D3"/>
    <w:rsid w:val="00AE2B1E"/>
    <w:rsid w:val="00AE2DCF"/>
    <w:rsid w:val="00AE5B7B"/>
    <w:rsid w:val="00AE715A"/>
    <w:rsid w:val="00AE7637"/>
    <w:rsid w:val="00B001A7"/>
    <w:rsid w:val="00B1303C"/>
    <w:rsid w:val="00B1459D"/>
    <w:rsid w:val="00B160CE"/>
    <w:rsid w:val="00B17C4D"/>
    <w:rsid w:val="00B20B3E"/>
    <w:rsid w:val="00B2638D"/>
    <w:rsid w:val="00B26D25"/>
    <w:rsid w:val="00B33DE1"/>
    <w:rsid w:val="00B455FB"/>
    <w:rsid w:val="00B456E8"/>
    <w:rsid w:val="00B4755F"/>
    <w:rsid w:val="00B501BF"/>
    <w:rsid w:val="00B53418"/>
    <w:rsid w:val="00B54338"/>
    <w:rsid w:val="00B56331"/>
    <w:rsid w:val="00B6111E"/>
    <w:rsid w:val="00B64AB6"/>
    <w:rsid w:val="00B64E31"/>
    <w:rsid w:val="00B70B7C"/>
    <w:rsid w:val="00B85C11"/>
    <w:rsid w:val="00B85E6D"/>
    <w:rsid w:val="00B87892"/>
    <w:rsid w:val="00B90F35"/>
    <w:rsid w:val="00B9172A"/>
    <w:rsid w:val="00B91E46"/>
    <w:rsid w:val="00B93B01"/>
    <w:rsid w:val="00B97D9D"/>
    <w:rsid w:val="00BA467A"/>
    <w:rsid w:val="00BB028A"/>
    <w:rsid w:val="00BB04E3"/>
    <w:rsid w:val="00BB2691"/>
    <w:rsid w:val="00BB4322"/>
    <w:rsid w:val="00BB5F78"/>
    <w:rsid w:val="00BC1810"/>
    <w:rsid w:val="00BC1E1F"/>
    <w:rsid w:val="00BC7FF3"/>
    <w:rsid w:val="00BD11B3"/>
    <w:rsid w:val="00BD2AD0"/>
    <w:rsid w:val="00BD4AEF"/>
    <w:rsid w:val="00BE1B33"/>
    <w:rsid w:val="00BE441D"/>
    <w:rsid w:val="00BE63B3"/>
    <w:rsid w:val="00BF52EC"/>
    <w:rsid w:val="00BF65A1"/>
    <w:rsid w:val="00C0118F"/>
    <w:rsid w:val="00C01328"/>
    <w:rsid w:val="00C029B0"/>
    <w:rsid w:val="00C143A4"/>
    <w:rsid w:val="00C20D29"/>
    <w:rsid w:val="00C20DCB"/>
    <w:rsid w:val="00C2304A"/>
    <w:rsid w:val="00C31F4B"/>
    <w:rsid w:val="00C41076"/>
    <w:rsid w:val="00C42631"/>
    <w:rsid w:val="00C46396"/>
    <w:rsid w:val="00C50885"/>
    <w:rsid w:val="00C514D7"/>
    <w:rsid w:val="00C53780"/>
    <w:rsid w:val="00C54CA6"/>
    <w:rsid w:val="00C60507"/>
    <w:rsid w:val="00C60DC3"/>
    <w:rsid w:val="00C6137B"/>
    <w:rsid w:val="00C62405"/>
    <w:rsid w:val="00C650E5"/>
    <w:rsid w:val="00C712A7"/>
    <w:rsid w:val="00C740AE"/>
    <w:rsid w:val="00C76E0B"/>
    <w:rsid w:val="00C778A4"/>
    <w:rsid w:val="00C816EC"/>
    <w:rsid w:val="00C82E69"/>
    <w:rsid w:val="00C86F57"/>
    <w:rsid w:val="00C9026F"/>
    <w:rsid w:val="00C91862"/>
    <w:rsid w:val="00CA6A37"/>
    <w:rsid w:val="00CA7E8F"/>
    <w:rsid w:val="00CB4F32"/>
    <w:rsid w:val="00CC6991"/>
    <w:rsid w:val="00CD07A1"/>
    <w:rsid w:val="00CD0FE3"/>
    <w:rsid w:val="00CD3025"/>
    <w:rsid w:val="00CE26A9"/>
    <w:rsid w:val="00CE3930"/>
    <w:rsid w:val="00CE5BFE"/>
    <w:rsid w:val="00CE7A2A"/>
    <w:rsid w:val="00CF2675"/>
    <w:rsid w:val="00CF44E3"/>
    <w:rsid w:val="00D003AC"/>
    <w:rsid w:val="00D0049D"/>
    <w:rsid w:val="00D030E0"/>
    <w:rsid w:val="00D03DA3"/>
    <w:rsid w:val="00D06D56"/>
    <w:rsid w:val="00D07319"/>
    <w:rsid w:val="00D14304"/>
    <w:rsid w:val="00D14308"/>
    <w:rsid w:val="00D15AD8"/>
    <w:rsid w:val="00D174E6"/>
    <w:rsid w:val="00D1780C"/>
    <w:rsid w:val="00D178DF"/>
    <w:rsid w:val="00D210CE"/>
    <w:rsid w:val="00D22926"/>
    <w:rsid w:val="00D31CB3"/>
    <w:rsid w:val="00D337F1"/>
    <w:rsid w:val="00D36BE3"/>
    <w:rsid w:val="00D37D31"/>
    <w:rsid w:val="00D4215E"/>
    <w:rsid w:val="00D43A03"/>
    <w:rsid w:val="00D4434C"/>
    <w:rsid w:val="00D46FD1"/>
    <w:rsid w:val="00D664EF"/>
    <w:rsid w:val="00D75C8E"/>
    <w:rsid w:val="00D80941"/>
    <w:rsid w:val="00D83243"/>
    <w:rsid w:val="00D849C5"/>
    <w:rsid w:val="00D85C45"/>
    <w:rsid w:val="00D87947"/>
    <w:rsid w:val="00D87BF1"/>
    <w:rsid w:val="00D965E8"/>
    <w:rsid w:val="00DA152E"/>
    <w:rsid w:val="00DA2C32"/>
    <w:rsid w:val="00DA66DE"/>
    <w:rsid w:val="00DB136B"/>
    <w:rsid w:val="00DB6927"/>
    <w:rsid w:val="00DB7015"/>
    <w:rsid w:val="00DC1251"/>
    <w:rsid w:val="00DD2741"/>
    <w:rsid w:val="00DD444B"/>
    <w:rsid w:val="00DD6A46"/>
    <w:rsid w:val="00DE5F94"/>
    <w:rsid w:val="00DF23E2"/>
    <w:rsid w:val="00E02AD4"/>
    <w:rsid w:val="00E07616"/>
    <w:rsid w:val="00E1046C"/>
    <w:rsid w:val="00E12579"/>
    <w:rsid w:val="00E15630"/>
    <w:rsid w:val="00E17554"/>
    <w:rsid w:val="00E23869"/>
    <w:rsid w:val="00E24D07"/>
    <w:rsid w:val="00E2584E"/>
    <w:rsid w:val="00E27FBB"/>
    <w:rsid w:val="00E33D71"/>
    <w:rsid w:val="00E34A52"/>
    <w:rsid w:val="00E4691C"/>
    <w:rsid w:val="00E4710A"/>
    <w:rsid w:val="00E6465A"/>
    <w:rsid w:val="00E6555B"/>
    <w:rsid w:val="00E76DAD"/>
    <w:rsid w:val="00E7716C"/>
    <w:rsid w:val="00E8090B"/>
    <w:rsid w:val="00E82F71"/>
    <w:rsid w:val="00E874F0"/>
    <w:rsid w:val="00E942C0"/>
    <w:rsid w:val="00E967F6"/>
    <w:rsid w:val="00E96E0F"/>
    <w:rsid w:val="00EA0E7E"/>
    <w:rsid w:val="00EA1663"/>
    <w:rsid w:val="00EA250A"/>
    <w:rsid w:val="00EA39A6"/>
    <w:rsid w:val="00EA3F91"/>
    <w:rsid w:val="00EC04D7"/>
    <w:rsid w:val="00EC1A46"/>
    <w:rsid w:val="00EC3D6B"/>
    <w:rsid w:val="00EC5039"/>
    <w:rsid w:val="00EC5DCC"/>
    <w:rsid w:val="00EC7C01"/>
    <w:rsid w:val="00ED50BB"/>
    <w:rsid w:val="00ED7A4F"/>
    <w:rsid w:val="00EE6219"/>
    <w:rsid w:val="00EE666D"/>
    <w:rsid w:val="00EE6C45"/>
    <w:rsid w:val="00EF4ABD"/>
    <w:rsid w:val="00F05A8E"/>
    <w:rsid w:val="00F078CE"/>
    <w:rsid w:val="00F129B5"/>
    <w:rsid w:val="00F1729B"/>
    <w:rsid w:val="00F17BF2"/>
    <w:rsid w:val="00F23B12"/>
    <w:rsid w:val="00F322FF"/>
    <w:rsid w:val="00F332F2"/>
    <w:rsid w:val="00F33AED"/>
    <w:rsid w:val="00F34A3E"/>
    <w:rsid w:val="00F34FC1"/>
    <w:rsid w:val="00F457AC"/>
    <w:rsid w:val="00F47C61"/>
    <w:rsid w:val="00F51DBC"/>
    <w:rsid w:val="00F520CF"/>
    <w:rsid w:val="00F55ED2"/>
    <w:rsid w:val="00F75CDE"/>
    <w:rsid w:val="00F75D71"/>
    <w:rsid w:val="00F7640A"/>
    <w:rsid w:val="00F80221"/>
    <w:rsid w:val="00F85846"/>
    <w:rsid w:val="00F863E8"/>
    <w:rsid w:val="00F90170"/>
    <w:rsid w:val="00F941BE"/>
    <w:rsid w:val="00F9496D"/>
    <w:rsid w:val="00F95EBA"/>
    <w:rsid w:val="00FA0A30"/>
    <w:rsid w:val="00FA60A0"/>
    <w:rsid w:val="00FA75E9"/>
    <w:rsid w:val="00FA7925"/>
    <w:rsid w:val="00FB08FD"/>
    <w:rsid w:val="00FB1DC8"/>
    <w:rsid w:val="00FC4612"/>
    <w:rsid w:val="00FD2AAC"/>
    <w:rsid w:val="00FD546A"/>
    <w:rsid w:val="00FE1490"/>
    <w:rsid w:val="00FE4F70"/>
    <w:rsid w:val="00FF6D5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674BB607"/>
  <w15:docId w15:val="{C48BCBC8-1802-4C2A-8C1F-20F4D20A8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62D"/>
    <w:pPr>
      <w:spacing w:line="360" w:lineRule="auto"/>
    </w:pPr>
    <w:rPr>
      <w:rFonts w:ascii="Arial" w:hAnsi="Arial"/>
      <w:sz w:val="22"/>
      <w:szCs w:val="24"/>
      <w:lang w:eastAsia="en-US"/>
    </w:rPr>
  </w:style>
  <w:style w:type="paragraph" w:styleId="Heading1">
    <w:name w:val="heading 1"/>
    <w:aliases w:val="aSHTAC heading 1"/>
    <w:basedOn w:val="Normal"/>
    <w:next w:val="Normal"/>
    <w:link w:val="Heading1Char"/>
    <w:qFormat/>
    <w:rsid w:val="003C652B"/>
    <w:pPr>
      <w:keepNext/>
      <w:numPr>
        <w:numId w:val="2"/>
      </w:numPr>
      <w:spacing w:before="240" w:after="60"/>
      <w:outlineLvl w:val="0"/>
    </w:pPr>
    <w:rPr>
      <w:rFonts w:cs="Arial"/>
      <w:b/>
      <w:bCs/>
      <w:caps/>
      <w:kern w:val="32"/>
      <w:sz w:val="28"/>
      <w:szCs w:val="32"/>
    </w:rPr>
  </w:style>
  <w:style w:type="paragraph" w:styleId="Heading2">
    <w:name w:val="heading 2"/>
    <w:aliases w:val="aSHTAC heading 2"/>
    <w:basedOn w:val="Normal"/>
    <w:next w:val="Normal"/>
    <w:qFormat/>
    <w:rsid w:val="00343108"/>
    <w:pPr>
      <w:keepNext/>
      <w:numPr>
        <w:ilvl w:val="1"/>
        <w:numId w:val="2"/>
      </w:numPr>
      <w:spacing w:before="240" w:after="60"/>
      <w:outlineLvl w:val="1"/>
    </w:pPr>
    <w:rPr>
      <w:rFonts w:cs="Arial"/>
      <w:b/>
      <w:bCs/>
      <w:iCs/>
      <w:sz w:val="24"/>
    </w:rPr>
  </w:style>
  <w:style w:type="paragraph" w:styleId="Heading3">
    <w:name w:val="heading 3"/>
    <w:aliases w:val="aSHTAC heading 3"/>
    <w:basedOn w:val="Normal"/>
    <w:next w:val="Normal"/>
    <w:link w:val="Heading3Char"/>
    <w:qFormat/>
    <w:rsid w:val="006A3061"/>
    <w:pPr>
      <w:keepNext/>
      <w:numPr>
        <w:ilvl w:val="2"/>
        <w:numId w:val="2"/>
      </w:numPr>
      <w:spacing w:before="240" w:after="60"/>
      <w:outlineLvl w:val="2"/>
    </w:pPr>
    <w:rPr>
      <w:rFonts w:cs="Arial"/>
      <w:b/>
      <w:bCs/>
      <w:sz w:val="24"/>
    </w:rPr>
  </w:style>
  <w:style w:type="paragraph" w:styleId="Heading4">
    <w:name w:val="heading 4"/>
    <w:aliases w:val="aSHTAC Heading 4"/>
    <w:basedOn w:val="Normal"/>
    <w:next w:val="Normal"/>
    <w:qFormat/>
    <w:rsid w:val="00E02AD4"/>
    <w:pPr>
      <w:keepNext/>
      <w:numPr>
        <w:ilvl w:val="3"/>
        <w:numId w:val="2"/>
      </w:numPr>
      <w:spacing w:before="240" w:after="60"/>
      <w:outlineLvl w:val="3"/>
    </w:pPr>
    <w:rPr>
      <w:b/>
      <w:bCs/>
      <w:szCs w:val="28"/>
    </w:rPr>
  </w:style>
  <w:style w:type="paragraph" w:styleId="Heading5">
    <w:name w:val="heading 5"/>
    <w:aliases w:val="aSHTAC Heading 5"/>
    <w:basedOn w:val="Normal"/>
    <w:next w:val="Normal"/>
    <w:qFormat/>
    <w:rsid w:val="003E7AE2"/>
    <w:pPr>
      <w:numPr>
        <w:ilvl w:val="4"/>
        <w:numId w:val="2"/>
      </w:numPr>
      <w:spacing w:before="240" w:after="60"/>
      <w:outlineLvl w:val="4"/>
    </w:pPr>
    <w:rPr>
      <w:b/>
      <w:bCs/>
      <w:i/>
      <w:iCs/>
      <w:szCs w:val="26"/>
    </w:rPr>
  </w:style>
  <w:style w:type="paragraph" w:styleId="Heading6">
    <w:name w:val="heading 6"/>
    <w:basedOn w:val="Normal"/>
    <w:next w:val="Normal"/>
    <w:rsid w:val="00E07616"/>
    <w:pPr>
      <w:numPr>
        <w:ilvl w:val="5"/>
        <w:numId w:val="2"/>
      </w:numPr>
      <w:spacing w:before="240" w:after="60"/>
      <w:outlineLvl w:val="5"/>
    </w:pPr>
    <w:rPr>
      <w:b/>
      <w:bCs/>
    </w:rPr>
  </w:style>
  <w:style w:type="paragraph" w:styleId="Heading7">
    <w:name w:val="heading 7"/>
    <w:basedOn w:val="Normal"/>
    <w:next w:val="Normal"/>
    <w:rsid w:val="00E07616"/>
    <w:pPr>
      <w:numPr>
        <w:ilvl w:val="6"/>
        <w:numId w:val="2"/>
      </w:numPr>
      <w:spacing w:before="240" w:after="60"/>
      <w:outlineLvl w:val="6"/>
    </w:pPr>
  </w:style>
  <w:style w:type="paragraph" w:styleId="Heading8">
    <w:name w:val="heading 8"/>
    <w:basedOn w:val="Normal"/>
    <w:next w:val="Normal"/>
    <w:rsid w:val="00E07616"/>
    <w:pPr>
      <w:numPr>
        <w:ilvl w:val="7"/>
        <w:numId w:val="2"/>
      </w:numPr>
      <w:spacing w:before="240" w:after="60"/>
      <w:outlineLvl w:val="7"/>
    </w:pPr>
    <w:rPr>
      <w:i/>
      <w:iCs/>
    </w:rPr>
  </w:style>
  <w:style w:type="paragraph" w:styleId="Heading9">
    <w:name w:val="heading 9"/>
    <w:basedOn w:val="Normal"/>
    <w:next w:val="Normal"/>
    <w:rsid w:val="00E07616"/>
    <w:pPr>
      <w:numPr>
        <w:ilvl w:val="8"/>
        <w:numId w:val="2"/>
      </w:num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aSHTAC heading 3 Char"/>
    <w:link w:val="Heading3"/>
    <w:rsid w:val="006A3061"/>
    <w:rPr>
      <w:rFonts w:ascii="Arial" w:hAnsi="Arial" w:cs="Arial"/>
      <w:b/>
      <w:bCs/>
      <w:sz w:val="24"/>
      <w:szCs w:val="24"/>
      <w:lang w:eastAsia="en-US"/>
    </w:rPr>
  </w:style>
  <w:style w:type="character" w:styleId="Hyperlink">
    <w:name w:val="Hyperlink"/>
    <w:uiPriority w:val="99"/>
    <w:rsid w:val="00A11D21"/>
    <w:rPr>
      <w:color w:val="0000FF"/>
      <w:u w:val="single"/>
    </w:rPr>
  </w:style>
  <w:style w:type="paragraph" w:styleId="Footer">
    <w:name w:val="footer"/>
    <w:basedOn w:val="Normal"/>
    <w:rsid w:val="00027C36"/>
    <w:pPr>
      <w:tabs>
        <w:tab w:val="center" w:pos="4153"/>
        <w:tab w:val="right" w:pos="8306"/>
      </w:tabs>
    </w:pPr>
  </w:style>
  <w:style w:type="character" w:styleId="PageNumber">
    <w:name w:val="page number"/>
    <w:basedOn w:val="DefaultParagraphFont"/>
    <w:rsid w:val="00027C36"/>
  </w:style>
  <w:style w:type="paragraph" w:styleId="Header">
    <w:name w:val="header"/>
    <w:basedOn w:val="Normal"/>
    <w:link w:val="HeaderChar"/>
    <w:uiPriority w:val="99"/>
    <w:rsid w:val="00027C36"/>
    <w:pPr>
      <w:tabs>
        <w:tab w:val="center" w:pos="4153"/>
        <w:tab w:val="right" w:pos="8306"/>
      </w:tabs>
    </w:pPr>
  </w:style>
  <w:style w:type="paragraph" w:styleId="TOC1">
    <w:name w:val="toc 1"/>
    <w:basedOn w:val="Normal"/>
    <w:next w:val="Normal"/>
    <w:autoRedefine/>
    <w:uiPriority w:val="39"/>
    <w:rsid w:val="006A1A70"/>
  </w:style>
  <w:style w:type="paragraph" w:styleId="TOC2">
    <w:name w:val="toc 2"/>
    <w:basedOn w:val="Normal"/>
    <w:next w:val="Normal"/>
    <w:autoRedefine/>
    <w:uiPriority w:val="39"/>
    <w:rsid w:val="006A1A70"/>
    <w:pPr>
      <w:ind w:left="220"/>
    </w:pPr>
  </w:style>
  <w:style w:type="paragraph" w:styleId="TOC3">
    <w:name w:val="toc 3"/>
    <w:basedOn w:val="Normal"/>
    <w:next w:val="Normal"/>
    <w:autoRedefine/>
    <w:semiHidden/>
    <w:rsid w:val="006A1A70"/>
    <w:pPr>
      <w:ind w:left="440"/>
    </w:pPr>
  </w:style>
  <w:style w:type="paragraph" w:styleId="Caption">
    <w:name w:val="caption"/>
    <w:aliases w:val="Caption Char, Char1 Char, Char1,Caption Char1, Char1 Char1,Char1 Char Char,Char1 Char1,Char1 Char,Char1,Figure caption,Bayer Caption,IB Caption,Medical Caption,- H17,Caption Char1 Char,Caption Char Char Char,Caption Table...,Caption Char1 + 8 pt"/>
    <w:basedOn w:val="Normal"/>
    <w:next w:val="Normal"/>
    <w:link w:val="CaptionChar2"/>
    <w:uiPriority w:val="35"/>
    <w:qFormat/>
    <w:rsid w:val="00FA60A0"/>
    <w:rPr>
      <w:b/>
      <w:bCs/>
      <w:szCs w:val="20"/>
    </w:rPr>
  </w:style>
  <w:style w:type="paragraph" w:styleId="TableofFigures">
    <w:name w:val="table of figures"/>
    <w:basedOn w:val="Normal"/>
    <w:next w:val="Normal"/>
    <w:uiPriority w:val="99"/>
    <w:rsid w:val="00FA60A0"/>
  </w:style>
  <w:style w:type="table" w:styleId="TableGrid">
    <w:name w:val="Table Grid"/>
    <w:aliases w:val="Dossier table,Summary Table"/>
    <w:basedOn w:val="TableNormal"/>
    <w:uiPriority w:val="39"/>
    <w:rsid w:val="006A0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ICEnormalChar"/>
    <w:qFormat/>
    <w:rsid w:val="00034287"/>
    <w:pPr>
      <w:keepNext/>
      <w:jc w:val="center"/>
    </w:pPr>
    <w:rPr>
      <w:rFonts w:cs="Arial"/>
      <w:b/>
      <w:bCs/>
      <w:kern w:val="28"/>
      <w:sz w:val="28"/>
      <w:szCs w:val="32"/>
    </w:rPr>
  </w:style>
  <w:style w:type="paragraph" w:customStyle="1" w:styleId="NICEnormalChar">
    <w:name w:val="NICE normal Char"/>
    <w:basedOn w:val="Normal"/>
    <w:link w:val="NICEnormalCharChar"/>
    <w:rsid w:val="0098112B"/>
    <w:pPr>
      <w:spacing w:after="240"/>
    </w:pPr>
  </w:style>
  <w:style w:type="character" w:customStyle="1" w:styleId="NICEnormalCharChar">
    <w:name w:val="NICE normal Char Char"/>
    <w:link w:val="NICEnormalChar"/>
    <w:rsid w:val="0098112B"/>
    <w:rPr>
      <w:rFonts w:ascii="Arial" w:hAnsi="Arial"/>
      <w:sz w:val="24"/>
      <w:szCs w:val="24"/>
      <w:lang w:val="en-GB" w:eastAsia="en-US" w:bidi="ar-SA"/>
    </w:rPr>
  </w:style>
  <w:style w:type="paragraph" w:customStyle="1" w:styleId="Beforelist">
    <w:name w:val="Before list"/>
    <w:basedOn w:val="Normal"/>
    <w:next w:val="ListBullet"/>
    <w:rsid w:val="0098112B"/>
    <w:pPr>
      <w:keepNext/>
      <w:spacing w:before="240"/>
    </w:pPr>
  </w:style>
  <w:style w:type="paragraph" w:styleId="ListBullet">
    <w:name w:val="List Bullet"/>
    <w:basedOn w:val="Normal"/>
    <w:qFormat/>
    <w:rsid w:val="000A5F93"/>
    <w:pPr>
      <w:numPr>
        <w:numId w:val="33"/>
      </w:numPr>
      <w:ind w:left="360"/>
    </w:pPr>
  </w:style>
  <w:style w:type="character" w:customStyle="1" w:styleId="AIC">
    <w:name w:val="AIC"/>
    <w:basedOn w:val="DefaultParagraphFont"/>
    <w:uiPriority w:val="1"/>
    <w:qFormat/>
    <w:rsid w:val="002F4532"/>
    <w:rPr>
      <w:u w:val="single"/>
      <w:bdr w:val="none" w:sz="0" w:space="0" w:color="auto"/>
      <w:shd w:val="clear" w:color="auto" w:fill="FFFF00"/>
    </w:rPr>
  </w:style>
  <w:style w:type="character" w:customStyle="1" w:styleId="CIC">
    <w:name w:val="CIC"/>
    <w:basedOn w:val="DefaultParagraphFont"/>
    <w:uiPriority w:val="1"/>
    <w:qFormat/>
    <w:rsid w:val="002F4532"/>
    <w:rPr>
      <w:u w:val="single"/>
      <w:bdr w:val="none" w:sz="0" w:space="0" w:color="auto"/>
      <w:shd w:val="clear" w:color="auto" w:fill="00FFFF"/>
    </w:rPr>
  </w:style>
  <w:style w:type="character" w:customStyle="1" w:styleId="AGInfo">
    <w:name w:val="AGInfo"/>
    <w:basedOn w:val="DefaultParagraphFont"/>
    <w:uiPriority w:val="1"/>
    <w:qFormat/>
    <w:rsid w:val="002F4532"/>
    <w:rPr>
      <w:i/>
      <w:bdr w:val="none" w:sz="0" w:space="0" w:color="auto"/>
      <w:shd w:val="clear" w:color="auto" w:fill="00FF00"/>
    </w:rPr>
  </w:style>
  <w:style w:type="paragraph" w:customStyle="1" w:styleId="audit">
    <w:name w:val="audit"/>
    <w:basedOn w:val="Heading1"/>
    <w:rsid w:val="0098112B"/>
    <w:pPr>
      <w:keepNext w:val="0"/>
      <w:numPr>
        <w:numId w:val="6"/>
      </w:numPr>
      <w:spacing w:before="120" w:after="0"/>
    </w:pPr>
    <w:rPr>
      <w:rFonts w:cs="Times New Roman"/>
      <w:b w:val="0"/>
      <w:bCs w:val="0"/>
      <w:kern w:val="0"/>
      <w:sz w:val="20"/>
      <w:szCs w:val="24"/>
    </w:rPr>
  </w:style>
  <w:style w:type="paragraph" w:customStyle="1" w:styleId="Afterlist">
    <w:name w:val="After list"/>
    <w:basedOn w:val="Beforelist"/>
    <w:rsid w:val="0098112B"/>
    <w:pPr>
      <w:keepNext w:val="0"/>
      <w:spacing w:after="240"/>
    </w:pPr>
  </w:style>
  <w:style w:type="character" w:customStyle="1" w:styleId="titles-fieldcode1">
    <w:name w:val="titles-fieldcode1"/>
    <w:rsid w:val="0098112B"/>
    <w:rPr>
      <w:b/>
      <w:bCs/>
    </w:rPr>
  </w:style>
  <w:style w:type="paragraph" w:styleId="CommentText">
    <w:name w:val="annotation text"/>
    <w:basedOn w:val="Normal"/>
    <w:link w:val="CommentTextChar"/>
    <w:uiPriority w:val="99"/>
    <w:semiHidden/>
    <w:rsid w:val="0098112B"/>
    <w:rPr>
      <w:sz w:val="20"/>
      <w:szCs w:val="20"/>
    </w:rPr>
  </w:style>
  <w:style w:type="paragraph" w:styleId="CommentSubject">
    <w:name w:val="annotation subject"/>
    <w:basedOn w:val="CommentText"/>
    <w:next w:val="CommentText"/>
    <w:semiHidden/>
    <w:rsid w:val="0098112B"/>
    <w:rPr>
      <w:b/>
      <w:bCs/>
    </w:rPr>
  </w:style>
  <w:style w:type="paragraph" w:styleId="BalloonText">
    <w:name w:val="Balloon Text"/>
    <w:basedOn w:val="Normal"/>
    <w:semiHidden/>
    <w:rsid w:val="0098112B"/>
    <w:rPr>
      <w:rFonts w:ascii="Tahoma" w:hAnsi="Tahoma" w:cs="Tahoma"/>
      <w:sz w:val="16"/>
      <w:szCs w:val="16"/>
    </w:rPr>
  </w:style>
  <w:style w:type="paragraph" w:styleId="BodyText2">
    <w:name w:val="Body Text 2"/>
    <w:basedOn w:val="Normal"/>
    <w:rsid w:val="0098112B"/>
    <w:pPr>
      <w:tabs>
        <w:tab w:val="left" w:pos="720"/>
      </w:tabs>
      <w:ind w:left="720"/>
    </w:pPr>
    <w:rPr>
      <w:snapToGrid w:val="0"/>
      <w:szCs w:val="20"/>
    </w:rPr>
  </w:style>
  <w:style w:type="paragraph" w:styleId="TOC4">
    <w:name w:val="toc 4"/>
    <w:basedOn w:val="Normal"/>
    <w:next w:val="Normal"/>
    <w:autoRedefine/>
    <w:semiHidden/>
    <w:rsid w:val="0098112B"/>
    <w:pPr>
      <w:ind w:left="720"/>
    </w:pPr>
  </w:style>
  <w:style w:type="paragraph" w:styleId="FootnoteText">
    <w:name w:val="footnote text"/>
    <w:basedOn w:val="Normal"/>
    <w:semiHidden/>
    <w:rsid w:val="0098112B"/>
    <w:rPr>
      <w:sz w:val="20"/>
      <w:szCs w:val="20"/>
    </w:rPr>
  </w:style>
  <w:style w:type="character" w:styleId="FollowedHyperlink">
    <w:name w:val="FollowedHyperlink"/>
    <w:rsid w:val="0098112B"/>
    <w:rPr>
      <w:color w:val="800080"/>
      <w:u w:val="single"/>
    </w:rPr>
  </w:style>
  <w:style w:type="paragraph" w:styleId="BodyText3">
    <w:name w:val="Body Text 3"/>
    <w:basedOn w:val="Normal"/>
    <w:rsid w:val="002556F7"/>
    <w:pPr>
      <w:spacing w:after="120"/>
    </w:pPr>
    <w:rPr>
      <w:sz w:val="16"/>
      <w:szCs w:val="16"/>
    </w:rPr>
  </w:style>
  <w:style w:type="paragraph" w:customStyle="1" w:styleId="NICEnormal">
    <w:name w:val="NICE normal"/>
    <w:basedOn w:val="Normal"/>
    <w:link w:val="NICEnormalChar1"/>
    <w:rsid w:val="002556F7"/>
    <w:pPr>
      <w:spacing w:after="240"/>
    </w:pPr>
  </w:style>
  <w:style w:type="character" w:styleId="CommentReference">
    <w:name w:val="annotation reference"/>
    <w:uiPriority w:val="99"/>
    <w:semiHidden/>
    <w:rsid w:val="008E09E9"/>
    <w:rPr>
      <w:sz w:val="16"/>
      <w:szCs w:val="16"/>
    </w:rPr>
  </w:style>
  <w:style w:type="paragraph" w:customStyle="1" w:styleId="Default">
    <w:name w:val="Default"/>
    <w:link w:val="DefaultChar"/>
    <w:rsid w:val="0089035E"/>
    <w:pPr>
      <w:autoSpaceDE w:val="0"/>
      <w:autoSpaceDN w:val="0"/>
      <w:adjustRightInd w:val="0"/>
    </w:pPr>
    <w:rPr>
      <w:rFonts w:ascii="Arial" w:eastAsia="SimSun" w:hAnsi="Arial" w:cs="Arial"/>
      <w:color w:val="000000"/>
      <w:sz w:val="24"/>
      <w:szCs w:val="24"/>
      <w:lang w:eastAsia="zh-CN"/>
    </w:rPr>
  </w:style>
  <w:style w:type="character" w:customStyle="1" w:styleId="DefaultChar">
    <w:name w:val="Default Char"/>
    <w:basedOn w:val="DefaultParagraphFont"/>
    <w:link w:val="Default"/>
    <w:rsid w:val="00FE1490"/>
    <w:rPr>
      <w:rFonts w:ascii="Arial" w:eastAsia="SimSun" w:hAnsi="Arial" w:cs="Arial"/>
      <w:color w:val="000000"/>
      <w:sz w:val="24"/>
      <w:szCs w:val="24"/>
      <w:lang w:eastAsia="zh-CN"/>
    </w:rPr>
  </w:style>
  <w:style w:type="character" w:styleId="Strong">
    <w:name w:val="Strong"/>
    <w:basedOn w:val="DefaultParagraphFont"/>
    <w:qFormat/>
    <w:rsid w:val="003C652B"/>
    <w:rPr>
      <w:b/>
      <w:bCs/>
    </w:rPr>
  </w:style>
  <w:style w:type="character" w:customStyle="1" w:styleId="Heading1Char">
    <w:name w:val="Heading 1 Char"/>
    <w:aliases w:val="aSHTAC heading 1 Char"/>
    <w:basedOn w:val="DefaultParagraphFont"/>
    <w:link w:val="Heading1"/>
    <w:rsid w:val="003C652B"/>
    <w:rPr>
      <w:rFonts w:ascii="Arial" w:hAnsi="Arial" w:cs="Arial"/>
      <w:b/>
      <w:bCs/>
      <w:caps/>
      <w:kern w:val="32"/>
      <w:sz w:val="28"/>
      <w:szCs w:val="32"/>
      <w:lang w:eastAsia="en-US"/>
    </w:rPr>
  </w:style>
  <w:style w:type="character" w:customStyle="1" w:styleId="NICEnormalChar1">
    <w:name w:val="NICE normal Char1"/>
    <w:basedOn w:val="DefaultParagraphFont"/>
    <w:link w:val="NICEnormal"/>
    <w:rsid w:val="00FE1490"/>
    <w:rPr>
      <w:rFonts w:ascii="Arial" w:hAnsi="Arial"/>
      <w:sz w:val="22"/>
      <w:szCs w:val="24"/>
      <w:lang w:eastAsia="en-US"/>
    </w:rPr>
  </w:style>
  <w:style w:type="character" w:customStyle="1" w:styleId="Subscript">
    <w:name w:val="Subscript"/>
    <w:basedOn w:val="DefaultParagraphFont"/>
    <w:uiPriority w:val="1"/>
    <w:qFormat/>
    <w:rsid w:val="007846FE"/>
    <w:rPr>
      <w:vertAlign w:val="subscript"/>
    </w:rPr>
  </w:style>
  <w:style w:type="character" w:customStyle="1" w:styleId="Superscript">
    <w:name w:val="Superscript"/>
    <w:basedOn w:val="DefaultParagraphFont"/>
    <w:uiPriority w:val="1"/>
    <w:qFormat/>
    <w:rsid w:val="007846FE"/>
    <w:rPr>
      <w:vertAlign w:val="superscript"/>
    </w:rPr>
  </w:style>
  <w:style w:type="paragraph" w:customStyle="1" w:styleId="TableText">
    <w:name w:val="Table Text"/>
    <w:basedOn w:val="NoSpacing"/>
    <w:next w:val="Normal"/>
    <w:qFormat/>
    <w:rsid w:val="004A4A81"/>
    <w:pPr>
      <w:ind w:left="34"/>
    </w:pPr>
    <w:rPr>
      <w:rFonts w:cs="Arial"/>
      <w:sz w:val="20"/>
      <w:szCs w:val="20"/>
    </w:rPr>
  </w:style>
  <w:style w:type="character" w:styleId="Emphasis">
    <w:name w:val="Emphasis"/>
    <w:basedOn w:val="DefaultParagraphFont"/>
    <w:qFormat/>
    <w:rsid w:val="00836EA4"/>
    <w:rPr>
      <w:i/>
      <w:iCs/>
    </w:rPr>
  </w:style>
  <w:style w:type="paragraph" w:styleId="NoSpacing">
    <w:name w:val="No Spacing"/>
    <w:uiPriority w:val="1"/>
    <w:qFormat/>
    <w:rsid w:val="004A4A81"/>
    <w:rPr>
      <w:rFonts w:ascii="Arial" w:hAnsi="Arial"/>
      <w:sz w:val="22"/>
      <w:szCs w:val="24"/>
      <w:lang w:eastAsia="en-US"/>
    </w:rPr>
  </w:style>
  <w:style w:type="paragraph" w:customStyle="1" w:styleId="ListNumbered">
    <w:name w:val="List Numbered"/>
    <w:basedOn w:val="Normal"/>
    <w:next w:val="Normal"/>
    <w:qFormat/>
    <w:rsid w:val="000A5F93"/>
    <w:pPr>
      <w:numPr>
        <w:numId w:val="37"/>
      </w:numPr>
    </w:pPr>
  </w:style>
  <w:style w:type="paragraph" w:customStyle="1" w:styleId="List1ai">
    <w:name w:val="List 1ai"/>
    <w:qFormat/>
    <w:rsid w:val="003E7AE2"/>
    <w:pPr>
      <w:numPr>
        <w:numId w:val="36"/>
      </w:numPr>
    </w:pPr>
    <w:rPr>
      <w:rFonts w:ascii="Arial" w:hAnsi="Arial"/>
      <w:sz w:val="22"/>
      <w:szCs w:val="24"/>
      <w:lang w:eastAsia="en-US"/>
    </w:rPr>
  </w:style>
  <w:style w:type="paragraph" w:customStyle="1" w:styleId="Numberedheading1">
    <w:name w:val="Numbered heading 1"/>
    <w:basedOn w:val="Heading1"/>
    <w:next w:val="NICEnormalChar"/>
    <w:rsid w:val="00E874F0"/>
    <w:pPr>
      <w:numPr>
        <w:numId w:val="0"/>
      </w:numPr>
      <w:tabs>
        <w:tab w:val="num" w:pos="360"/>
        <w:tab w:val="num" w:pos="862"/>
        <w:tab w:val="num" w:pos="1492"/>
      </w:tabs>
      <w:spacing w:after="120"/>
      <w:ind w:left="862" w:hanging="862"/>
    </w:pPr>
    <w:rPr>
      <w:rFonts w:cs="Times New Roman"/>
      <w:caps w:val="0"/>
      <w:kern w:val="0"/>
      <w:sz w:val="32"/>
      <w:szCs w:val="24"/>
    </w:rPr>
  </w:style>
  <w:style w:type="paragraph" w:customStyle="1" w:styleId="Numberedheading2">
    <w:name w:val="Numbered heading 2"/>
    <w:basedOn w:val="Heading2"/>
    <w:next w:val="NICEnormalChar"/>
    <w:rsid w:val="00E874F0"/>
    <w:pPr>
      <w:numPr>
        <w:numId w:val="1"/>
      </w:numPr>
    </w:pPr>
    <w:rPr>
      <w:rFonts w:cs="Times New Roman"/>
      <w:i/>
      <w:iCs w:val="0"/>
      <w:sz w:val="28"/>
    </w:rPr>
  </w:style>
  <w:style w:type="paragraph" w:customStyle="1" w:styleId="Numberedheading3">
    <w:name w:val="Numbered heading 3"/>
    <w:basedOn w:val="Heading3"/>
    <w:next w:val="NICEnormalChar"/>
    <w:link w:val="Numberedheading3Char"/>
    <w:rsid w:val="00E874F0"/>
    <w:pPr>
      <w:numPr>
        <w:numId w:val="1"/>
      </w:numPr>
      <w:tabs>
        <w:tab w:val="num" w:pos="360"/>
      </w:tabs>
      <w:ind w:left="0" w:firstLine="0"/>
    </w:pPr>
  </w:style>
  <w:style w:type="character" w:customStyle="1" w:styleId="Numberedheading3Char">
    <w:name w:val="Numbered heading 3 Char"/>
    <w:basedOn w:val="Heading3Char"/>
    <w:link w:val="Numberedheading3"/>
    <w:rsid w:val="00E874F0"/>
    <w:rPr>
      <w:rFonts w:ascii="Arial" w:hAnsi="Arial" w:cs="Arial"/>
      <w:b/>
      <w:bCs/>
      <w:sz w:val="24"/>
      <w:szCs w:val="24"/>
      <w:lang w:eastAsia="en-US"/>
    </w:rPr>
  </w:style>
  <w:style w:type="paragraph" w:customStyle="1" w:styleId="Numberedheading4">
    <w:name w:val="Numbered heading 4"/>
    <w:basedOn w:val="Heading4"/>
    <w:next w:val="NICEnormalChar"/>
    <w:rsid w:val="00E874F0"/>
    <w:pPr>
      <w:numPr>
        <w:ilvl w:val="0"/>
        <w:numId w:val="0"/>
      </w:numPr>
      <w:tabs>
        <w:tab w:val="num" w:pos="862"/>
        <w:tab w:val="num" w:pos="1492"/>
      </w:tabs>
      <w:ind w:left="862" w:hanging="862"/>
    </w:pPr>
    <w:rPr>
      <w:i/>
      <w:sz w:val="24"/>
    </w:rPr>
  </w:style>
  <w:style w:type="paragraph" w:customStyle="1" w:styleId="Numberedheading1forusewithlevel2text">
    <w:name w:val="Numbered heading 1 for use with level 2 text"/>
    <w:basedOn w:val="Numberedheading1"/>
    <w:rsid w:val="00E874F0"/>
    <w:pPr>
      <w:tabs>
        <w:tab w:val="clear" w:pos="360"/>
      </w:tabs>
      <w:ind w:left="0" w:firstLine="0"/>
    </w:pPr>
  </w:style>
  <w:style w:type="character" w:customStyle="1" w:styleId="bibrecord-highlight1">
    <w:name w:val="bibrecord-highlight1"/>
    <w:rsid w:val="00E874F0"/>
    <w:rPr>
      <w:b/>
      <w:bCs/>
      <w:color w:val="CC0000"/>
    </w:rPr>
  </w:style>
  <w:style w:type="character" w:customStyle="1" w:styleId="CharChar">
    <w:name w:val="Char Char"/>
    <w:rsid w:val="00E874F0"/>
    <w:rPr>
      <w:rFonts w:ascii="Arial" w:hAnsi="Arial" w:cs="Arial"/>
      <w:b/>
      <w:bCs/>
      <w:sz w:val="26"/>
      <w:szCs w:val="26"/>
      <w:lang w:val="en-GB" w:eastAsia="en-US" w:bidi="ar-SA"/>
    </w:rPr>
  </w:style>
  <w:style w:type="paragraph" w:customStyle="1" w:styleId="OBNormal">
    <w:name w:val="OB Normal"/>
    <w:basedOn w:val="Normal"/>
    <w:rsid w:val="00E874F0"/>
    <w:pPr>
      <w:spacing w:after="240"/>
    </w:pPr>
    <w:rPr>
      <w:iCs/>
      <w:sz w:val="24"/>
    </w:rPr>
  </w:style>
  <w:style w:type="paragraph" w:customStyle="1" w:styleId="CONFIDENTIALUNTILPUBLISHED">
    <w:name w:val="CONFIDENTIAL UNTIL PUBLISHED"/>
    <w:basedOn w:val="Title"/>
    <w:next w:val="NICEnormal"/>
    <w:qFormat/>
    <w:rsid w:val="00E874F0"/>
    <w:pPr>
      <w:spacing w:before="120" w:after="360"/>
    </w:pPr>
    <w:rPr>
      <w:sz w:val="32"/>
    </w:rPr>
  </w:style>
  <w:style w:type="paragraph" w:styleId="ListParagraph">
    <w:name w:val="List Paragraph"/>
    <w:basedOn w:val="Normal"/>
    <w:link w:val="ListParagraphChar"/>
    <w:uiPriority w:val="34"/>
    <w:qFormat/>
    <w:rsid w:val="008C28F3"/>
    <w:pPr>
      <w:ind w:left="720"/>
      <w:contextualSpacing/>
    </w:pPr>
  </w:style>
  <w:style w:type="character" w:customStyle="1" w:styleId="ListParagraphChar">
    <w:name w:val="List Paragraph Char"/>
    <w:basedOn w:val="DefaultParagraphFont"/>
    <w:link w:val="ListParagraph"/>
    <w:uiPriority w:val="34"/>
    <w:rsid w:val="00AE2DCF"/>
    <w:rPr>
      <w:rFonts w:ascii="Arial" w:hAnsi="Arial"/>
      <w:sz w:val="22"/>
      <w:szCs w:val="24"/>
      <w:lang w:eastAsia="en-US"/>
    </w:rPr>
  </w:style>
  <w:style w:type="character" w:customStyle="1" w:styleId="CaptionChar2">
    <w:name w:val="Caption Char2"/>
    <w:aliases w:val="Caption Char Char, Char1 Char Char, Char1 Char2,Caption Char1 Char1, Char1 Char1 Char,Char1 Char Char Char,Char1 Char1 Char,Char1 Char Char1,Char1 Char2,Figure caption Char,Bayer Caption Char,IB Caption Char,Medical Caption Char,- H17 Char"/>
    <w:basedOn w:val="DefaultParagraphFont"/>
    <w:link w:val="Caption"/>
    <w:uiPriority w:val="35"/>
    <w:rsid w:val="00CE26A9"/>
    <w:rPr>
      <w:rFonts w:ascii="Arial" w:hAnsi="Arial"/>
      <w:b/>
      <w:bCs/>
      <w:sz w:val="22"/>
      <w:lang w:eastAsia="en-US"/>
    </w:rPr>
  </w:style>
  <w:style w:type="character" w:customStyle="1" w:styleId="apple-converted-space">
    <w:name w:val="apple-converted-space"/>
    <w:basedOn w:val="DefaultParagraphFont"/>
    <w:rsid w:val="00C143A4"/>
  </w:style>
  <w:style w:type="paragraph" w:styleId="Revision">
    <w:name w:val="Revision"/>
    <w:hidden/>
    <w:uiPriority w:val="99"/>
    <w:semiHidden/>
    <w:rsid w:val="00CD07A1"/>
    <w:rPr>
      <w:rFonts w:ascii="Arial" w:hAnsi="Arial"/>
      <w:sz w:val="22"/>
      <w:szCs w:val="24"/>
      <w:lang w:eastAsia="en-US"/>
    </w:rPr>
  </w:style>
  <w:style w:type="paragraph" w:customStyle="1" w:styleId="EndNoteBibliographyTitle">
    <w:name w:val="EndNote Bibliography Title"/>
    <w:basedOn w:val="Normal"/>
    <w:link w:val="EndNoteBibliographyTitleChar"/>
    <w:rsid w:val="00993FE4"/>
    <w:pPr>
      <w:jc w:val="center"/>
    </w:pPr>
    <w:rPr>
      <w:rFonts w:cs="Arial"/>
      <w:noProof/>
      <w:lang w:val="en-US"/>
    </w:rPr>
  </w:style>
  <w:style w:type="character" w:customStyle="1" w:styleId="EndNoteBibliographyTitleChar">
    <w:name w:val="EndNote Bibliography Title Char"/>
    <w:basedOn w:val="DefaultParagraphFont"/>
    <w:link w:val="EndNoteBibliographyTitle"/>
    <w:rsid w:val="00993FE4"/>
    <w:rPr>
      <w:rFonts w:ascii="Arial" w:hAnsi="Arial" w:cs="Arial"/>
      <w:noProof/>
      <w:sz w:val="22"/>
      <w:szCs w:val="24"/>
      <w:lang w:val="en-US" w:eastAsia="en-US"/>
    </w:rPr>
  </w:style>
  <w:style w:type="paragraph" w:customStyle="1" w:styleId="EndNoteBibliography">
    <w:name w:val="EndNote Bibliography"/>
    <w:basedOn w:val="Normal"/>
    <w:link w:val="EndNoteBibliographyChar"/>
    <w:rsid w:val="00993FE4"/>
    <w:pPr>
      <w:spacing w:line="240" w:lineRule="auto"/>
    </w:pPr>
    <w:rPr>
      <w:rFonts w:cs="Arial"/>
      <w:noProof/>
      <w:lang w:val="en-US"/>
    </w:rPr>
  </w:style>
  <w:style w:type="character" w:customStyle="1" w:styleId="EndNoteBibliographyChar">
    <w:name w:val="EndNote Bibliography Char"/>
    <w:basedOn w:val="DefaultParagraphFont"/>
    <w:link w:val="EndNoteBibliography"/>
    <w:rsid w:val="00993FE4"/>
    <w:rPr>
      <w:rFonts w:ascii="Arial" w:hAnsi="Arial" w:cs="Arial"/>
      <w:noProof/>
      <w:sz w:val="22"/>
      <w:szCs w:val="24"/>
      <w:lang w:val="en-US" w:eastAsia="en-US"/>
    </w:rPr>
  </w:style>
  <w:style w:type="character" w:customStyle="1" w:styleId="HeaderChar">
    <w:name w:val="Header Char"/>
    <w:basedOn w:val="DefaultParagraphFont"/>
    <w:link w:val="Header"/>
    <w:uiPriority w:val="99"/>
    <w:rsid w:val="002D22E3"/>
    <w:rPr>
      <w:rFonts w:ascii="Arial" w:hAnsi="Arial"/>
      <w:sz w:val="22"/>
      <w:szCs w:val="24"/>
      <w:lang w:eastAsia="en-US"/>
    </w:rPr>
  </w:style>
  <w:style w:type="character" w:customStyle="1" w:styleId="CommentTextChar">
    <w:name w:val="Comment Text Char"/>
    <w:basedOn w:val="DefaultParagraphFont"/>
    <w:link w:val="CommentText"/>
    <w:uiPriority w:val="99"/>
    <w:semiHidden/>
    <w:rsid w:val="00982378"/>
    <w:rPr>
      <w:rFonts w:ascii="Arial" w:hAnsi="Arial"/>
      <w:lang w:eastAsia="en-US"/>
    </w:rPr>
  </w:style>
  <w:style w:type="paragraph" w:styleId="NormalWeb">
    <w:name w:val="Normal (Web)"/>
    <w:basedOn w:val="Normal"/>
    <w:uiPriority w:val="99"/>
    <w:unhideWhenUsed/>
    <w:rsid w:val="00740509"/>
    <w:pPr>
      <w:spacing w:before="100" w:beforeAutospacing="1" w:after="100" w:afterAutospacing="1" w:line="240" w:lineRule="auto"/>
    </w:pPr>
    <w:rPr>
      <w:rFonts w:ascii="Times New Roman" w:eastAsiaTheme="minorEastAsia" w:hAnsi="Times New Roman"/>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285536">
      <w:bodyDiv w:val="1"/>
      <w:marLeft w:val="0"/>
      <w:marRight w:val="0"/>
      <w:marTop w:val="0"/>
      <w:marBottom w:val="0"/>
      <w:divBdr>
        <w:top w:val="none" w:sz="0" w:space="0" w:color="auto"/>
        <w:left w:val="none" w:sz="0" w:space="0" w:color="auto"/>
        <w:bottom w:val="none" w:sz="0" w:space="0" w:color="auto"/>
        <w:right w:val="none" w:sz="0" w:space="0" w:color="auto"/>
      </w:divBdr>
    </w:div>
    <w:div w:id="515851737">
      <w:bodyDiv w:val="1"/>
      <w:marLeft w:val="0"/>
      <w:marRight w:val="0"/>
      <w:marTop w:val="0"/>
      <w:marBottom w:val="0"/>
      <w:divBdr>
        <w:top w:val="none" w:sz="0" w:space="0" w:color="auto"/>
        <w:left w:val="none" w:sz="0" w:space="0" w:color="auto"/>
        <w:bottom w:val="none" w:sz="0" w:space="0" w:color="auto"/>
        <w:right w:val="none" w:sz="0" w:space="0" w:color="auto"/>
      </w:divBdr>
    </w:div>
    <w:div w:id="80111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41FC2-0946-4D3E-ABE3-9C4CA582E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6744</Words>
  <Characters>38220</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Technology Assessment Report commissioned by the NHS R&amp;D HTA</vt:lpstr>
    </vt:vector>
  </TitlesOfParts>
  <Company>University of Southampton</Company>
  <LinksUpToDate>false</LinksUpToDate>
  <CharactersWithSpaces>44875</CharactersWithSpaces>
  <SharedDoc>false</SharedDoc>
  <HLinks>
    <vt:vector size="174" baseType="variant">
      <vt:variant>
        <vt:i4>6291503</vt:i4>
      </vt:variant>
      <vt:variant>
        <vt:i4>177</vt:i4>
      </vt:variant>
      <vt:variant>
        <vt:i4>0</vt:i4>
      </vt:variant>
      <vt:variant>
        <vt:i4>5</vt:i4>
      </vt:variant>
      <vt:variant>
        <vt:lpwstr>../../../../../Methodology/TAR Guidelines/STA Guidelines/SHTAC Guide to STAs/ERG QA when more than one RCT.doc</vt:lpwstr>
      </vt:variant>
      <vt:variant>
        <vt:lpwstr/>
      </vt:variant>
      <vt:variant>
        <vt:i4>1966132</vt:i4>
      </vt:variant>
      <vt:variant>
        <vt:i4>164</vt:i4>
      </vt:variant>
      <vt:variant>
        <vt:i4>0</vt:i4>
      </vt:variant>
      <vt:variant>
        <vt:i4>5</vt:i4>
      </vt:variant>
      <vt:variant>
        <vt:lpwstr/>
      </vt:variant>
      <vt:variant>
        <vt:lpwstr>_Toc211309726</vt:lpwstr>
      </vt:variant>
      <vt:variant>
        <vt:i4>1966132</vt:i4>
      </vt:variant>
      <vt:variant>
        <vt:i4>158</vt:i4>
      </vt:variant>
      <vt:variant>
        <vt:i4>0</vt:i4>
      </vt:variant>
      <vt:variant>
        <vt:i4>5</vt:i4>
      </vt:variant>
      <vt:variant>
        <vt:lpwstr/>
      </vt:variant>
      <vt:variant>
        <vt:lpwstr>_Toc211309725</vt:lpwstr>
      </vt:variant>
      <vt:variant>
        <vt:i4>1966132</vt:i4>
      </vt:variant>
      <vt:variant>
        <vt:i4>152</vt:i4>
      </vt:variant>
      <vt:variant>
        <vt:i4>0</vt:i4>
      </vt:variant>
      <vt:variant>
        <vt:i4>5</vt:i4>
      </vt:variant>
      <vt:variant>
        <vt:lpwstr/>
      </vt:variant>
      <vt:variant>
        <vt:lpwstr>_Toc211309724</vt:lpwstr>
      </vt:variant>
      <vt:variant>
        <vt:i4>1966132</vt:i4>
      </vt:variant>
      <vt:variant>
        <vt:i4>146</vt:i4>
      </vt:variant>
      <vt:variant>
        <vt:i4>0</vt:i4>
      </vt:variant>
      <vt:variant>
        <vt:i4>5</vt:i4>
      </vt:variant>
      <vt:variant>
        <vt:lpwstr/>
      </vt:variant>
      <vt:variant>
        <vt:lpwstr>_Toc211309723</vt:lpwstr>
      </vt:variant>
      <vt:variant>
        <vt:i4>1966132</vt:i4>
      </vt:variant>
      <vt:variant>
        <vt:i4>140</vt:i4>
      </vt:variant>
      <vt:variant>
        <vt:i4>0</vt:i4>
      </vt:variant>
      <vt:variant>
        <vt:i4>5</vt:i4>
      </vt:variant>
      <vt:variant>
        <vt:lpwstr/>
      </vt:variant>
      <vt:variant>
        <vt:lpwstr>_Toc211309722</vt:lpwstr>
      </vt:variant>
      <vt:variant>
        <vt:i4>1507385</vt:i4>
      </vt:variant>
      <vt:variant>
        <vt:i4>131</vt:i4>
      </vt:variant>
      <vt:variant>
        <vt:i4>0</vt:i4>
      </vt:variant>
      <vt:variant>
        <vt:i4>5</vt:i4>
      </vt:variant>
      <vt:variant>
        <vt:lpwstr/>
      </vt:variant>
      <vt:variant>
        <vt:lpwstr>_Toc328731148</vt:lpwstr>
      </vt:variant>
      <vt:variant>
        <vt:i4>1507385</vt:i4>
      </vt:variant>
      <vt:variant>
        <vt:i4>125</vt:i4>
      </vt:variant>
      <vt:variant>
        <vt:i4>0</vt:i4>
      </vt:variant>
      <vt:variant>
        <vt:i4>5</vt:i4>
      </vt:variant>
      <vt:variant>
        <vt:lpwstr/>
      </vt:variant>
      <vt:variant>
        <vt:lpwstr>_Toc328731147</vt:lpwstr>
      </vt:variant>
      <vt:variant>
        <vt:i4>1507385</vt:i4>
      </vt:variant>
      <vt:variant>
        <vt:i4>119</vt:i4>
      </vt:variant>
      <vt:variant>
        <vt:i4>0</vt:i4>
      </vt:variant>
      <vt:variant>
        <vt:i4>5</vt:i4>
      </vt:variant>
      <vt:variant>
        <vt:lpwstr/>
      </vt:variant>
      <vt:variant>
        <vt:lpwstr>_Toc328731146</vt:lpwstr>
      </vt:variant>
      <vt:variant>
        <vt:i4>1507385</vt:i4>
      </vt:variant>
      <vt:variant>
        <vt:i4>113</vt:i4>
      </vt:variant>
      <vt:variant>
        <vt:i4>0</vt:i4>
      </vt:variant>
      <vt:variant>
        <vt:i4>5</vt:i4>
      </vt:variant>
      <vt:variant>
        <vt:lpwstr/>
      </vt:variant>
      <vt:variant>
        <vt:lpwstr>_Toc328731145</vt:lpwstr>
      </vt:variant>
      <vt:variant>
        <vt:i4>1507385</vt:i4>
      </vt:variant>
      <vt:variant>
        <vt:i4>107</vt:i4>
      </vt:variant>
      <vt:variant>
        <vt:i4>0</vt:i4>
      </vt:variant>
      <vt:variant>
        <vt:i4>5</vt:i4>
      </vt:variant>
      <vt:variant>
        <vt:lpwstr/>
      </vt:variant>
      <vt:variant>
        <vt:lpwstr>_Toc328731144</vt:lpwstr>
      </vt:variant>
      <vt:variant>
        <vt:i4>1507385</vt:i4>
      </vt:variant>
      <vt:variant>
        <vt:i4>101</vt:i4>
      </vt:variant>
      <vt:variant>
        <vt:i4>0</vt:i4>
      </vt:variant>
      <vt:variant>
        <vt:i4>5</vt:i4>
      </vt:variant>
      <vt:variant>
        <vt:lpwstr/>
      </vt:variant>
      <vt:variant>
        <vt:lpwstr>_Toc328731143</vt:lpwstr>
      </vt:variant>
      <vt:variant>
        <vt:i4>1507385</vt:i4>
      </vt:variant>
      <vt:variant>
        <vt:i4>95</vt:i4>
      </vt:variant>
      <vt:variant>
        <vt:i4>0</vt:i4>
      </vt:variant>
      <vt:variant>
        <vt:i4>5</vt:i4>
      </vt:variant>
      <vt:variant>
        <vt:lpwstr/>
      </vt:variant>
      <vt:variant>
        <vt:lpwstr>_Toc328731142</vt:lpwstr>
      </vt:variant>
      <vt:variant>
        <vt:i4>1507385</vt:i4>
      </vt:variant>
      <vt:variant>
        <vt:i4>89</vt:i4>
      </vt:variant>
      <vt:variant>
        <vt:i4>0</vt:i4>
      </vt:variant>
      <vt:variant>
        <vt:i4>5</vt:i4>
      </vt:variant>
      <vt:variant>
        <vt:lpwstr/>
      </vt:variant>
      <vt:variant>
        <vt:lpwstr>_Toc328731141</vt:lpwstr>
      </vt:variant>
      <vt:variant>
        <vt:i4>1507385</vt:i4>
      </vt:variant>
      <vt:variant>
        <vt:i4>83</vt:i4>
      </vt:variant>
      <vt:variant>
        <vt:i4>0</vt:i4>
      </vt:variant>
      <vt:variant>
        <vt:i4>5</vt:i4>
      </vt:variant>
      <vt:variant>
        <vt:lpwstr/>
      </vt:variant>
      <vt:variant>
        <vt:lpwstr>_Toc328731140</vt:lpwstr>
      </vt:variant>
      <vt:variant>
        <vt:i4>1048633</vt:i4>
      </vt:variant>
      <vt:variant>
        <vt:i4>77</vt:i4>
      </vt:variant>
      <vt:variant>
        <vt:i4>0</vt:i4>
      </vt:variant>
      <vt:variant>
        <vt:i4>5</vt:i4>
      </vt:variant>
      <vt:variant>
        <vt:lpwstr/>
      </vt:variant>
      <vt:variant>
        <vt:lpwstr>_Toc328731139</vt:lpwstr>
      </vt:variant>
      <vt:variant>
        <vt:i4>1048633</vt:i4>
      </vt:variant>
      <vt:variant>
        <vt:i4>71</vt:i4>
      </vt:variant>
      <vt:variant>
        <vt:i4>0</vt:i4>
      </vt:variant>
      <vt:variant>
        <vt:i4>5</vt:i4>
      </vt:variant>
      <vt:variant>
        <vt:lpwstr/>
      </vt:variant>
      <vt:variant>
        <vt:lpwstr>_Toc328731138</vt:lpwstr>
      </vt:variant>
      <vt:variant>
        <vt:i4>1048633</vt:i4>
      </vt:variant>
      <vt:variant>
        <vt:i4>65</vt:i4>
      </vt:variant>
      <vt:variant>
        <vt:i4>0</vt:i4>
      </vt:variant>
      <vt:variant>
        <vt:i4>5</vt:i4>
      </vt:variant>
      <vt:variant>
        <vt:lpwstr/>
      </vt:variant>
      <vt:variant>
        <vt:lpwstr>_Toc328731137</vt:lpwstr>
      </vt:variant>
      <vt:variant>
        <vt:i4>1048633</vt:i4>
      </vt:variant>
      <vt:variant>
        <vt:i4>59</vt:i4>
      </vt:variant>
      <vt:variant>
        <vt:i4>0</vt:i4>
      </vt:variant>
      <vt:variant>
        <vt:i4>5</vt:i4>
      </vt:variant>
      <vt:variant>
        <vt:lpwstr/>
      </vt:variant>
      <vt:variant>
        <vt:lpwstr>_Toc328731136</vt:lpwstr>
      </vt:variant>
      <vt:variant>
        <vt:i4>1048633</vt:i4>
      </vt:variant>
      <vt:variant>
        <vt:i4>53</vt:i4>
      </vt:variant>
      <vt:variant>
        <vt:i4>0</vt:i4>
      </vt:variant>
      <vt:variant>
        <vt:i4>5</vt:i4>
      </vt:variant>
      <vt:variant>
        <vt:lpwstr/>
      </vt:variant>
      <vt:variant>
        <vt:lpwstr>_Toc328731135</vt:lpwstr>
      </vt:variant>
      <vt:variant>
        <vt:i4>1048633</vt:i4>
      </vt:variant>
      <vt:variant>
        <vt:i4>47</vt:i4>
      </vt:variant>
      <vt:variant>
        <vt:i4>0</vt:i4>
      </vt:variant>
      <vt:variant>
        <vt:i4>5</vt:i4>
      </vt:variant>
      <vt:variant>
        <vt:lpwstr/>
      </vt:variant>
      <vt:variant>
        <vt:lpwstr>_Toc328731134</vt:lpwstr>
      </vt:variant>
      <vt:variant>
        <vt:i4>1048633</vt:i4>
      </vt:variant>
      <vt:variant>
        <vt:i4>41</vt:i4>
      </vt:variant>
      <vt:variant>
        <vt:i4>0</vt:i4>
      </vt:variant>
      <vt:variant>
        <vt:i4>5</vt:i4>
      </vt:variant>
      <vt:variant>
        <vt:lpwstr/>
      </vt:variant>
      <vt:variant>
        <vt:lpwstr>_Toc328731133</vt:lpwstr>
      </vt:variant>
      <vt:variant>
        <vt:i4>1048633</vt:i4>
      </vt:variant>
      <vt:variant>
        <vt:i4>35</vt:i4>
      </vt:variant>
      <vt:variant>
        <vt:i4>0</vt:i4>
      </vt:variant>
      <vt:variant>
        <vt:i4>5</vt:i4>
      </vt:variant>
      <vt:variant>
        <vt:lpwstr/>
      </vt:variant>
      <vt:variant>
        <vt:lpwstr>_Toc328731132</vt:lpwstr>
      </vt:variant>
      <vt:variant>
        <vt:i4>1048633</vt:i4>
      </vt:variant>
      <vt:variant>
        <vt:i4>29</vt:i4>
      </vt:variant>
      <vt:variant>
        <vt:i4>0</vt:i4>
      </vt:variant>
      <vt:variant>
        <vt:i4>5</vt:i4>
      </vt:variant>
      <vt:variant>
        <vt:lpwstr/>
      </vt:variant>
      <vt:variant>
        <vt:lpwstr>_Toc328731131</vt:lpwstr>
      </vt:variant>
      <vt:variant>
        <vt:i4>1048633</vt:i4>
      </vt:variant>
      <vt:variant>
        <vt:i4>23</vt:i4>
      </vt:variant>
      <vt:variant>
        <vt:i4>0</vt:i4>
      </vt:variant>
      <vt:variant>
        <vt:i4>5</vt:i4>
      </vt:variant>
      <vt:variant>
        <vt:lpwstr/>
      </vt:variant>
      <vt:variant>
        <vt:lpwstr>_Toc328731130</vt:lpwstr>
      </vt:variant>
      <vt:variant>
        <vt:i4>1114169</vt:i4>
      </vt:variant>
      <vt:variant>
        <vt:i4>17</vt:i4>
      </vt:variant>
      <vt:variant>
        <vt:i4>0</vt:i4>
      </vt:variant>
      <vt:variant>
        <vt:i4>5</vt:i4>
      </vt:variant>
      <vt:variant>
        <vt:lpwstr/>
      </vt:variant>
      <vt:variant>
        <vt:lpwstr>_Toc328731129</vt:lpwstr>
      </vt:variant>
      <vt:variant>
        <vt:i4>1114169</vt:i4>
      </vt:variant>
      <vt:variant>
        <vt:i4>11</vt:i4>
      </vt:variant>
      <vt:variant>
        <vt:i4>0</vt:i4>
      </vt:variant>
      <vt:variant>
        <vt:i4>5</vt:i4>
      </vt:variant>
      <vt:variant>
        <vt:lpwstr/>
      </vt:variant>
      <vt:variant>
        <vt:lpwstr>_Toc328731128</vt:lpwstr>
      </vt:variant>
      <vt:variant>
        <vt:i4>1114169</vt:i4>
      </vt:variant>
      <vt:variant>
        <vt:i4>5</vt:i4>
      </vt:variant>
      <vt:variant>
        <vt:i4>0</vt:i4>
      </vt:variant>
      <vt:variant>
        <vt:i4>5</vt:i4>
      </vt:variant>
      <vt:variant>
        <vt:lpwstr/>
      </vt:variant>
      <vt:variant>
        <vt:lpwstr>_Toc328731127</vt:lpwstr>
      </vt:variant>
      <vt:variant>
        <vt:i4>4325381</vt:i4>
      </vt:variant>
      <vt:variant>
        <vt:i4>0</vt:i4>
      </vt:variant>
      <vt:variant>
        <vt:i4>0</vt:i4>
      </vt:variant>
      <vt:variant>
        <vt:i4>5</vt:i4>
      </vt:variant>
      <vt:variant>
        <vt:lpwstr>http://www.icmje.org/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Technology Assessment Report commissioned by the NHS R&amp;D HTA</dc:title>
  <dc:creator>Shepherd J.P.</dc:creator>
  <cp:lastModifiedBy>Whalley T.</cp:lastModifiedBy>
  <cp:revision>2</cp:revision>
  <cp:lastPrinted>2018-07-30T09:01:00Z</cp:lastPrinted>
  <dcterms:created xsi:type="dcterms:W3CDTF">2018-10-30T11:18:00Z</dcterms:created>
  <dcterms:modified xsi:type="dcterms:W3CDTF">2018-10-30T11:18:00Z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