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FBF77" w14:textId="0A949CC4" w:rsidR="0042317C" w:rsidRDefault="00B81C2B" w:rsidP="0042317C">
      <w:pPr>
        <w:rPr>
          <w:rFonts w:ascii="Times New Roman" w:hAnsi="Times New Roman" w:cs="Times New Roman"/>
          <w:b/>
        </w:rPr>
      </w:pPr>
      <w:bookmarkStart w:id="0" w:name="_GoBack"/>
      <w:r>
        <w:rPr>
          <w:rFonts w:ascii="Times New Roman" w:hAnsi="Times New Roman" w:cs="Times New Roman"/>
          <w:b/>
        </w:rPr>
        <w:t>Regulating European Union lobbying: in whose interest?</w:t>
      </w:r>
    </w:p>
    <w:bookmarkEnd w:id="0"/>
    <w:p w14:paraId="61E58A98" w14:textId="77777777" w:rsidR="00B84BBB" w:rsidRDefault="00B84BBB" w:rsidP="0042317C">
      <w:pPr>
        <w:rPr>
          <w:rFonts w:ascii="Times New Roman" w:hAnsi="Times New Roman" w:cs="Times New Roman"/>
          <w:b/>
        </w:rPr>
      </w:pPr>
    </w:p>
    <w:p w14:paraId="2F46778B" w14:textId="77777777" w:rsidR="00B84BBB" w:rsidRDefault="00B84BBB" w:rsidP="00B84BBB">
      <w:pPr>
        <w:rPr>
          <w:rFonts w:ascii="Times New Roman" w:hAnsi="Times New Roman" w:cs="Times New Roman"/>
          <w:b/>
        </w:rPr>
      </w:pPr>
      <w:r>
        <w:rPr>
          <w:rFonts w:ascii="Times New Roman" w:hAnsi="Times New Roman" w:cs="Times New Roman"/>
          <w:b/>
        </w:rPr>
        <w:t>Author: Adriana Bunea, University of Southampton, UK</w:t>
      </w:r>
    </w:p>
    <w:p w14:paraId="3D64DFAB" w14:textId="77777777" w:rsidR="00B84BBB" w:rsidRDefault="00B84BBB" w:rsidP="00B84BBB">
      <w:pPr>
        <w:rPr>
          <w:rFonts w:ascii="Times New Roman" w:hAnsi="Times New Roman" w:cs="Times New Roman"/>
          <w:b/>
        </w:rPr>
      </w:pPr>
      <w:r>
        <w:rPr>
          <w:rFonts w:ascii="Times New Roman" w:hAnsi="Times New Roman" w:cs="Times New Roman"/>
          <w:b/>
        </w:rPr>
        <w:t>ORCID: 0000-0002-2348-9676</w:t>
      </w:r>
    </w:p>
    <w:p w14:paraId="4DFFC61D" w14:textId="77777777" w:rsidR="004D0AC1" w:rsidRPr="004D0AC1" w:rsidRDefault="004D0AC1" w:rsidP="00B84BBB">
      <w:pPr>
        <w:rPr>
          <w:rFonts w:ascii="Times New Roman" w:hAnsi="Times New Roman" w:cs="Times New Roman"/>
          <w:b/>
          <w:i/>
        </w:rPr>
      </w:pPr>
    </w:p>
    <w:p w14:paraId="68601E0D" w14:textId="6E4E05A3" w:rsidR="004D0AC1" w:rsidRDefault="004D0AC1" w:rsidP="00B84BBB">
      <w:pPr>
        <w:rPr>
          <w:rFonts w:ascii="Times New Roman" w:hAnsi="Times New Roman" w:cs="Times New Roman"/>
        </w:rPr>
      </w:pPr>
      <w:r w:rsidRPr="004D0AC1">
        <w:rPr>
          <w:rFonts w:ascii="Times New Roman" w:hAnsi="Times New Roman" w:cs="Times New Roman"/>
          <w:i/>
        </w:rPr>
        <w:t>Forthcoming:</w:t>
      </w:r>
      <w:r w:rsidRPr="004D0AC1">
        <w:rPr>
          <w:rFonts w:ascii="Times New Roman" w:hAnsi="Times New Roman" w:cs="Times New Roman"/>
        </w:rPr>
        <w:t xml:space="preserve"> Journal of European Public Policy</w:t>
      </w:r>
    </w:p>
    <w:p w14:paraId="33E52C91" w14:textId="0B4F9D55" w:rsidR="00615ACA" w:rsidRPr="004D0AC1" w:rsidRDefault="00615ACA" w:rsidP="00B84BBB">
      <w:pPr>
        <w:rPr>
          <w:rFonts w:ascii="Times New Roman" w:hAnsi="Times New Roman" w:cs="Times New Roman"/>
        </w:rPr>
      </w:pPr>
      <w:r>
        <w:rPr>
          <w:rFonts w:ascii="Times New Roman" w:hAnsi="Times New Roman" w:cs="Times New Roman"/>
        </w:rPr>
        <w:t>D</w:t>
      </w:r>
      <w:r w:rsidRPr="00615ACA">
        <w:rPr>
          <w:rFonts w:ascii="Times New Roman" w:hAnsi="Times New Roman" w:cs="Times New Roman"/>
        </w:rPr>
        <w:t>oi.org/10.1080/13501763.2018.1539115</w:t>
      </w:r>
    </w:p>
    <w:p w14:paraId="50357E98" w14:textId="77777777" w:rsidR="00B84BBB" w:rsidRDefault="00B84BBB" w:rsidP="0042317C">
      <w:pPr>
        <w:rPr>
          <w:rFonts w:ascii="Times New Roman" w:hAnsi="Times New Roman" w:cs="Times New Roman"/>
          <w:b/>
        </w:rPr>
      </w:pPr>
    </w:p>
    <w:p w14:paraId="36AF1844" w14:textId="77777777" w:rsidR="002A0829" w:rsidRPr="00E57F40" w:rsidRDefault="002A0829" w:rsidP="0042317C">
      <w:pPr>
        <w:rPr>
          <w:rFonts w:ascii="Times New Roman" w:hAnsi="Times New Roman" w:cs="Times New Roman"/>
          <w:b/>
        </w:rPr>
      </w:pPr>
    </w:p>
    <w:p w14:paraId="0890D95A" w14:textId="77777777" w:rsidR="0042317C" w:rsidRPr="00E57F40" w:rsidRDefault="0042317C" w:rsidP="0042317C">
      <w:pPr>
        <w:rPr>
          <w:rFonts w:ascii="Times New Roman" w:hAnsi="Times New Roman" w:cs="Times New Roman"/>
          <w:b/>
        </w:rPr>
      </w:pPr>
      <w:r w:rsidRPr="00E57F40">
        <w:rPr>
          <w:rFonts w:ascii="Times New Roman" w:hAnsi="Times New Roman" w:cs="Times New Roman"/>
          <w:b/>
        </w:rPr>
        <w:t xml:space="preserve">Abstract </w:t>
      </w:r>
    </w:p>
    <w:p w14:paraId="67F80146" w14:textId="4528FA91" w:rsidR="0059669A" w:rsidRDefault="0059669A" w:rsidP="0059669A">
      <w:pPr>
        <w:jc w:val="both"/>
        <w:rPr>
          <w:rFonts w:ascii="Times New Roman" w:hAnsi="Times New Roman" w:cs="Times New Roman"/>
        </w:rPr>
      </w:pPr>
      <w:r w:rsidRPr="00096C0E">
        <w:rPr>
          <w:rFonts w:ascii="Times New Roman" w:hAnsi="Times New Roman" w:cs="Times New Roman"/>
        </w:rPr>
        <w:t xml:space="preserve">Designing a regime </w:t>
      </w:r>
      <w:r w:rsidR="00340048">
        <w:rPr>
          <w:rFonts w:ascii="Times New Roman" w:hAnsi="Times New Roman" w:cs="Times New Roman"/>
        </w:rPr>
        <w:t>regulating</w:t>
      </w:r>
      <w:r w:rsidRPr="00096C0E">
        <w:rPr>
          <w:rFonts w:ascii="Times New Roman" w:hAnsi="Times New Roman" w:cs="Times New Roman"/>
        </w:rPr>
        <w:t xml:space="preserve"> </w:t>
      </w:r>
      <w:r w:rsidR="00482486">
        <w:rPr>
          <w:rFonts w:ascii="Times New Roman" w:hAnsi="Times New Roman" w:cs="Times New Roman"/>
        </w:rPr>
        <w:t>supranational lobbying</w:t>
      </w:r>
      <w:r w:rsidRPr="00096C0E">
        <w:rPr>
          <w:rFonts w:ascii="Times New Roman" w:hAnsi="Times New Roman" w:cs="Times New Roman"/>
        </w:rPr>
        <w:t xml:space="preserve"> </w:t>
      </w:r>
      <w:r w:rsidR="00B633F5">
        <w:rPr>
          <w:rFonts w:ascii="Times New Roman" w:hAnsi="Times New Roman" w:cs="Times New Roman"/>
        </w:rPr>
        <w:t>is</w:t>
      </w:r>
      <w:r w:rsidRPr="00096C0E">
        <w:rPr>
          <w:rFonts w:ascii="Times New Roman" w:hAnsi="Times New Roman" w:cs="Times New Roman"/>
        </w:rPr>
        <w:t xml:space="preserve"> a contentious topic in </w:t>
      </w:r>
      <w:r w:rsidR="00C62A9F">
        <w:rPr>
          <w:rFonts w:ascii="Times New Roman" w:hAnsi="Times New Roman" w:cs="Times New Roman"/>
        </w:rPr>
        <w:t xml:space="preserve">the </w:t>
      </w:r>
      <w:r w:rsidRPr="00096C0E">
        <w:rPr>
          <w:rFonts w:ascii="Times New Roman" w:hAnsi="Times New Roman" w:cs="Times New Roman"/>
        </w:rPr>
        <w:t>EU interinstitutional dialogue.</w:t>
      </w:r>
      <w:r w:rsidR="00482486">
        <w:rPr>
          <w:rFonts w:ascii="Times New Roman" w:hAnsi="Times New Roman" w:cs="Times New Roman"/>
        </w:rPr>
        <w:t xml:space="preserve"> Recently,</w:t>
      </w:r>
      <w:r w:rsidRPr="00096C0E">
        <w:rPr>
          <w:rFonts w:ascii="Times New Roman" w:hAnsi="Times New Roman" w:cs="Times New Roman"/>
        </w:rPr>
        <w:t xml:space="preserve"> </w:t>
      </w:r>
      <w:r w:rsidR="00482486">
        <w:rPr>
          <w:rFonts w:ascii="Times New Roman" w:hAnsi="Times New Roman" w:cs="Times New Roman"/>
        </w:rPr>
        <w:t>t</w:t>
      </w:r>
      <w:r w:rsidR="00AC028B">
        <w:rPr>
          <w:rFonts w:ascii="Times New Roman" w:hAnsi="Times New Roman" w:cs="Times New Roman"/>
        </w:rPr>
        <w:t>he</w:t>
      </w:r>
      <w:r w:rsidRPr="00096C0E">
        <w:rPr>
          <w:rFonts w:ascii="Times New Roman" w:hAnsi="Times New Roman" w:cs="Times New Roman"/>
        </w:rPr>
        <w:t xml:space="preserve"> Commission </w:t>
      </w:r>
      <w:r w:rsidR="007E2089">
        <w:rPr>
          <w:rFonts w:ascii="Times New Roman" w:hAnsi="Times New Roman" w:cs="Times New Roman"/>
        </w:rPr>
        <w:t>drafted</w:t>
      </w:r>
      <w:r w:rsidR="00482486">
        <w:rPr>
          <w:rFonts w:ascii="Times New Roman" w:hAnsi="Times New Roman" w:cs="Times New Roman"/>
        </w:rPr>
        <w:t xml:space="preserve"> </w:t>
      </w:r>
      <w:r w:rsidRPr="00096C0E">
        <w:rPr>
          <w:rFonts w:ascii="Times New Roman" w:hAnsi="Times New Roman" w:cs="Times New Roman"/>
        </w:rPr>
        <w:t>a proposal for an Interinstitutional Agreement on a Mandatory Transparency Register</w:t>
      </w:r>
      <w:r w:rsidR="007E2089">
        <w:rPr>
          <w:rFonts w:ascii="Times New Roman" w:hAnsi="Times New Roman" w:cs="Times New Roman"/>
        </w:rPr>
        <w:t>, and during this</w:t>
      </w:r>
      <w:r w:rsidR="00482486">
        <w:rPr>
          <w:rFonts w:ascii="Times New Roman" w:hAnsi="Times New Roman" w:cs="Times New Roman"/>
        </w:rPr>
        <w:t xml:space="preserve"> formulation process </w:t>
      </w:r>
      <w:r w:rsidR="007E2089">
        <w:rPr>
          <w:rFonts w:ascii="Times New Roman" w:hAnsi="Times New Roman" w:cs="Times New Roman"/>
        </w:rPr>
        <w:t>it</w:t>
      </w:r>
      <w:r w:rsidR="00482486">
        <w:rPr>
          <w:rFonts w:ascii="Times New Roman" w:hAnsi="Times New Roman" w:cs="Times New Roman"/>
        </w:rPr>
        <w:t xml:space="preserve"> consulted </w:t>
      </w:r>
      <w:r w:rsidR="007E2089">
        <w:rPr>
          <w:rFonts w:ascii="Times New Roman" w:hAnsi="Times New Roman" w:cs="Times New Roman"/>
        </w:rPr>
        <w:t xml:space="preserve">broadly with </w:t>
      </w:r>
      <w:r w:rsidRPr="00096C0E">
        <w:rPr>
          <w:rFonts w:ascii="Times New Roman" w:hAnsi="Times New Roman" w:cs="Times New Roman"/>
        </w:rPr>
        <w:t>stakeholders</w:t>
      </w:r>
      <w:r w:rsidR="00B633F5">
        <w:rPr>
          <w:rFonts w:ascii="Times New Roman" w:hAnsi="Times New Roman" w:cs="Times New Roman"/>
        </w:rPr>
        <w:t>.</w:t>
      </w:r>
      <w:r w:rsidRPr="00096C0E">
        <w:rPr>
          <w:rFonts w:ascii="Times New Roman" w:hAnsi="Times New Roman" w:cs="Times New Roman"/>
        </w:rPr>
        <w:t xml:space="preserve"> </w:t>
      </w:r>
      <w:r w:rsidR="00B633F5">
        <w:rPr>
          <w:rFonts w:ascii="Times New Roman" w:hAnsi="Times New Roman" w:cs="Times New Roman"/>
        </w:rPr>
        <w:t>A</w:t>
      </w:r>
      <w:r w:rsidRPr="00096C0E">
        <w:rPr>
          <w:rFonts w:ascii="Times New Roman" w:hAnsi="Times New Roman" w:cs="Times New Roman"/>
        </w:rPr>
        <w:t xml:space="preserve"> key question is to which </w:t>
      </w:r>
      <w:r w:rsidRPr="00096C0E">
        <w:rPr>
          <w:rFonts w:ascii="Times New Roman" w:hAnsi="Times New Roman" w:cs="Times New Roman"/>
          <w:color w:val="000000" w:themeColor="text1"/>
        </w:rPr>
        <w:t xml:space="preserve">stakeholders has the Commission aligned itself with </w:t>
      </w:r>
      <w:r>
        <w:rPr>
          <w:rFonts w:ascii="Times New Roman" w:hAnsi="Times New Roman" w:cs="Times New Roman"/>
          <w:color w:val="000000" w:themeColor="text1"/>
        </w:rPr>
        <w:t>when</w:t>
      </w:r>
      <w:r w:rsidRPr="00096C0E">
        <w:rPr>
          <w:rFonts w:ascii="Times New Roman" w:hAnsi="Times New Roman" w:cs="Times New Roman"/>
          <w:color w:val="000000" w:themeColor="text1"/>
        </w:rPr>
        <w:t xml:space="preserve"> designing this proposal?</w:t>
      </w:r>
      <w:r w:rsidRPr="00096C0E">
        <w:rPr>
          <w:rFonts w:ascii="Times New Roman" w:hAnsi="Times New Roman" w:cs="Times New Roman"/>
          <w:i/>
          <w:color w:val="000000" w:themeColor="text1"/>
        </w:rPr>
        <w:t xml:space="preserve"> </w:t>
      </w:r>
      <w:r w:rsidRPr="00096C0E">
        <w:rPr>
          <w:rFonts w:ascii="Times New Roman" w:hAnsi="Times New Roman" w:cs="Times New Roman"/>
          <w:color w:val="000000" w:themeColor="text1"/>
        </w:rPr>
        <w:t xml:space="preserve">I argue the Commission acted as a </w:t>
      </w:r>
      <w:r w:rsidRPr="0063761F">
        <w:rPr>
          <w:rFonts w:ascii="Times New Roman" w:hAnsi="Times New Roman" w:cs="Times New Roman"/>
          <w:color w:val="000000" w:themeColor="text1"/>
        </w:rPr>
        <w:t>legitimacy maximizer</w:t>
      </w:r>
      <w:r w:rsidRPr="00096C0E">
        <w:rPr>
          <w:rFonts w:ascii="Times New Roman" w:hAnsi="Times New Roman" w:cs="Times New Roman"/>
          <w:color w:val="000000" w:themeColor="text1"/>
        </w:rPr>
        <w:t xml:space="preserve"> aiming to </w:t>
      </w:r>
      <w:r w:rsidR="00AC028B">
        <w:rPr>
          <w:rFonts w:ascii="Times New Roman" w:hAnsi="Times New Roman" w:cs="Times New Roman"/>
          <w:color w:val="000000" w:themeColor="text1"/>
        </w:rPr>
        <w:t>bolster</w:t>
      </w:r>
      <w:r w:rsidRPr="00096C0E">
        <w:rPr>
          <w:rFonts w:ascii="Times New Roman" w:hAnsi="Times New Roman" w:cs="Times New Roman"/>
          <w:color w:val="000000" w:themeColor="text1"/>
        </w:rPr>
        <w:t xml:space="preserve"> its leverage in interinstitutional negotiations. To enhance input legitimacy, it had to build a reputation for being a </w:t>
      </w:r>
      <w:r w:rsidRPr="0063761F">
        <w:rPr>
          <w:rFonts w:ascii="Times New Roman" w:hAnsi="Times New Roman" w:cs="Times New Roman"/>
          <w:color w:val="000000" w:themeColor="text1"/>
        </w:rPr>
        <w:t>responsive and representative policy initiator</w:t>
      </w:r>
      <w:r w:rsidRPr="00096C0E">
        <w:rPr>
          <w:rFonts w:ascii="Times New Roman" w:hAnsi="Times New Roman" w:cs="Times New Roman"/>
          <w:color w:val="000000" w:themeColor="text1"/>
        </w:rPr>
        <w:t xml:space="preserve">. To enhance output legitimacy, </w:t>
      </w:r>
      <w:r w:rsidR="0063761F">
        <w:rPr>
          <w:rFonts w:ascii="Times New Roman" w:hAnsi="Times New Roman" w:cs="Times New Roman"/>
          <w:color w:val="000000" w:themeColor="text1"/>
        </w:rPr>
        <w:t>it</w:t>
      </w:r>
      <w:r w:rsidRPr="00096C0E">
        <w:rPr>
          <w:rFonts w:ascii="Times New Roman" w:hAnsi="Times New Roman" w:cs="Times New Roman"/>
          <w:color w:val="000000" w:themeColor="text1"/>
        </w:rPr>
        <w:t xml:space="preserve"> </w:t>
      </w:r>
      <w:r w:rsidR="007E2089">
        <w:rPr>
          <w:rFonts w:ascii="Times New Roman" w:hAnsi="Times New Roman" w:cs="Times New Roman"/>
          <w:color w:val="000000" w:themeColor="text1"/>
        </w:rPr>
        <w:t>needed</w:t>
      </w:r>
      <w:r w:rsidRPr="00096C0E">
        <w:rPr>
          <w:rFonts w:ascii="Times New Roman" w:hAnsi="Times New Roman" w:cs="Times New Roman"/>
          <w:color w:val="000000" w:themeColor="text1"/>
        </w:rPr>
        <w:t xml:space="preserve"> a reputation for being a </w:t>
      </w:r>
      <w:r w:rsidRPr="0063761F">
        <w:rPr>
          <w:rFonts w:ascii="Times New Roman" w:hAnsi="Times New Roman" w:cs="Times New Roman"/>
          <w:color w:val="000000" w:themeColor="text1"/>
        </w:rPr>
        <w:t>competent regulator.</w:t>
      </w:r>
      <w:r w:rsidRPr="00096C0E">
        <w:rPr>
          <w:rFonts w:ascii="Times New Roman" w:hAnsi="Times New Roman" w:cs="Times New Roman"/>
          <w:color w:val="000000" w:themeColor="text1"/>
        </w:rPr>
        <w:t xml:space="preserve"> </w:t>
      </w:r>
      <w:r w:rsidRPr="00096C0E">
        <w:rPr>
          <w:rFonts w:ascii="Times New Roman" w:hAnsi="Times New Roman" w:cs="Times New Roman"/>
        </w:rPr>
        <w:t xml:space="preserve">The analyses show the Commission prioritised input over output legitimacy and building a reputation for regulating lobbying in </w:t>
      </w:r>
      <w:r>
        <w:rPr>
          <w:rFonts w:ascii="Times New Roman" w:hAnsi="Times New Roman" w:cs="Times New Roman"/>
        </w:rPr>
        <w:t xml:space="preserve">line with preferences of stakeholders representing the </w:t>
      </w:r>
      <w:r w:rsidRPr="00096C0E">
        <w:rPr>
          <w:rFonts w:ascii="Times New Roman" w:hAnsi="Times New Roman" w:cs="Times New Roman"/>
        </w:rPr>
        <w:t>public</w:t>
      </w:r>
      <w:r>
        <w:rPr>
          <w:rFonts w:ascii="Times New Roman" w:hAnsi="Times New Roman" w:cs="Times New Roman"/>
        </w:rPr>
        <w:t xml:space="preserve"> interest</w:t>
      </w:r>
      <w:r w:rsidRPr="00096C0E">
        <w:rPr>
          <w:rFonts w:ascii="Times New Roman" w:hAnsi="Times New Roman" w:cs="Times New Roman"/>
        </w:rPr>
        <w:t>. In politicised contexts, the Commission trades long-standing policy networks for a realignment with stakeholders that serve its legitimacy needs.</w:t>
      </w:r>
    </w:p>
    <w:p w14:paraId="473AF4F4" w14:textId="3BD4026B" w:rsidR="00894642" w:rsidRDefault="00894642" w:rsidP="0059669A">
      <w:pPr>
        <w:jc w:val="both"/>
        <w:rPr>
          <w:rFonts w:ascii="Times New Roman" w:hAnsi="Times New Roman" w:cs="Times New Roman"/>
        </w:rPr>
      </w:pPr>
    </w:p>
    <w:p w14:paraId="4F6D8B2D" w14:textId="77232417" w:rsidR="00894642" w:rsidRPr="00894642" w:rsidRDefault="00894642" w:rsidP="0059669A">
      <w:pPr>
        <w:jc w:val="both"/>
        <w:rPr>
          <w:rFonts w:ascii="Times New Roman" w:hAnsi="Times New Roman" w:cs="Times New Roman"/>
          <w:b/>
        </w:rPr>
      </w:pPr>
      <w:r w:rsidRPr="00894642">
        <w:rPr>
          <w:rFonts w:ascii="Times New Roman" w:hAnsi="Times New Roman" w:cs="Times New Roman"/>
          <w:b/>
        </w:rPr>
        <w:t xml:space="preserve">Key words: </w:t>
      </w:r>
      <w:r w:rsidR="00CD3967" w:rsidRPr="00CD3967">
        <w:rPr>
          <w:rFonts w:ascii="Times New Roman" w:hAnsi="Times New Roman" w:cs="Times New Roman"/>
        </w:rPr>
        <w:t>European Commission, bureaucratic reputation, interinstitutional agreements, input and output legitimacy, lobbying regulation, policy networks.</w:t>
      </w:r>
      <w:r w:rsidR="00CD3967">
        <w:rPr>
          <w:rFonts w:ascii="Times New Roman" w:hAnsi="Times New Roman" w:cs="Times New Roman"/>
          <w:b/>
        </w:rPr>
        <w:t xml:space="preserve"> </w:t>
      </w:r>
    </w:p>
    <w:p w14:paraId="0CAA10D0" w14:textId="2655429E" w:rsidR="00894642" w:rsidRDefault="00894642"/>
    <w:p w14:paraId="2FE97780" w14:textId="2A9A23A5" w:rsidR="0042317C" w:rsidRDefault="0042317C"/>
    <w:p w14:paraId="1BB263E3" w14:textId="77777777" w:rsidR="00894642" w:rsidRDefault="00894642" w:rsidP="001D1DFF">
      <w:pPr>
        <w:jc w:val="both"/>
        <w:rPr>
          <w:rFonts w:ascii="Times New Roman" w:hAnsi="Times New Roman" w:cs="Times New Roman"/>
          <w:b/>
        </w:rPr>
      </w:pPr>
    </w:p>
    <w:p w14:paraId="2DE2CF99" w14:textId="05CA18ED" w:rsidR="00894642" w:rsidRDefault="00894642" w:rsidP="001D1DFF">
      <w:pPr>
        <w:jc w:val="both"/>
        <w:rPr>
          <w:rFonts w:ascii="Times New Roman" w:hAnsi="Times New Roman" w:cs="Times New Roman"/>
          <w:b/>
        </w:rPr>
      </w:pPr>
    </w:p>
    <w:p w14:paraId="31FB0DFE" w14:textId="77777777" w:rsidR="00894642" w:rsidRDefault="00894642" w:rsidP="001D1DFF">
      <w:pPr>
        <w:jc w:val="both"/>
        <w:rPr>
          <w:rFonts w:ascii="Times New Roman" w:hAnsi="Times New Roman" w:cs="Times New Roman"/>
          <w:b/>
        </w:rPr>
      </w:pPr>
    </w:p>
    <w:p w14:paraId="5478676A" w14:textId="77777777" w:rsidR="00894642" w:rsidRDefault="00894642" w:rsidP="001D1DFF">
      <w:pPr>
        <w:jc w:val="both"/>
        <w:rPr>
          <w:rFonts w:ascii="Times New Roman" w:hAnsi="Times New Roman" w:cs="Times New Roman"/>
          <w:b/>
        </w:rPr>
      </w:pPr>
    </w:p>
    <w:p w14:paraId="48DB096F" w14:textId="77777777" w:rsidR="00894642" w:rsidRDefault="00894642" w:rsidP="001D1DFF">
      <w:pPr>
        <w:jc w:val="both"/>
        <w:rPr>
          <w:rFonts w:ascii="Times New Roman" w:hAnsi="Times New Roman" w:cs="Times New Roman"/>
          <w:b/>
        </w:rPr>
      </w:pPr>
    </w:p>
    <w:p w14:paraId="7609B757" w14:textId="77777777" w:rsidR="00894642" w:rsidRDefault="00894642" w:rsidP="001D1DFF">
      <w:pPr>
        <w:jc w:val="both"/>
        <w:rPr>
          <w:rFonts w:ascii="Times New Roman" w:hAnsi="Times New Roman" w:cs="Times New Roman"/>
          <w:b/>
        </w:rPr>
      </w:pPr>
    </w:p>
    <w:p w14:paraId="32C7158D" w14:textId="77777777" w:rsidR="00894642" w:rsidRDefault="00894642" w:rsidP="001D1DFF">
      <w:pPr>
        <w:jc w:val="both"/>
        <w:rPr>
          <w:rFonts w:ascii="Times New Roman" w:hAnsi="Times New Roman" w:cs="Times New Roman"/>
          <w:b/>
        </w:rPr>
      </w:pPr>
    </w:p>
    <w:p w14:paraId="055D24C8" w14:textId="77777777" w:rsidR="00894642" w:rsidRDefault="00894642" w:rsidP="001D1DFF">
      <w:pPr>
        <w:jc w:val="both"/>
        <w:rPr>
          <w:rFonts w:ascii="Times New Roman" w:hAnsi="Times New Roman" w:cs="Times New Roman"/>
          <w:b/>
        </w:rPr>
      </w:pPr>
    </w:p>
    <w:p w14:paraId="252BA5E3" w14:textId="77777777" w:rsidR="00894642" w:rsidRDefault="00894642" w:rsidP="001D1DFF">
      <w:pPr>
        <w:jc w:val="both"/>
        <w:rPr>
          <w:rFonts w:ascii="Times New Roman" w:hAnsi="Times New Roman" w:cs="Times New Roman"/>
          <w:b/>
        </w:rPr>
      </w:pPr>
    </w:p>
    <w:p w14:paraId="709392C0" w14:textId="77777777" w:rsidR="00894642" w:rsidRDefault="00894642" w:rsidP="001D1DFF">
      <w:pPr>
        <w:jc w:val="both"/>
        <w:rPr>
          <w:rFonts w:ascii="Times New Roman" w:hAnsi="Times New Roman" w:cs="Times New Roman"/>
          <w:b/>
        </w:rPr>
      </w:pPr>
    </w:p>
    <w:p w14:paraId="6F83298F" w14:textId="77777777" w:rsidR="00894642" w:rsidRDefault="00894642" w:rsidP="001D1DFF">
      <w:pPr>
        <w:jc w:val="both"/>
        <w:rPr>
          <w:rFonts w:ascii="Times New Roman" w:hAnsi="Times New Roman" w:cs="Times New Roman"/>
          <w:b/>
        </w:rPr>
      </w:pPr>
    </w:p>
    <w:p w14:paraId="0CBE75C7" w14:textId="77777777" w:rsidR="00894642" w:rsidRDefault="00894642" w:rsidP="001D1DFF">
      <w:pPr>
        <w:jc w:val="both"/>
        <w:rPr>
          <w:rFonts w:ascii="Times New Roman" w:hAnsi="Times New Roman" w:cs="Times New Roman"/>
          <w:b/>
        </w:rPr>
      </w:pPr>
    </w:p>
    <w:p w14:paraId="34258FA4" w14:textId="77777777" w:rsidR="00894642" w:rsidRDefault="00894642" w:rsidP="001D1DFF">
      <w:pPr>
        <w:jc w:val="both"/>
        <w:rPr>
          <w:rFonts w:ascii="Times New Roman" w:hAnsi="Times New Roman" w:cs="Times New Roman"/>
          <w:b/>
        </w:rPr>
      </w:pPr>
    </w:p>
    <w:p w14:paraId="633BAE50" w14:textId="77777777" w:rsidR="00894642" w:rsidRDefault="00894642" w:rsidP="001D1DFF">
      <w:pPr>
        <w:jc w:val="both"/>
        <w:rPr>
          <w:rFonts w:ascii="Times New Roman" w:hAnsi="Times New Roman" w:cs="Times New Roman"/>
          <w:b/>
        </w:rPr>
      </w:pPr>
    </w:p>
    <w:p w14:paraId="6EAC8731" w14:textId="77777777" w:rsidR="00894642" w:rsidRDefault="00894642" w:rsidP="001D1DFF">
      <w:pPr>
        <w:jc w:val="both"/>
        <w:rPr>
          <w:rFonts w:ascii="Times New Roman" w:hAnsi="Times New Roman" w:cs="Times New Roman"/>
          <w:b/>
        </w:rPr>
      </w:pPr>
    </w:p>
    <w:p w14:paraId="70D09B14" w14:textId="77777777" w:rsidR="00894642" w:rsidRDefault="00894642" w:rsidP="001D1DFF">
      <w:pPr>
        <w:jc w:val="both"/>
        <w:rPr>
          <w:rFonts w:ascii="Times New Roman" w:hAnsi="Times New Roman" w:cs="Times New Roman"/>
          <w:b/>
        </w:rPr>
      </w:pPr>
    </w:p>
    <w:p w14:paraId="0940B785" w14:textId="77777777" w:rsidR="00894642" w:rsidRDefault="00894642" w:rsidP="001D1DFF">
      <w:pPr>
        <w:jc w:val="both"/>
        <w:rPr>
          <w:rFonts w:ascii="Times New Roman" w:hAnsi="Times New Roman" w:cs="Times New Roman"/>
          <w:b/>
        </w:rPr>
      </w:pPr>
    </w:p>
    <w:p w14:paraId="616C0E34" w14:textId="77777777" w:rsidR="00894642" w:rsidRDefault="00894642" w:rsidP="001D1DFF">
      <w:pPr>
        <w:jc w:val="both"/>
        <w:rPr>
          <w:rFonts w:ascii="Times New Roman" w:hAnsi="Times New Roman" w:cs="Times New Roman"/>
          <w:b/>
        </w:rPr>
      </w:pPr>
    </w:p>
    <w:p w14:paraId="37F6CC10" w14:textId="77777777" w:rsidR="00894642" w:rsidRDefault="00894642" w:rsidP="001D1DFF">
      <w:pPr>
        <w:jc w:val="both"/>
        <w:rPr>
          <w:rFonts w:ascii="Times New Roman" w:hAnsi="Times New Roman" w:cs="Times New Roman"/>
          <w:b/>
        </w:rPr>
      </w:pPr>
    </w:p>
    <w:p w14:paraId="0C970567" w14:textId="5F13FB40" w:rsidR="00894642" w:rsidRDefault="00894642" w:rsidP="001D1DFF">
      <w:pPr>
        <w:jc w:val="both"/>
        <w:rPr>
          <w:rFonts w:ascii="Times New Roman" w:hAnsi="Times New Roman" w:cs="Times New Roman"/>
          <w:b/>
        </w:rPr>
      </w:pPr>
    </w:p>
    <w:p w14:paraId="364A6A5C" w14:textId="77777777" w:rsidR="00FF1ACA" w:rsidRDefault="00FF1ACA" w:rsidP="001D1DFF">
      <w:pPr>
        <w:jc w:val="both"/>
        <w:rPr>
          <w:rFonts w:ascii="Times New Roman" w:hAnsi="Times New Roman" w:cs="Times New Roman"/>
          <w:b/>
        </w:rPr>
      </w:pPr>
    </w:p>
    <w:p w14:paraId="423B2731" w14:textId="77777777" w:rsidR="004D0AC1" w:rsidRDefault="004D0AC1" w:rsidP="001D1DFF">
      <w:pPr>
        <w:jc w:val="both"/>
        <w:rPr>
          <w:rFonts w:ascii="Times New Roman" w:hAnsi="Times New Roman" w:cs="Times New Roman"/>
          <w:b/>
        </w:rPr>
      </w:pPr>
    </w:p>
    <w:p w14:paraId="5FDF26C2" w14:textId="77777777" w:rsidR="00FF1ACA" w:rsidRDefault="00FF1ACA" w:rsidP="001D1DFF">
      <w:pPr>
        <w:jc w:val="both"/>
        <w:rPr>
          <w:rFonts w:ascii="Times New Roman" w:hAnsi="Times New Roman" w:cs="Times New Roman"/>
          <w:b/>
        </w:rPr>
      </w:pPr>
    </w:p>
    <w:p w14:paraId="42077B66" w14:textId="39DDCCF3" w:rsidR="001D1DFF" w:rsidRDefault="001D1DFF" w:rsidP="00C62A9F">
      <w:pPr>
        <w:spacing w:line="360" w:lineRule="auto"/>
        <w:jc w:val="both"/>
        <w:rPr>
          <w:rFonts w:ascii="Times New Roman" w:hAnsi="Times New Roman" w:cs="Times New Roman"/>
          <w:b/>
        </w:rPr>
      </w:pPr>
      <w:r>
        <w:rPr>
          <w:rFonts w:ascii="Times New Roman" w:hAnsi="Times New Roman" w:cs="Times New Roman"/>
          <w:b/>
        </w:rPr>
        <w:t>Introduction</w:t>
      </w:r>
    </w:p>
    <w:p w14:paraId="3415C71B" w14:textId="77777777" w:rsidR="001D1DFF" w:rsidRDefault="001D1DFF" w:rsidP="00C62A9F">
      <w:pPr>
        <w:spacing w:line="360" w:lineRule="auto"/>
        <w:jc w:val="both"/>
        <w:rPr>
          <w:rFonts w:ascii="Times New Roman" w:hAnsi="Times New Roman" w:cs="Times New Roman"/>
          <w:b/>
        </w:rPr>
      </w:pPr>
    </w:p>
    <w:p w14:paraId="4284227D" w14:textId="6A23D696" w:rsidR="0043535D" w:rsidRDefault="001D1DFF" w:rsidP="00C62A9F">
      <w:pPr>
        <w:tabs>
          <w:tab w:val="left" w:pos="3240"/>
        </w:tabs>
        <w:spacing w:line="360" w:lineRule="auto"/>
        <w:jc w:val="both"/>
        <w:rPr>
          <w:rFonts w:ascii="Times New Roman" w:hAnsi="Times New Roman" w:cs="Times New Roman"/>
        </w:rPr>
      </w:pPr>
      <w:r>
        <w:rPr>
          <w:rFonts w:ascii="Times New Roman" w:hAnsi="Times New Roman" w:cs="Times New Roman"/>
        </w:rPr>
        <w:t>Designing a regulatory regime that governs and structures interactions between interest groups and EU decision-makers has been a contentious topic in the interinstitutional dialogue at supranational level (Mazey and Richardson 2015). Throughout time, the European Parliament (EP</w:t>
      </w:r>
      <w:r w:rsidRPr="00894642">
        <w:rPr>
          <w:rFonts w:ascii="Times New Roman" w:hAnsi="Times New Roman" w:cs="Times New Roman"/>
        </w:rPr>
        <w:t>) advocated a mandatory regulatory regime that would apply to all three main institutions; the European Commission (EC) evolved from supporting the creation of a ‘partnership agreement’ with interest groups to that of a voluntary, incentives-based regulatory scheme consisting of a Transparency Register (TR); the Council has systematically rejected any form of lobbying regulation that would cover its interactions with private actors (Bouwen 2007). In September 2016, the Commissi</w:t>
      </w:r>
      <w:r w:rsidR="00FD6F55">
        <w:rPr>
          <w:rFonts w:ascii="Times New Roman" w:hAnsi="Times New Roman" w:cs="Times New Roman"/>
        </w:rPr>
        <w:t xml:space="preserve">on published a proposal for an </w:t>
      </w:r>
      <w:r w:rsidRPr="00894642">
        <w:rPr>
          <w:rFonts w:ascii="Times New Roman" w:hAnsi="Times New Roman" w:cs="Times New Roman"/>
        </w:rPr>
        <w:t xml:space="preserve">Interinstitutional Agreement on a Mandatory </w:t>
      </w:r>
      <w:r w:rsidR="00FD6F55">
        <w:rPr>
          <w:rFonts w:ascii="Times New Roman" w:hAnsi="Times New Roman" w:cs="Times New Roman"/>
        </w:rPr>
        <w:t>TR</w:t>
      </w:r>
      <w:r w:rsidRPr="00894642">
        <w:rPr>
          <w:rFonts w:ascii="Times New Roman" w:hAnsi="Times New Roman" w:cs="Times New Roman"/>
        </w:rPr>
        <w:t xml:space="preserve"> aimed to further institutionalise and strengthen regulation of supranational lobbying by expanding the regulatory scope of the Register, enhancing its transparency and data provision quality, strengthening its enforcement mechanisms and improving its administrative management structures. The proposal answered the EP’s repeated calls for a more stringent and ambitious in scope lobbying regulation</w:t>
      </w:r>
      <w:r w:rsidR="001343B7">
        <w:rPr>
          <w:rFonts w:ascii="Times New Roman" w:hAnsi="Times New Roman" w:cs="Times New Roman"/>
        </w:rPr>
        <w:t>,</w:t>
      </w:r>
      <w:r w:rsidRPr="00894642">
        <w:rPr>
          <w:rFonts w:ascii="Times New Roman" w:hAnsi="Times New Roman" w:cs="Times New Roman"/>
        </w:rPr>
        <w:t xml:space="preserve"> and continued the line of administrative reforms introduced by the Juncker Commission to design a </w:t>
      </w:r>
      <w:r w:rsidR="00E6083D" w:rsidRPr="00894642">
        <w:rPr>
          <w:rFonts w:ascii="Times New Roman" w:hAnsi="Times New Roman" w:cs="Times New Roman"/>
        </w:rPr>
        <w:t>better-defined</w:t>
      </w:r>
      <w:r w:rsidRPr="00894642">
        <w:rPr>
          <w:rFonts w:ascii="Times New Roman" w:hAnsi="Times New Roman" w:cs="Times New Roman"/>
        </w:rPr>
        <w:t xml:space="preserve"> </w:t>
      </w:r>
      <w:r w:rsidR="000F765D">
        <w:rPr>
          <w:rFonts w:ascii="Times New Roman" w:hAnsi="Times New Roman" w:cs="Times New Roman"/>
        </w:rPr>
        <w:t>institutional framework for managing the</w:t>
      </w:r>
      <w:r w:rsidRPr="00894642">
        <w:rPr>
          <w:rFonts w:ascii="Times New Roman" w:hAnsi="Times New Roman" w:cs="Times New Roman"/>
        </w:rPr>
        <w:t xml:space="preserve"> EU system of</w:t>
      </w:r>
      <w:r>
        <w:rPr>
          <w:rFonts w:ascii="Times New Roman" w:hAnsi="Times New Roman" w:cs="Times New Roman"/>
        </w:rPr>
        <w:t xml:space="preserve"> interest representation as part of its Better Regulation policy (Bunea and Ibenskas 2017). The proposal led to an important shift in the status quo of EU lobbying regulation and transparency policy</w:t>
      </w:r>
      <w:r w:rsidR="00FD6F55">
        <w:rPr>
          <w:rFonts w:ascii="Times New Roman" w:hAnsi="Times New Roman" w:cs="Times New Roman"/>
        </w:rPr>
        <w:t>,</w:t>
      </w:r>
      <w:r>
        <w:rPr>
          <w:rFonts w:ascii="Times New Roman" w:hAnsi="Times New Roman" w:cs="Times New Roman"/>
        </w:rPr>
        <w:t xml:space="preserve"> and a change in Council’s position: in December 2017 Member States agreed to extend the TR ‘in an appropriate way to the Council’ to regulate interest groups access to senior staff of the </w:t>
      </w:r>
      <w:r w:rsidR="001343B7">
        <w:rPr>
          <w:rFonts w:ascii="Times New Roman" w:hAnsi="Times New Roman" w:cs="Times New Roman"/>
        </w:rPr>
        <w:t xml:space="preserve">Council’s </w:t>
      </w:r>
      <w:r>
        <w:rPr>
          <w:rFonts w:ascii="Times New Roman" w:hAnsi="Times New Roman" w:cs="Times New Roman"/>
        </w:rPr>
        <w:t>General Secretariat.</w:t>
      </w:r>
      <w:r w:rsidR="0043535D">
        <w:rPr>
          <w:rStyle w:val="EndnoteReference"/>
          <w:rFonts w:ascii="Times New Roman" w:hAnsi="Times New Roman" w:cs="Times New Roman"/>
        </w:rPr>
        <w:endnoteReference w:id="1"/>
      </w:r>
    </w:p>
    <w:p w14:paraId="622BDA6B" w14:textId="3F17D387" w:rsidR="0043535D" w:rsidRPr="004F50C1" w:rsidRDefault="0043535D" w:rsidP="00C62A9F">
      <w:pPr>
        <w:spacing w:line="360" w:lineRule="auto"/>
        <w:jc w:val="both"/>
        <w:rPr>
          <w:rFonts w:ascii="Times New Roman" w:hAnsi="Times New Roman" w:cs="Times New Roman"/>
          <w:i/>
          <w:color w:val="000000" w:themeColor="text1"/>
        </w:rPr>
      </w:pPr>
      <w:r>
        <w:rPr>
          <w:rFonts w:ascii="Times New Roman" w:hAnsi="Times New Roman" w:cs="Times New Roman"/>
        </w:rPr>
        <w:tab/>
        <w:t xml:space="preserve">When formulating this proposal, the Commission consulted broadly with stakeholders as part of a twelve-weeks online consultation (March-June 2016). Stakeholders (citizens and interest groups) were asked to evaluate the current TR performance and </w:t>
      </w:r>
      <w:r w:rsidRPr="009E76C6">
        <w:rPr>
          <w:rFonts w:ascii="Times New Roman" w:hAnsi="Times New Roman" w:cs="Times New Roman"/>
        </w:rPr>
        <w:t>to express their opinion about introducing a set of measures to reform the current lobbying regulation system. The context in which the Commission tabled this proposal was contentious and marked by an anticipated Council’s reluctance to join any regulatory scheme, the EP’s demand for more stringent lobbying regulation, and a surprising subsequent shift in the Council’s position.</w:t>
      </w:r>
      <w:r>
        <w:rPr>
          <w:rFonts w:ascii="Times New Roman" w:hAnsi="Times New Roman" w:cs="Times New Roman"/>
        </w:rPr>
        <w:t xml:space="preserve"> Therefore, a key question regarding the formulation of this regulatory initiative is </w:t>
      </w:r>
      <w:r>
        <w:rPr>
          <w:rFonts w:ascii="Times New Roman" w:hAnsi="Times New Roman" w:cs="Times New Roman"/>
          <w:i/>
          <w:color w:val="000000" w:themeColor="text1"/>
        </w:rPr>
        <w:t xml:space="preserve">to which constituencies of stakeholders has the Commission aligned itself with when designing the </w:t>
      </w:r>
      <w:r w:rsidRPr="004F50C1">
        <w:rPr>
          <w:rFonts w:ascii="Times New Roman" w:hAnsi="Times New Roman" w:cs="Times New Roman"/>
          <w:i/>
          <w:color w:val="000000" w:themeColor="text1"/>
        </w:rPr>
        <w:lastRenderedPageBreak/>
        <w:t xml:space="preserve">proposal for an interinstitutional agreement on a mandatory </w:t>
      </w:r>
      <w:r>
        <w:rPr>
          <w:rFonts w:ascii="Times New Roman" w:hAnsi="Times New Roman" w:cs="Times New Roman"/>
          <w:i/>
          <w:color w:val="000000" w:themeColor="text1"/>
        </w:rPr>
        <w:t>TR to regulate supranational lobbying</w:t>
      </w:r>
      <w:r w:rsidRPr="004F50C1">
        <w:rPr>
          <w:rFonts w:ascii="Times New Roman" w:hAnsi="Times New Roman" w:cs="Times New Roman"/>
          <w:i/>
          <w:color w:val="000000" w:themeColor="text1"/>
        </w:rPr>
        <w:t>?</w:t>
      </w:r>
    </w:p>
    <w:p w14:paraId="47671FE0" w14:textId="6DC3EC31" w:rsidR="0043535D" w:rsidRPr="005224B0" w:rsidRDefault="0043535D" w:rsidP="00C62A9F">
      <w:pPr>
        <w:pStyle w:val="p1"/>
        <w:spacing w:line="360" w:lineRule="auto"/>
        <w:jc w:val="both"/>
        <w:rPr>
          <w:rFonts w:ascii="Times New Roman" w:hAnsi="Times New Roman"/>
          <w:color w:val="000000" w:themeColor="text1"/>
          <w:sz w:val="24"/>
          <w:szCs w:val="24"/>
        </w:rPr>
      </w:pPr>
      <w:r w:rsidRPr="004F50C1">
        <w:rPr>
          <w:rFonts w:ascii="Times New Roman" w:hAnsi="Times New Roman"/>
          <w:color w:val="000000" w:themeColor="text1"/>
          <w:sz w:val="24"/>
          <w:szCs w:val="24"/>
        </w:rPr>
        <w:tab/>
        <w:t xml:space="preserve">I elaborate and test the argument that in formulating </w:t>
      </w:r>
      <w:r>
        <w:rPr>
          <w:rFonts w:ascii="Times New Roman" w:hAnsi="Times New Roman"/>
          <w:color w:val="000000" w:themeColor="text1"/>
          <w:sz w:val="24"/>
          <w:szCs w:val="24"/>
        </w:rPr>
        <w:t>this</w:t>
      </w:r>
      <w:r w:rsidRPr="004F50C1">
        <w:rPr>
          <w:rFonts w:ascii="Times New Roman" w:hAnsi="Times New Roman"/>
          <w:color w:val="000000" w:themeColor="text1"/>
          <w:sz w:val="24"/>
          <w:szCs w:val="24"/>
        </w:rPr>
        <w:t xml:space="preserve"> proposal</w:t>
      </w:r>
      <w:r w:rsidRPr="005224B0">
        <w:rPr>
          <w:rFonts w:ascii="Times New Roman" w:hAnsi="Times New Roman"/>
          <w:color w:val="000000" w:themeColor="text1"/>
          <w:sz w:val="24"/>
          <w:szCs w:val="24"/>
        </w:rPr>
        <w:t xml:space="preserve">, the Commission acted as a political agenda-setter and </w:t>
      </w:r>
      <w:r w:rsidRPr="00994AC0">
        <w:rPr>
          <w:rFonts w:ascii="Times New Roman" w:hAnsi="Times New Roman"/>
          <w:i/>
          <w:color w:val="000000" w:themeColor="text1"/>
          <w:sz w:val="24"/>
          <w:szCs w:val="24"/>
        </w:rPr>
        <w:t>legitimacy maximizer</w:t>
      </w:r>
      <w:r w:rsidRPr="005224B0">
        <w:rPr>
          <w:rFonts w:ascii="Times New Roman" w:hAnsi="Times New Roman"/>
          <w:color w:val="000000" w:themeColor="text1"/>
          <w:sz w:val="24"/>
          <w:szCs w:val="24"/>
        </w:rPr>
        <w:t xml:space="preserve"> aiming to bolster its leverage and power during interinstitutional negotiations over the terms of the agreement</w:t>
      </w:r>
      <w:r>
        <w:rPr>
          <w:rFonts w:ascii="Times New Roman" w:hAnsi="Times New Roman"/>
          <w:color w:val="000000" w:themeColor="text1"/>
          <w:sz w:val="24"/>
          <w:szCs w:val="24"/>
        </w:rPr>
        <w:t>.</w:t>
      </w:r>
      <w:r w:rsidRPr="005224B0">
        <w:rPr>
          <w:rFonts w:ascii="Times New Roman" w:hAnsi="Times New Roman"/>
          <w:color w:val="000000" w:themeColor="text1"/>
          <w:sz w:val="24"/>
          <w:szCs w:val="24"/>
        </w:rPr>
        <w:t xml:space="preserve"> Instrumental in achieving </w:t>
      </w:r>
      <w:r>
        <w:rPr>
          <w:rFonts w:ascii="Times New Roman" w:hAnsi="Times New Roman"/>
          <w:color w:val="000000" w:themeColor="text1"/>
          <w:sz w:val="24"/>
          <w:szCs w:val="24"/>
        </w:rPr>
        <w:t>strong negotiation leverage wa</w:t>
      </w:r>
      <w:r w:rsidRPr="005224B0">
        <w:rPr>
          <w:rFonts w:ascii="Times New Roman" w:hAnsi="Times New Roman"/>
          <w:color w:val="000000" w:themeColor="text1"/>
          <w:sz w:val="24"/>
          <w:szCs w:val="24"/>
        </w:rPr>
        <w:t>s building the right organizational reputation with the right audiences (Carpenter and Krause 2012)</w:t>
      </w:r>
      <w:r>
        <w:rPr>
          <w:rFonts w:ascii="Times New Roman" w:hAnsi="Times New Roman"/>
          <w:color w:val="000000" w:themeColor="text1"/>
          <w:sz w:val="24"/>
          <w:szCs w:val="24"/>
        </w:rPr>
        <w:t xml:space="preserve">, which for the Commission meant crafting a reputation for </w:t>
      </w:r>
      <w:r w:rsidRPr="00994AC0">
        <w:rPr>
          <w:rFonts w:ascii="Times New Roman" w:hAnsi="Times New Roman"/>
          <w:i/>
          <w:color w:val="000000" w:themeColor="text1"/>
          <w:sz w:val="24"/>
          <w:szCs w:val="24"/>
        </w:rPr>
        <w:t>political legitimacy</w:t>
      </w:r>
      <w:r w:rsidRPr="005224B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To enhance its input legitimacy, the Commission had incentives to build a reputation for being a </w:t>
      </w:r>
      <w:r w:rsidRPr="004E3E92">
        <w:rPr>
          <w:rFonts w:ascii="Times New Roman" w:hAnsi="Times New Roman"/>
          <w:i/>
          <w:color w:val="000000" w:themeColor="text1"/>
          <w:sz w:val="24"/>
          <w:szCs w:val="24"/>
        </w:rPr>
        <w:t>responsive and representative policy initiator</w:t>
      </w:r>
      <w:r>
        <w:rPr>
          <w:rFonts w:ascii="Times New Roman" w:hAnsi="Times New Roman"/>
          <w:i/>
          <w:color w:val="000000" w:themeColor="text1"/>
          <w:sz w:val="24"/>
          <w:szCs w:val="24"/>
        </w:rPr>
        <w:t xml:space="preserve"> </w:t>
      </w:r>
      <w:r w:rsidRPr="00410A8F">
        <w:rPr>
          <w:rFonts w:ascii="Times New Roman" w:hAnsi="Times New Roman"/>
          <w:color w:val="000000" w:themeColor="text1"/>
          <w:sz w:val="24"/>
          <w:szCs w:val="24"/>
        </w:rPr>
        <w:t>of lobbying regulation</w:t>
      </w:r>
      <w:r>
        <w:rPr>
          <w:rFonts w:ascii="Times New Roman" w:hAnsi="Times New Roman"/>
          <w:color w:val="000000" w:themeColor="text1"/>
          <w:sz w:val="24"/>
          <w:szCs w:val="24"/>
        </w:rPr>
        <w:t xml:space="preserve">. To enhance its output legitimacy, the Commission must build a reputation for being a </w:t>
      </w:r>
      <w:r w:rsidRPr="004E3E92">
        <w:rPr>
          <w:rFonts w:ascii="Times New Roman" w:hAnsi="Times New Roman"/>
          <w:i/>
          <w:color w:val="000000" w:themeColor="text1"/>
          <w:sz w:val="24"/>
          <w:szCs w:val="24"/>
        </w:rPr>
        <w:t>competent regulator</w:t>
      </w:r>
      <w:r>
        <w:rPr>
          <w:rFonts w:ascii="Times New Roman" w:hAnsi="Times New Roman"/>
          <w:color w:val="000000" w:themeColor="text1"/>
          <w:sz w:val="24"/>
          <w:szCs w:val="24"/>
        </w:rPr>
        <w:t xml:space="preserve">. The expectation is that on politicised issues pertaining to the regulatory scope of lobbying regulation, the Commission tabled a proposal aligned with the preferences of stakeholders representing the European public, broadly defined. On technical aspects of lobbying regulation, the Commission’s proposal should be more closely aligned with preferences of stakeholders that were part of policy networks </w:t>
      </w:r>
      <w:r w:rsidRPr="005224B0">
        <w:rPr>
          <w:rFonts w:ascii="Times New Roman" w:hAnsi="Times New Roman"/>
          <w:color w:val="000000" w:themeColor="text1"/>
          <w:sz w:val="24"/>
          <w:szCs w:val="24"/>
        </w:rPr>
        <w:t xml:space="preserve">articulated over time around the issue of designing and institutionalising the </w:t>
      </w:r>
      <w:r>
        <w:rPr>
          <w:rFonts w:ascii="Times New Roman" w:hAnsi="Times New Roman"/>
          <w:color w:val="000000" w:themeColor="text1"/>
          <w:sz w:val="24"/>
          <w:szCs w:val="24"/>
        </w:rPr>
        <w:t>supranational</w:t>
      </w:r>
      <w:r w:rsidRPr="005224B0">
        <w:rPr>
          <w:rFonts w:ascii="Times New Roman" w:hAnsi="Times New Roman"/>
          <w:color w:val="000000" w:themeColor="text1"/>
          <w:sz w:val="24"/>
          <w:szCs w:val="24"/>
        </w:rPr>
        <w:t xml:space="preserve"> system of interest representation.</w:t>
      </w:r>
      <w:r w:rsidRPr="005224B0">
        <w:rPr>
          <w:rFonts w:ascii="Times New Roman" w:hAnsi="Times New Roman"/>
          <w:color w:val="000000" w:themeColor="text1"/>
        </w:rPr>
        <w:t xml:space="preserve"> </w:t>
      </w:r>
      <w:r>
        <w:rPr>
          <w:rFonts w:ascii="Times New Roman" w:hAnsi="Times New Roman"/>
          <w:color w:val="000000" w:themeColor="text1"/>
          <w:sz w:val="24"/>
          <w:szCs w:val="24"/>
        </w:rPr>
        <w:t xml:space="preserve">   </w:t>
      </w:r>
    </w:p>
    <w:p w14:paraId="5A3EA885" w14:textId="52FEF42C" w:rsidR="0043535D" w:rsidRDefault="0043535D" w:rsidP="00C62A9F">
      <w:pPr>
        <w:spacing w:line="360" w:lineRule="auto"/>
        <w:ind w:firstLine="720"/>
        <w:jc w:val="both"/>
        <w:rPr>
          <w:rFonts w:ascii="Times New Roman" w:hAnsi="Times New Roman" w:cs="Times New Roman"/>
        </w:rPr>
      </w:pPr>
      <w:r>
        <w:rPr>
          <w:rFonts w:ascii="Times New Roman" w:hAnsi="Times New Roman" w:cs="Times New Roman"/>
        </w:rPr>
        <w:t xml:space="preserve">The analyses show that, in designing the interinstitutional agreement, the Commission prioritised maximising input over output legitimacy and building the reputation for being a policy initiator that is responsive to the preferences of stakeholders speaking on behalf of the public (i.e. citizens, public subnational authorities and public interest organisations) and regulating transparency and lobbying in the public interest. </w:t>
      </w:r>
      <w:r w:rsidRPr="00B123C6">
        <w:rPr>
          <w:rFonts w:ascii="Times New Roman" w:hAnsi="Times New Roman" w:cs="Times New Roman"/>
        </w:rPr>
        <w:t xml:space="preserve">Across both political and technical issues, the text of the Commission’s proposal was more likely to be congruent with the preferences expressed by these stakeholders. On only two (out of five) technical issues, the </w:t>
      </w:r>
      <w:r>
        <w:rPr>
          <w:rFonts w:ascii="Times New Roman" w:hAnsi="Times New Roman" w:cs="Times New Roman"/>
        </w:rPr>
        <w:t xml:space="preserve">proposal </w:t>
      </w:r>
      <w:r w:rsidRPr="00B123C6">
        <w:rPr>
          <w:rFonts w:ascii="Times New Roman" w:hAnsi="Times New Roman" w:cs="Times New Roman"/>
        </w:rPr>
        <w:t>was more likely to be congruent with the preferences expressed by stakeholders that were members of its pol</w:t>
      </w:r>
      <w:r>
        <w:rPr>
          <w:rFonts w:ascii="Times New Roman" w:hAnsi="Times New Roman" w:cs="Times New Roman"/>
        </w:rPr>
        <w:t xml:space="preserve">icy networks. In contentious and politicised interinstitutional negotiations, the Commission is ready to trade long-standing and arguably trusted policy collaborators for a realignment with stakeholders that can better serve its </w:t>
      </w:r>
      <w:r w:rsidR="00A27EF6">
        <w:rPr>
          <w:rFonts w:ascii="Times New Roman" w:hAnsi="Times New Roman" w:cs="Times New Roman"/>
        </w:rPr>
        <w:t>goal</w:t>
      </w:r>
      <w:r>
        <w:rPr>
          <w:rFonts w:ascii="Times New Roman" w:hAnsi="Times New Roman" w:cs="Times New Roman"/>
        </w:rPr>
        <w:t xml:space="preserve"> of building a politically legitimate and powerful negotiation mandate.</w:t>
      </w:r>
    </w:p>
    <w:p w14:paraId="30D3CF7B" w14:textId="5F7CB95E" w:rsidR="0043535D" w:rsidRDefault="0043535D" w:rsidP="00C62A9F">
      <w:pPr>
        <w:spacing w:line="360" w:lineRule="auto"/>
        <w:ind w:firstLine="720"/>
        <w:jc w:val="both"/>
        <w:rPr>
          <w:rFonts w:ascii="Times New Roman" w:hAnsi="Times New Roman" w:cs="Times New Roman"/>
        </w:rPr>
      </w:pPr>
      <w:r>
        <w:rPr>
          <w:rFonts w:ascii="Times New Roman" w:hAnsi="Times New Roman" w:cs="Times New Roman"/>
        </w:rPr>
        <w:t xml:space="preserve">Addressing this question is relevant in several ways. </w:t>
      </w:r>
      <w:r w:rsidRPr="00EE0554">
        <w:rPr>
          <w:rFonts w:ascii="Times New Roman" w:hAnsi="Times New Roman" w:cs="Times New Roman"/>
          <w:i/>
        </w:rPr>
        <w:t>Firs</w:t>
      </w:r>
      <w:r w:rsidRPr="00897F35">
        <w:rPr>
          <w:rFonts w:ascii="Times New Roman" w:hAnsi="Times New Roman" w:cs="Times New Roman"/>
          <w:i/>
        </w:rPr>
        <w:t>t</w:t>
      </w:r>
      <w:r>
        <w:rPr>
          <w:rFonts w:ascii="Times New Roman" w:hAnsi="Times New Roman" w:cs="Times New Roman"/>
        </w:rPr>
        <w:t>, the question taps into the fundamental issue of democratic deficit, legitimacy and accountability of EC’s agenda-setting and policy formulation powers in a reform initiative that is key for the democratic credentials of EU governance (Smismans 2014).</w:t>
      </w:r>
      <w:r w:rsidRPr="00EE0554">
        <w:rPr>
          <w:rFonts w:ascii="Times New Roman" w:hAnsi="Times New Roman" w:cs="Times New Roman"/>
        </w:rPr>
        <w:t xml:space="preserve"> </w:t>
      </w:r>
      <w:r>
        <w:rPr>
          <w:rFonts w:ascii="Times New Roman" w:hAnsi="Times New Roman" w:cs="Times New Roman"/>
        </w:rPr>
        <w:t xml:space="preserve">The extent to which the Commission’s proposal reflects the views of a majority vs. a minority of stakeholders is informative about its perceived </w:t>
      </w:r>
      <w:r>
        <w:rPr>
          <w:rFonts w:ascii="Times New Roman" w:hAnsi="Times New Roman" w:cs="Times New Roman"/>
        </w:rPr>
        <w:lastRenderedPageBreak/>
        <w:t xml:space="preserve">legitimacy with regulated actors and EU decision-making institutions. </w:t>
      </w:r>
      <w:r w:rsidR="005E4A2B">
        <w:rPr>
          <w:rFonts w:ascii="Times New Roman" w:hAnsi="Times New Roman" w:cs="Times New Roman"/>
        </w:rPr>
        <w:t>The</w:t>
      </w:r>
      <w:r>
        <w:rPr>
          <w:rFonts w:ascii="Times New Roman" w:hAnsi="Times New Roman" w:cs="Times New Roman"/>
        </w:rPr>
        <w:t xml:space="preserve"> extent to which this proposal was informed by a variety of views expressed by organisations defending the public interest as well as those representing concentrated interests provides important information about the Commission’s level of responsiveness to societal vs. corporate demands on the fundamental issue of lobbying regulation. </w:t>
      </w:r>
      <w:r>
        <w:rPr>
          <w:rFonts w:ascii="Times New Roman" w:hAnsi="Times New Roman" w:cs="Times New Roman"/>
          <w:i/>
        </w:rPr>
        <w:t>Second</w:t>
      </w:r>
      <w:r>
        <w:rPr>
          <w:rFonts w:ascii="Times New Roman" w:hAnsi="Times New Roman" w:cs="Times New Roman"/>
        </w:rPr>
        <w:t xml:space="preserve">, the question allows examining EC’s strategies employed to formalise key institutional arrangements of supranational governance under unfavourable and adverse policy conditions marked by important divergences in </w:t>
      </w:r>
      <w:r w:rsidR="005E4A2B">
        <w:rPr>
          <w:rFonts w:ascii="Times New Roman" w:hAnsi="Times New Roman" w:cs="Times New Roman"/>
        </w:rPr>
        <w:t xml:space="preserve">policy </w:t>
      </w:r>
      <w:r>
        <w:rPr>
          <w:rFonts w:ascii="Times New Roman" w:hAnsi="Times New Roman" w:cs="Times New Roman"/>
        </w:rPr>
        <w:t xml:space="preserve">preferences between institutional actors. Understanding the strategy used to formulate a key initiative that is directly related to </w:t>
      </w:r>
      <w:r w:rsidR="00EF245B">
        <w:rPr>
          <w:rFonts w:ascii="Times New Roman" w:hAnsi="Times New Roman" w:cs="Times New Roman"/>
        </w:rPr>
        <w:t>EU</w:t>
      </w:r>
      <w:r>
        <w:rPr>
          <w:rFonts w:ascii="Times New Roman" w:hAnsi="Times New Roman" w:cs="Times New Roman"/>
        </w:rPr>
        <w:t xml:space="preserve"> accountability and transparency, and in which the Commission managed to shift the status quo in a direction initially opposed by the Council, is of paramount importance considering the constant loss of EC’s agenda-setting power following recent treaty reforms (Costello and Thomson 2013). </w:t>
      </w:r>
      <w:r w:rsidRPr="00953C7C">
        <w:rPr>
          <w:rFonts w:ascii="Times New Roman" w:hAnsi="Times New Roman" w:cs="Times New Roman"/>
          <w:i/>
        </w:rPr>
        <w:t>Third</w:t>
      </w:r>
      <w:r>
        <w:rPr>
          <w:rFonts w:ascii="Times New Roman" w:hAnsi="Times New Roman" w:cs="Times New Roman"/>
        </w:rPr>
        <w:t>, the formulation strategy examined provides invaluable insights into how the Commission successfully politicises its regulatory agenda (Rauh 2016) and legitimately ‘engages in competitive representation in the public sphere by ‘claiming’ to represent particular policy preferences, constituencies, interests or values’ (de Wilde 2011: 571).</w:t>
      </w:r>
    </w:p>
    <w:p w14:paraId="48CB815E" w14:textId="2F7D5FE2" w:rsidR="0043535D" w:rsidRDefault="0043535D" w:rsidP="00C62A9F">
      <w:pPr>
        <w:spacing w:line="360" w:lineRule="auto"/>
        <w:ind w:firstLine="720"/>
        <w:jc w:val="both"/>
        <w:rPr>
          <w:rFonts w:ascii="Times New Roman" w:hAnsi="Times New Roman" w:cs="Times New Roman"/>
        </w:rPr>
      </w:pPr>
      <w:r>
        <w:rPr>
          <w:rFonts w:ascii="Times New Roman" w:hAnsi="Times New Roman" w:cs="Times New Roman"/>
        </w:rPr>
        <w:t>This study speaks to the extensive literature on EC as an agenda-setter (Kassim and Menon 2003, Kreppel and Oztas 2017), the well-established literature on EC’s bureaucratic legitimacy (Ellinas and Suleiman 2012, Kassim et al. 2013, Kassim et al. 2017, Murdoch et al. 201</w:t>
      </w:r>
      <w:r w:rsidR="00D1756E">
        <w:rPr>
          <w:rFonts w:ascii="Times New Roman" w:hAnsi="Times New Roman" w:cs="Times New Roman"/>
        </w:rPr>
        <w:t>8</w:t>
      </w:r>
      <w:r>
        <w:rPr>
          <w:rFonts w:ascii="Times New Roman" w:hAnsi="Times New Roman" w:cs="Times New Roman"/>
        </w:rPr>
        <w:t xml:space="preserve">) and the scholarship examining EU </w:t>
      </w:r>
      <w:r w:rsidR="00EF245B">
        <w:rPr>
          <w:rFonts w:ascii="Times New Roman" w:hAnsi="Times New Roman" w:cs="Times New Roman"/>
        </w:rPr>
        <w:t xml:space="preserve">executive </w:t>
      </w:r>
      <w:r>
        <w:rPr>
          <w:rFonts w:ascii="Times New Roman" w:hAnsi="Times New Roman" w:cs="Times New Roman"/>
        </w:rPr>
        <w:t>lobbying (Klüver 2013, Bernhagen et al. 2015).  Its contribution is threefold. First, it addresses a question that remains currently unaddressed by the sparse literature on EU lobbying regulation: what drives and defines the EU lobbying regulation agenda (</w:t>
      </w:r>
      <w:r w:rsidR="00EF245B">
        <w:rPr>
          <w:rFonts w:ascii="Times New Roman" w:hAnsi="Times New Roman" w:cs="Times New Roman"/>
        </w:rPr>
        <w:t xml:space="preserve">for </w:t>
      </w:r>
      <w:r>
        <w:rPr>
          <w:rFonts w:ascii="Times New Roman" w:hAnsi="Times New Roman" w:cs="Times New Roman"/>
        </w:rPr>
        <w:t xml:space="preserve">exceptions </w:t>
      </w:r>
      <w:r w:rsidR="00EF245B">
        <w:rPr>
          <w:rFonts w:ascii="Times New Roman" w:hAnsi="Times New Roman" w:cs="Times New Roman"/>
        </w:rPr>
        <w:t>see</w:t>
      </w:r>
      <w:r>
        <w:rPr>
          <w:rFonts w:ascii="Times New Roman" w:hAnsi="Times New Roman" w:cs="Times New Roman"/>
        </w:rPr>
        <w:t xml:space="preserve"> Greenwood 2011, Smismans 2014, Bunea 2018). Second, it elaborates and tests empirically a theoretical framework that outlines the conditions under which the European executive is more likely to act as a </w:t>
      </w:r>
      <w:r w:rsidRPr="008A104A">
        <w:rPr>
          <w:rFonts w:ascii="Times New Roman" w:hAnsi="Times New Roman" w:cs="Times New Roman"/>
          <w:i/>
        </w:rPr>
        <w:t>democratic legitimacy maximizer</w:t>
      </w:r>
      <w:r>
        <w:rPr>
          <w:rFonts w:ascii="Times New Roman" w:hAnsi="Times New Roman" w:cs="Times New Roman"/>
        </w:rPr>
        <w:t xml:space="preserve"> </w:t>
      </w:r>
      <w:r w:rsidRPr="008B21A5">
        <w:rPr>
          <w:rFonts w:ascii="Times New Roman" w:hAnsi="Times New Roman" w:cs="Times New Roman"/>
        </w:rPr>
        <w:t>and design proposals congruent with</w:t>
      </w:r>
      <w:r>
        <w:rPr>
          <w:rFonts w:ascii="Times New Roman" w:hAnsi="Times New Roman" w:cs="Times New Roman"/>
        </w:rPr>
        <w:t xml:space="preserve"> stakeholders representing the public interests, adding an additional scenario to the conditions under which public interest organizations are more successful than business in supranational lobbying (Dür et al. 2015). The study outlines an additional mechanism through which public support may affect advocacy success, which revolves around the politicised or de-politicised nature of policy issues being regulated (Rasmussen et al. 2018). Lastly, the study innovates empirically by examining an original dataset that allows observing in detail the congruence between stakeholders’ positions on the design and reform of EU lobbying regulation and EC’s measures included in its proposal</w:t>
      </w:r>
      <w:r w:rsidR="003764B0">
        <w:rPr>
          <w:rFonts w:ascii="Times New Roman" w:hAnsi="Times New Roman" w:cs="Times New Roman"/>
        </w:rPr>
        <w:t>,</w:t>
      </w:r>
      <w:r>
        <w:rPr>
          <w:rFonts w:ascii="Times New Roman" w:hAnsi="Times New Roman" w:cs="Times New Roman"/>
        </w:rPr>
        <w:t xml:space="preserve"> and identifying those stakeholders that are part of policy </w:t>
      </w:r>
      <w:r>
        <w:rPr>
          <w:rFonts w:ascii="Times New Roman" w:hAnsi="Times New Roman" w:cs="Times New Roman"/>
        </w:rPr>
        <w:lastRenderedPageBreak/>
        <w:t xml:space="preserve">networks created over time around the </w:t>
      </w:r>
      <w:r w:rsidR="00F01CA2">
        <w:rPr>
          <w:rFonts w:ascii="Times New Roman" w:hAnsi="Times New Roman" w:cs="Times New Roman"/>
        </w:rPr>
        <w:t>creation</w:t>
      </w:r>
      <w:r>
        <w:rPr>
          <w:rFonts w:ascii="Times New Roman" w:hAnsi="Times New Roman" w:cs="Times New Roman"/>
        </w:rPr>
        <w:t xml:space="preserve"> of </w:t>
      </w:r>
      <w:r w:rsidR="003764B0">
        <w:rPr>
          <w:rFonts w:ascii="Times New Roman" w:hAnsi="Times New Roman" w:cs="Times New Roman"/>
        </w:rPr>
        <w:t>a formalised</w:t>
      </w:r>
      <w:r>
        <w:rPr>
          <w:rFonts w:ascii="Times New Roman" w:hAnsi="Times New Roman" w:cs="Times New Roman"/>
        </w:rPr>
        <w:t xml:space="preserve"> </w:t>
      </w:r>
      <w:r w:rsidR="003764B0">
        <w:rPr>
          <w:rFonts w:ascii="Times New Roman" w:hAnsi="Times New Roman" w:cs="Times New Roman"/>
        </w:rPr>
        <w:t xml:space="preserve">supranational </w:t>
      </w:r>
      <w:r>
        <w:rPr>
          <w:rFonts w:ascii="Times New Roman" w:hAnsi="Times New Roman" w:cs="Times New Roman"/>
        </w:rPr>
        <w:t>system of</w:t>
      </w:r>
      <w:r w:rsidR="003764B0">
        <w:rPr>
          <w:rFonts w:ascii="Times New Roman" w:hAnsi="Times New Roman" w:cs="Times New Roman"/>
        </w:rPr>
        <w:t xml:space="preserve"> </w:t>
      </w:r>
      <w:r>
        <w:rPr>
          <w:rFonts w:ascii="Times New Roman" w:hAnsi="Times New Roman" w:cs="Times New Roman"/>
        </w:rPr>
        <w:t>interest representation.</w:t>
      </w:r>
      <w:r>
        <w:rPr>
          <w:rStyle w:val="EndnoteReference"/>
          <w:rFonts w:ascii="Times New Roman" w:hAnsi="Times New Roman" w:cs="Times New Roman"/>
        </w:rPr>
        <w:endnoteReference w:id="2"/>
      </w:r>
      <w:r>
        <w:rPr>
          <w:rFonts w:ascii="Times New Roman" w:hAnsi="Times New Roman" w:cs="Times New Roman"/>
        </w:rPr>
        <w:t xml:space="preserve"> </w:t>
      </w:r>
    </w:p>
    <w:p w14:paraId="1838BA8F" w14:textId="6EC82A25" w:rsidR="0043535D" w:rsidRPr="005E782E" w:rsidRDefault="0043535D" w:rsidP="00C62A9F">
      <w:pPr>
        <w:spacing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Section one presents the policy context in which the proposal was formulated. Section two presents the theoretical framework, section three the research design, section four the empirical analysis. Section five concludes.  </w:t>
      </w:r>
    </w:p>
    <w:p w14:paraId="35E8AFE1" w14:textId="1005B838" w:rsidR="0043535D" w:rsidRPr="00D41578" w:rsidRDefault="0043535D" w:rsidP="00C62A9F">
      <w:pPr>
        <w:spacing w:line="360" w:lineRule="auto"/>
        <w:jc w:val="both"/>
        <w:rPr>
          <w:rFonts w:ascii="Times New Roman" w:hAnsi="Times New Roman" w:cs="Times New Roman"/>
          <w:b/>
        </w:rPr>
      </w:pPr>
      <w:r>
        <w:rPr>
          <w:rFonts w:ascii="Times New Roman" w:hAnsi="Times New Roman" w:cs="Times New Roman"/>
          <w:b/>
        </w:rPr>
        <w:t>THE POLITICS OF REGULATING EU LOBBYING</w:t>
      </w:r>
    </w:p>
    <w:p w14:paraId="3AB01AC3" w14:textId="2651D26D" w:rsidR="0043535D" w:rsidRDefault="0043535D" w:rsidP="00C62A9F">
      <w:pPr>
        <w:spacing w:line="360" w:lineRule="auto"/>
        <w:jc w:val="both"/>
        <w:rPr>
          <w:rFonts w:ascii="Times New Roman" w:hAnsi="Times New Roman" w:cs="Times New Roman"/>
        </w:rPr>
      </w:pPr>
      <w:r>
        <w:rPr>
          <w:rFonts w:ascii="Times New Roman" w:hAnsi="Times New Roman" w:cs="Times New Roman"/>
        </w:rPr>
        <w:tab/>
      </w:r>
      <w:r w:rsidR="009C5340">
        <w:rPr>
          <w:rFonts w:ascii="Times New Roman" w:hAnsi="Times New Roman" w:cs="Times New Roman"/>
        </w:rPr>
        <w:t>Whether</w:t>
      </w:r>
      <w:r>
        <w:rPr>
          <w:rFonts w:ascii="Times New Roman" w:hAnsi="Times New Roman" w:cs="Times New Roman"/>
        </w:rPr>
        <w:t xml:space="preserve">, how and to what extent EU institutions should regulate their interactions with interest organizations and structure their participation in supranational policymaking has been a constant source of interinstitutional debate (Bouwen 2007). Several reasons explain this. First, interest groups and </w:t>
      </w:r>
      <w:r w:rsidR="009C5340">
        <w:rPr>
          <w:rFonts w:ascii="Times New Roman" w:hAnsi="Times New Roman" w:cs="Times New Roman"/>
        </w:rPr>
        <w:t xml:space="preserve">EU </w:t>
      </w:r>
      <w:r>
        <w:rPr>
          <w:rFonts w:ascii="Times New Roman" w:hAnsi="Times New Roman" w:cs="Times New Roman"/>
        </w:rPr>
        <w:t>decision-makers are highly interdependent, with the latter depending heavily on the technical information, policy feedback, support and claim for legitimacy offered by the former (Mazey and Richardson 2015: 390). This disincentiv</w:t>
      </w:r>
      <w:r w:rsidR="009C5340">
        <w:rPr>
          <w:rFonts w:ascii="Times New Roman" w:hAnsi="Times New Roman" w:cs="Times New Roman"/>
        </w:rPr>
        <w:t>ised</w:t>
      </w:r>
      <w:r>
        <w:rPr>
          <w:rFonts w:ascii="Times New Roman" w:hAnsi="Times New Roman" w:cs="Times New Roman"/>
        </w:rPr>
        <w:t xml:space="preserve"> decision-makers to adopt stringent regulatory rules limit</w:t>
      </w:r>
      <w:r w:rsidR="009C5340">
        <w:rPr>
          <w:rFonts w:ascii="Times New Roman" w:hAnsi="Times New Roman" w:cs="Times New Roman"/>
        </w:rPr>
        <w:t>ing</w:t>
      </w:r>
      <w:r>
        <w:rPr>
          <w:rFonts w:ascii="Times New Roman" w:hAnsi="Times New Roman" w:cs="Times New Roman"/>
        </w:rPr>
        <w:t xml:space="preserve"> or reduc</w:t>
      </w:r>
      <w:r w:rsidR="009C5340">
        <w:rPr>
          <w:rFonts w:ascii="Times New Roman" w:hAnsi="Times New Roman" w:cs="Times New Roman"/>
        </w:rPr>
        <w:t>ing</w:t>
      </w:r>
      <w:r>
        <w:rPr>
          <w:rFonts w:ascii="Times New Roman" w:hAnsi="Times New Roman" w:cs="Times New Roman"/>
        </w:rPr>
        <w:t xml:space="preserve"> the quality and frequency of interactions with private actors. Second, EU institutions have come under sustained public pressure to address their perceived ‘democratic deficit’ and address the need for legitimate, accountable and transparent policymaking by adopting a set of transparency rules regulating private actors’ access to decision-making (Smismans 2014). The salience of lobbying regulation for the main EU institutional actors is to a large extent a function of how much their claim for legitimacy, decision-making processes and policy performance depend on interactions with </w:t>
      </w:r>
      <w:r w:rsidR="009C5340">
        <w:rPr>
          <w:rFonts w:ascii="Times New Roman" w:hAnsi="Times New Roman" w:cs="Times New Roman"/>
        </w:rPr>
        <w:t>organizations</w:t>
      </w:r>
      <w:r>
        <w:rPr>
          <w:rFonts w:ascii="Times New Roman" w:hAnsi="Times New Roman" w:cs="Times New Roman"/>
        </w:rPr>
        <w:t xml:space="preserve"> and their feedback. Therefore, lobbying regulation </w:t>
      </w:r>
      <w:r w:rsidR="009C5340">
        <w:rPr>
          <w:rFonts w:ascii="Times New Roman" w:hAnsi="Times New Roman" w:cs="Times New Roman"/>
        </w:rPr>
        <w:t>was</w:t>
      </w:r>
      <w:r>
        <w:rPr>
          <w:rFonts w:ascii="Times New Roman" w:hAnsi="Times New Roman" w:cs="Times New Roman"/>
        </w:rPr>
        <w:t xml:space="preserve"> far more salient for the Commission (a non-elected bureaucracy in search for democratic legitimacy and interest groups’ policy support and feedback) and the EP (an elected body, </w:t>
      </w:r>
      <w:r w:rsidR="009C5340">
        <w:rPr>
          <w:rFonts w:ascii="Times New Roman" w:hAnsi="Times New Roman" w:cs="Times New Roman"/>
        </w:rPr>
        <w:t xml:space="preserve">marked by corruption scandals and </w:t>
      </w:r>
      <w:r>
        <w:rPr>
          <w:rFonts w:ascii="Times New Roman" w:hAnsi="Times New Roman" w:cs="Times New Roman"/>
        </w:rPr>
        <w:t>dependent on groups’ expertise).</w:t>
      </w:r>
    </w:p>
    <w:p w14:paraId="10FF8462" w14:textId="72B7F4DC" w:rsidR="0043535D" w:rsidRDefault="0043535D" w:rsidP="00C62A9F">
      <w:pPr>
        <w:spacing w:line="360" w:lineRule="auto"/>
        <w:jc w:val="both"/>
        <w:rPr>
          <w:rFonts w:ascii="Times New Roman" w:hAnsi="Times New Roman"/>
        </w:rPr>
      </w:pPr>
      <w:r>
        <w:rPr>
          <w:rFonts w:ascii="Times New Roman" w:hAnsi="Times New Roman" w:cs="Times New Roman"/>
        </w:rPr>
        <w:tab/>
        <w:t xml:space="preserve">Throughout time, regarding the shape and form of lobbying regulation, the three institutions could be placed on a policy continuum in which the Council was </w:t>
      </w:r>
      <w:r w:rsidR="00C2719F">
        <w:rPr>
          <w:rFonts w:ascii="Times New Roman" w:hAnsi="Times New Roman" w:cs="Times New Roman"/>
        </w:rPr>
        <w:t>at</w:t>
      </w:r>
      <w:r>
        <w:rPr>
          <w:rFonts w:ascii="Times New Roman" w:hAnsi="Times New Roman" w:cs="Times New Roman"/>
        </w:rPr>
        <w:t xml:space="preserve"> one extreme (no regulation), the Commission was somewhere in the middle (supporting voluntary, incentives</w:t>
      </w:r>
      <w:r w:rsidR="00B11D22">
        <w:rPr>
          <w:rFonts w:ascii="Times New Roman" w:hAnsi="Times New Roman" w:cs="Times New Roman"/>
        </w:rPr>
        <w:t>-</w:t>
      </w:r>
      <w:r>
        <w:rPr>
          <w:rFonts w:ascii="Times New Roman" w:hAnsi="Times New Roman" w:cs="Times New Roman"/>
        </w:rPr>
        <w:t xml:space="preserve"> and transparency-based regulation) while the EP was located </w:t>
      </w:r>
      <w:r w:rsidRPr="00AA2400">
        <w:rPr>
          <w:rFonts w:ascii="Times New Roman" w:hAnsi="Times New Roman" w:cs="Times New Roman"/>
        </w:rPr>
        <w:t>closer to the ‘more regulation’ side of the spectrum by</w:t>
      </w:r>
      <w:r>
        <w:rPr>
          <w:rFonts w:ascii="Times New Roman" w:hAnsi="Times New Roman" w:cs="Times New Roman"/>
        </w:rPr>
        <w:t xml:space="preserve"> adopting a rhetoric</w:t>
      </w:r>
      <w:r w:rsidRPr="00AA2400">
        <w:rPr>
          <w:rFonts w:ascii="Times New Roman" w:hAnsi="Times New Roman" w:cs="Times New Roman"/>
        </w:rPr>
        <w:t xml:space="preserve"> demanding a more comprehensive in scope and transparency</w:t>
      </w:r>
      <w:r>
        <w:rPr>
          <w:rFonts w:ascii="Times New Roman" w:hAnsi="Times New Roman" w:cs="Times New Roman"/>
        </w:rPr>
        <w:t xml:space="preserve"> regulatory regime</w:t>
      </w:r>
      <w:r>
        <w:rPr>
          <w:rFonts w:ascii="Times New Roman" w:hAnsi="Times New Roman"/>
        </w:rPr>
        <w:t>.</w:t>
      </w:r>
      <w:r>
        <w:rPr>
          <w:rStyle w:val="EndnoteReference"/>
          <w:rFonts w:ascii="Times New Roman" w:hAnsi="Times New Roman"/>
        </w:rPr>
        <w:endnoteReference w:id="3"/>
      </w:r>
      <w:r>
        <w:rPr>
          <w:rFonts w:ascii="Times New Roman" w:hAnsi="Times New Roman"/>
        </w:rPr>
        <w:t xml:space="preserve"> </w:t>
      </w:r>
    </w:p>
    <w:p w14:paraId="35865967" w14:textId="21C1E260" w:rsidR="0043535D" w:rsidRDefault="0043535D" w:rsidP="00C62A9F">
      <w:pPr>
        <w:spacing w:line="360" w:lineRule="auto"/>
        <w:jc w:val="both"/>
        <w:rPr>
          <w:rFonts w:ascii="Times New Roman" w:hAnsi="Times New Roman"/>
        </w:rPr>
      </w:pPr>
      <w:r>
        <w:rPr>
          <w:rFonts w:ascii="Times New Roman" w:hAnsi="Times New Roman"/>
        </w:rPr>
        <w:tab/>
        <w:t>The Commission evolved over time from a strong preference for a ‘partnership arrangement’ with certain organizations and no formalised regulation</w:t>
      </w:r>
      <w:r w:rsidR="00874CC1">
        <w:rPr>
          <w:rFonts w:ascii="Times New Roman" w:hAnsi="Times New Roman"/>
        </w:rPr>
        <w:t>,</w:t>
      </w:r>
      <w:r>
        <w:rPr>
          <w:rFonts w:ascii="Times New Roman" w:hAnsi="Times New Roman"/>
        </w:rPr>
        <w:t xml:space="preserve"> to that of a voluntary, incentives-based TR, to now supporting a mandatory Register covering all three institutions (Cini 2013). On issues of accountability and procedural transparency, the Commission and </w:t>
      </w:r>
      <w:r w:rsidR="00874CC1">
        <w:rPr>
          <w:rFonts w:ascii="Times New Roman" w:hAnsi="Times New Roman"/>
        </w:rPr>
        <w:t>EP’s</w:t>
      </w:r>
      <w:r>
        <w:rPr>
          <w:rFonts w:ascii="Times New Roman" w:hAnsi="Times New Roman"/>
        </w:rPr>
        <w:t xml:space="preserve"> positions </w:t>
      </w:r>
      <w:r w:rsidR="00874CC1">
        <w:rPr>
          <w:rFonts w:ascii="Times New Roman" w:hAnsi="Times New Roman"/>
        </w:rPr>
        <w:t>became</w:t>
      </w:r>
      <w:r>
        <w:rPr>
          <w:rFonts w:ascii="Times New Roman" w:hAnsi="Times New Roman"/>
        </w:rPr>
        <w:t xml:space="preserve"> more closely aligned amid ongoing debates about EU democratic deficit, increasing Euroscepticism and distrust in supranational institutions. Yet, notable differences persisted: for example, in the negotiations on a mandatory Register, their choice of legal instrument to regulate lobbying differs significantly. The EP suggested adopting a regulation or directive, while the Commission proposed an ‘interinstitutional agreement’ based on article 295 TFEU, arguing that this ‘is the most pragmatic and promising option to achieve a mandatory scheme in a reasonable timeframe’ and that ‘the proposal’s core aim is to make interactions with the EU institutions more transparent, not to regulate lobbying activity at Member State level’ (EC 2016</w:t>
      </w:r>
      <w:r w:rsidRPr="00E402B9">
        <w:rPr>
          <w:rFonts w:ascii="Times New Roman" w:hAnsi="Times New Roman"/>
        </w:rPr>
        <w:t xml:space="preserve">). These different and evolving preferences of institutional actors regarding </w:t>
      </w:r>
      <w:r w:rsidR="00874CC1">
        <w:rPr>
          <w:rFonts w:ascii="Times New Roman" w:hAnsi="Times New Roman"/>
        </w:rPr>
        <w:t>EU lobbying regulation</w:t>
      </w:r>
      <w:r w:rsidRPr="00E402B9">
        <w:rPr>
          <w:rFonts w:ascii="Times New Roman" w:hAnsi="Times New Roman"/>
        </w:rPr>
        <w:t xml:space="preserve"> explain partially the ongoing review processes of the TR since its launch in 2011, during which stakeholders were consistently consulted.</w:t>
      </w:r>
      <w:r w:rsidRPr="00E402B9">
        <w:rPr>
          <w:rStyle w:val="EndnoteReference"/>
          <w:rFonts w:ascii="Times New Roman" w:hAnsi="Times New Roman"/>
        </w:rPr>
        <w:endnoteReference w:id="4"/>
      </w:r>
      <w:r w:rsidRPr="00E402B9">
        <w:rPr>
          <w:rFonts w:ascii="Times New Roman" w:hAnsi="Times New Roman"/>
        </w:rPr>
        <w:t xml:space="preserve"> The 2016 consultation marks however the most comprehensive, inclusive and high-stake consultative event that preceded the formulation of a new interinstitutional agreement proposing a significant change for the Council (its inclusion in the regulatory scope of a mandatory TR), while rejecting the EP’s suggestion to regulate lobbying </w:t>
      </w:r>
      <w:r w:rsidR="00874CC1">
        <w:rPr>
          <w:rFonts w:ascii="Times New Roman" w:hAnsi="Times New Roman"/>
        </w:rPr>
        <w:t>through</w:t>
      </w:r>
      <w:r w:rsidRPr="00E402B9">
        <w:rPr>
          <w:rFonts w:ascii="Times New Roman" w:hAnsi="Times New Roman"/>
        </w:rPr>
        <w:t xml:space="preserve"> a regulation or directive.</w:t>
      </w:r>
      <w:r w:rsidRPr="00E402B9">
        <w:rPr>
          <w:rStyle w:val="EndnoteReference"/>
          <w:rFonts w:ascii="Times New Roman" w:hAnsi="Times New Roman"/>
        </w:rPr>
        <w:endnoteReference w:id="5"/>
      </w:r>
      <w:r>
        <w:rPr>
          <w:rFonts w:ascii="Times New Roman" w:hAnsi="Times New Roman"/>
        </w:rPr>
        <w:t xml:space="preserve"> </w:t>
      </w:r>
    </w:p>
    <w:p w14:paraId="7E2087ED" w14:textId="20E73B3D" w:rsidR="0043535D" w:rsidRPr="008E512D" w:rsidRDefault="0043535D" w:rsidP="00C62A9F">
      <w:pPr>
        <w:spacing w:line="360" w:lineRule="auto"/>
        <w:jc w:val="both"/>
        <w:rPr>
          <w:rFonts w:ascii="Times New Roman" w:hAnsi="Times New Roman" w:cs="Times New Roman"/>
        </w:rPr>
      </w:pPr>
      <w:r>
        <w:rPr>
          <w:rFonts w:ascii="Times New Roman" w:hAnsi="Times New Roman"/>
        </w:rPr>
        <w:tab/>
        <w:t>Regulating EU lobbying is therefore a highly politicised matter</w:t>
      </w:r>
      <w:r w:rsidRPr="008B24B7">
        <w:rPr>
          <w:rFonts w:ascii="Times New Roman" w:hAnsi="Times New Roman"/>
        </w:rPr>
        <w:t>. As part of his Political Guidelines (2014), President Juncker pledged to propose ‘an interinstitutional Agreement to Parliament and Council to create a mandatory lobby register covering all three institutions’ and that ‘the Commission will lead by example’.</w:t>
      </w:r>
      <w:r w:rsidRPr="008B24B7">
        <w:rPr>
          <w:rStyle w:val="EndnoteReference"/>
          <w:rFonts w:ascii="Times New Roman" w:hAnsi="Times New Roman"/>
        </w:rPr>
        <w:endnoteReference w:id="6"/>
      </w:r>
      <w:r>
        <w:rPr>
          <w:rFonts w:ascii="Times New Roman" w:hAnsi="Times New Roman"/>
        </w:rPr>
        <w:t xml:space="preserve">  The political character of the matter is further attested by the Commission’s choice of the legal instrument for regulating interest groups’ participation in policymaking: an interinstitutional agreement, instead of a regulation or directive as demanded by the EP. </w:t>
      </w:r>
      <w:r>
        <w:rPr>
          <w:rFonts w:ascii="Times New Roman" w:hAnsi="Times New Roman" w:cs="Times New Roman"/>
        </w:rPr>
        <w:t xml:space="preserve">The adoption of interinstitutional agreements requires unanimity in the Council and EP’s consent, </w:t>
      </w:r>
      <w:r w:rsidR="00B5607E">
        <w:rPr>
          <w:rFonts w:ascii="Times New Roman" w:hAnsi="Times New Roman" w:cs="Times New Roman"/>
        </w:rPr>
        <w:t>making</w:t>
      </w:r>
      <w:r>
        <w:rPr>
          <w:rFonts w:ascii="Times New Roman" w:hAnsi="Times New Roman" w:cs="Times New Roman"/>
        </w:rPr>
        <w:t xml:space="preserve"> the Council the key decision-maker.</w:t>
      </w:r>
      <w:r w:rsidR="008516C1">
        <w:rPr>
          <w:rFonts w:ascii="Times New Roman" w:hAnsi="Times New Roman" w:cs="Times New Roman"/>
        </w:rPr>
        <w:t xml:space="preserve"> </w:t>
      </w:r>
      <w:r>
        <w:rPr>
          <w:rFonts w:ascii="Times New Roman" w:hAnsi="Times New Roman" w:cs="Times New Roman"/>
        </w:rPr>
        <w:t xml:space="preserve">Institutional agreements are key in the process of ‘informal constitutionalisation’ aimed at addressing issues that </w:t>
      </w:r>
      <w:r w:rsidR="00B5607E">
        <w:rPr>
          <w:rFonts w:ascii="Times New Roman" w:hAnsi="Times New Roman" w:cs="Times New Roman"/>
        </w:rPr>
        <w:t>were</w:t>
      </w:r>
      <w:r>
        <w:rPr>
          <w:rFonts w:ascii="Times New Roman" w:hAnsi="Times New Roman" w:cs="Times New Roman"/>
        </w:rPr>
        <w:t xml:space="preserve"> unaddressed or only incompletely addressed in the text of the Treaties (Christiansen and Reh 2009: 9, cited in Cini 2013). Embedded in article 295 of the Lisbon Treaty, interinstitutional agreements constitute a legal instrument that rest somewhere in between a legal act and a political declaration (Cini 2013). They are legally binding and rest on the idea of ‘sincere’ or ‘loyal’ cooperation between EU institutions. Their underlying logic taps directly into the institutional balance of power principle (Hummer 2007) and the literature indicates that throughout time they helped enhance </w:t>
      </w:r>
      <w:r w:rsidR="008516C1">
        <w:rPr>
          <w:rFonts w:ascii="Times New Roman" w:hAnsi="Times New Roman" w:cs="Times New Roman"/>
        </w:rPr>
        <w:t>EP’s</w:t>
      </w:r>
      <w:r>
        <w:rPr>
          <w:rFonts w:ascii="Times New Roman" w:hAnsi="Times New Roman" w:cs="Times New Roman"/>
        </w:rPr>
        <w:t xml:space="preserve"> institutional relevance and power, while ‘the Council has to an appreciable extent lost its freedom of action and is now “tied” to the Parliament by very many threads of conventions that, whilst individually not of extreme importance, together constrain the institutions’ freedom to act in many ways’ (Driessen 2008: 558). Legal analyses outline the resemblances between interinstitutional agreements and constitutional conventions, emphasizing their politically binding nature (Driessen 2008: 555). Using interinstitutional agreement to regulate lobbying signals the political charge of the issue that is elevated from the status of a technical spin of EU policymaking to one of </w:t>
      </w:r>
      <w:r w:rsidRPr="00406E82">
        <w:rPr>
          <w:rFonts w:ascii="Times New Roman" w:hAnsi="Times New Roman" w:cs="Times New Roman"/>
        </w:rPr>
        <w:t>a highly politicised regulatory matter.</w:t>
      </w:r>
      <w:r>
        <w:rPr>
          <w:rFonts w:ascii="Times New Roman" w:hAnsi="Times New Roman" w:cs="Times New Roman"/>
        </w:rPr>
        <w:t xml:space="preserve"> By increasing the political stake of the issue, the Commission </w:t>
      </w:r>
      <w:r w:rsidR="00D81860">
        <w:rPr>
          <w:rFonts w:ascii="Times New Roman" w:hAnsi="Times New Roman" w:cs="Times New Roman"/>
        </w:rPr>
        <w:t xml:space="preserve">most probably </w:t>
      </w:r>
      <w:r>
        <w:rPr>
          <w:rFonts w:ascii="Times New Roman" w:hAnsi="Times New Roman" w:cs="Times New Roman"/>
        </w:rPr>
        <w:t>hoped to increase the likelihood that the Council becomes more accommodating towards a proposal for a mandatory Register that include</w:t>
      </w:r>
      <w:r w:rsidR="00D81860">
        <w:rPr>
          <w:rFonts w:ascii="Times New Roman" w:hAnsi="Times New Roman" w:cs="Times New Roman"/>
        </w:rPr>
        <w:t>s</w:t>
      </w:r>
      <w:r>
        <w:rPr>
          <w:rFonts w:ascii="Times New Roman" w:hAnsi="Times New Roman" w:cs="Times New Roman"/>
        </w:rPr>
        <w:t xml:space="preserve"> the </w:t>
      </w:r>
      <w:r w:rsidRPr="00406E82">
        <w:rPr>
          <w:rFonts w:ascii="Times New Roman" w:hAnsi="Times New Roman" w:cs="Times New Roman"/>
        </w:rPr>
        <w:t>Council and thus change</w:t>
      </w:r>
      <w:r w:rsidR="00D81860">
        <w:rPr>
          <w:rFonts w:ascii="Times New Roman" w:hAnsi="Times New Roman" w:cs="Times New Roman"/>
        </w:rPr>
        <w:t>s</w:t>
      </w:r>
      <w:r w:rsidRPr="00406E82">
        <w:rPr>
          <w:rFonts w:ascii="Times New Roman" w:hAnsi="Times New Roman" w:cs="Times New Roman"/>
        </w:rPr>
        <w:t xml:space="preserve"> the status quo for this institution.</w:t>
      </w:r>
      <w:r>
        <w:rPr>
          <w:rFonts w:ascii="Times New Roman" w:hAnsi="Times New Roman" w:cs="Times New Roman"/>
        </w:rPr>
        <w:t xml:space="preserve"> Refusing such a proposal equals with a strong political statement about the level of transparency and accountability the Council is willing to accept concerning its decision-making. </w:t>
      </w:r>
    </w:p>
    <w:p w14:paraId="0392C4B6" w14:textId="4C144915" w:rsidR="0043535D" w:rsidRPr="00224108" w:rsidRDefault="0043535D" w:rsidP="00C62A9F">
      <w:pPr>
        <w:spacing w:line="360" w:lineRule="auto"/>
        <w:jc w:val="both"/>
        <w:rPr>
          <w:rFonts w:ascii="Times New Roman" w:hAnsi="Times New Roman"/>
        </w:rPr>
      </w:pPr>
      <w:r>
        <w:rPr>
          <w:rFonts w:ascii="Times New Roman" w:hAnsi="Times New Roman"/>
        </w:rPr>
        <w:tab/>
        <w:t xml:space="preserve">This policy context illustrates a policy formulation process that was susceptible to politicisation and </w:t>
      </w:r>
      <w:r w:rsidRPr="00406E82">
        <w:rPr>
          <w:rFonts w:ascii="Times New Roman" w:hAnsi="Times New Roman"/>
        </w:rPr>
        <w:t>strong opposition on behalf of the Council,</w:t>
      </w:r>
      <w:r>
        <w:rPr>
          <w:rFonts w:ascii="Times New Roman" w:hAnsi="Times New Roman"/>
        </w:rPr>
        <w:t xml:space="preserve"> in which the Commission had strong incentives to build a reputation for being a politically legitimate agenda-setter whose negotiating mandate on transparency and lobbying regulation was informed by the preferences of </w:t>
      </w:r>
      <w:r w:rsidRPr="00406E82">
        <w:rPr>
          <w:rFonts w:ascii="Times New Roman" w:hAnsi="Times New Roman"/>
        </w:rPr>
        <w:t>organisations representing the</w:t>
      </w:r>
      <w:r>
        <w:rPr>
          <w:rFonts w:ascii="Times New Roman" w:hAnsi="Times New Roman"/>
        </w:rPr>
        <w:t xml:space="preserve"> European public broadly defined. </w:t>
      </w:r>
    </w:p>
    <w:p w14:paraId="1AA75CC6" w14:textId="351A46A0" w:rsidR="0043535D" w:rsidRPr="005E782E" w:rsidRDefault="0043535D" w:rsidP="00C62A9F">
      <w:pPr>
        <w:spacing w:line="360" w:lineRule="auto"/>
        <w:jc w:val="both"/>
        <w:rPr>
          <w:rFonts w:ascii="Times New Roman" w:hAnsi="Times New Roman"/>
          <w:b/>
        </w:rPr>
      </w:pPr>
      <w:r>
        <w:rPr>
          <w:rFonts w:ascii="Times New Roman" w:hAnsi="Times New Roman"/>
          <w:b/>
        </w:rPr>
        <w:t>BUILDING REPUTATION AND LEGITIMACY FOR INTERINSTITUTIONAL NEGOTIATIONS</w:t>
      </w:r>
    </w:p>
    <w:p w14:paraId="219ECDCE" w14:textId="5CE7A679" w:rsidR="0043535D" w:rsidRDefault="0043535D" w:rsidP="00C62A9F">
      <w:pPr>
        <w:spacing w:line="360" w:lineRule="auto"/>
        <w:ind w:firstLine="720"/>
        <w:jc w:val="both"/>
        <w:rPr>
          <w:rFonts w:ascii="Times New Roman" w:hAnsi="Times New Roman" w:cs="Times New Roman"/>
        </w:rPr>
      </w:pPr>
      <w:r>
        <w:rPr>
          <w:rFonts w:ascii="Times New Roman" w:hAnsi="Times New Roman" w:cs="Times New Roman"/>
        </w:rPr>
        <w:t>Enjoying the right of sole formal initiator of legislation, the Commission performs a multifaceted and versatile institutional role:</w:t>
      </w:r>
      <w:r w:rsidRPr="005A1EB4">
        <w:rPr>
          <w:rFonts w:ascii="Times New Roman" w:hAnsi="Times New Roman" w:cs="Times New Roman"/>
        </w:rPr>
        <w:t xml:space="preserve"> </w:t>
      </w:r>
      <w:r>
        <w:rPr>
          <w:rFonts w:ascii="Times New Roman" w:hAnsi="Times New Roman" w:cs="Times New Roman"/>
        </w:rPr>
        <w:t>an executive bureaucracy (Kassim et al. 2013), a formal and informal agenda-setter (Princen 2011), a supranational agent serving multiple principals (Pollack 2003) and custodian of the European</w:t>
      </w:r>
      <w:r w:rsidR="00E952D6">
        <w:rPr>
          <w:rFonts w:ascii="Times New Roman" w:hAnsi="Times New Roman" w:cs="Times New Roman"/>
        </w:rPr>
        <w:t>,</w:t>
      </w:r>
      <w:r>
        <w:rPr>
          <w:rFonts w:ascii="Times New Roman" w:hAnsi="Times New Roman" w:cs="Times New Roman"/>
        </w:rPr>
        <w:t xml:space="preserve"> supranational interest (Majone 1999). </w:t>
      </w:r>
      <w:r w:rsidR="00E952D6">
        <w:rPr>
          <w:rFonts w:ascii="Times New Roman" w:hAnsi="Times New Roman" w:cs="Times New Roman"/>
        </w:rPr>
        <w:t>T</w:t>
      </w:r>
      <w:r>
        <w:rPr>
          <w:rFonts w:ascii="Times New Roman" w:hAnsi="Times New Roman" w:cs="Times New Roman"/>
        </w:rPr>
        <w:t xml:space="preserve">heories of bureaucratic politics (Balla 2000, Carpenter 2001, Gormley and Balla 2013) constitute </w:t>
      </w:r>
      <w:r w:rsidR="00E952D6">
        <w:rPr>
          <w:rFonts w:ascii="Times New Roman" w:hAnsi="Times New Roman" w:cs="Times New Roman"/>
        </w:rPr>
        <w:t xml:space="preserve">thus </w:t>
      </w:r>
      <w:r>
        <w:rPr>
          <w:rFonts w:ascii="Times New Roman" w:hAnsi="Times New Roman" w:cs="Times New Roman"/>
        </w:rPr>
        <w:t xml:space="preserve">a relevant theoretical background to understand and explain the policy formulation process </w:t>
      </w:r>
      <w:r w:rsidR="00E952D6">
        <w:rPr>
          <w:rFonts w:ascii="Times New Roman" w:hAnsi="Times New Roman" w:cs="Times New Roman"/>
        </w:rPr>
        <w:t>of</w:t>
      </w:r>
      <w:r>
        <w:rPr>
          <w:rFonts w:ascii="Times New Roman" w:hAnsi="Times New Roman" w:cs="Times New Roman"/>
        </w:rPr>
        <w:t xml:space="preserve"> the proposal on a mandatory TR. </w:t>
      </w:r>
    </w:p>
    <w:p w14:paraId="644A2250" w14:textId="188B7C32" w:rsidR="0043535D" w:rsidRDefault="0043535D" w:rsidP="00C62A9F">
      <w:pPr>
        <w:widowControl w:val="0"/>
        <w:autoSpaceDE w:val="0"/>
        <w:autoSpaceDN w:val="0"/>
        <w:adjustRightInd w:val="0"/>
        <w:spacing w:line="360" w:lineRule="auto"/>
        <w:ind w:firstLine="720"/>
        <w:jc w:val="both"/>
        <w:rPr>
          <w:rFonts w:ascii="Times New Roman" w:hAnsi="Times New Roman" w:cs="Times New Roman"/>
        </w:rPr>
      </w:pPr>
      <w:r>
        <w:rPr>
          <w:rFonts w:ascii="Times New Roman" w:hAnsi="Times New Roman" w:cs="Times New Roman"/>
        </w:rPr>
        <w:t xml:space="preserve">Similar to other bureaucracies, the Commission is motivated by two key logics of bureaucratic behaviour: increasing its </w:t>
      </w:r>
      <w:r w:rsidRPr="00562C10">
        <w:rPr>
          <w:rFonts w:ascii="Times New Roman" w:hAnsi="Times New Roman" w:cs="Times New Roman"/>
          <w:i/>
        </w:rPr>
        <w:t>institutional power</w:t>
      </w:r>
      <w:r>
        <w:rPr>
          <w:rFonts w:ascii="Times New Roman" w:hAnsi="Times New Roman" w:cs="Times New Roman"/>
        </w:rPr>
        <w:t xml:space="preserve"> (Kassim et al. 2016, Kreppel and Oztas 2017) and preserving and enhancing its </w:t>
      </w:r>
      <w:r w:rsidRPr="00562C10">
        <w:rPr>
          <w:rFonts w:ascii="Times New Roman" w:hAnsi="Times New Roman" w:cs="Times New Roman"/>
          <w:i/>
        </w:rPr>
        <w:t>bureaucratic autonomy</w:t>
      </w:r>
      <w:r>
        <w:rPr>
          <w:rFonts w:ascii="Times New Roman" w:hAnsi="Times New Roman" w:cs="Times New Roman"/>
        </w:rPr>
        <w:t xml:space="preserve"> (Ellinas and Suleiman 2012). Both depend on how successful</w:t>
      </w:r>
      <w:r w:rsidR="00570368">
        <w:rPr>
          <w:rFonts w:ascii="Times New Roman" w:hAnsi="Times New Roman" w:cs="Times New Roman"/>
        </w:rPr>
        <w:t>ly</w:t>
      </w:r>
      <w:r>
        <w:rPr>
          <w:rFonts w:ascii="Times New Roman" w:hAnsi="Times New Roman" w:cs="Times New Roman"/>
        </w:rPr>
        <w:t xml:space="preserve"> the Commission build</w:t>
      </w:r>
      <w:r w:rsidR="00570368">
        <w:rPr>
          <w:rFonts w:ascii="Times New Roman" w:hAnsi="Times New Roman" w:cs="Times New Roman"/>
        </w:rPr>
        <w:t>s</w:t>
      </w:r>
      <w:r>
        <w:rPr>
          <w:rFonts w:ascii="Times New Roman" w:hAnsi="Times New Roman" w:cs="Times New Roman"/>
        </w:rPr>
        <w:t xml:space="preserve"> </w:t>
      </w:r>
      <w:r w:rsidRPr="006C29CA">
        <w:rPr>
          <w:rFonts w:ascii="Times New Roman" w:hAnsi="Times New Roman" w:cs="Times New Roman"/>
          <w:i/>
        </w:rPr>
        <w:t>input and output legitimacy</w:t>
      </w:r>
      <w:r>
        <w:rPr>
          <w:rFonts w:ascii="Times New Roman" w:hAnsi="Times New Roman" w:cs="Times New Roman"/>
        </w:rPr>
        <w:t xml:space="preserve"> (Murdoch et al. 201</w:t>
      </w:r>
      <w:r w:rsidR="00D1756E">
        <w:rPr>
          <w:rFonts w:ascii="Times New Roman" w:hAnsi="Times New Roman" w:cs="Times New Roman"/>
        </w:rPr>
        <w:t>8</w:t>
      </w:r>
      <w:r>
        <w:rPr>
          <w:rFonts w:ascii="Times New Roman" w:hAnsi="Times New Roman" w:cs="Times New Roman"/>
        </w:rPr>
        <w:t xml:space="preserve">). Maximising legitimacy requires instead building the right </w:t>
      </w:r>
      <w:r w:rsidRPr="00562C10">
        <w:rPr>
          <w:rFonts w:ascii="Times New Roman" w:hAnsi="Times New Roman" w:cs="Times New Roman"/>
          <w:i/>
        </w:rPr>
        <w:t>institutional reputation</w:t>
      </w:r>
      <w:r>
        <w:rPr>
          <w:rFonts w:ascii="Times New Roman" w:hAnsi="Times New Roman" w:cs="Times New Roman"/>
        </w:rPr>
        <w:t xml:space="preserve"> (Carpenter 2001). In line with Carpenter and Krause (2012: 26), reputation is defined here as ‘a set of beliefs about an organization’s capacities, intentions, history and mission that are embedded in a network of multiple audiences’. Crafting ‘a salutary organizational reputation’ allows bureaucracies ‘not only to accrue autonomy […] but also to offer a protective shield in the presence of opposition in the form of hostile external audiences’ (Idem). A good reputation is both legitimising and empowering. However, a key challenge is that ‘the audiences are multiple and diverse, so satisfying one audience (e.g., a congressional committee) often means perturbing another (e.g. the media)’ (Carpenter and Krause 2012: 27). </w:t>
      </w:r>
    </w:p>
    <w:p w14:paraId="0B134609" w14:textId="4025F547" w:rsidR="0043535D" w:rsidRDefault="0043535D" w:rsidP="00C62A9F">
      <w:pPr>
        <w:widowControl w:val="0"/>
        <w:autoSpaceDE w:val="0"/>
        <w:autoSpaceDN w:val="0"/>
        <w:adjustRightInd w:val="0"/>
        <w:spacing w:line="360" w:lineRule="auto"/>
        <w:ind w:firstLine="720"/>
        <w:jc w:val="both"/>
        <w:rPr>
          <w:rFonts w:ascii="Times New Roman" w:hAnsi="Times New Roman" w:cs="Times New Roman"/>
        </w:rPr>
      </w:pPr>
      <w:r>
        <w:rPr>
          <w:rFonts w:ascii="Times New Roman" w:hAnsi="Times New Roman" w:cs="Times New Roman"/>
        </w:rPr>
        <w:t xml:space="preserve">To </w:t>
      </w:r>
      <w:r w:rsidR="00ED69CB">
        <w:rPr>
          <w:rFonts w:ascii="Times New Roman" w:hAnsi="Times New Roman" w:cs="Times New Roman"/>
        </w:rPr>
        <w:t>strenghten</w:t>
      </w:r>
      <w:r>
        <w:rPr>
          <w:rFonts w:ascii="Times New Roman" w:hAnsi="Times New Roman" w:cs="Times New Roman"/>
        </w:rPr>
        <w:t xml:space="preserve"> its legitimacy and leverage in interinstitutional negotiations for a mandatory Register, the Commission must perform a fine balancing act and strategically craft a reputation as policy initiator that appeals to the EP, the Council and regulated stakeholders. I argue therefore that, when drafting the proposal, the Commission had incentives to maximise both its input (political) legitimacy and its output (technical and problem-solving oriented) legitimacy (Schmidt 2013). Building a reputation for being </w:t>
      </w:r>
      <w:r w:rsidRPr="00E42E56">
        <w:rPr>
          <w:rFonts w:ascii="Times New Roman" w:hAnsi="Times New Roman" w:cs="Times New Roman"/>
          <w:i/>
        </w:rPr>
        <w:t xml:space="preserve">a responsive and representative policy initiator </w:t>
      </w:r>
      <w:r>
        <w:rPr>
          <w:rFonts w:ascii="Times New Roman" w:hAnsi="Times New Roman" w:cs="Times New Roman"/>
        </w:rPr>
        <w:t xml:space="preserve">is key in achieving the former. A reputation for being a </w:t>
      </w:r>
      <w:r w:rsidRPr="00282194">
        <w:rPr>
          <w:rFonts w:ascii="Times New Roman" w:hAnsi="Times New Roman" w:cs="Times New Roman"/>
          <w:i/>
        </w:rPr>
        <w:t>competent regulator</w:t>
      </w:r>
      <w:r>
        <w:rPr>
          <w:rFonts w:ascii="Times New Roman" w:hAnsi="Times New Roman" w:cs="Times New Roman"/>
        </w:rPr>
        <w:t xml:space="preserve"> is essential in achieving the latter.</w:t>
      </w:r>
    </w:p>
    <w:p w14:paraId="6F188698" w14:textId="28F6F7B9" w:rsidR="0043535D" w:rsidRPr="00282194" w:rsidRDefault="0043535D" w:rsidP="00C62A9F">
      <w:pPr>
        <w:pStyle w:val="p1"/>
        <w:spacing w:line="360" w:lineRule="auto"/>
        <w:ind w:firstLine="720"/>
        <w:jc w:val="both"/>
        <w:rPr>
          <w:rFonts w:ascii="Times New Roman" w:hAnsi="Times New Roman"/>
          <w:color w:val="000000" w:themeColor="text1"/>
          <w:sz w:val="24"/>
          <w:szCs w:val="24"/>
        </w:rPr>
      </w:pPr>
      <w:r w:rsidRPr="009B7667">
        <w:rPr>
          <w:rFonts w:ascii="Times New Roman" w:hAnsi="Times New Roman"/>
          <w:color w:val="000000" w:themeColor="text1"/>
          <w:sz w:val="24"/>
          <w:szCs w:val="24"/>
        </w:rPr>
        <w:t>An effective way to build reputation and legitimacy is to use stakeholder consultations to craft policy proposals allowing the Commission to make a legitimate ‘claim to a hearing’ in front of decision-making actors (Kin</w:t>
      </w:r>
      <w:r>
        <w:rPr>
          <w:rFonts w:ascii="Times New Roman" w:hAnsi="Times New Roman"/>
          <w:color w:val="000000" w:themeColor="text1"/>
          <w:sz w:val="24"/>
          <w:szCs w:val="24"/>
        </w:rPr>
        <w:t>g</w:t>
      </w:r>
      <w:r w:rsidRPr="009B7667">
        <w:rPr>
          <w:rFonts w:ascii="Times New Roman" w:hAnsi="Times New Roman"/>
          <w:color w:val="000000" w:themeColor="text1"/>
          <w:sz w:val="24"/>
          <w:szCs w:val="24"/>
        </w:rPr>
        <w:t>don 2003: 180-181). Consultations play a key role in strengthening the informal agenda-setting power of the Commission</w:t>
      </w:r>
      <w:r>
        <w:rPr>
          <w:rFonts w:ascii="Times New Roman" w:hAnsi="Times New Roman"/>
          <w:color w:val="000000" w:themeColor="text1"/>
          <w:sz w:val="24"/>
          <w:szCs w:val="24"/>
        </w:rPr>
        <w:t>:</w:t>
      </w:r>
      <w:r w:rsidRPr="009B7667">
        <w:rPr>
          <w:rFonts w:ascii="Times New Roman" w:hAnsi="Times New Roman"/>
          <w:color w:val="000000" w:themeColor="text1"/>
          <w:sz w:val="24"/>
          <w:szCs w:val="24"/>
        </w:rPr>
        <w:t xml:space="preserve"> research shows that EC’s </w:t>
      </w:r>
      <w:r w:rsidR="004B3907">
        <w:rPr>
          <w:rFonts w:ascii="Times New Roman" w:hAnsi="Times New Roman"/>
          <w:color w:val="000000" w:themeColor="text1"/>
          <w:sz w:val="24"/>
          <w:szCs w:val="24"/>
        </w:rPr>
        <w:t xml:space="preserve">stakeholder </w:t>
      </w:r>
      <w:r w:rsidRPr="009B7667">
        <w:rPr>
          <w:rFonts w:ascii="Times New Roman" w:hAnsi="Times New Roman"/>
          <w:color w:val="000000" w:themeColor="text1"/>
          <w:sz w:val="24"/>
          <w:szCs w:val="24"/>
        </w:rPr>
        <w:t xml:space="preserve">consultations (especially those </w:t>
      </w:r>
      <w:r>
        <w:rPr>
          <w:rFonts w:ascii="Times New Roman" w:hAnsi="Times New Roman"/>
          <w:color w:val="000000" w:themeColor="text1"/>
          <w:sz w:val="24"/>
          <w:szCs w:val="24"/>
        </w:rPr>
        <w:t>including</w:t>
      </w:r>
      <w:r w:rsidRPr="009B7667">
        <w:rPr>
          <w:rFonts w:ascii="Times New Roman" w:hAnsi="Times New Roman"/>
          <w:color w:val="000000" w:themeColor="text1"/>
          <w:sz w:val="24"/>
          <w:szCs w:val="24"/>
        </w:rPr>
        <w:t xml:space="preserve"> a high number </w:t>
      </w:r>
      <w:r>
        <w:rPr>
          <w:rFonts w:ascii="Times New Roman" w:hAnsi="Times New Roman"/>
          <w:color w:val="000000" w:themeColor="text1"/>
          <w:sz w:val="24"/>
          <w:szCs w:val="24"/>
        </w:rPr>
        <w:t>of diverse</w:t>
      </w:r>
      <w:r w:rsidRPr="009B7667">
        <w:rPr>
          <w:rFonts w:ascii="Times New Roman" w:hAnsi="Times New Roman"/>
          <w:color w:val="000000" w:themeColor="text1"/>
          <w:sz w:val="24"/>
          <w:szCs w:val="24"/>
        </w:rPr>
        <w:t xml:space="preserve"> stakeholders) ‘strengthen its bargaining success relative to legislative actors’ (Bunea and Thomson 2015: 528). For an unelected bureaucracy under constant criticism for its lack of democratic accountability such as the EC, building the reputation of an actor whose proposals are informed by and formulated through extensive public consultations with a diverse set of stakeholders contributes substantially to increasing its reputation for legitimacy and power during interinstitutional negotiations (Bernhagen et al. 2015: 572). Mazey and Richardson label this ‘strategic group politics’ (2015: 390).</w:t>
      </w:r>
      <w:r w:rsidRPr="009B7667">
        <w:rPr>
          <w:rFonts w:ascii="Times New Roman" w:hAnsi="Times New Roman"/>
          <w:color w:val="000000" w:themeColor="text1"/>
        </w:rPr>
        <w:t xml:space="preserve"> </w:t>
      </w:r>
      <w:r w:rsidRPr="00A67943">
        <w:rPr>
          <w:rFonts w:ascii="Times New Roman" w:hAnsi="Times New Roman"/>
          <w:color w:val="000000" w:themeColor="text1"/>
          <w:sz w:val="24"/>
          <w:szCs w:val="24"/>
        </w:rPr>
        <w:t>I argue that different constituencies of stakeholders</w:t>
      </w:r>
      <w:r>
        <w:rPr>
          <w:rFonts w:ascii="Times New Roman" w:hAnsi="Times New Roman"/>
          <w:color w:val="000000" w:themeColor="text1"/>
          <w:sz w:val="24"/>
          <w:szCs w:val="24"/>
        </w:rPr>
        <w:t xml:space="preserve"> </w:t>
      </w:r>
      <w:r w:rsidRPr="00B94220">
        <w:rPr>
          <w:rFonts w:ascii="Times New Roman" w:hAnsi="Times New Roman"/>
          <w:color w:val="000000" w:themeColor="text1"/>
          <w:sz w:val="24"/>
          <w:szCs w:val="24"/>
        </w:rPr>
        <w:t>participating in consultations allow the Commission to build different reputations for legitimacy by signalling the public and other institutional negotiators that its policy measures are closely aligned with the preferences of certain constituencies of interests over others, across different policy issues.</w:t>
      </w:r>
      <w:r>
        <w:rPr>
          <w:rFonts w:ascii="Times New Roman" w:hAnsi="Times New Roman"/>
          <w:color w:val="000000" w:themeColor="text1"/>
          <w:sz w:val="24"/>
          <w:szCs w:val="24"/>
        </w:rPr>
        <w:t xml:space="preserve"> </w:t>
      </w:r>
    </w:p>
    <w:p w14:paraId="48F7FC5E" w14:textId="77777777" w:rsidR="0043535D" w:rsidRPr="0042341E" w:rsidRDefault="0043535D" w:rsidP="00C62A9F">
      <w:pPr>
        <w:spacing w:line="360" w:lineRule="auto"/>
        <w:jc w:val="both"/>
        <w:rPr>
          <w:rFonts w:ascii="Times New Roman" w:hAnsi="Times New Roman" w:cs="Times New Roman"/>
          <w:i/>
        </w:rPr>
      </w:pPr>
      <w:r>
        <w:rPr>
          <w:rFonts w:ascii="Times New Roman" w:hAnsi="Times New Roman" w:cs="Times New Roman"/>
          <w:i/>
        </w:rPr>
        <w:t xml:space="preserve">Input legitimacy: building a reputation for regulating </w:t>
      </w:r>
      <w:r w:rsidRPr="00B94220">
        <w:rPr>
          <w:rFonts w:ascii="Times New Roman" w:hAnsi="Times New Roman" w:cs="Times New Roman"/>
          <w:i/>
        </w:rPr>
        <w:t>together with and in line with</w:t>
      </w:r>
      <w:r>
        <w:rPr>
          <w:rFonts w:ascii="Times New Roman" w:hAnsi="Times New Roman" w:cs="Times New Roman"/>
          <w:i/>
        </w:rPr>
        <w:t xml:space="preserve"> the public’s preferences</w:t>
      </w:r>
    </w:p>
    <w:p w14:paraId="6C997A90" w14:textId="33AF3B50" w:rsidR="0043535D" w:rsidRDefault="0043535D" w:rsidP="00C62A9F">
      <w:pPr>
        <w:pStyle w:val="p1"/>
        <w:spacing w:line="360" w:lineRule="auto"/>
        <w:ind w:firstLine="720"/>
        <w:jc w:val="both"/>
        <w:rPr>
          <w:rFonts w:ascii="Times New Roman" w:hAnsi="Times New Roman"/>
          <w:color w:val="000000" w:themeColor="text1"/>
          <w:sz w:val="24"/>
          <w:szCs w:val="24"/>
        </w:rPr>
      </w:pPr>
      <w:r w:rsidRPr="00630B5B">
        <w:rPr>
          <w:rFonts w:ascii="Times New Roman" w:hAnsi="Times New Roman"/>
          <w:color w:val="000000" w:themeColor="text1"/>
          <w:sz w:val="24"/>
          <w:szCs w:val="24"/>
        </w:rPr>
        <w:t xml:space="preserve">On </w:t>
      </w:r>
      <w:r w:rsidRPr="00B94220">
        <w:rPr>
          <w:rFonts w:ascii="Times New Roman" w:hAnsi="Times New Roman"/>
          <w:color w:val="000000" w:themeColor="text1"/>
          <w:sz w:val="24"/>
          <w:szCs w:val="24"/>
        </w:rPr>
        <w:t xml:space="preserve">politicised issues of accountable and transparent supranational governance and policymaking, the Commission has incentives to </w:t>
      </w:r>
      <w:r w:rsidRPr="00B94220">
        <w:rPr>
          <w:rFonts w:ascii="Times New Roman" w:hAnsi="Times New Roman"/>
          <w:i/>
          <w:color w:val="000000" w:themeColor="text1"/>
          <w:sz w:val="24"/>
          <w:szCs w:val="24"/>
        </w:rPr>
        <w:t>maximise input legitimacy</w:t>
      </w:r>
      <w:r w:rsidRPr="00B94220">
        <w:rPr>
          <w:rFonts w:ascii="Times New Roman" w:hAnsi="Times New Roman"/>
          <w:color w:val="000000" w:themeColor="text1"/>
          <w:sz w:val="24"/>
          <w:szCs w:val="24"/>
        </w:rPr>
        <w:t xml:space="preserve"> by designing proposals congruent with the preferences of the general public and by building a reputation for being a bureaucracy that is representative and ‘responsive to participatory input demands’ (Schmidt 2013: 6) made by citizens or organizations representing the European public broadly conceived.</w:t>
      </w:r>
      <w:r>
        <w:rPr>
          <w:rFonts w:ascii="Times New Roman" w:hAnsi="Times New Roman"/>
          <w:color w:val="000000" w:themeColor="text1"/>
          <w:sz w:val="24"/>
          <w:szCs w:val="24"/>
        </w:rPr>
        <w:t xml:space="preserve"> </w:t>
      </w:r>
      <w:r w:rsidRPr="00630B5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 straightforward and effective way to make this claim is to signal that its proposal for regulating lobbying is informed by the preferences expressed in the public consultation preceding the formulation process by stakeholders </w:t>
      </w:r>
      <w:r w:rsidR="00AC502A">
        <w:rPr>
          <w:rFonts w:ascii="Times New Roman" w:hAnsi="Times New Roman"/>
          <w:color w:val="000000" w:themeColor="text1"/>
          <w:sz w:val="24"/>
          <w:szCs w:val="24"/>
        </w:rPr>
        <w:t xml:space="preserve">representing </w:t>
      </w:r>
      <w:r>
        <w:rPr>
          <w:rFonts w:ascii="Times New Roman" w:hAnsi="Times New Roman"/>
          <w:color w:val="000000" w:themeColor="text1"/>
          <w:sz w:val="24"/>
          <w:szCs w:val="24"/>
        </w:rPr>
        <w:t>the European public</w:t>
      </w:r>
      <w:r w:rsidRPr="00B80F8B">
        <w:rPr>
          <w:rFonts w:ascii="Times New Roman" w:hAnsi="Times New Roman"/>
          <w:color w:val="000000" w:themeColor="text1"/>
          <w:sz w:val="24"/>
          <w:szCs w:val="24"/>
        </w:rPr>
        <w:t>. This argument recognizes that within the EU polity, ‘throughput governance with the people through pluralist-type consultation […] has deliberately been encouraged as a way of counterbalancing the paucity of input governance by the people through political participation’ (Schmidt 2013: 15). In the absence of citizens’ participation in European policymaking through majoritarian institutions, stakeholders’ participation in public consultations allows the Commission to identify what Scharpf described as a key condition for input-oriented legitimization, namely the preferences of stakeholders representing the general public: ‘</w:t>
      </w:r>
      <w:r w:rsidRPr="00B80F8B">
        <w:rPr>
          <w:rFonts w:ascii="Times New Roman" w:eastAsia="Times New Roman" w:hAnsi="Times New Roman"/>
          <w:color w:val="000000"/>
          <w:sz w:val="24"/>
          <w:szCs w:val="24"/>
        </w:rPr>
        <w:t>Political choices are legitimate if and because they reflect the ‘will of the people’ – that is, if they can be derived from the authentic preferences of the members of a community’ (Scharpf 1999: 6).</w:t>
      </w:r>
      <w:r w:rsidRPr="00B80F8B">
        <w:rPr>
          <w:rFonts w:ascii="Times New Roman" w:hAnsi="Times New Roman"/>
          <w:color w:val="000000" w:themeColor="text1"/>
          <w:sz w:val="24"/>
          <w:szCs w:val="24"/>
        </w:rPr>
        <w:t xml:space="preserve"> In line with Schmidt (2013: 15), this argument assumes that functional representation through interest </w:t>
      </w:r>
      <w:r w:rsidR="00D212EE">
        <w:rPr>
          <w:rFonts w:ascii="Times New Roman" w:hAnsi="Times New Roman"/>
          <w:color w:val="000000" w:themeColor="text1"/>
          <w:sz w:val="24"/>
          <w:szCs w:val="24"/>
        </w:rPr>
        <w:t>organizations</w:t>
      </w:r>
      <w:r w:rsidRPr="00B80F8B">
        <w:rPr>
          <w:rFonts w:ascii="Times New Roman" w:hAnsi="Times New Roman"/>
          <w:color w:val="000000" w:themeColor="text1"/>
          <w:sz w:val="24"/>
          <w:szCs w:val="24"/>
        </w:rPr>
        <w:t xml:space="preserve"> as part of consultations becomes thus ‘an additional form of democratic legitimization’ at EU level. This proposal formulation strategy</w:t>
      </w:r>
      <w:r>
        <w:rPr>
          <w:rFonts w:ascii="Times New Roman" w:hAnsi="Times New Roman"/>
          <w:color w:val="000000" w:themeColor="text1"/>
          <w:sz w:val="24"/>
          <w:szCs w:val="24"/>
        </w:rPr>
        <w:t xml:space="preserve"> alleviates the Commission’s lack of a democratic mandate and allows </w:t>
      </w:r>
      <w:r w:rsidRPr="00630B5B">
        <w:rPr>
          <w:rFonts w:ascii="Times New Roman" w:hAnsi="Times New Roman"/>
          <w:color w:val="000000" w:themeColor="text1"/>
          <w:sz w:val="24"/>
          <w:szCs w:val="24"/>
        </w:rPr>
        <w:t>anticipating and rej</w:t>
      </w:r>
      <w:r>
        <w:rPr>
          <w:rFonts w:ascii="Times New Roman" w:hAnsi="Times New Roman"/>
          <w:color w:val="000000" w:themeColor="text1"/>
          <w:sz w:val="24"/>
          <w:szCs w:val="24"/>
        </w:rPr>
        <w:t>ecting potential criticisms</w:t>
      </w:r>
      <w:r w:rsidRPr="00630B5B">
        <w:rPr>
          <w:rFonts w:ascii="Times New Roman" w:hAnsi="Times New Roman"/>
          <w:color w:val="000000" w:themeColor="text1"/>
          <w:sz w:val="24"/>
          <w:szCs w:val="24"/>
        </w:rPr>
        <w:t xml:space="preserve"> about having too close ties with business groups </w:t>
      </w:r>
      <w:r>
        <w:rPr>
          <w:rFonts w:ascii="Times New Roman" w:hAnsi="Times New Roman"/>
          <w:color w:val="000000" w:themeColor="text1"/>
          <w:sz w:val="24"/>
          <w:szCs w:val="24"/>
        </w:rPr>
        <w:t>and suspicions of regulatory capture (Murdoch et al. 201</w:t>
      </w:r>
      <w:r w:rsidR="00D1756E">
        <w:rPr>
          <w:rFonts w:ascii="Times New Roman" w:hAnsi="Times New Roman"/>
          <w:color w:val="000000" w:themeColor="text1"/>
          <w:sz w:val="24"/>
          <w:szCs w:val="24"/>
        </w:rPr>
        <w:t>8</w:t>
      </w:r>
      <w:r>
        <w:rPr>
          <w:rFonts w:ascii="Times New Roman" w:hAnsi="Times New Roman"/>
          <w:color w:val="000000" w:themeColor="text1"/>
          <w:sz w:val="24"/>
          <w:szCs w:val="24"/>
        </w:rPr>
        <w:t>).</w:t>
      </w:r>
    </w:p>
    <w:p w14:paraId="56FFCD0A" w14:textId="37D49B79" w:rsidR="0043535D" w:rsidRPr="000279D5" w:rsidRDefault="0043535D" w:rsidP="00C62A9F">
      <w:pPr>
        <w:pStyle w:val="p1"/>
        <w:spacing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Maximising input legitimacy is particularly relevant</w:t>
      </w:r>
      <w:r w:rsidRPr="00630B5B">
        <w:rPr>
          <w:rFonts w:ascii="Times New Roman" w:hAnsi="Times New Roman"/>
          <w:color w:val="000000" w:themeColor="text1"/>
          <w:sz w:val="24"/>
          <w:szCs w:val="24"/>
        </w:rPr>
        <w:t xml:space="preserve"> for those measures described in the </w:t>
      </w:r>
      <w:r w:rsidRPr="000279D5">
        <w:rPr>
          <w:rFonts w:ascii="Times New Roman" w:hAnsi="Times New Roman"/>
          <w:color w:val="000000" w:themeColor="text1"/>
          <w:sz w:val="24"/>
          <w:szCs w:val="24"/>
        </w:rPr>
        <w:t xml:space="preserve">regulatory regimes </w:t>
      </w:r>
      <w:r w:rsidR="00F021EE">
        <w:rPr>
          <w:rFonts w:ascii="Times New Roman" w:hAnsi="Times New Roman"/>
          <w:color w:val="000000" w:themeColor="text1"/>
          <w:sz w:val="24"/>
          <w:szCs w:val="24"/>
        </w:rPr>
        <w:t xml:space="preserve">literature </w:t>
      </w:r>
      <w:r w:rsidRPr="000279D5">
        <w:rPr>
          <w:rFonts w:ascii="Times New Roman" w:hAnsi="Times New Roman"/>
          <w:color w:val="000000" w:themeColor="text1"/>
          <w:sz w:val="24"/>
          <w:szCs w:val="24"/>
        </w:rPr>
        <w:t xml:space="preserve">as setting the ‘regime orientation’ (Vogel 1996: 20-21 cited in Levi-Faur 2011: 13) or the </w:t>
      </w:r>
      <w:r w:rsidRPr="000279D5">
        <w:rPr>
          <w:rFonts w:ascii="Times New Roman" w:hAnsi="Times New Roman"/>
          <w:i/>
          <w:color w:val="000000" w:themeColor="text1"/>
          <w:sz w:val="24"/>
          <w:szCs w:val="24"/>
        </w:rPr>
        <w:t xml:space="preserve">scope of the regulatory regime, </w:t>
      </w:r>
      <w:r w:rsidRPr="000279D5">
        <w:rPr>
          <w:rFonts w:ascii="Times New Roman" w:hAnsi="Times New Roman"/>
          <w:color w:val="000000" w:themeColor="text1"/>
          <w:sz w:val="24"/>
          <w:szCs w:val="24"/>
        </w:rPr>
        <w:t xml:space="preserve">since this dimension is most salient from a public interest perspective. These measures are easier to politicise since </w:t>
      </w:r>
      <w:r>
        <w:rPr>
          <w:rFonts w:ascii="Times New Roman" w:hAnsi="Times New Roman"/>
          <w:color w:val="000000" w:themeColor="text1"/>
          <w:sz w:val="24"/>
          <w:szCs w:val="24"/>
        </w:rPr>
        <w:t>they define the regulatory remit of lobbying regulation and thus</w:t>
      </w:r>
      <w:r w:rsidRPr="000279D5">
        <w:rPr>
          <w:rFonts w:ascii="Times New Roman" w:hAnsi="Times New Roman"/>
          <w:color w:val="000000" w:themeColor="text1"/>
          <w:sz w:val="24"/>
          <w:szCs w:val="24"/>
        </w:rPr>
        <w:t xml:space="preserve"> tap into ‘the nature of the EU polity itself and raise the issue of legitimacy’ (</w:t>
      </w:r>
      <w:r>
        <w:rPr>
          <w:rFonts w:ascii="Times New Roman" w:hAnsi="Times New Roman"/>
          <w:color w:val="000000" w:themeColor="text1"/>
          <w:sz w:val="24"/>
          <w:szCs w:val="24"/>
        </w:rPr>
        <w:t>d</w:t>
      </w:r>
      <w:r w:rsidRPr="000279D5">
        <w:rPr>
          <w:rFonts w:ascii="Times New Roman" w:hAnsi="Times New Roman"/>
          <w:color w:val="000000" w:themeColor="text1"/>
          <w:sz w:val="24"/>
          <w:szCs w:val="24"/>
        </w:rPr>
        <w:t xml:space="preserve">e Wilde 2011: 564). On such measures, presenting a proposal backed by a ‘representative mandate’ (broadly defined), weighs heavily in determining the outcomes of interinstitutional negotiations (Kassim et al. 2016). Thus, the expectation is that in formulating its proposal for a mandatory Register, on issues related to the scope of the regulatory regime, the Commission has reputational incentives </w:t>
      </w:r>
      <w:r w:rsidRPr="00B80F8B">
        <w:rPr>
          <w:rFonts w:ascii="Times New Roman" w:hAnsi="Times New Roman"/>
          <w:color w:val="000000" w:themeColor="text1"/>
          <w:sz w:val="24"/>
          <w:szCs w:val="24"/>
        </w:rPr>
        <w:t>to design a proposal congruent with preferences expressed by stakeholders that participated in the consultation as representatives of the public (i.e. citizens, public local authorities and public interest organizations). This alignment is aimed to enhance its legitimacy and leverage in negotiations. The expectation is that:</w:t>
      </w:r>
      <w:r w:rsidRPr="000279D5">
        <w:rPr>
          <w:rFonts w:ascii="Times New Roman" w:hAnsi="Times New Roman"/>
          <w:color w:val="000000" w:themeColor="text1"/>
        </w:rPr>
        <w:t xml:space="preserve"> </w:t>
      </w:r>
    </w:p>
    <w:p w14:paraId="2E69D3AC" w14:textId="0D6AC418" w:rsidR="0043535D" w:rsidRPr="00F07794" w:rsidRDefault="0043535D" w:rsidP="00C62A9F">
      <w:pPr>
        <w:spacing w:line="360" w:lineRule="auto"/>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1</w:t>
      </w:r>
      <w:r>
        <w:rPr>
          <w:rFonts w:ascii="Times New Roman" w:hAnsi="Times New Roman" w:cs="Times New Roman"/>
        </w:rPr>
        <w:t xml:space="preserve">: </w:t>
      </w:r>
      <w:r w:rsidRPr="00967C16">
        <w:rPr>
          <w:rFonts w:ascii="Times New Roman" w:hAnsi="Times New Roman" w:cs="Times New Roman"/>
          <w:i/>
        </w:rPr>
        <w:t xml:space="preserve">On measures defining the regulatory scope of the Register, the Commission proposal was more likely congruent with preferences expressed by stakeholders representing public </w:t>
      </w:r>
      <w:r w:rsidRPr="00B80F8B">
        <w:rPr>
          <w:rFonts w:ascii="Times New Roman" w:hAnsi="Times New Roman" w:cs="Times New Roman"/>
          <w:i/>
        </w:rPr>
        <w:t>interest</w:t>
      </w:r>
      <w:r w:rsidR="000C375C">
        <w:rPr>
          <w:rFonts w:ascii="Times New Roman" w:hAnsi="Times New Roman" w:cs="Times New Roman"/>
          <w:i/>
        </w:rPr>
        <w:t>s</w:t>
      </w:r>
      <w:r w:rsidRPr="00B80F8B">
        <w:rPr>
          <w:rFonts w:ascii="Times New Roman" w:hAnsi="Times New Roman" w:cs="Times New Roman"/>
          <w:i/>
        </w:rPr>
        <w:t xml:space="preserve"> than with preferences expressed by stakeholders representing</w:t>
      </w:r>
      <w:r w:rsidR="004B3907">
        <w:rPr>
          <w:rFonts w:ascii="Times New Roman" w:hAnsi="Times New Roman" w:cs="Times New Roman"/>
          <w:i/>
        </w:rPr>
        <w:t xml:space="preserve"> concentrated</w:t>
      </w:r>
      <w:r w:rsidRPr="00B80F8B">
        <w:rPr>
          <w:rFonts w:ascii="Times New Roman" w:hAnsi="Times New Roman" w:cs="Times New Roman"/>
          <w:i/>
        </w:rPr>
        <w:t xml:space="preserve"> </w:t>
      </w:r>
      <w:r w:rsidR="004B3907">
        <w:rPr>
          <w:rFonts w:ascii="Times New Roman" w:hAnsi="Times New Roman" w:cs="Times New Roman"/>
          <w:i/>
        </w:rPr>
        <w:t>(</w:t>
      </w:r>
      <w:r w:rsidRPr="00B80F8B">
        <w:rPr>
          <w:rFonts w:ascii="Times New Roman" w:hAnsi="Times New Roman" w:cs="Times New Roman"/>
          <w:i/>
        </w:rPr>
        <w:t>business</w:t>
      </w:r>
      <w:r w:rsidR="004B3907">
        <w:rPr>
          <w:rFonts w:ascii="Times New Roman" w:hAnsi="Times New Roman" w:cs="Times New Roman"/>
          <w:i/>
        </w:rPr>
        <w:t>)</w:t>
      </w:r>
      <w:r w:rsidRPr="00B80F8B">
        <w:rPr>
          <w:rFonts w:ascii="Times New Roman" w:hAnsi="Times New Roman" w:cs="Times New Roman"/>
          <w:i/>
        </w:rPr>
        <w:t xml:space="preserve"> interests.</w:t>
      </w:r>
    </w:p>
    <w:p w14:paraId="2CEA3B90" w14:textId="77777777" w:rsidR="0043535D" w:rsidRDefault="0043535D" w:rsidP="00C62A9F">
      <w:pPr>
        <w:spacing w:line="360" w:lineRule="auto"/>
        <w:jc w:val="both"/>
        <w:rPr>
          <w:rFonts w:ascii="Times New Roman" w:hAnsi="Times New Roman" w:cs="Times New Roman"/>
          <w:i/>
        </w:rPr>
      </w:pPr>
    </w:p>
    <w:p w14:paraId="30FBC121" w14:textId="77777777" w:rsidR="0043535D" w:rsidRDefault="0043535D" w:rsidP="00C62A9F">
      <w:pPr>
        <w:spacing w:line="360" w:lineRule="auto"/>
        <w:jc w:val="both"/>
        <w:rPr>
          <w:rFonts w:ascii="Times New Roman" w:hAnsi="Times New Roman" w:cs="Times New Roman"/>
          <w:i/>
        </w:rPr>
      </w:pPr>
      <w:r w:rsidRPr="00B80F8B">
        <w:rPr>
          <w:rFonts w:ascii="Times New Roman" w:hAnsi="Times New Roman" w:cs="Times New Roman"/>
          <w:i/>
        </w:rPr>
        <w:t>Output legitimacy: the importance of being a competent regulator and effective problem-solver</w:t>
      </w:r>
    </w:p>
    <w:p w14:paraId="452CE335" w14:textId="59EA3C50" w:rsidR="0043535D" w:rsidRDefault="0043535D" w:rsidP="00C62A9F">
      <w:pPr>
        <w:spacing w:line="360" w:lineRule="auto"/>
        <w:jc w:val="both"/>
        <w:rPr>
          <w:rFonts w:ascii="Times New Roman" w:hAnsi="Times New Roman" w:cs="Times New Roman"/>
        </w:rPr>
      </w:pPr>
      <w:r>
        <w:rPr>
          <w:rFonts w:ascii="Times New Roman" w:hAnsi="Times New Roman" w:cs="Times New Roman"/>
        </w:rPr>
        <w:tab/>
        <w:t xml:space="preserve">To enhance its negotiating leverage, in addition to input legitimacy, the EC has equally strong incentives to maximise its </w:t>
      </w:r>
      <w:r w:rsidRPr="00B513E4">
        <w:rPr>
          <w:rFonts w:ascii="Times New Roman" w:hAnsi="Times New Roman" w:cs="Times New Roman"/>
          <w:i/>
        </w:rPr>
        <w:t>output legitimacy</w:t>
      </w:r>
      <w:r>
        <w:rPr>
          <w:rFonts w:ascii="Times New Roman" w:hAnsi="Times New Roman" w:cs="Times New Roman"/>
        </w:rPr>
        <w:t xml:space="preserve"> by signalling its ‘effective problem-solving capacities’ (Risse 2006: 15) and the ability to produce high quality, feasible and expert-informed proposals and regulatory outputs (Lindgren and Persson </w:t>
      </w:r>
      <w:r w:rsidRPr="00B80F8B">
        <w:rPr>
          <w:rFonts w:ascii="Times New Roman" w:hAnsi="Times New Roman" w:cs="Times New Roman"/>
        </w:rPr>
        <w:t xml:space="preserve">2010), that will ‘effectively promote the common welfare of the constituency in question’ (i.e. regulated actors and the public) (Scharpf 1999: 6). In broad terms, ‘output legitimacy requires policies to work effectively while resonating with citizens’ values and identity’ (Schmidt 2013: 7). </w:t>
      </w:r>
    </w:p>
    <w:p w14:paraId="66154863" w14:textId="617F052F" w:rsidR="0043535D" w:rsidRPr="00060F79" w:rsidRDefault="0043535D" w:rsidP="00C62A9F">
      <w:pPr>
        <w:spacing w:line="360" w:lineRule="auto"/>
        <w:ind w:firstLine="720"/>
        <w:jc w:val="both"/>
        <w:rPr>
          <w:rFonts w:ascii="Times New Roman" w:hAnsi="Times New Roman" w:cs="Times New Roman"/>
        </w:rPr>
      </w:pPr>
      <w:r w:rsidRPr="00B80F8B">
        <w:rPr>
          <w:rFonts w:ascii="Times New Roman" w:hAnsi="Times New Roman" w:cs="Times New Roman"/>
        </w:rPr>
        <w:t xml:space="preserve">Building a reputation for being a </w:t>
      </w:r>
      <w:r w:rsidRPr="00B80F8B">
        <w:rPr>
          <w:rFonts w:ascii="Times New Roman" w:hAnsi="Times New Roman" w:cs="Times New Roman"/>
          <w:i/>
        </w:rPr>
        <w:t xml:space="preserve">competent, expert-informed and policy-attuned regulator </w:t>
      </w:r>
      <w:r w:rsidRPr="00B80F8B">
        <w:rPr>
          <w:rFonts w:ascii="Times New Roman" w:hAnsi="Times New Roman" w:cs="Times New Roman"/>
        </w:rPr>
        <w:t>is a key step towards increasing the Commission’s output legitimacy and enhancing its negotiati</w:t>
      </w:r>
      <w:r w:rsidR="00601121">
        <w:rPr>
          <w:rFonts w:ascii="Times New Roman" w:hAnsi="Times New Roman" w:cs="Times New Roman"/>
        </w:rPr>
        <w:t>ons</w:t>
      </w:r>
      <w:r w:rsidRPr="00B80F8B">
        <w:rPr>
          <w:rFonts w:ascii="Times New Roman" w:hAnsi="Times New Roman" w:cs="Times New Roman"/>
        </w:rPr>
        <w:t xml:space="preserve"> leverage, based on the assumption that expertise improves the probability of adopting effective and efficient policy measures that increase aggregate policy and societal welfare (Esterling 2004).</w:t>
      </w:r>
      <w:r>
        <w:rPr>
          <w:rFonts w:ascii="Times New Roman" w:hAnsi="Times New Roman" w:cs="Times New Roman"/>
        </w:rPr>
        <w:t xml:space="preserve"> An effective way to build this reputation and increase output legitimacy is to show that when drafting measures on issues requir</w:t>
      </w:r>
      <w:r w:rsidR="002A2C86">
        <w:rPr>
          <w:rFonts w:ascii="Times New Roman" w:hAnsi="Times New Roman" w:cs="Times New Roman"/>
        </w:rPr>
        <w:t>ing</w:t>
      </w:r>
      <w:r>
        <w:rPr>
          <w:rFonts w:ascii="Times New Roman" w:hAnsi="Times New Roman" w:cs="Times New Roman"/>
        </w:rPr>
        <w:t xml:space="preserve"> expert knowledge and technical information, the Commission listens to those stakeholders possessing it. These are also actors most likely to be the affected interests targeted by the proposed regulations.  </w:t>
      </w:r>
      <w:r>
        <w:rPr>
          <w:rFonts w:ascii="Times New Roman" w:hAnsi="Times New Roman" w:cs="Times New Roman"/>
          <w:lang w:val="en-US"/>
        </w:rPr>
        <w:t xml:space="preserve">This is particularly the case for those policy measures linked with ‘the regime organization’ (Vogel 1996, 20-21 cited in Levi-Faur 2011: 13), namely </w:t>
      </w:r>
      <w:r w:rsidRPr="00CD0DAE">
        <w:rPr>
          <w:rFonts w:ascii="Times New Roman" w:hAnsi="Times New Roman" w:cs="Times New Roman"/>
          <w:i/>
          <w:lang w:val="en-US"/>
        </w:rPr>
        <w:t xml:space="preserve">the technicalities </w:t>
      </w:r>
      <w:r>
        <w:rPr>
          <w:rFonts w:ascii="Times New Roman" w:hAnsi="Times New Roman" w:cs="Times New Roman"/>
          <w:i/>
          <w:lang w:val="en-US"/>
        </w:rPr>
        <w:t xml:space="preserve">specifying </w:t>
      </w:r>
      <w:r w:rsidRPr="00CD0DAE">
        <w:rPr>
          <w:rFonts w:ascii="Times New Roman" w:hAnsi="Times New Roman" w:cs="Times New Roman"/>
          <w:i/>
          <w:lang w:val="en-US"/>
        </w:rPr>
        <w:t>how the regulatory regime</w:t>
      </w:r>
      <w:r>
        <w:rPr>
          <w:rFonts w:ascii="Times New Roman" w:hAnsi="Times New Roman" w:cs="Times New Roman"/>
          <w:i/>
          <w:lang w:val="en-US"/>
        </w:rPr>
        <w:t xml:space="preserve"> </w:t>
      </w:r>
      <w:r>
        <w:rPr>
          <w:rFonts w:ascii="Times New Roman" w:hAnsi="Times New Roman" w:cs="Times New Roman"/>
          <w:lang w:val="en-US"/>
        </w:rPr>
        <w:t xml:space="preserve">should be implemented (technical issues). </w:t>
      </w:r>
      <w:r w:rsidR="002A2C86">
        <w:rPr>
          <w:rFonts w:ascii="Times New Roman" w:hAnsi="Times New Roman" w:cs="Times New Roman"/>
          <w:lang w:val="en-US"/>
        </w:rPr>
        <w:t>Furthermore</w:t>
      </w:r>
      <w:r>
        <w:rPr>
          <w:rFonts w:ascii="Times New Roman" w:hAnsi="Times New Roman" w:cs="Times New Roman"/>
          <w:lang w:val="en-US"/>
        </w:rPr>
        <w:t>, when implementation success of regulatory measures depends to a large extent on actors outside the regulatory agency (such as interest groups in the implementation of lobbying regulation), then the regulator has strong incentives to ‘choose public advice for policy tasks that present high risk of failure’ so as to share implementation responsibility and ‘diffuse agency blame’ (Moffitt 2010: 883). In regulating supranational lobbying, this make</w:t>
      </w:r>
      <w:r w:rsidR="00EB6312">
        <w:rPr>
          <w:rFonts w:ascii="Times New Roman" w:hAnsi="Times New Roman" w:cs="Times New Roman"/>
          <w:lang w:val="en-US"/>
        </w:rPr>
        <w:t>s</w:t>
      </w:r>
      <w:r>
        <w:rPr>
          <w:rFonts w:ascii="Times New Roman" w:hAnsi="Times New Roman" w:cs="Times New Roman"/>
          <w:lang w:val="en-US"/>
        </w:rPr>
        <w:t xml:space="preserve"> the Commission particularly susceptible to listen to those stakeholders that are long-standing members of ‘supportive policy networks’ (Héritier 1999) established around the issue of managing interest groups’ participation in supranational policymaking, that possess the necessary expertise and </w:t>
      </w:r>
      <w:r w:rsidRPr="00B80F8B">
        <w:rPr>
          <w:rFonts w:ascii="Times New Roman" w:hAnsi="Times New Roman" w:cs="Times New Roman"/>
          <w:lang w:val="en-US"/>
        </w:rPr>
        <w:t xml:space="preserve">experience on technical issues of lobbying regulation. These are the policy networks that Scharpf (1999: 18-21) identifies as one of the key mechanisms used by EU </w:t>
      </w:r>
      <w:r w:rsidR="00EB6312">
        <w:rPr>
          <w:rFonts w:ascii="Times New Roman" w:hAnsi="Times New Roman" w:cs="Times New Roman"/>
          <w:lang w:val="en-US"/>
        </w:rPr>
        <w:t>institutions</w:t>
      </w:r>
      <w:r w:rsidRPr="00B80F8B">
        <w:rPr>
          <w:rFonts w:ascii="Times New Roman" w:hAnsi="Times New Roman" w:cs="Times New Roman"/>
          <w:lang w:val="en-US"/>
        </w:rPr>
        <w:t xml:space="preserve"> to build output legitimacy.</w:t>
      </w:r>
    </w:p>
    <w:p w14:paraId="5986D987" w14:textId="474C8B8B" w:rsidR="0043535D" w:rsidRDefault="0043535D" w:rsidP="00C62A9F">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 argue that stakeholders </w:t>
      </w:r>
      <w:r w:rsidR="000F4223">
        <w:rPr>
          <w:rFonts w:ascii="Times New Roman" w:hAnsi="Times New Roman" w:cs="Times New Roman"/>
          <w:lang w:val="en-US"/>
        </w:rPr>
        <w:t>participating</w:t>
      </w:r>
      <w:r>
        <w:rPr>
          <w:rFonts w:ascii="Times New Roman" w:hAnsi="Times New Roman" w:cs="Times New Roman"/>
          <w:lang w:val="en-US"/>
        </w:rPr>
        <w:t xml:space="preserve"> in previous EC public consultations on initiatives aimed to design and reform institutional arrangements for managing interest participation in policymaking constitute a relevant source of expert information and output legitimacy. This builds on the assumption that stakeholders attending such thematic consultations on a more regular basis became part of policy networks on key issues of participatory supranational governance. Presumably, these stakeholders are Commission’s long</w:t>
      </w:r>
      <w:r w:rsidR="0072621C">
        <w:rPr>
          <w:rFonts w:ascii="Times New Roman" w:hAnsi="Times New Roman" w:cs="Times New Roman"/>
          <w:lang w:val="en-US"/>
        </w:rPr>
        <w:t>-</w:t>
      </w:r>
      <w:r>
        <w:rPr>
          <w:rFonts w:ascii="Times New Roman" w:hAnsi="Times New Roman" w:cs="Times New Roman"/>
          <w:lang w:val="en-US"/>
        </w:rPr>
        <w:t xml:space="preserve">trusted, expert informants on technical </w:t>
      </w:r>
      <w:r w:rsidR="0072621C">
        <w:rPr>
          <w:rFonts w:ascii="Times New Roman" w:hAnsi="Times New Roman" w:cs="Times New Roman"/>
          <w:lang w:val="en-US"/>
        </w:rPr>
        <w:t>aspects</w:t>
      </w:r>
      <w:r>
        <w:rPr>
          <w:rFonts w:ascii="Times New Roman" w:hAnsi="Times New Roman" w:cs="Times New Roman"/>
          <w:lang w:val="en-US"/>
        </w:rPr>
        <w:t xml:space="preserve"> of lobbying regulation. This assumption is well</w:t>
      </w:r>
      <w:r w:rsidR="0072621C">
        <w:rPr>
          <w:rFonts w:ascii="Times New Roman" w:hAnsi="Times New Roman" w:cs="Times New Roman"/>
          <w:lang w:val="en-US"/>
        </w:rPr>
        <w:t>-</w:t>
      </w:r>
      <w:r>
        <w:rPr>
          <w:rFonts w:ascii="Times New Roman" w:hAnsi="Times New Roman" w:cs="Times New Roman"/>
          <w:lang w:val="en-US"/>
        </w:rPr>
        <w:t>grounded in a relevant policy reality flagged in the EC report on the consultation on a mandatory Register, which indicates that in order ‘to ensure that a range of informed views were considered, particular attention was given to those organizations which have been particularly active in the debate around lobbying transparency in the recent past as well as representing the views of organizations from different sections of the Register.’ (RPA 2016: 11). Therefore, the following hypothesis is tested:</w:t>
      </w:r>
    </w:p>
    <w:p w14:paraId="2553E889" w14:textId="26416C2E" w:rsidR="0043535D" w:rsidRPr="00577B3F" w:rsidRDefault="0043535D" w:rsidP="00C62A9F">
      <w:pPr>
        <w:spacing w:line="360" w:lineRule="auto"/>
        <w:jc w:val="both"/>
        <w:rPr>
          <w:rFonts w:ascii="Times New Roman" w:hAnsi="Times New Roman" w:cs="Times New Roman"/>
          <w:i/>
          <w:lang w:val="en-US"/>
        </w:rPr>
      </w:pPr>
      <w:r>
        <w:rPr>
          <w:rFonts w:ascii="Times New Roman" w:hAnsi="Times New Roman" w:cs="Times New Roman"/>
          <w:lang w:val="en-US"/>
        </w:rPr>
        <w:t>H</w:t>
      </w:r>
      <w:r>
        <w:rPr>
          <w:rFonts w:ascii="Times New Roman" w:hAnsi="Times New Roman" w:cs="Times New Roman"/>
          <w:vertAlign w:val="subscript"/>
          <w:lang w:val="en-US"/>
        </w:rPr>
        <w:t>2</w:t>
      </w:r>
      <w:r>
        <w:rPr>
          <w:rFonts w:ascii="Times New Roman" w:hAnsi="Times New Roman" w:cs="Times New Roman"/>
          <w:lang w:val="en-US"/>
        </w:rPr>
        <w:t xml:space="preserve">: </w:t>
      </w:r>
      <w:r>
        <w:rPr>
          <w:rFonts w:ascii="Times New Roman" w:hAnsi="Times New Roman" w:cs="Times New Roman"/>
          <w:i/>
          <w:lang w:val="en-US"/>
        </w:rPr>
        <w:t>On technical measures, the Commission proposal was more likely congruent with preferences expressed by stakeholders that were part of policy networks articulated around issues of participatory supranationa</w:t>
      </w:r>
      <w:r w:rsidRPr="00B80F8B">
        <w:rPr>
          <w:rFonts w:ascii="Times New Roman" w:hAnsi="Times New Roman" w:cs="Times New Roman"/>
          <w:i/>
          <w:lang w:val="en-US"/>
        </w:rPr>
        <w:t xml:space="preserve">l policymaking than with </w:t>
      </w:r>
      <w:r w:rsidR="00223516">
        <w:rPr>
          <w:rFonts w:ascii="Times New Roman" w:hAnsi="Times New Roman" w:cs="Times New Roman"/>
          <w:i/>
          <w:lang w:val="en-US"/>
        </w:rPr>
        <w:t xml:space="preserve">the </w:t>
      </w:r>
      <w:r w:rsidRPr="00B80F8B">
        <w:rPr>
          <w:rFonts w:ascii="Times New Roman" w:hAnsi="Times New Roman" w:cs="Times New Roman"/>
          <w:i/>
          <w:lang w:val="en-US"/>
        </w:rPr>
        <w:t xml:space="preserve">preferences of </w:t>
      </w:r>
      <w:r w:rsidR="002A0829">
        <w:rPr>
          <w:rFonts w:ascii="Times New Roman" w:hAnsi="Times New Roman" w:cs="Times New Roman"/>
          <w:i/>
          <w:lang w:val="en-US"/>
        </w:rPr>
        <w:t xml:space="preserve">stakeholders that were </w:t>
      </w:r>
      <w:r w:rsidR="0072621C">
        <w:rPr>
          <w:rFonts w:ascii="Times New Roman" w:hAnsi="Times New Roman" w:cs="Times New Roman"/>
          <w:i/>
          <w:lang w:val="en-US"/>
        </w:rPr>
        <w:t>not part</w:t>
      </w:r>
      <w:r w:rsidRPr="00B80F8B">
        <w:rPr>
          <w:rFonts w:ascii="Times New Roman" w:hAnsi="Times New Roman" w:cs="Times New Roman"/>
          <w:i/>
          <w:lang w:val="en-US"/>
        </w:rPr>
        <w:t xml:space="preserve"> of these networks.</w:t>
      </w:r>
      <w:r>
        <w:rPr>
          <w:rFonts w:ascii="Times New Roman" w:hAnsi="Times New Roman" w:cs="Times New Roman"/>
          <w:i/>
          <w:lang w:val="en-US"/>
        </w:rPr>
        <w:t xml:space="preserve"> </w:t>
      </w:r>
    </w:p>
    <w:p w14:paraId="1F0C971B" w14:textId="77777777" w:rsidR="0043535D" w:rsidRDefault="0043535D" w:rsidP="00C62A9F">
      <w:pPr>
        <w:spacing w:line="360" w:lineRule="auto"/>
        <w:ind w:firstLine="720"/>
        <w:jc w:val="both"/>
        <w:rPr>
          <w:rFonts w:ascii="Times New Roman" w:hAnsi="Times New Roman" w:cs="Times New Roman"/>
          <w:lang w:val="en-US"/>
        </w:rPr>
      </w:pPr>
    </w:p>
    <w:p w14:paraId="0285DA0E" w14:textId="7F8673D0" w:rsidR="00874CC1" w:rsidRPr="00874CC1" w:rsidRDefault="0043535D" w:rsidP="00C62A9F">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analysis controls for whether stakeholders had a mandate to represent broad, encompassing European societal or economic interests and participated in consultation as European associations. These actors are key players in supranational policymaking and preferred partners of dialogue for decision-makers because they can claim </w:t>
      </w:r>
      <w:r w:rsidR="0086513A">
        <w:rPr>
          <w:rFonts w:ascii="Times New Roman" w:hAnsi="Times New Roman" w:cs="Times New Roman"/>
          <w:lang w:val="en-US"/>
        </w:rPr>
        <w:t>to</w:t>
      </w:r>
      <w:r>
        <w:rPr>
          <w:rFonts w:ascii="Times New Roman" w:hAnsi="Times New Roman" w:cs="Times New Roman"/>
          <w:lang w:val="en-US"/>
        </w:rPr>
        <w:t xml:space="preserve"> speak on behalf of large, cross-national constituencies and thus convey both input and output legitimacy to EU policymaking (Mazey and Richardson 2015). This puts them in a unique position to inform and shape policy formulation process</w:t>
      </w:r>
      <w:r w:rsidR="00972F92">
        <w:rPr>
          <w:rFonts w:ascii="Times New Roman" w:hAnsi="Times New Roman" w:cs="Times New Roman"/>
          <w:lang w:val="en-US"/>
        </w:rPr>
        <w:t>es</w:t>
      </w:r>
      <w:r>
        <w:rPr>
          <w:rFonts w:ascii="Times New Roman" w:hAnsi="Times New Roman" w:cs="Times New Roman"/>
          <w:lang w:val="en-US"/>
        </w:rPr>
        <w:t>. The analysis includes a dichotomous control variable indicating whether the stakeholder is a European association (1) or not (0).</w:t>
      </w:r>
    </w:p>
    <w:p w14:paraId="4E38BEEA" w14:textId="5EBE51EA" w:rsidR="0043535D" w:rsidRDefault="000C375C" w:rsidP="00C62A9F">
      <w:pPr>
        <w:spacing w:line="360" w:lineRule="auto"/>
        <w:jc w:val="both"/>
        <w:rPr>
          <w:rFonts w:ascii="Times New Roman" w:hAnsi="Times New Roman" w:cs="Times New Roman"/>
          <w:b/>
        </w:rPr>
      </w:pPr>
      <w:r>
        <w:rPr>
          <w:rFonts w:ascii="Times New Roman" w:hAnsi="Times New Roman" w:cs="Times New Roman"/>
          <w:b/>
        </w:rPr>
        <w:t>RESEARCH DESIGN</w:t>
      </w:r>
    </w:p>
    <w:p w14:paraId="2C316359" w14:textId="37FB275E" w:rsidR="001D1DFF" w:rsidRDefault="0043535D" w:rsidP="00C62A9F">
      <w:pPr>
        <w:spacing w:line="360" w:lineRule="auto"/>
        <w:ind w:firstLine="720"/>
        <w:jc w:val="both"/>
        <w:rPr>
          <w:rFonts w:ascii="Times New Roman" w:hAnsi="Times New Roman" w:cs="Times New Roman"/>
        </w:rPr>
      </w:pPr>
      <w:r w:rsidRPr="005475F8">
        <w:rPr>
          <w:rFonts w:ascii="Times New Roman" w:hAnsi="Times New Roman" w:cs="Times New Roman"/>
        </w:rPr>
        <w:t xml:space="preserve">To </w:t>
      </w:r>
      <w:r>
        <w:rPr>
          <w:rFonts w:ascii="Times New Roman" w:hAnsi="Times New Roman" w:cs="Times New Roman"/>
        </w:rPr>
        <w:t>test this argument</w:t>
      </w:r>
      <w:r w:rsidR="000C375C">
        <w:rPr>
          <w:rFonts w:ascii="Times New Roman" w:hAnsi="Times New Roman" w:cs="Times New Roman"/>
        </w:rPr>
        <w:t>,</w:t>
      </w:r>
      <w:r>
        <w:rPr>
          <w:rFonts w:ascii="Times New Roman" w:hAnsi="Times New Roman" w:cs="Times New Roman"/>
        </w:rPr>
        <w:t xml:space="preserve"> I proceeded in three steps. First, I identified the main policy measures included in the proposal based on an attentive reading and qualitative content analysis of the ‘Proposal for an Interinstitutional Agreement on a mandatory Transparency Register’ (COM/2016/0627)</w:t>
      </w:r>
      <w:r>
        <w:rPr>
          <w:rStyle w:val="EndnoteReference"/>
          <w:rFonts w:ascii="Times New Roman" w:hAnsi="Times New Roman" w:cs="Times New Roman"/>
        </w:rPr>
        <w:endnoteReference w:id="7"/>
      </w:r>
      <w:r>
        <w:rPr>
          <w:rFonts w:ascii="Times New Roman" w:hAnsi="Times New Roman" w:cs="Times New Roman"/>
        </w:rPr>
        <w:t xml:space="preserve"> and the explanatory memo accompanying the EC press release announcing it (issued on September 28th, 2016).</w:t>
      </w:r>
      <w:r>
        <w:rPr>
          <w:rStyle w:val="EndnoteReference"/>
          <w:rFonts w:ascii="Times New Roman" w:hAnsi="Times New Roman" w:cs="Times New Roman"/>
        </w:rPr>
        <w:endnoteReference w:id="8"/>
      </w:r>
      <w:r>
        <w:rPr>
          <w:rFonts w:ascii="Times New Roman" w:hAnsi="Times New Roman" w:cs="Times New Roman"/>
        </w:rPr>
        <w:t xml:space="preserve"> Column 1 in Table 1</w:t>
      </w:r>
      <w:r w:rsidR="003D1042">
        <w:rPr>
          <w:rFonts w:ascii="Times New Roman" w:hAnsi="Times New Roman" w:cs="Times New Roman"/>
        </w:rPr>
        <w:t xml:space="preserve"> in the Online Appendix</w:t>
      </w:r>
      <w:r>
        <w:rPr>
          <w:rFonts w:ascii="Times New Roman" w:hAnsi="Times New Roman" w:cs="Times New Roman"/>
        </w:rPr>
        <w:t xml:space="preserve"> presents the ten main measures tabled in the proposal. Second, for each measure, I identified the corresponding question item asked in the online consultation preceding the proposal. Out of </w:t>
      </w:r>
      <w:r w:rsidR="00EE1C07">
        <w:rPr>
          <w:rFonts w:ascii="Times New Roman" w:hAnsi="Times New Roman" w:cs="Times New Roman"/>
        </w:rPr>
        <w:t>thirty-one</w:t>
      </w:r>
      <w:r>
        <w:rPr>
          <w:rFonts w:ascii="Times New Roman" w:hAnsi="Times New Roman" w:cs="Times New Roman"/>
        </w:rPr>
        <w:t xml:space="preserve"> closed-ended consultation questions,</w:t>
      </w:r>
      <w:r>
        <w:rPr>
          <w:rStyle w:val="EndnoteReference"/>
          <w:rFonts w:ascii="Times New Roman" w:hAnsi="Times New Roman" w:cs="Times New Roman"/>
        </w:rPr>
        <w:endnoteReference w:id="9"/>
      </w:r>
      <w:r>
        <w:rPr>
          <w:rFonts w:ascii="Times New Roman" w:hAnsi="Times New Roman" w:cs="Times New Roman"/>
        </w:rPr>
        <w:t xml:space="preserve"> </w:t>
      </w:r>
      <w:r w:rsidR="001D1DFF">
        <w:rPr>
          <w:rFonts w:ascii="Times New Roman" w:hAnsi="Times New Roman" w:cs="Times New Roman"/>
        </w:rPr>
        <w:t xml:space="preserve">nine were substantively linked with nine of the ten measures proposed, as indicated in column 2. </w:t>
      </w:r>
      <w:r w:rsidR="005B7972">
        <w:rPr>
          <w:rFonts w:ascii="Times New Roman" w:hAnsi="Times New Roman" w:cs="Times New Roman"/>
        </w:rPr>
        <w:t>Columns 3-5 present t</w:t>
      </w:r>
      <w:r w:rsidR="001D1DFF">
        <w:rPr>
          <w:rFonts w:ascii="Times New Roman" w:hAnsi="Times New Roman" w:cs="Times New Roman"/>
        </w:rPr>
        <w:t xml:space="preserve">he frequency distribution of stakeholders’ responses. On four questions, stakeholders’ responses were dichotomous while on five items they were ordered-categorical. Stakeholders’ did not answer all consultation questions </w:t>
      </w:r>
      <w:r w:rsidR="00674E27">
        <w:rPr>
          <w:rFonts w:ascii="Times New Roman" w:hAnsi="Times New Roman" w:cs="Times New Roman"/>
        </w:rPr>
        <w:t>and</w:t>
      </w:r>
      <w:r w:rsidR="001D1DFF">
        <w:rPr>
          <w:rFonts w:ascii="Times New Roman" w:hAnsi="Times New Roman" w:cs="Times New Roman"/>
        </w:rPr>
        <w:t xml:space="preserve"> column 6 indicates the number of ‘non-responses’. These are treated as missing values.</w:t>
      </w:r>
    </w:p>
    <w:p w14:paraId="7DBD1735" w14:textId="6550493A" w:rsidR="001D1DFF" w:rsidRDefault="001D1DFF" w:rsidP="00C62A9F">
      <w:pPr>
        <w:spacing w:line="360" w:lineRule="auto"/>
        <w:jc w:val="both"/>
        <w:rPr>
          <w:rFonts w:ascii="Times New Roman" w:hAnsi="Times New Roman" w:cs="Times New Roman"/>
        </w:rPr>
      </w:pPr>
      <w:r>
        <w:rPr>
          <w:rFonts w:ascii="Times New Roman" w:hAnsi="Times New Roman" w:cs="Times New Roman"/>
        </w:rPr>
        <w:tab/>
        <w:t>For each of the nine measures in relation to which a consultation question was identified, a dichotomous variable was constructed to indicate whether the stakeholder’s consultation response was congruent or not with the proposal measure. This constitutes the dependent variable used in the nine regression models and labelled ‘stakeholder-proposal congruence’. On measures 1, 2 and 5, response</w:t>
      </w:r>
      <w:r w:rsidR="00EE1C07">
        <w:rPr>
          <w:rFonts w:ascii="Times New Roman" w:hAnsi="Times New Roman" w:cs="Times New Roman"/>
        </w:rPr>
        <w:t>-</w:t>
      </w:r>
      <w:r>
        <w:rPr>
          <w:rFonts w:ascii="Times New Roman" w:hAnsi="Times New Roman" w:cs="Times New Roman"/>
        </w:rPr>
        <w:t>category ‘yes’ was considered congruent with the measure and coded 1, while category ‘no’ as not congruent and coded 0. On issue 9, category ‘yes’ was coded as not being congruent with the measure (0) since stakeholders giving this answer wanted for the names of organisations suspended under the alerts and complaints procedures to be publicised but the EC proposed measure about suspension</w:t>
      </w:r>
      <w:r w:rsidR="00EE1C07">
        <w:rPr>
          <w:rFonts w:ascii="Times New Roman" w:hAnsi="Times New Roman" w:cs="Times New Roman"/>
        </w:rPr>
        <w:t>s</w:t>
      </w:r>
      <w:r>
        <w:rPr>
          <w:rFonts w:ascii="Times New Roman" w:hAnsi="Times New Roman" w:cs="Times New Roman"/>
        </w:rPr>
        <w:t xml:space="preserve"> does not stipulate this. Therefore, response</w:t>
      </w:r>
      <w:r w:rsidR="00EE1C07">
        <w:rPr>
          <w:rFonts w:ascii="Times New Roman" w:hAnsi="Times New Roman" w:cs="Times New Roman"/>
        </w:rPr>
        <w:t>-</w:t>
      </w:r>
      <w:r>
        <w:rPr>
          <w:rFonts w:ascii="Times New Roman" w:hAnsi="Times New Roman" w:cs="Times New Roman"/>
        </w:rPr>
        <w:t>category ‘no’ was coded as congruent (1) with the measure. On measures 3, 6, 7 and 8: response</w:t>
      </w:r>
      <w:r w:rsidR="00EE1C07">
        <w:rPr>
          <w:rFonts w:ascii="Times New Roman" w:hAnsi="Times New Roman" w:cs="Times New Roman"/>
        </w:rPr>
        <w:t>-</w:t>
      </w:r>
      <w:r>
        <w:rPr>
          <w:rFonts w:ascii="Times New Roman" w:hAnsi="Times New Roman" w:cs="Times New Roman"/>
        </w:rPr>
        <w:t>categories ‘Disagree’ and ‘Partially agree’ were coded as congruent with the measures proposed (1), while category ‘Fully agree’ as not congruent (0). These measures proposed improvements of the regulatory status quo for which reason stakeholder answers fully endorsing the status quo (‘Fully agree’) are interpreted as not being congruent with the measures. Measure 4 corresponds to a situation in which the regulatory scope of the mandatory Register is tailored in a way that allows excluding certain entities (i.e. local and regional governments and their associations) in addition to those that are already exempted. This is congruent with stakeholders’ answers indicating that the scope of the register should be changed to exclude certain entities (1)</w:t>
      </w:r>
      <w:r w:rsidR="00C93C8D">
        <w:rPr>
          <w:rFonts w:ascii="Times New Roman" w:hAnsi="Times New Roman" w:cs="Times New Roman"/>
        </w:rPr>
        <w:t>,</w:t>
      </w:r>
      <w:r>
        <w:rPr>
          <w:rFonts w:ascii="Times New Roman" w:hAnsi="Times New Roman" w:cs="Times New Roman"/>
        </w:rPr>
        <w:t xml:space="preserve"> but not congruent with responses wanting to pr</w:t>
      </w:r>
      <w:r w:rsidR="00C93C8D">
        <w:rPr>
          <w:rFonts w:ascii="Times New Roman" w:hAnsi="Times New Roman" w:cs="Times New Roman"/>
        </w:rPr>
        <w:t>eserve the status quo (response-</w:t>
      </w:r>
      <w:r>
        <w:rPr>
          <w:rFonts w:ascii="Times New Roman" w:hAnsi="Times New Roman" w:cs="Times New Roman"/>
        </w:rPr>
        <w:t>category 2) or inc</w:t>
      </w:r>
      <w:r w:rsidR="00C93C8D">
        <w:rPr>
          <w:rFonts w:ascii="Times New Roman" w:hAnsi="Times New Roman" w:cs="Times New Roman"/>
        </w:rPr>
        <w:t>lude certain entities (response-</w:t>
      </w:r>
      <w:r>
        <w:rPr>
          <w:rFonts w:ascii="Times New Roman" w:hAnsi="Times New Roman" w:cs="Times New Roman"/>
        </w:rPr>
        <w:t xml:space="preserve">category 3), </w:t>
      </w:r>
      <w:r w:rsidR="00C93C8D">
        <w:rPr>
          <w:rFonts w:ascii="Times New Roman" w:hAnsi="Times New Roman" w:cs="Times New Roman"/>
        </w:rPr>
        <w:t>and</w:t>
      </w:r>
      <w:r>
        <w:rPr>
          <w:rFonts w:ascii="Times New Roman" w:hAnsi="Times New Roman" w:cs="Times New Roman"/>
        </w:rPr>
        <w:t xml:space="preserve"> coded 0.</w:t>
      </w:r>
    </w:p>
    <w:p w14:paraId="5A305034" w14:textId="71759097" w:rsidR="001D1DFF" w:rsidRDefault="001D1DFF" w:rsidP="00C62A9F">
      <w:pPr>
        <w:spacing w:line="360" w:lineRule="auto"/>
        <w:jc w:val="both"/>
        <w:rPr>
          <w:rFonts w:ascii="Times New Roman" w:hAnsi="Times New Roman" w:cs="Times New Roman"/>
        </w:rPr>
      </w:pPr>
      <w:r>
        <w:rPr>
          <w:rFonts w:ascii="Times New Roman" w:hAnsi="Times New Roman" w:cs="Times New Roman"/>
        </w:rPr>
        <w:tab/>
        <w:t>Table 2</w:t>
      </w:r>
      <w:r w:rsidR="003D1042">
        <w:rPr>
          <w:rFonts w:ascii="Times New Roman" w:hAnsi="Times New Roman" w:cs="Times New Roman"/>
        </w:rPr>
        <w:t xml:space="preserve"> in </w:t>
      </w:r>
      <w:r w:rsidR="00EE1C07">
        <w:rPr>
          <w:rFonts w:ascii="Times New Roman" w:hAnsi="Times New Roman" w:cs="Times New Roman"/>
        </w:rPr>
        <w:t xml:space="preserve">Online </w:t>
      </w:r>
      <w:r w:rsidR="003D1042">
        <w:rPr>
          <w:rFonts w:ascii="Times New Roman" w:hAnsi="Times New Roman" w:cs="Times New Roman"/>
        </w:rPr>
        <w:t>Appendix</w:t>
      </w:r>
      <w:r>
        <w:rPr>
          <w:rFonts w:ascii="Times New Roman" w:hAnsi="Times New Roman" w:cs="Times New Roman"/>
        </w:rPr>
        <w:t xml:space="preserve"> presents the distribution of the dependent variable coded for each measure, across stakeholders. In line with the regulatory regimes literature (Levi-Faur 2011), I distinguish conceptually between measures linked with</w:t>
      </w:r>
      <w:r w:rsidRPr="0081199C">
        <w:rPr>
          <w:rFonts w:ascii="Times New Roman" w:hAnsi="Times New Roman" w:cs="Times New Roman"/>
        </w:rPr>
        <w:t xml:space="preserve"> the</w:t>
      </w:r>
      <w:r w:rsidRPr="003E2DBB">
        <w:rPr>
          <w:rFonts w:ascii="Times New Roman" w:hAnsi="Times New Roman" w:cs="Times New Roman"/>
          <w:i/>
        </w:rPr>
        <w:t xml:space="preserve"> regulatory scope</w:t>
      </w:r>
      <w:r>
        <w:rPr>
          <w:rFonts w:ascii="Times New Roman" w:hAnsi="Times New Roman" w:cs="Times New Roman"/>
        </w:rPr>
        <w:t xml:space="preserve"> of a mandatory Register (measures </w:t>
      </w:r>
      <w:r w:rsidR="00F048CC">
        <w:rPr>
          <w:rFonts w:ascii="Times New Roman" w:hAnsi="Times New Roman" w:cs="Times New Roman"/>
        </w:rPr>
        <w:t>1</w:t>
      </w:r>
      <w:r w:rsidR="0043730B">
        <w:rPr>
          <w:rFonts w:ascii="Times New Roman" w:hAnsi="Times New Roman" w:cs="Times New Roman"/>
        </w:rPr>
        <w:t>-</w:t>
      </w:r>
      <w:r>
        <w:rPr>
          <w:rFonts w:ascii="Times New Roman" w:hAnsi="Times New Roman" w:cs="Times New Roman"/>
        </w:rPr>
        <w:t xml:space="preserve">4) and </w:t>
      </w:r>
      <w:r w:rsidRPr="0081199C">
        <w:rPr>
          <w:rFonts w:ascii="Times New Roman" w:hAnsi="Times New Roman" w:cs="Times New Roman"/>
          <w:i/>
        </w:rPr>
        <w:t>technical measures</w:t>
      </w:r>
      <w:r>
        <w:rPr>
          <w:rFonts w:ascii="Times New Roman" w:hAnsi="Times New Roman" w:cs="Times New Roman"/>
        </w:rPr>
        <w:t xml:space="preserve"> indicating how the Register should be organized (measures 5</w:t>
      </w:r>
      <w:r w:rsidR="0043730B">
        <w:rPr>
          <w:rFonts w:ascii="Times New Roman" w:hAnsi="Times New Roman" w:cs="Times New Roman"/>
        </w:rPr>
        <w:t>-</w:t>
      </w:r>
      <w:r>
        <w:rPr>
          <w:rFonts w:ascii="Times New Roman" w:hAnsi="Times New Roman" w:cs="Times New Roman"/>
        </w:rPr>
        <w:t>9).</w:t>
      </w:r>
    </w:p>
    <w:p w14:paraId="39220722" w14:textId="77777777" w:rsidR="00674E27" w:rsidRDefault="00674E27" w:rsidP="00C62A9F">
      <w:pPr>
        <w:spacing w:line="360" w:lineRule="auto"/>
        <w:jc w:val="both"/>
        <w:rPr>
          <w:rFonts w:ascii="Times New Roman" w:hAnsi="Times New Roman" w:cs="Times New Roman"/>
        </w:rPr>
      </w:pPr>
    </w:p>
    <w:p w14:paraId="69786FDA" w14:textId="77777777" w:rsidR="00674E27" w:rsidRDefault="00674E27" w:rsidP="00C62A9F">
      <w:pPr>
        <w:spacing w:line="360" w:lineRule="auto"/>
        <w:jc w:val="both"/>
        <w:rPr>
          <w:rFonts w:ascii="Times New Roman" w:hAnsi="Times New Roman" w:cs="Times New Roman"/>
        </w:rPr>
      </w:pPr>
    </w:p>
    <w:p w14:paraId="687735EA" w14:textId="4D2CE425" w:rsidR="001D1DFF" w:rsidRDefault="001D1DFF" w:rsidP="00C62A9F">
      <w:pPr>
        <w:spacing w:line="360" w:lineRule="auto"/>
        <w:jc w:val="both"/>
        <w:rPr>
          <w:rFonts w:ascii="Times New Roman" w:hAnsi="Times New Roman" w:cs="Times New Roman"/>
          <w:i/>
        </w:rPr>
      </w:pPr>
      <w:r w:rsidRPr="00A447C1">
        <w:rPr>
          <w:rFonts w:ascii="Times New Roman" w:hAnsi="Times New Roman" w:cs="Times New Roman"/>
          <w:i/>
        </w:rPr>
        <w:t xml:space="preserve">Independent variables </w:t>
      </w:r>
    </w:p>
    <w:p w14:paraId="46B9E175" w14:textId="29B2E71F" w:rsidR="005411F7" w:rsidRDefault="001D1DFF" w:rsidP="00C62A9F">
      <w:pPr>
        <w:spacing w:line="360" w:lineRule="auto"/>
        <w:ind w:firstLine="720"/>
        <w:jc w:val="both"/>
        <w:rPr>
          <w:rFonts w:ascii="Times New Roman" w:hAnsi="Times New Roman" w:cs="Times New Roman"/>
        </w:rPr>
      </w:pPr>
      <w:r w:rsidRPr="00D66376">
        <w:rPr>
          <w:rFonts w:ascii="Times New Roman" w:hAnsi="Times New Roman" w:cs="Times New Roman"/>
        </w:rPr>
        <w:t>Based on the Commission</w:t>
      </w:r>
      <w:r>
        <w:rPr>
          <w:rFonts w:ascii="Times New Roman" w:hAnsi="Times New Roman" w:cs="Times New Roman"/>
        </w:rPr>
        <w:t xml:space="preserve">’s data file detailing stakeholders’ </w:t>
      </w:r>
      <w:r w:rsidR="000910A7">
        <w:rPr>
          <w:rFonts w:ascii="Times New Roman" w:hAnsi="Times New Roman" w:cs="Times New Roman"/>
        </w:rPr>
        <w:t xml:space="preserve">consultation </w:t>
      </w:r>
      <w:r>
        <w:rPr>
          <w:rFonts w:ascii="Times New Roman" w:hAnsi="Times New Roman" w:cs="Times New Roman"/>
        </w:rPr>
        <w:t xml:space="preserve">responses, I identified six </w:t>
      </w:r>
      <w:r w:rsidRPr="004C4592">
        <w:rPr>
          <w:rFonts w:ascii="Times New Roman" w:hAnsi="Times New Roman" w:cs="Times New Roman"/>
          <w:i/>
        </w:rPr>
        <w:t>categories of stakeholders</w:t>
      </w:r>
      <w:r>
        <w:rPr>
          <w:rFonts w:ascii="Times New Roman" w:hAnsi="Times New Roman" w:cs="Times New Roman"/>
        </w:rPr>
        <w:t xml:space="preserve">: individual respondents (citizens), business (firms or associations), consultancies, professional organizations, public subnational authorities, public interest organizations. Table 3 </w:t>
      </w:r>
      <w:r w:rsidR="003D1042">
        <w:rPr>
          <w:rFonts w:ascii="Times New Roman" w:hAnsi="Times New Roman" w:cs="Times New Roman"/>
        </w:rPr>
        <w:t xml:space="preserve">in the Online Appendix </w:t>
      </w:r>
      <w:r>
        <w:rPr>
          <w:rFonts w:ascii="Times New Roman" w:hAnsi="Times New Roman" w:cs="Times New Roman"/>
        </w:rPr>
        <w:t xml:space="preserve">details the distribution of observations across </w:t>
      </w:r>
      <w:r w:rsidR="000910A7">
        <w:rPr>
          <w:rFonts w:ascii="Times New Roman" w:hAnsi="Times New Roman" w:cs="Times New Roman"/>
        </w:rPr>
        <w:t>stakeholder categories</w:t>
      </w:r>
      <w:r w:rsidR="003D1042">
        <w:rPr>
          <w:rFonts w:ascii="Times New Roman" w:hAnsi="Times New Roman" w:cs="Times New Roman"/>
        </w:rPr>
        <w:t>.</w:t>
      </w:r>
      <w:r>
        <w:rPr>
          <w:rFonts w:ascii="Times New Roman" w:hAnsi="Times New Roman" w:cs="Times New Roman"/>
        </w:rPr>
        <w:t xml:space="preserve"> </w:t>
      </w:r>
    </w:p>
    <w:p w14:paraId="2B589203" w14:textId="43CA3CC4" w:rsidR="001D1DFF" w:rsidRDefault="001D1DFF" w:rsidP="00C62A9F">
      <w:pPr>
        <w:spacing w:line="360" w:lineRule="auto"/>
        <w:ind w:firstLine="720"/>
        <w:jc w:val="both"/>
        <w:rPr>
          <w:rFonts w:ascii="Times New Roman" w:hAnsi="Times New Roman" w:cs="Times New Roman"/>
        </w:rPr>
      </w:pPr>
      <w:r w:rsidRPr="004266AD">
        <w:rPr>
          <w:rFonts w:ascii="Times New Roman" w:hAnsi="Times New Roman" w:cs="Times New Roman"/>
        </w:rPr>
        <w:t>In line with the EU lobbying</w:t>
      </w:r>
      <w:r w:rsidR="004266AD" w:rsidRPr="004266AD">
        <w:rPr>
          <w:rFonts w:ascii="Times New Roman" w:hAnsi="Times New Roman" w:cs="Times New Roman"/>
        </w:rPr>
        <w:t xml:space="preserve"> literature</w:t>
      </w:r>
      <w:r w:rsidRPr="004266AD">
        <w:rPr>
          <w:rFonts w:ascii="Times New Roman" w:hAnsi="Times New Roman" w:cs="Times New Roman"/>
        </w:rPr>
        <w:t xml:space="preserve"> (Dür et al. 2015), </w:t>
      </w:r>
      <w:r w:rsidR="004266AD" w:rsidRPr="004266AD">
        <w:rPr>
          <w:rFonts w:ascii="Times New Roman" w:hAnsi="Times New Roman" w:cs="Times New Roman"/>
        </w:rPr>
        <w:t>I</w:t>
      </w:r>
      <w:r w:rsidRPr="004266AD">
        <w:rPr>
          <w:rFonts w:ascii="Times New Roman" w:hAnsi="Times New Roman" w:cs="Times New Roman"/>
        </w:rPr>
        <w:t xml:space="preserve"> </w:t>
      </w:r>
      <w:r w:rsidR="004266AD" w:rsidRPr="004266AD">
        <w:rPr>
          <w:rFonts w:ascii="Times New Roman" w:hAnsi="Times New Roman" w:cs="Times New Roman"/>
        </w:rPr>
        <w:t>argue</w:t>
      </w:r>
      <w:r w:rsidRPr="004266AD">
        <w:rPr>
          <w:rFonts w:ascii="Times New Roman" w:hAnsi="Times New Roman" w:cs="Times New Roman"/>
        </w:rPr>
        <w:t xml:space="preserve"> that, within public consultations, it is reasonable to assume that citizens, public (subnational) authorities and public interest organizations are stakeholders representing the ‘public interest’ broadly defined, whereas business groups, consultancies and professional or</w:t>
      </w:r>
      <w:r w:rsidR="004266AD" w:rsidRPr="004266AD">
        <w:rPr>
          <w:rFonts w:ascii="Times New Roman" w:hAnsi="Times New Roman" w:cs="Times New Roman"/>
        </w:rPr>
        <w:t>ganizations represent specific/concentrated interests</w:t>
      </w:r>
      <w:r w:rsidRPr="004266AD">
        <w:rPr>
          <w:rFonts w:ascii="Times New Roman" w:hAnsi="Times New Roman" w:cs="Times New Roman"/>
        </w:rPr>
        <w:t>. However, employing a more fine-grained (six-fold) categorization of stakeholders allows a more nuanced empirical analysis able to unveil substantively interesting differences between stakeholders regarding their preferences for a new interinstitutional agreement.</w:t>
      </w:r>
    </w:p>
    <w:p w14:paraId="1BA38F85" w14:textId="37A93177" w:rsidR="003D1042" w:rsidRPr="003D1042" w:rsidRDefault="001D1DFF" w:rsidP="00C62A9F">
      <w:pPr>
        <w:spacing w:line="360" w:lineRule="auto"/>
        <w:ind w:firstLine="720"/>
        <w:jc w:val="both"/>
        <w:rPr>
          <w:rFonts w:ascii="Times New Roman" w:hAnsi="Times New Roman" w:cs="Times New Roman"/>
        </w:rPr>
      </w:pPr>
      <w:r w:rsidRPr="00D83D5A">
        <w:rPr>
          <w:rFonts w:ascii="Times New Roman" w:hAnsi="Times New Roman" w:cs="Times New Roman"/>
        </w:rPr>
        <w:t xml:space="preserve">To capture </w:t>
      </w:r>
      <w:r w:rsidRPr="00D83D5A">
        <w:rPr>
          <w:rFonts w:ascii="Times New Roman" w:hAnsi="Times New Roman" w:cs="Times New Roman"/>
          <w:i/>
        </w:rPr>
        <w:t xml:space="preserve">stakeholders’ participation in the policy network </w:t>
      </w:r>
      <w:r w:rsidRPr="00D83D5A">
        <w:rPr>
          <w:rFonts w:ascii="Times New Roman" w:hAnsi="Times New Roman" w:cs="Times New Roman"/>
        </w:rPr>
        <w:t>formed</w:t>
      </w:r>
      <w:r w:rsidRPr="00D83D5A">
        <w:rPr>
          <w:rFonts w:ascii="Times New Roman" w:hAnsi="Times New Roman" w:cs="Times New Roman"/>
          <w:i/>
        </w:rPr>
        <w:t xml:space="preserve"> </w:t>
      </w:r>
      <w:r w:rsidRPr="00D83D5A">
        <w:rPr>
          <w:rFonts w:ascii="Times New Roman" w:hAnsi="Times New Roman" w:cs="Times New Roman"/>
        </w:rPr>
        <w:t>around the issue of transparency and lobbying regulation,</w:t>
      </w:r>
      <w:r w:rsidRPr="00D83D5A">
        <w:rPr>
          <w:rFonts w:ascii="Times New Roman" w:hAnsi="Times New Roman" w:cs="Times New Roman"/>
          <w:i/>
        </w:rPr>
        <w:t xml:space="preserve"> </w:t>
      </w:r>
      <w:r w:rsidRPr="00D83D5A">
        <w:rPr>
          <w:rFonts w:ascii="Times New Roman" w:hAnsi="Times New Roman" w:cs="Times New Roman"/>
        </w:rPr>
        <w:t>I</w:t>
      </w:r>
      <w:r>
        <w:rPr>
          <w:rFonts w:ascii="Times New Roman" w:hAnsi="Times New Roman" w:cs="Times New Roman"/>
        </w:rPr>
        <w:t xml:space="preserve"> observed their</w:t>
      </w:r>
      <w:r w:rsidRPr="00ED5232">
        <w:rPr>
          <w:rFonts w:ascii="Times New Roman" w:hAnsi="Times New Roman" w:cs="Times New Roman"/>
          <w:i/>
        </w:rPr>
        <w:t xml:space="preserve"> participation in previous consultations</w:t>
      </w:r>
      <w:r w:rsidRPr="004C4592">
        <w:rPr>
          <w:rFonts w:ascii="Times New Roman" w:hAnsi="Times New Roman" w:cs="Times New Roman"/>
        </w:rPr>
        <w:t xml:space="preserve"> on the design and management of </w:t>
      </w:r>
      <w:r>
        <w:rPr>
          <w:rFonts w:ascii="Times New Roman" w:hAnsi="Times New Roman" w:cs="Times New Roman"/>
        </w:rPr>
        <w:t xml:space="preserve">EU </w:t>
      </w:r>
      <w:r w:rsidRPr="004C4592">
        <w:rPr>
          <w:rFonts w:ascii="Times New Roman" w:hAnsi="Times New Roman" w:cs="Times New Roman"/>
        </w:rPr>
        <w:t>interest representation</w:t>
      </w:r>
      <w:r>
        <w:rPr>
          <w:rFonts w:ascii="Times New Roman" w:hAnsi="Times New Roman" w:cs="Times New Roman"/>
        </w:rPr>
        <w:t>. F</w:t>
      </w:r>
      <w:r w:rsidRPr="004C4592">
        <w:rPr>
          <w:rFonts w:ascii="Times New Roman" w:hAnsi="Times New Roman" w:cs="Times New Roman"/>
        </w:rPr>
        <w:t xml:space="preserve">or each </w:t>
      </w:r>
      <w:r>
        <w:rPr>
          <w:rFonts w:ascii="Times New Roman" w:hAnsi="Times New Roman" w:cs="Times New Roman"/>
        </w:rPr>
        <w:t xml:space="preserve">stakeholder, </w:t>
      </w:r>
      <w:r w:rsidRPr="004C4592">
        <w:rPr>
          <w:rFonts w:ascii="Times New Roman" w:hAnsi="Times New Roman" w:cs="Times New Roman"/>
        </w:rPr>
        <w:t>a dichotomous variable indicate</w:t>
      </w:r>
      <w:r>
        <w:rPr>
          <w:rFonts w:ascii="Times New Roman" w:hAnsi="Times New Roman" w:cs="Times New Roman"/>
        </w:rPr>
        <w:t>s</w:t>
      </w:r>
      <w:r w:rsidRPr="004C4592">
        <w:rPr>
          <w:rFonts w:ascii="Times New Roman" w:hAnsi="Times New Roman" w:cs="Times New Roman"/>
        </w:rPr>
        <w:t xml:space="preserve"> whether it participated in one of the following</w:t>
      </w:r>
      <w:r>
        <w:rPr>
          <w:rFonts w:ascii="Times New Roman" w:hAnsi="Times New Roman" w:cs="Times New Roman"/>
        </w:rPr>
        <w:t xml:space="preserve"> </w:t>
      </w:r>
      <w:r w:rsidRPr="00D83D5A">
        <w:rPr>
          <w:rFonts w:ascii="Times New Roman" w:hAnsi="Times New Roman" w:cs="Times New Roman"/>
        </w:rPr>
        <w:t>five public</w:t>
      </w:r>
      <w:r>
        <w:rPr>
          <w:rFonts w:ascii="Times New Roman" w:hAnsi="Times New Roman" w:cs="Times New Roman"/>
        </w:rPr>
        <w:t xml:space="preserve"> </w:t>
      </w:r>
      <w:r w:rsidRPr="004C4592">
        <w:rPr>
          <w:rFonts w:ascii="Times New Roman" w:hAnsi="Times New Roman" w:cs="Times New Roman"/>
        </w:rPr>
        <w:t>consultations: Consultation on the Green Paper on the European Transparency</w:t>
      </w:r>
      <w:r>
        <w:rPr>
          <w:rFonts w:ascii="Times New Roman" w:hAnsi="Times New Roman" w:cs="Times New Roman"/>
        </w:rPr>
        <w:t xml:space="preserve"> </w:t>
      </w:r>
      <w:r w:rsidRPr="004C4592">
        <w:rPr>
          <w:rFonts w:ascii="Times New Roman" w:hAnsi="Times New Roman" w:cs="Times New Roman"/>
        </w:rPr>
        <w:t>Initiative</w:t>
      </w:r>
      <w:r w:rsidR="00E63B7B">
        <w:rPr>
          <w:rFonts w:ascii="Times New Roman" w:hAnsi="Times New Roman" w:cs="Times New Roman"/>
        </w:rPr>
        <w:t xml:space="preserve"> (2006)</w:t>
      </w:r>
      <w:r w:rsidRPr="004C4592">
        <w:rPr>
          <w:rFonts w:ascii="Times New Roman" w:hAnsi="Times New Roman" w:cs="Times New Roman"/>
        </w:rPr>
        <w:t>; Consultation on the Code of Conduct for Interest Representatives</w:t>
      </w:r>
      <w:r w:rsidR="00E63B7B">
        <w:rPr>
          <w:rFonts w:ascii="Times New Roman" w:hAnsi="Times New Roman" w:cs="Times New Roman"/>
        </w:rPr>
        <w:t xml:space="preserve"> (2007)</w:t>
      </w:r>
      <w:r w:rsidRPr="004C4592">
        <w:rPr>
          <w:rFonts w:ascii="Times New Roman" w:hAnsi="Times New Roman" w:cs="Times New Roman"/>
        </w:rPr>
        <w:t>;</w:t>
      </w:r>
      <w:r>
        <w:rPr>
          <w:rFonts w:ascii="Times New Roman" w:hAnsi="Times New Roman" w:cs="Times New Roman"/>
        </w:rPr>
        <w:t xml:space="preserve"> </w:t>
      </w:r>
      <w:r w:rsidRPr="004C4592">
        <w:rPr>
          <w:rFonts w:ascii="Times New Roman" w:hAnsi="Times New Roman" w:cs="Times New Roman"/>
        </w:rPr>
        <w:t>Consultation on the Transparency Register</w:t>
      </w:r>
      <w:r w:rsidR="00E63B7B">
        <w:rPr>
          <w:rFonts w:ascii="Times New Roman" w:hAnsi="Times New Roman" w:cs="Times New Roman"/>
        </w:rPr>
        <w:t xml:space="preserve"> (2012)</w:t>
      </w:r>
      <w:r w:rsidRPr="004C4592">
        <w:rPr>
          <w:rFonts w:ascii="Times New Roman" w:hAnsi="Times New Roman" w:cs="Times New Roman"/>
        </w:rPr>
        <w:t>; Stakeholder Consultation</w:t>
      </w:r>
      <w:r>
        <w:rPr>
          <w:rFonts w:ascii="Times New Roman" w:hAnsi="Times New Roman" w:cs="Times New Roman"/>
        </w:rPr>
        <w:t xml:space="preserve"> </w:t>
      </w:r>
      <w:r w:rsidRPr="004C4592">
        <w:rPr>
          <w:rFonts w:ascii="Times New Roman" w:hAnsi="Times New Roman" w:cs="Times New Roman"/>
        </w:rPr>
        <w:t>on Smart Regulation in the EU</w:t>
      </w:r>
      <w:r w:rsidR="00E63B7B">
        <w:rPr>
          <w:rFonts w:ascii="Times New Roman" w:hAnsi="Times New Roman" w:cs="Times New Roman"/>
        </w:rPr>
        <w:t xml:space="preserve"> (2012)</w:t>
      </w:r>
      <w:r w:rsidRPr="004C4592">
        <w:rPr>
          <w:rFonts w:ascii="Times New Roman" w:hAnsi="Times New Roman" w:cs="Times New Roman"/>
        </w:rPr>
        <w:t>; Consultation on Draft Stakeholder</w:t>
      </w:r>
      <w:r>
        <w:rPr>
          <w:rFonts w:ascii="Times New Roman" w:hAnsi="Times New Roman" w:cs="Times New Roman"/>
        </w:rPr>
        <w:t xml:space="preserve"> </w:t>
      </w:r>
      <w:r w:rsidRPr="004C4592">
        <w:rPr>
          <w:rFonts w:ascii="Times New Roman" w:hAnsi="Times New Roman" w:cs="Times New Roman"/>
        </w:rPr>
        <w:t>Consultation Guidelines</w:t>
      </w:r>
      <w:r w:rsidR="00E63B7B">
        <w:rPr>
          <w:rFonts w:ascii="Times New Roman" w:hAnsi="Times New Roman" w:cs="Times New Roman"/>
        </w:rPr>
        <w:t xml:space="preserve"> (2014)</w:t>
      </w:r>
      <w:r w:rsidRPr="004C4592">
        <w:rPr>
          <w:rFonts w:ascii="Times New Roman" w:hAnsi="Times New Roman" w:cs="Times New Roman"/>
        </w:rPr>
        <w:t xml:space="preserve">. </w:t>
      </w:r>
      <w:r>
        <w:rPr>
          <w:rFonts w:ascii="Times New Roman" w:hAnsi="Times New Roman" w:cs="Times New Roman"/>
        </w:rPr>
        <w:t xml:space="preserve">These </w:t>
      </w:r>
      <w:r w:rsidRPr="00D83D5A">
        <w:rPr>
          <w:rFonts w:ascii="Times New Roman" w:hAnsi="Times New Roman" w:cs="Times New Roman"/>
        </w:rPr>
        <w:t>consultations correspond to</w:t>
      </w:r>
      <w:r>
        <w:rPr>
          <w:rFonts w:ascii="Times New Roman" w:hAnsi="Times New Roman" w:cs="Times New Roman"/>
        </w:rPr>
        <w:t xml:space="preserve"> key developments in the design and reform of the EU system of interest representation such as the adoption of the Transparency Initiative, the latest Better Regulation reform and the </w:t>
      </w:r>
      <w:r w:rsidRPr="00D83D5A">
        <w:rPr>
          <w:rFonts w:ascii="Times New Roman" w:hAnsi="Times New Roman" w:cs="Times New Roman"/>
        </w:rPr>
        <w:t>new guidelines</w:t>
      </w:r>
      <w:r>
        <w:rPr>
          <w:rFonts w:ascii="Times New Roman" w:hAnsi="Times New Roman" w:cs="Times New Roman"/>
        </w:rPr>
        <w:t xml:space="preserve"> on EU public consultations (Bunea 2017). </w:t>
      </w:r>
      <w:r w:rsidR="00D83D5A" w:rsidRPr="00C96665">
        <w:rPr>
          <w:rFonts w:ascii="Times New Roman" w:hAnsi="Times New Roman" w:cs="Times New Roman"/>
        </w:rPr>
        <w:t>They</w:t>
      </w:r>
      <w:r w:rsidRPr="00C96665">
        <w:rPr>
          <w:rFonts w:ascii="Times New Roman" w:hAnsi="Times New Roman" w:cs="Times New Roman"/>
        </w:rPr>
        <w:t xml:space="preserve"> represent key milestones in introducing targeted transparency as an instru</w:t>
      </w:r>
      <w:r w:rsidR="00D83D5A" w:rsidRPr="00C96665">
        <w:rPr>
          <w:rFonts w:ascii="Times New Roman" w:hAnsi="Times New Roman" w:cs="Times New Roman"/>
        </w:rPr>
        <w:t>ment of lobbying regulation and</w:t>
      </w:r>
      <w:r w:rsidRPr="00C96665">
        <w:rPr>
          <w:rFonts w:ascii="Times New Roman" w:hAnsi="Times New Roman" w:cs="Times New Roman"/>
        </w:rPr>
        <w:t xml:space="preserve"> increasing the participatory and democratic legitimacy of </w:t>
      </w:r>
      <w:r w:rsidR="00674E27">
        <w:rPr>
          <w:rFonts w:ascii="Times New Roman" w:hAnsi="Times New Roman" w:cs="Times New Roman"/>
        </w:rPr>
        <w:t>supranational</w:t>
      </w:r>
      <w:r w:rsidRPr="00C96665">
        <w:rPr>
          <w:rFonts w:ascii="Times New Roman" w:hAnsi="Times New Roman" w:cs="Times New Roman"/>
        </w:rPr>
        <w:t xml:space="preserve"> policymaking</w:t>
      </w:r>
      <w:r w:rsidR="009430F1">
        <w:rPr>
          <w:rFonts w:ascii="Times New Roman" w:hAnsi="Times New Roman" w:cs="Times New Roman"/>
        </w:rPr>
        <w:t xml:space="preserve">. </w:t>
      </w:r>
      <w:r w:rsidRPr="00C96665">
        <w:rPr>
          <w:rFonts w:ascii="Times New Roman" w:hAnsi="Times New Roman" w:cs="Times New Roman"/>
        </w:rPr>
        <w:t>They allow identifying the stakeholders that throughout time and various consultation</w:t>
      </w:r>
      <w:r w:rsidR="00D83D5A" w:rsidRPr="00C96665">
        <w:rPr>
          <w:rFonts w:ascii="Times New Roman" w:hAnsi="Times New Roman" w:cs="Times New Roman"/>
        </w:rPr>
        <w:t>s</w:t>
      </w:r>
      <w:r w:rsidRPr="00C96665">
        <w:rPr>
          <w:rFonts w:ascii="Times New Roman" w:hAnsi="Times New Roman" w:cs="Times New Roman"/>
        </w:rPr>
        <w:t xml:space="preserve"> publicly revealed their interest in and expertise on </w:t>
      </w:r>
      <w:r w:rsidR="009430F1">
        <w:rPr>
          <w:rFonts w:ascii="Times New Roman" w:hAnsi="Times New Roman" w:cs="Times New Roman"/>
        </w:rPr>
        <w:t xml:space="preserve">supranational </w:t>
      </w:r>
      <w:r w:rsidRPr="00C96665">
        <w:rPr>
          <w:rFonts w:ascii="Times New Roman" w:hAnsi="Times New Roman" w:cs="Times New Roman"/>
        </w:rPr>
        <w:t>transparency and interest representation. This strategy adopts a positional approach to identify policy network members and approximates well the characteristics of an issue network (Rhodes 2017: 39): diverse actors, representing a wide range of affected interests, equipped with various levels of resources and fluctuating participation across consultation events. Only</w:t>
      </w:r>
      <w:r>
        <w:rPr>
          <w:rFonts w:ascii="Times New Roman" w:hAnsi="Times New Roman" w:cs="Times New Roman"/>
        </w:rPr>
        <w:t xml:space="preserve"> 87 </w:t>
      </w:r>
      <w:r w:rsidR="00D83D5A">
        <w:rPr>
          <w:rFonts w:ascii="Times New Roman" w:hAnsi="Times New Roman" w:cs="Times New Roman"/>
        </w:rPr>
        <w:t>organizations</w:t>
      </w:r>
      <w:r>
        <w:rPr>
          <w:rFonts w:ascii="Times New Roman" w:hAnsi="Times New Roman" w:cs="Times New Roman"/>
        </w:rPr>
        <w:t xml:space="preserve"> were part of </w:t>
      </w:r>
      <w:r w:rsidR="00D83D5A">
        <w:rPr>
          <w:rFonts w:ascii="Times New Roman" w:hAnsi="Times New Roman" w:cs="Times New Roman"/>
        </w:rPr>
        <w:t>this</w:t>
      </w:r>
      <w:r>
        <w:rPr>
          <w:rFonts w:ascii="Times New Roman" w:hAnsi="Times New Roman" w:cs="Times New Roman"/>
        </w:rPr>
        <w:t xml:space="preserve"> network.</w:t>
      </w:r>
    </w:p>
    <w:p w14:paraId="75A74E7F" w14:textId="6CC59251" w:rsidR="001D1DFF" w:rsidRDefault="001D1DFF" w:rsidP="00C62A9F">
      <w:pPr>
        <w:spacing w:line="360" w:lineRule="auto"/>
        <w:jc w:val="both"/>
        <w:rPr>
          <w:rFonts w:ascii="Times New Roman" w:hAnsi="Times New Roman" w:cs="Times New Roman"/>
          <w:b/>
        </w:rPr>
      </w:pPr>
      <w:r>
        <w:rPr>
          <w:rFonts w:ascii="Times New Roman" w:hAnsi="Times New Roman" w:cs="Times New Roman"/>
          <w:b/>
        </w:rPr>
        <w:t>ANALYSES</w:t>
      </w:r>
    </w:p>
    <w:p w14:paraId="2E7B4A56" w14:textId="3566B8D8" w:rsidR="001D1DFF" w:rsidRDefault="001D1DFF" w:rsidP="00C62A9F">
      <w:pPr>
        <w:spacing w:line="360" w:lineRule="auto"/>
        <w:ind w:firstLine="720"/>
        <w:jc w:val="both"/>
        <w:rPr>
          <w:rFonts w:ascii="Times New Roman" w:hAnsi="Times New Roman" w:cs="Times New Roman"/>
        </w:rPr>
      </w:pPr>
      <w:r w:rsidRPr="00BF5C7E">
        <w:rPr>
          <w:rFonts w:ascii="Times New Roman" w:hAnsi="Times New Roman" w:cs="Times New Roman"/>
        </w:rPr>
        <w:t xml:space="preserve">To </w:t>
      </w:r>
      <w:r>
        <w:rPr>
          <w:rFonts w:ascii="Times New Roman" w:hAnsi="Times New Roman" w:cs="Times New Roman"/>
        </w:rPr>
        <w:t xml:space="preserve">test the theoretical argument, a logit regression model was run for each measure to examine the congruence between </w:t>
      </w:r>
      <w:r w:rsidRPr="00174F99">
        <w:rPr>
          <w:rFonts w:ascii="Times New Roman" w:hAnsi="Times New Roman" w:cs="Times New Roman"/>
        </w:rPr>
        <w:t>the EC measure and the expressed stakeholder preference.</w:t>
      </w:r>
      <w:r w:rsidR="003D1042">
        <w:rPr>
          <w:rFonts w:ascii="Times New Roman" w:hAnsi="Times New Roman" w:cs="Times New Roman"/>
        </w:rPr>
        <w:t xml:space="preserve"> Table 1</w:t>
      </w:r>
      <w:r>
        <w:rPr>
          <w:rFonts w:ascii="Times New Roman" w:hAnsi="Times New Roman" w:cs="Times New Roman"/>
        </w:rPr>
        <w:t xml:space="preserve"> presents the results of the regression analysis, </w:t>
      </w:r>
      <w:r w:rsidR="002D1C8A">
        <w:rPr>
          <w:rFonts w:ascii="Times New Roman" w:hAnsi="Times New Roman" w:cs="Times New Roman"/>
        </w:rPr>
        <w:t>using</w:t>
      </w:r>
      <w:r>
        <w:rPr>
          <w:rFonts w:ascii="Times New Roman" w:hAnsi="Times New Roman" w:cs="Times New Roman"/>
        </w:rPr>
        <w:t xml:space="preserve"> ‘business organization’ as a reference group for the variable capturi</w:t>
      </w:r>
      <w:r w:rsidR="00C96665">
        <w:rPr>
          <w:rFonts w:ascii="Times New Roman" w:hAnsi="Times New Roman" w:cs="Times New Roman"/>
        </w:rPr>
        <w:t>ng stakeholder category</w:t>
      </w:r>
      <w:r w:rsidR="003D1042">
        <w:rPr>
          <w:rFonts w:ascii="Times New Roman" w:hAnsi="Times New Roman" w:cs="Times New Roman"/>
        </w:rPr>
        <w:t>. Table 2</w:t>
      </w:r>
      <w:r>
        <w:rPr>
          <w:rFonts w:ascii="Times New Roman" w:hAnsi="Times New Roman" w:cs="Times New Roman"/>
        </w:rPr>
        <w:t xml:space="preserve"> presents the first differences in predicted probabilities of observing this congruence and provides information about the size of the observed effect.</w:t>
      </w:r>
    </w:p>
    <w:p w14:paraId="4ADF83CF" w14:textId="794CB03D" w:rsidR="001D1DFF" w:rsidRDefault="0043535D" w:rsidP="00C62A9F">
      <w:pPr>
        <w:spacing w:line="360" w:lineRule="auto"/>
        <w:ind w:firstLine="720"/>
        <w:jc w:val="center"/>
        <w:rPr>
          <w:rFonts w:ascii="Times New Roman" w:hAnsi="Times New Roman" w:cs="Times New Roman"/>
          <w:b/>
        </w:rPr>
      </w:pPr>
      <w:r>
        <w:rPr>
          <w:rFonts w:ascii="Times New Roman" w:hAnsi="Times New Roman" w:cs="Times New Roman"/>
          <w:b/>
        </w:rPr>
        <w:t>[Table</w:t>
      </w:r>
      <w:r w:rsidR="003D1042">
        <w:rPr>
          <w:rFonts w:ascii="Times New Roman" w:hAnsi="Times New Roman" w:cs="Times New Roman"/>
          <w:b/>
        </w:rPr>
        <w:t>1</w:t>
      </w:r>
      <w:r w:rsidR="001D1DFF" w:rsidRPr="00152500">
        <w:rPr>
          <w:rFonts w:ascii="Times New Roman" w:hAnsi="Times New Roman" w:cs="Times New Roman"/>
          <w:b/>
        </w:rPr>
        <w:t>]</w:t>
      </w:r>
    </w:p>
    <w:p w14:paraId="7BD0695F" w14:textId="63204E16" w:rsidR="001D1DFF" w:rsidRDefault="0043535D" w:rsidP="00C62A9F">
      <w:pPr>
        <w:spacing w:line="360" w:lineRule="auto"/>
        <w:ind w:firstLine="720"/>
        <w:jc w:val="center"/>
        <w:rPr>
          <w:rFonts w:ascii="Times New Roman" w:hAnsi="Times New Roman" w:cs="Times New Roman"/>
          <w:b/>
        </w:rPr>
      </w:pPr>
      <w:r>
        <w:rPr>
          <w:rFonts w:ascii="Times New Roman" w:hAnsi="Times New Roman" w:cs="Times New Roman"/>
          <w:b/>
        </w:rPr>
        <w:t>[Table</w:t>
      </w:r>
      <w:r w:rsidR="003D1042">
        <w:rPr>
          <w:rFonts w:ascii="Times New Roman" w:hAnsi="Times New Roman" w:cs="Times New Roman"/>
          <w:b/>
        </w:rPr>
        <w:t>2</w:t>
      </w:r>
      <w:r w:rsidR="001D1DFF">
        <w:rPr>
          <w:rFonts w:ascii="Times New Roman" w:hAnsi="Times New Roman" w:cs="Times New Roman"/>
          <w:b/>
        </w:rPr>
        <w:t>]</w:t>
      </w:r>
    </w:p>
    <w:p w14:paraId="0567652A" w14:textId="77777777" w:rsidR="001D1DFF" w:rsidRDefault="001D1DFF" w:rsidP="00C62A9F">
      <w:pPr>
        <w:spacing w:line="360" w:lineRule="auto"/>
        <w:ind w:firstLine="720"/>
        <w:jc w:val="center"/>
        <w:rPr>
          <w:rFonts w:ascii="Times New Roman" w:hAnsi="Times New Roman" w:cs="Times New Roman"/>
          <w:b/>
        </w:rPr>
      </w:pPr>
    </w:p>
    <w:p w14:paraId="6AA0B547" w14:textId="24F813BA" w:rsidR="001D1DFF" w:rsidRPr="00C96665" w:rsidRDefault="001D1DFF" w:rsidP="00C62A9F">
      <w:pPr>
        <w:spacing w:line="360" w:lineRule="auto"/>
        <w:ind w:firstLine="720"/>
        <w:jc w:val="both"/>
        <w:rPr>
          <w:rFonts w:ascii="Times New Roman" w:hAnsi="Times New Roman" w:cs="Times New Roman"/>
        </w:rPr>
      </w:pPr>
      <w:r>
        <w:rPr>
          <w:rFonts w:ascii="Times New Roman" w:hAnsi="Times New Roman" w:cs="Times New Roman"/>
        </w:rPr>
        <w:t xml:space="preserve">Models 1 to 4 test hypothesis 1 and indicate </w:t>
      </w:r>
      <w:r w:rsidRPr="00C96665">
        <w:rPr>
          <w:rFonts w:ascii="Times New Roman" w:hAnsi="Times New Roman" w:cs="Times New Roman"/>
        </w:rPr>
        <w:t xml:space="preserve">that on all four issues linked with the regulatory scope of the Register, the Commission’s measures were significantly more likely to be aligned with preferences expressed by </w:t>
      </w:r>
      <w:r w:rsidRPr="00C96665">
        <w:rPr>
          <w:rFonts w:ascii="Times New Roman" w:hAnsi="Times New Roman" w:cs="Times New Roman"/>
          <w:i/>
        </w:rPr>
        <w:t>public interest organizations</w:t>
      </w:r>
      <w:r w:rsidRPr="00C96665">
        <w:rPr>
          <w:rFonts w:ascii="Times New Roman" w:hAnsi="Times New Roman" w:cs="Times New Roman"/>
        </w:rPr>
        <w:t>.</w:t>
      </w:r>
      <w:r>
        <w:rPr>
          <w:rFonts w:ascii="Times New Roman" w:hAnsi="Times New Roman" w:cs="Times New Roman"/>
        </w:rPr>
        <w:t xml:space="preserve"> </w:t>
      </w:r>
      <w:r w:rsidRPr="00C96665">
        <w:rPr>
          <w:rFonts w:ascii="Times New Roman" w:hAnsi="Times New Roman" w:cs="Times New Roman"/>
        </w:rPr>
        <w:t xml:space="preserve">These organizations were particularly supportive of Commission’s measure to make more interactions between EU institutions and interest groups conditional upon prior registration (model 2). The measures of introducing a clearer definition of lobbying activities (model 3) and of excluding certain types of organizational entities from the regulatory scope of the Register (model 4) were more likely to be aligned with the preferences expressed by </w:t>
      </w:r>
      <w:r w:rsidRPr="00C96665">
        <w:rPr>
          <w:rFonts w:ascii="Times New Roman" w:hAnsi="Times New Roman" w:cs="Times New Roman"/>
          <w:i/>
        </w:rPr>
        <w:t xml:space="preserve">public subnational authorities. </w:t>
      </w:r>
      <w:r w:rsidRPr="00C96665">
        <w:rPr>
          <w:rFonts w:ascii="Times New Roman" w:hAnsi="Times New Roman" w:cs="Times New Roman"/>
        </w:rPr>
        <w:t xml:space="preserve">These organizations were significantly more likely (by 0.35 points) than business to support the introduction of a clearer definition of lobbying, with the hope that their activities in Brussels were not considered lobbying interactions and therefore would not fall under lobbying regulation and transparency requirements. They were also significantly more likely to support exempting local and regional governments and their associations from the Register’s scope (0.84 points more likely), by arguing that the elected character of these organizations and their democratically representative mandate entitles them to unobstructed access to decision-makers. </w:t>
      </w:r>
      <w:r w:rsidR="00C96665">
        <w:rPr>
          <w:rFonts w:ascii="Times New Roman" w:hAnsi="Times New Roman" w:cs="Times New Roman"/>
        </w:rPr>
        <w:t>Noteworthy,</w:t>
      </w:r>
      <w:r w:rsidRPr="00C96665">
        <w:rPr>
          <w:rFonts w:ascii="Times New Roman" w:hAnsi="Times New Roman" w:cs="Times New Roman"/>
        </w:rPr>
        <w:t xml:space="preserve"> the issues of lobbying definitions and regulatory exemptions seem </w:t>
      </w:r>
      <w:r w:rsidR="00C96665">
        <w:rPr>
          <w:rFonts w:ascii="Times New Roman" w:hAnsi="Times New Roman" w:cs="Times New Roman"/>
        </w:rPr>
        <w:t xml:space="preserve">also </w:t>
      </w:r>
      <w:r w:rsidRPr="00C96665">
        <w:rPr>
          <w:rFonts w:ascii="Times New Roman" w:hAnsi="Times New Roman" w:cs="Times New Roman"/>
        </w:rPr>
        <w:t xml:space="preserve">to have been amongst the most salient ones for the community of stakeholders participating in consultation since they have the highest response rates across all measures (95.5% and 86.4%). </w:t>
      </w:r>
    </w:p>
    <w:p w14:paraId="32574766" w14:textId="4980FBC7" w:rsidR="001D1DFF" w:rsidRPr="00C96665" w:rsidRDefault="001D1DFF" w:rsidP="00C62A9F">
      <w:pPr>
        <w:spacing w:line="360" w:lineRule="auto"/>
        <w:ind w:firstLine="720"/>
        <w:jc w:val="both"/>
        <w:rPr>
          <w:rFonts w:ascii="Times New Roman" w:hAnsi="Times New Roman" w:cs="Times New Roman"/>
        </w:rPr>
      </w:pPr>
      <w:r w:rsidRPr="00C96665">
        <w:rPr>
          <w:rFonts w:ascii="Times New Roman" w:hAnsi="Times New Roman" w:cs="Times New Roman"/>
        </w:rPr>
        <w:t xml:space="preserve">The measure of expanding the </w:t>
      </w:r>
      <w:r w:rsidR="00D7550F">
        <w:rPr>
          <w:rFonts w:ascii="Times New Roman" w:hAnsi="Times New Roman" w:cs="Times New Roman"/>
        </w:rPr>
        <w:t xml:space="preserve">TR </w:t>
      </w:r>
      <w:r w:rsidRPr="00C96665">
        <w:rPr>
          <w:rFonts w:ascii="Times New Roman" w:hAnsi="Times New Roman" w:cs="Times New Roman"/>
        </w:rPr>
        <w:t xml:space="preserve">regulatory scope by requiring prior registration for more interactions between institutions and interest organisations and that of introducing a clearer definition of lobbying activities were significantly more likely to be congruent with </w:t>
      </w:r>
      <w:r w:rsidR="004A15A8">
        <w:rPr>
          <w:rFonts w:ascii="Times New Roman" w:hAnsi="Times New Roman" w:cs="Times New Roman"/>
        </w:rPr>
        <w:t>citizens’ preferences</w:t>
      </w:r>
      <w:r w:rsidRPr="00C96665">
        <w:rPr>
          <w:rFonts w:ascii="Times New Roman" w:hAnsi="Times New Roman" w:cs="Times New Roman"/>
        </w:rPr>
        <w:t xml:space="preserve"> (by 0.22 points and 0.09 points respectively).</w:t>
      </w:r>
    </w:p>
    <w:p w14:paraId="595AEF64" w14:textId="455FC890" w:rsidR="001D1DFF" w:rsidRDefault="001D1DFF" w:rsidP="00C62A9F">
      <w:pPr>
        <w:spacing w:line="360" w:lineRule="auto"/>
        <w:ind w:firstLine="720"/>
        <w:jc w:val="both"/>
        <w:rPr>
          <w:rFonts w:ascii="Times New Roman" w:hAnsi="Times New Roman" w:cs="Times New Roman"/>
        </w:rPr>
      </w:pPr>
      <w:r>
        <w:rPr>
          <w:rFonts w:ascii="Times New Roman" w:hAnsi="Times New Roman" w:cs="Times New Roman"/>
        </w:rPr>
        <w:t xml:space="preserve">These findings are consistent with hypothesis 1 stating that on politicised issues pertaining to the definition of the TR regulatory remit, the Commission’s proposal was more likely congruent with preferences expressed by stakeholders representing </w:t>
      </w:r>
      <w:r w:rsidRPr="00D7550F">
        <w:rPr>
          <w:rFonts w:ascii="Times New Roman" w:hAnsi="Times New Roman" w:cs="Times New Roman"/>
        </w:rPr>
        <w:t>public interests.</w:t>
      </w:r>
      <w:r>
        <w:rPr>
          <w:rFonts w:ascii="Times New Roman" w:hAnsi="Times New Roman" w:cs="Times New Roman"/>
        </w:rPr>
        <w:t xml:space="preserve"> This indicates the Commission </w:t>
      </w:r>
      <w:r w:rsidRPr="00D7550F">
        <w:rPr>
          <w:rFonts w:ascii="Times New Roman" w:hAnsi="Times New Roman" w:cs="Times New Roman"/>
        </w:rPr>
        <w:t>attempted to maximise input legitimacy by building a reputation for regulating EU lobbying following a broad consultation with stakeholders</w:t>
      </w:r>
      <w:r w:rsidR="00D7550F" w:rsidRPr="00D7550F">
        <w:rPr>
          <w:rFonts w:ascii="Times New Roman" w:hAnsi="Times New Roman" w:cs="Times New Roman"/>
        </w:rPr>
        <w:t xml:space="preserve"> representing </w:t>
      </w:r>
      <w:r w:rsidRPr="00D7550F">
        <w:rPr>
          <w:rFonts w:ascii="Times New Roman" w:hAnsi="Times New Roman" w:cs="Times New Roman"/>
        </w:rPr>
        <w:t>public interests and drafting a proposal that is closely aligned with and reflects the public’s preferences on this regulatory matter. Interestingly, the key and highly political measure of including the Council in the regulatory remit of a mandatory Register (model 1) was significantly more like</w:t>
      </w:r>
      <w:r w:rsidR="00F775D5">
        <w:rPr>
          <w:rFonts w:ascii="Times New Roman" w:hAnsi="Times New Roman" w:cs="Times New Roman"/>
        </w:rPr>
        <w:t>ly</w:t>
      </w:r>
      <w:r w:rsidRPr="00D7550F">
        <w:rPr>
          <w:rFonts w:ascii="Times New Roman" w:hAnsi="Times New Roman" w:cs="Times New Roman"/>
        </w:rPr>
        <w:t xml:space="preserve"> to be congruent with preferences expressed by public interest organisations </w:t>
      </w:r>
      <w:r w:rsidR="00F775D5">
        <w:rPr>
          <w:rFonts w:ascii="Times New Roman" w:hAnsi="Times New Roman" w:cs="Times New Roman"/>
        </w:rPr>
        <w:t xml:space="preserve">only </w:t>
      </w:r>
      <w:r w:rsidRPr="00D7550F">
        <w:rPr>
          <w:rFonts w:ascii="Times New Roman" w:hAnsi="Times New Roman" w:cs="Times New Roman"/>
        </w:rPr>
        <w:t>(by 0.08 points).</w:t>
      </w:r>
    </w:p>
    <w:p w14:paraId="109EB948" w14:textId="4E7F8D2B" w:rsidR="001D1DFF" w:rsidRDefault="001D1DFF" w:rsidP="00C62A9F">
      <w:pPr>
        <w:spacing w:line="360" w:lineRule="auto"/>
        <w:jc w:val="both"/>
        <w:rPr>
          <w:rFonts w:ascii="Times New Roman" w:hAnsi="Times New Roman" w:cs="Times New Roman"/>
        </w:rPr>
      </w:pPr>
      <w:r>
        <w:rPr>
          <w:rFonts w:ascii="Times New Roman" w:hAnsi="Times New Roman" w:cs="Times New Roman"/>
        </w:rPr>
        <w:tab/>
      </w:r>
      <w:r w:rsidRPr="00D7550F">
        <w:rPr>
          <w:rFonts w:ascii="Times New Roman" w:hAnsi="Times New Roman" w:cs="Times New Roman"/>
        </w:rPr>
        <w:t xml:space="preserve">Models 5 to 9 provide limited support for hypothesis 2 positing that on technical issues the </w:t>
      </w:r>
      <w:r w:rsidR="00D7550F" w:rsidRPr="00D7550F">
        <w:rPr>
          <w:rFonts w:ascii="Times New Roman" w:hAnsi="Times New Roman" w:cs="Times New Roman"/>
        </w:rPr>
        <w:t>measures we</w:t>
      </w:r>
      <w:r w:rsidRPr="00D7550F">
        <w:rPr>
          <w:rFonts w:ascii="Times New Roman" w:hAnsi="Times New Roman" w:cs="Times New Roman"/>
        </w:rPr>
        <w:t xml:space="preserve">re more likely aligned with preferences of organizations that are members of </w:t>
      </w:r>
      <w:r w:rsidR="00D7550F">
        <w:rPr>
          <w:rFonts w:ascii="Times New Roman" w:hAnsi="Times New Roman" w:cs="Times New Roman"/>
        </w:rPr>
        <w:t>EC</w:t>
      </w:r>
      <w:r w:rsidRPr="00D7550F">
        <w:rPr>
          <w:rFonts w:ascii="Times New Roman" w:hAnsi="Times New Roman" w:cs="Times New Roman"/>
        </w:rPr>
        <w:t xml:space="preserve"> policy networks. Only two of five technical measures were significantly more likely to be congruent with these actors’ preferences. Model</w:t>
      </w:r>
      <w:r>
        <w:rPr>
          <w:rFonts w:ascii="Times New Roman" w:hAnsi="Times New Roman" w:cs="Times New Roman"/>
        </w:rPr>
        <w:t xml:space="preserve"> 6 indicates these stakeholders were significantly more likely than non-network members to have expressed in consultation a position congruent with the Commission’s proposal to introduce systematic ex-ante checks on new registrants to increase data quality (by 0.25 points). Model 8 shows these stakeholders were also more likely to support the introduction of a more robust mechanism to handle breaches in the code of conduct (by 0.28 points).</w:t>
      </w:r>
    </w:p>
    <w:p w14:paraId="3436AC7D" w14:textId="2DAA3762" w:rsidR="001D1DFF" w:rsidRDefault="001D1DFF" w:rsidP="00C62A9F">
      <w:pPr>
        <w:spacing w:line="360" w:lineRule="auto"/>
        <w:jc w:val="both"/>
        <w:rPr>
          <w:rFonts w:ascii="Times New Roman" w:hAnsi="Times New Roman" w:cs="Times New Roman"/>
        </w:rPr>
      </w:pPr>
      <w:r>
        <w:rPr>
          <w:rFonts w:ascii="Times New Roman" w:hAnsi="Times New Roman" w:cs="Times New Roman"/>
        </w:rPr>
        <w:tab/>
        <w:t>Models 5 to 9 also provide evidence that goes against hypothesis 2 and indicate that, even on technical issues, the proposed measures were congruent to the preferences of stakeholders representing the public</w:t>
      </w:r>
      <w:r w:rsidRPr="00D7550F">
        <w:rPr>
          <w:rFonts w:ascii="Times New Roman" w:hAnsi="Times New Roman" w:cs="Times New Roman"/>
        </w:rPr>
        <w:t>. For example, the measure of introducing systematic ex-ante checks on new registrants to increase data quality was significantly more in line wi</w:t>
      </w:r>
      <w:r w:rsidR="00A654D9">
        <w:rPr>
          <w:rFonts w:ascii="Times New Roman" w:hAnsi="Times New Roman" w:cs="Times New Roman"/>
        </w:rPr>
        <w:t xml:space="preserve">th </w:t>
      </w:r>
      <w:r w:rsidRPr="00D7550F">
        <w:rPr>
          <w:rFonts w:ascii="Times New Roman" w:hAnsi="Times New Roman" w:cs="Times New Roman"/>
        </w:rPr>
        <w:t>citizens</w:t>
      </w:r>
      <w:r w:rsidR="00A654D9">
        <w:rPr>
          <w:rFonts w:ascii="Times New Roman" w:hAnsi="Times New Roman" w:cs="Times New Roman"/>
        </w:rPr>
        <w:t>’ preferences</w:t>
      </w:r>
      <w:r w:rsidRPr="00D7550F">
        <w:rPr>
          <w:rFonts w:ascii="Times New Roman" w:hAnsi="Times New Roman" w:cs="Times New Roman"/>
        </w:rPr>
        <w:t xml:space="preserve"> (by 0.13 points, model 6). Poor data quality was a key criticism of all TR assessments (Greenwood and Dreger 2013).</w:t>
      </w:r>
      <w:r>
        <w:rPr>
          <w:rFonts w:ascii="Times New Roman" w:hAnsi="Times New Roman" w:cs="Times New Roman"/>
        </w:rPr>
        <w:t xml:space="preserve">  Similarly, citizens were 0.42 points more likely to articulate a preference aligned with the measure of reinforcing the Code of Conduct to increase its precision (model 7). </w:t>
      </w:r>
      <w:r w:rsidRPr="00B65539">
        <w:rPr>
          <w:rFonts w:ascii="Times New Roman" w:hAnsi="Times New Roman" w:cs="Times New Roman"/>
          <w:i/>
        </w:rPr>
        <w:t>Public interest organizations</w:t>
      </w:r>
      <w:r>
        <w:rPr>
          <w:rFonts w:ascii="Times New Roman" w:hAnsi="Times New Roman" w:cs="Times New Roman"/>
        </w:rPr>
        <w:t xml:space="preserve"> were also more likely to express a preference congruent with the Commission’s measure to reinforce and clarify the Code of Conduct as part of the regulatory regime (model 7). </w:t>
      </w:r>
    </w:p>
    <w:p w14:paraId="30840D21" w14:textId="2995087B" w:rsidR="001D1DFF" w:rsidRPr="00D7550F" w:rsidRDefault="001D1DFF" w:rsidP="00C62A9F">
      <w:pPr>
        <w:spacing w:line="360" w:lineRule="auto"/>
        <w:jc w:val="both"/>
        <w:rPr>
          <w:rFonts w:ascii="Times New Roman" w:hAnsi="Times New Roman" w:cs="Times New Roman"/>
        </w:rPr>
      </w:pPr>
      <w:r>
        <w:rPr>
          <w:rFonts w:ascii="Times New Roman" w:hAnsi="Times New Roman" w:cs="Times New Roman"/>
        </w:rPr>
        <w:tab/>
        <w:t xml:space="preserve">However, on some other technical measures, citizens were in fact significantly less likely to </w:t>
      </w:r>
      <w:r w:rsidR="007C772C">
        <w:rPr>
          <w:rFonts w:ascii="Times New Roman" w:hAnsi="Times New Roman" w:cs="Times New Roman"/>
        </w:rPr>
        <w:t>express</w:t>
      </w:r>
      <w:r>
        <w:rPr>
          <w:rFonts w:ascii="Times New Roman" w:hAnsi="Times New Roman" w:cs="Times New Roman"/>
        </w:rPr>
        <w:t xml:space="preserve"> a preference congruent with the Commission’s proposal to simplify data disclosure requirements (model 5) and the mechanism proposed for dealing with regulatory non-compliance (model 9). Similarly, public interest organizations were 0.21 points less likely to endorse the measure of simplifying the disclosure requirements (model 5) and 0.18 points less likely to express a preference congruent with proposed measures for dealing with non-compliance (model 9). Citizens and public interest organizations did not support such measures because they </w:t>
      </w:r>
      <w:r w:rsidRPr="00D7550F">
        <w:rPr>
          <w:rFonts w:ascii="Times New Roman" w:hAnsi="Times New Roman" w:cs="Times New Roman"/>
        </w:rPr>
        <w:t xml:space="preserve">feared that this procedural simplification might result in deregulation of supranational lobbying and a less effective regulatory regime.  This was a fear commonly expressed by public interest organisations </w:t>
      </w:r>
      <w:r w:rsidR="007C772C">
        <w:rPr>
          <w:rFonts w:ascii="Times New Roman" w:hAnsi="Times New Roman" w:cs="Times New Roman"/>
        </w:rPr>
        <w:t>regarding</w:t>
      </w:r>
      <w:r w:rsidRPr="00D7550F">
        <w:rPr>
          <w:rFonts w:ascii="Times New Roman" w:hAnsi="Times New Roman" w:cs="Times New Roman"/>
        </w:rPr>
        <w:t xml:space="preserve"> the latest EU Better Regulatio</w:t>
      </w:r>
      <w:r w:rsidR="00D7550F">
        <w:rPr>
          <w:rFonts w:ascii="Times New Roman" w:hAnsi="Times New Roman" w:cs="Times New Roman"/>
        </w:rPr>
        <w:t>n</w:t>
      </w:r>
      <w:r w:rsidR="007C772C">
        <w:rPr>
          <w:rFonts w:ascii="Times New Roman" w:hAnsi="Times New Roman" w:cs="Times New Roman"/>
        </w:rPr>
        <w:t xml:space="preserve"> reform</w:t>
      </w:r>
      <w:r w:rsidR="00D7550F">
        <w:rPr>
          <w:rFonts w:ascii="Times New Roman" w:hAnsi="Times New Roman" w:cs="Times New Roman"/>
        </w:rPr>
        <w:t xml:space="preserve">, </w:t>
      </w:r>
      <w:r w:rsidRPr="00D7550F">
        <w:rPr>
          <w:rFonts w:ascii="Times New Roman" w:hAnsi="Times New Roman" w:cs="Times New Roman"/>
        </w:rPr>
        <w:t xml:space="preserve">of which </w:t>
      </w:r>
      <w:r w:rsidR="007C772C">
        <w:rPr>
          <w:rFonts w:ascii="Times New Roman" w:hAnsi="Times New Roman" w:cs="Times New Roman"/>
        </w:rPr>
        <w:t>lobbying regulation</w:t>
      </w:r>
      <w:r w:rsidRPr="00D7550F">
        <w:rPr>
          <w:rFonts w:ascii="Times New Roman" w:hAnsi="Times New Roman" w:cs="Times New Roman"/>
        </w:rPr>
        <w:t xml:space="preserve"> and the management of </w:t>
      </w:r>
      <w:r w:rsidR="00D7550F">
        <w:rPr>
          <w:rFonts w:ascii="Times New Roman" w:hAnsi="Times New Roman" w:cs="Times New Roman"/>
        </w:rPr>
        <w:t xml:space="preserve">supranational </w:t>
      </w:r>
      <w:r w:rsidRPr="00D7550F">
        <w:rPr>
          <w:rFonts w:ascii="Times New Roman" w:hAnsi="Times New Roman" w:cs="Times New Roman"/>
        </w:rPr>
        <w:t>interest representation was an important part.</w:t>
      </w:r>
    </w:p>
    <w:p w14:paraId="54F87D09" w14:textId="1963776E" w:rsidR="001D1DFF" w:rsidRPr="00B44953" w:rsidRDefault="001D1DFF" w:rsidP="00C62A9F">
      <w:pPr>
        <w:spacing w:line="360" w:lineRule="auto"/>
        <w:ind w:firstLine="720"/>
        <w:jc w:val="both"/>
        <w:rPr>
          <w:rFonts w:ascii="Times New Roman" w:hAnsi="Times New Roman" w:cs="Times New Roman"/>
          <w:color w:val="000000" w:themeColor="text1"/>
          <w:lang w:eastAsia="en-GB"/>
        </w:rPr>
      </w:pPr>
      <w:r w:rsidRPr="00D7550F">
        <w:rPr>
          <w:rFonts w:ascii="Times New Roman" w:hAnsi="Times New Roman" w:cs="Times New Roman"/>
          <w:color w:val="000000" w:themeColor="text1"/>
          <w:lang w:eastAsia="en-GB"/>
        </w:rPr>
        <w:t xml:space="preserve">Interestingly, the analyses also show that stakeholders part of </w:t>
      </w:r>
      <w:r w:rsidR="000C573E">
        <w:rPr>
          <w:rFonts w:ascii="Times New Roman" w:hAnsi="Times New Roman" w:cs="Times New Roman"/>
          <w:color w:val="000000" w:themeColor="text1"/>
          <w:lang w:eastAsia="en-GB"/>
        </w:rPr>
        <w:t xml:space="preserve">EC </w:t>
      </w:r>
      <w:r w:rsidRPr="00D7550F">
        <w:rPr>
          <w:rFonts w:ascii="Times New Roman" w:hAnsi="Times New Roman" w:cs="Times New Roman"/>
          <w:color w:val="000000" w:themeColor="text1"/>
          <w:lang w:eastAsia="en-GB"/>
        </w:rPr>
        <w:t>policy networks</w:t>
      </w:r>
      <w:r w:rsidRPr="00EC30AE">
        <w:rPr>
          <w:rFonts w:ascii="Times New Roman" w:hAnsi="Times New Roman" w:cs="Times New Roman"/>
          <w:color w:val="000000" w:themeColor="text1"/>
          <w:lang w:eastAsia="en-GB"/>
        </w:rPr>
        <w:t xml:space="preserve"> were significantly more like</w:t>
      </w:r>
      <w:r>
        <w:rPr>
          <w:rFonts w:ascii="Times New Roman" w:hAnsi="Times New Roman" w:cs="Times New Roman"/>
          <w:color w:val="000000" w:themeColor="text1"/>
          <w:lang w:eastAsia="en-GB"/>
        </w:rPr>
        <w:t>ly</w:t>
      </w:r>
      <w:r w:rsidR="00D7550F">
        <w:rPr>
          <w:rFonts w:ascii="Times New Roman" w:hAnsi="Times New Roman" w:cs="Times New Roman"/>
          <w:color w:val="000000" w:themeColor="text1"/>
          <w:lang w:eastAsia="en-GB"/>
        </w:rPr>
        <w:t xml:space="preserve"> (0.13 points)</w:t>
      </w:r>
      <w:r w:rsidRPr="00EC30AE">
        <w:rPr>
          <w:rFonts w:ascii="Times New Roman" w:hAnsi="Times New Roman" w:cs="Times New Roman"/>
          <w:color w:val="000000" w:themeColor="text1"/>
          <w:lang w:eastAsia="en-GB"/>
        </w:rPr>
        <w:t xml:space="preserve"> to have supported introducing a clearer definition of lob</w:t>
      </w:r>
      <w:r>
        <w:rPr>
          <w:rFonts w:ascii="Times New Roman" w:hAnsi="Times New Roman" w:cs="Times New Roman"/>
          <w:color w:val="000000" w:themeColor="text1"/>
          <w:lang w:eastAsia="en-GB"/>
        </w:rPr>
        <w:t>bying activities (model 3</w:t>
      </w:r>
      <w:r w:rsidRPr="00EC30AE">
        <w:rPr>
          <w:rFonts w:ascii="Times New Roman" w:hAnsi="Times New Roman" w:cs="Times New Roman"/>
          <w:color w:val="000000" w:themeColor="text1"/>
          <w:lang w:eastAsia="en-GB"/>
        </w:rPr>
        <w:t xml:space="preserve">). However, these stakeholders were significantly less likely (-0.16 points) to support expanding the </w:t>
      </w:r>
      <w:r w:rsidRPr="00EC30AE">
        <w:rPr>
          <w:rFonts w:ascii="Times New Roman" w:hAnsi="Times New Roman" w:cs="Times New Roman"/>
          <w:i/>
          <w:iCs/>
          <w:color w:val="000000" w:themeColor="text1"/>
          <w:lang w:eastAsia="en-GB"/>
        </w:rPr>
        <w:t>regulatory scope</w:t>
      </w:r>
      <w:r w:rsidRPr="00EC30AE">
        <w:rPr>
          <w:rFonts w:ascii="Times New Roman" w:hAnsi="Times New Roman" w:cs="Times New Roman"/>
          <w:color w:val="000000" w:themeColor="text1"/>
          <w:lang w:eastAsia="en-GB"/>
        </w:rPr>
        <w:t xml:space="preserve"> of the regime by making more interactions between institutions and </w:t>
      </w:r>
      <w:r w:rsidR="00D7550F" w:rsidRPr="00D7550F">
        <w:rPr>
          <w:rFonts w:ascii="Times New Roman" w:hAnsi="Times New Roman" w:cs="Times New Roman"/>
          <w:color w:val="000000" w:themeColor="text1"/>
          <w:lang w:eastAsia="en-GB"/>
        </w:rPr>
        <w:t>organizations</w:t>
      </w:r>
      <w:r w:rsidRPr="00D7550F">
        <w:rPr>
          <w:rFonts w:ascii="Times New Roman" w:hAnsi="Times New Roman" w:cs="Times New Roman"/>
          <w:color w:val="000000" w:themeColor="text1"/>
          <w:lang w:eastAsia="en-GB"/>
        </w:rPr>
        <w:t xml:space="preserve"> dependent upon prior registration (model 2). Corroborated, this suggests that stakeholders participating in networks were interested in adopting measures preserving the regulatory </w:t>
      </w:r>
      <w:r w:rsidRPr="00D7550F">
        <w:rPr>
          <w:rFonts w:ascii="Times New Roman" w:hAnsi="Times New Roman" w:cs="Times New Roman"/>
          <w:i/>
          <w:iCs/>
          <w:color w:val="000000" w:themeColor="text1"/>
          <w:lang w:eastAsia="en-GB"/>
        </w:rPr>
        <w:t xml:space="preserve">status quo </w:t>
      </w:r>
      <w:r w:rsidRPr="00D7550F">
        <w:rPr>
          <w:rFonts w:ascii="Times New Roman" w:hAnsi="Times New Roman" w:cs="Times New Roman"/>
          <w:iCs/>
          <w:color w:val="000000" w:themeColor="text1"/>
          <w:lang w:eastAsia="en-GB"/>
        </w:rPr>
        <w:t xml:space="preserve">to which they adjusted and </w:t>
      </w:r>
      <w:r w:rsidR="000C573E" w:rsidRPr="00D7550F">
        <w:rPr>
          <w:rFonts w:ascii="Times New Roman" w:hAnsi="Times New Roman" w:cs="Times New Roman"/>
          <w:iCs/>
          <w:color w:val="000000" w:themeColor="text1"/>
          <w:lang w:eastAsia="en-GB"/>
        </w:rPr>
        <w:t>adapted</w:t>
      </w:r>
      <w:r w:rsidR="000C573E">
        <w:rPr>
          <w:rFonts w:ascii="Times New Roman" w:hAnsi="Times New Roman" w:cs="Times New Roman"/>
          <w:iCs/>
          <w:color w:val="000000" w:themeColor="text1"/>
          <w:lang w:eastAsia="en-GB"/>
        </w:rPr>
        <w:t>.</w:t>
      </w:r>
      <w:r w:rsidR="000C573E" w:rsidRPr="00EC30AE">
        <w:rPr>
          <w:rFonts w:ascii="Times New Roman" w:hAnsi="Times New Roman" w:cs="Times New Roman"/>
          <w:i/>
          <w:iCs/>
          <w:color w:val="000000" w:themeColor="text1"/>
          <w:lang w:eastAsia="en-GB"/>
        </w:rPr>
        <w:t xml:space="preserve"> </w:t>
      </w:r>
      <w:r w:rsidR="000C573E">
        <w:rPr>
          <w:rFonts w:ascii="Times New Roman" w:hAnsi="Times New Roman" w:cs="Times New Roman"/>
          <w:iCs/>
          <w:color w:val="000000" w:themeColor="text1"/>
          <w:lang w:eastAsia="en-GB"/>
        </w:rPr>
        <w:t>They</w:t>
      </w:r>
      <w:r w:rsidRPr="00EC30AE">
        <w:rPr>
          <w:rFonts w:ascii="Times New Roman" w:hAnsi="Times New Roman" w:cs="Times New Roman"/>
          <w:color w:val="000000" w:themeColor="text1"/>
          <w:lang w:eastAsia="en-GB"/>
        </w:rPr>
        <w:t xml:space="preserve"> </w:t>
      </w:r>
      <w:r>
        <w:rPr>
          <w:rFonts w:ascii="Times New Roman" w:hAnsi="Times New Roman" w:cs="Times New Roman"/>
          <w:color w:val="000000" w:themeColor="text1"/>
          <w:lang w:eastAsia="en-GB"/>
        </w:rPr>
        <w:t>supported only incremental technical improvements that would make</w:t>
      </w:r>
      <w:r w:rsidRPr="00EC30AE">
        <w:rPr>
          <w:rFonts w:ascii="Times New Roman" w:hAnsi="Times New Roman" w:cs="Times New Roman"/>
          <w:color w:val="000000" w:themeColor="text1"/>
          <w:lang w:eastAsia="en-GB"/>
        </w:rPr>
        <w:t xml:space="preserve"> this status quo </w:t>
      </w:r>
      <w:r>
        <w:rPr>
          <w:rFonts w:ascii="Times New Roman" w:hAnsi="Times New Roman" w:cs="Times New Roman"/>
          <w:color w:val="000000" w:themeColor="text1"/>
          <w:lang w:eastAsia="en-GB"/>
        </w:rPr>
        <w:t>more effective and efficient.</w:t>
      </w:r>
    </w:p>
    <w:p w14:paraId="5BE19823" w14:textId="68E98992" w:rsidR="001D1DFF" w:rsidRPr="00E0028D" w:rsidRDefault="001D1DFF" w:rsidP="00C62A9F">
      <w:pPr>
        <w:spacing w:line="360" w:lineRule="auto"/>
        <w:ind w:firstLine="720"/>
        <w:jc w:val="both"/>
        <w:rPr>
          <w:rFonts w:ascii="Times New Roman" w:hAnsi="Times New Roman" w:cs="Times New Roman"/>
        </w:rPr>
      </w:pPr>
      <w:r>
        <w:rPr>
          <w:rFonts w:ascii="Times New Roman" w:hAnsi="Times New Roman" w:cs="Times New Roman"/>
        </w:rPr>
        <w:t xml:space="preserve">Across models, the </w:t>
      </w:r>
      <w:r w:rsidR="000C573E">
        <w:rPr>
          <w:rFonts w:ascii="Times New Roman" w:hAnsi="Times New Roman" w:cs="Times New Roman"/>
        </w:rPr>
        <w:t>proposed</w:t>
      </w:r>
      <w:r>
        <w:rPr>
          <w:rFonts w:ascii="Times New Roman" w:hAnsi="Times New Roman" w:cs="Times New Roman"/>
        </w:rPr>
        <w:t xml:space="preserve"> measures were</w:t>
      </w:r>
      <w:r w:rsidR="000C573E">
        <w:rPr>
          <w:rFonts w:ascii="Times New Roman" w:hAnsi="Times New Roman" w:cs="Times New Roman"/>
        </w:rPr>
        <w:t xml:space="preserve"> more</w:t>
      </w:r>
      <w:r>
        <w:rPr>
          <w:rFonts w:ascii="Times New Roman" w:hAnsi="Times New Roman" w:cs="Times New Roman"/>
        </w:rPr>
        <w:t xml:space="preserve"> </w:t>
      </w:r>
      <w:r w:rsidR="000C573E">
        <w:rPr>
          <w:rFonts w:ascii="Times New Roman" w:hAnsi="Times New Roman" w:cs="Times New Roman"/>
        </w:rPr>
        <w:t xml:space="preserve">likely to be </w:t>
      </w:r>
      <w:r>
        <w:rPr>
          <w:rFonts w:ascii="Times New Roman" w:hAnsi="Times New Roman" w:cs="Times New Roman"/>
        </w:rPr>
        <w:t xml:space="preserve">congruent with preferences </w:t>
      </w:r>
      <w:r w:rsidR="000C573E">
        <w:rPr>
          <w:rFonts w:ascii="Times New Roman" w:hAnsi="Times New Roman" w:cs="Times New Roman"/>
        </w:rPr>
        <w:t>of</w:t>
      </w:r>
      <w:r>
        <w:rPr>
          <w:rFonts w:ascii="Times New Roman" w:hAnsi="Times New Roman" w:cs="Times New Roman"/>
        </w:rPr>
        <w:t xml:space="preserve"> stakeholders representing public interests than with those of stakeholders that were part of </w:t>
      </w:r>
      <w:r w:rsidR="000C573E">
        <w:rPr>
          <w:rFonts w:ascii="Times New Roman" w:hAnsi="Times New Roman" w:cs="Times New Roman"/>
        </w:rPr>
        <w:t>EC</w:t>
      </w:r>
      <w:r>
        <w:rPr>
          <w:rFonts w:ascii="Times New Roman" w:hAnsi="Times New Roman" w:cs="Times New Roman"/>
        </w:rPr>
        <w:t xml:space="preserve"> policy networks. This suggests that, when formulating this politically sensitive proposal</w:t>
      </w:r>
      <w:r w:rsidR="00025B2F">
        <w:rPr>
          <w:rFonts w:ascii="Times New Roman" w:hAnsi="Times New Roman" w:cs="Times New Roman"/>
        </w:rPr>
        <w:t>,</w:t>
      </w:r>
      <w:r>
        <w:rPr>
          <w:rFonts w:ascii="Times New Roman" w:hAnsi="Times New Roman" w:cs="Times New Roman"/>
        </w:rPr>
        <w:t xml:space="preserve"> the Commission prioritized input over output legitimacy and building a reputation for a representative </w:t>
      </w:r>
      <w:r w:rsidRPr="00E0028D">
        <w:rPr>
          <w:rFonts w:ascii="Times New Roman" w:hAnsi="Times New Roman" w:cs="Times New Roman"/>
        </w:rPr>
        <w:t>and responsive to public preferences agenda-setter.</w:t>
      </w:r>
    </w:p>
    <w:p w14:paraId="594A3C55" w14:textId="57BDFC8C" w:rsidR="00E0028D" w:rsidRPr="0043535D" w:rsidRDefault="001D1DFF" w:rsidP="00C62A9F">
      <w:pPr>
        <w:spacing w:line="360" w:lineRule="auto"/>
        <w:jc w:val="both"/>
        <w:rPr>
          <w:rFonts w:ascii="Times New Roman" w:hAnsi="Times New Roman" w:cs="Times New Roman"/>
        </w:rPr>
      </w:pPr>
      <w:r w:rsidRPr="00E0028D">
        <w:rPr>
          <w:rFonts w:ascii="Times New Roman" w:hAnsi="Times New Roman" w:cs="Times New Roman"/>
        </w:rPr>
        <w:tab/>
        <w:t>Lastly, the results indicate that the measure of including the</w:t>
      </w:r>
      <w:r w:rsidR="00E0028D" w:rsidRPr="00E0028D">
        <w:rPr>
          <w:rFonts w:ascii="Times New Roman" w:hAnsi="Times New Roman" w:cs="Times New Roman"/>
        </w:rPr>
        <w:t xml:space="preserve"> Council in the</w:t>
      </w:r>
      <w:r w:rsidRPr="00E0028D">
        <w:rPr>
          <w:rFonts w:ascii="Times New Roman" w:hAnsi="Times New Roman" w:cs="Times New Roman"/>
        </w:rPr>
        <w:t xml:space="preserve"> regulatory scope of the Register (model 1) was significantly more likely to be congruent with the preferences of European </w:t>
      </w:r>
      <w:r w:rsidR="00025B2F">
        <w:rPr>
          <w:rFonts w:ascii="Times New Roman" w:hAnsi="Times New Roman" w:cs="Times New Roman"/>
        </w:rPr>
        <w:t>associations</w:t>
      </w:r>
      <w:r w:rsidRPr="00E0028D">
        <w:rPr>
          <w:rFonts w:ascii="Times New Roman" w:hAnsi="Times New Roman" w:cs="Times New Roman"/>
        </w:rPr>
        <w:t>. Presumably, such a change would facilitate and legitimise their access to an institutional lobbying venue that is currently perceived to be more open towards and susceptible to dialogue with national associations.</w:t>
      </w:r>
      <w:r>
        <w:rPr>
          <w:rFonts w:ascii="Times New Roman" w:hAnsi="Times New Roman" w:cs="Times New Roman"/>
        </w:rPr>
        <w:t xml:space="preserve"> These stakeholders were however less likely to support </w:t>
      </w:r>
      <w:r w:rsidRPr="00E0028D">
        <w:rPr>
          <w:rFonts w:ascii="Times New Roman" w:hAnsi="Times New Roman" w:cs="Times New Roman"/>
        </w:rPr>
        <w:t>the measure stipulating that data disclosure requirements should be simplified (model 5) and the introduction of tougher penalties such as removal from the register or suspension from certain interactions for non-compliant actors (model</w:t>
      </w:r>
      <w:r>
        <w:rPr>
          <w:rFonts w:ascii="Times New Roman" w:hAnsi="Times New Roman" w:cs="Times New Roman"/>
        </w:rPr>
        <w:t xml:space="preserve"> 9).</w:t>
      </w:r>
    </w:p>
    <w:p w14:paraId="3A7FC394" w14:textId="77777777" w:rsidR="00025B2F" w:rsidRDefault="00025B2F" w:rsidP="00C62A9F">
      <w:pPr>
        <w:spacing w:line="360" w:lineRule="auto"/>
        <w:jc w:val="both"/>
        <w:rPr>
          <w:rFonts w:ascii="Times New Roman" w:hAnsi="Times New Roman" w:cs="Times New Roman"/>
          <w:b/>
        </w:rPr>
      </w:pPr>
    </w:p>
    <w:p w14:paraId="3B876F00" w14:textId="69609D4F" w:rsidR="001D1DFF" w:rsidRDefault="001D1DFF" w:rsidP="00C62A9F">
      <w:pPr>
        <w:spacing w:line="360" w:lineRule="auto"/>
        <w:jc w:val="both"/>
        <w:rPr>
          <w:rFonts w:ascii="Times New Roman" w:hAnsi="Times New Roman" w:cs="Times New Roman"/>
          <w:b/>
        </w:rPr>
      </w:pPr>
      <w:r>
        <w:rPr>
          <w:rFonts w:ascii="Times New Roman" w:hAnsi="Times New Roman" w:cs="Times New Roman"/>
          <w:b/>
        </w:rPr>
        <w:t>CONCLUSIONS</w:t>
      </w:r>
    </w:p>
    <w:p w14:paraId="55BA30E2" w14:textId="55C6A13B" w:rsidR="001D1DFF" w:rsidRDefault="001D1DFF" w:rsidP="00C62A9F">
      <w:pPr>
        <w:spacing w:line="360" w:lineRule="auto"/>
        <w:jc w:val="both"/>
        <w:rPr>
          <w:rFonts w:ascii="Times New Roman" w:hAnsi="Times New Roman" w:cs="Times New Roman"/>
        </w:rPr>
      </w:pPr>
      <w:r w:rsidRPr="005C2866">
        <w:rPr>
          <w:rFonts w:ascii="Times New Roman" w:hAnsi="Times New Roman" w:cs="Times New Roman"/>
        </w:rPr>
        <w:tab/>
        <w:t xml:space="preserve">This </w:t>
      </w:r>
      <w:r>
        <w:rPr>
          <w:rFonts w:ascii="Times New Roman" w:hAnsi="Times New Roman" w:cs="Times New Roman"/>
        </w:rPr>
        <w:t xml:space="preserve">study observed long-standing differences </w:t>
      </w:r>
      <w:r w:rsidR="00127BA3">
        <w:rPr>
          <w:rFonts w:ascii="Times New Roman" w:hAnsi="Times New Roman" w:cs="Times New Roman"/>
        </w:rPr>
        <w:t>marking the EU inter</w:t>
      </w:r>
      <w:r w:rsidR="00025B2F">
        <w:rPr>
          <w:rFonts w:ascii="Times New Roman" w:hAnsi="Times New Roman" w:cs="Times New Roman"/>
        </w:rPr>
        <w:t>institutional dialogue</w:t>
      </w:r>
      <w:r>
        <w:rPr>
          <w:rFonts w:ascii="Times New Roman" w:hAnsi="Times New Roman" w:cs="Times New Roman"/>
        </w:rPr>
        <w:t xml:space="preserve"> on whether and how to regulate interest groups’ participation in supranational policymaking. It highlighted an </w:t>
      </w:r>
      <w:r w:rsidRPr="00941480">
        <w:rPr>
          <w:rFonts w:ascii="Times New Roman" w:hAnsi="Times New Roman" w:cs="Times New Roman"/>
        </w:rPr>
        <w:t>important recent development:</w:t>
      </w:r>
      <w:r>
        <w:rPr>
          <w:rFonts w:ascii="Times New Roman" w:hAnsi="Times New Roman" w:cs="Times New Roman"/>
        </w:rPr>
        <w:t xml:space="preserve"> the Council’s </w:t>
      </w:r>
      <w:r w:rsidR="00025B2F">
        <w:rPr>
          <w:rFonts w:ascii="Times New Roman" w:hAnsi="Times New Roman" w:cs="Times New Roman"/>
        </w:rPr>
        <w:t>General-</w:t>
      </w:r>
      <w:r>
        <w:rPr>
          <w:rFonts w:ascii="Times New Roman" w:hAnsi="Times New Roman" w:cs="Times New Roman"/>
        </w:rPr>
        <w:t xml:space="preserve">Secretariat </w:t>
      </w:r>
      <w:r w:rsidR="00127BA3">
        <w:rPr>
          <w:rFonts w:ascii="Times New Roman" w:hAnsi="Times New Roman" w:cs="Times New Roman"/>
        </w:rPr>
        <w:t>would</w:t>
      </w:r>
      <w:r>
        <w:rPr>
          <w:rFonts w:ascii="Times New Roman" w:hAnsi="Times New Roman" w:cs="Times New Roman"/>
        </w:rPr>
        <w:t xml:space="preserve"> join the </w:t>
      </w:r>
      <w:r w:rsidR="00127BA3">
        <w:rPr>
          <w:rFonts w:ascii="Times New Roman" w:hAnsi="Times New Roman" w:cs="Times New Roman"/>
        </w:rPr>
        <w:t>mandatory TR</w:t>
      </w:r>
      <w:r>
        <w:rPr>
          <w:rFonts w:ascii="Times New Roman" w:hAnsi="Times New Roman" w:cs="Times New Roman"/>
        </w:rPr>
        <w:t xml:space="preserve">. </w:t>
      </w:r>
      <w:r w:rsidR="00025B2F">
        <w:rPr>
          <w:rFonts w:ascii="Times New Roman" w:hAnsi="Times New Roman" w:cs="Times New Roman"/>
        </w:rPr>
        <w:t>Key</w:t>
      </w:r>
      <w:r>
        <w:rPr>
          <w:rFonts w:ascii="Times New Roman" w:hAnsi="Times New Roman" w:cs="Times New Roman"/>
        </w:rPr>
        <w:t xml:space="preserve"> in understanding this shift is examining the Commission’s strategy to formulate a proposal for an interinstitutional agreement that made the negotiations amenable to compromise, by changing the Council’s strong opposition </w:t>
      </w:r>
      <w:r w:rsidRPr="00E0028D">
        <w:rPr>
          <w:rFonts w:ascii="Times New Roman" w:hAnsi="Times New Roman" w:cs="Times New Roman"/>
        </w:rPr>
        <w:t xml:space="preserve">to </w:t>
      </w:r>
      <w:r w:rsidR="00025B2F">
        <w:rPr>
          <w:rFonts w:ascii="Times New Roman" w:hAnsi="Times New Roman" w:cs="Times New Roman"/>
        </w:rPr>
        <w:t xml:space="preserve">accept </w:t>
      </w:r>
      <w:r w:rsidRPr="00E0028D">
        <w:rPr>
          <w:rFonts w:ascii="Times New Roman" w:hAnsi="Times New Roman" w:cs="Times New Roman"/>
        </w:rPr>
        <w:t>any form of lobbying regulation, while also satisfying the Parliament’s demands to regulate lobbying through a regulation or directive.</w:t>
      </w:r>
    </w:p>
    <w:p w14:paraId="62F23ECB" w14:textId="45942F25" w:rsidR="001D1DFF" w:rsidRDefault="001D1DFF" w:rsidP="00C62A9F">
      <w:pPr>
        <w:spacing w:line="360" w:lineRule="auto"/>
        <w:jc w:val="both"/>
        <w:rPr>
          <w:rFonts w:ascii="Times New Roman" w:hAnsi="Times New Roman" w:cs="Times New Roman"/>
        </w:rPr>
      </w:pPr>
      <w:r>
        <w:rPr>
          <w:rFonts w:ascii="Times New Roman" w:hAnsi="Times New Roman" w:cs="Times New Roman"/>
        </w:rPr>
        <w:tab/>
        <w:t xml:space="preserve">The study shows that in crafting this highly politicised proposal, the Commission acted as a political agenda-setter and legitimacy maximizer, interested in enhancing its input legitimacy and building a reputation for </w:t>
      </w:r>
      <w:r w:rsidRPr="00025B2F">
        <w:rPr>
          <w:rFonts w:ascii="Times New Roman" w:hAnsi="Times New Roman" w:cs="Times New Roman"/>
        </w:rPr>
        <w:t>being a representative and responsive to public preferences policy initiator.</w:t>
      </w:r>
      <w:r>
        <w:rPr>
          <w:rFonts w:ascii="Times New Roman" w:hAnsi="Times New Roman" w:cs="Times New Roman"/>
        </w:rPr>
        <w:t xml:space="preserve"> This strategy allowed the Commission to strengthen its negotiation leverage by tabling a proposal that showed high</w:t>
      </w:r>
      <w:r w:rsidR="00025B2F">
        <w:rPr>
          <w:rFonts w:ascii="Times New Roman" w:hAnsi="Times New Roman" w:cs="Times New Roman"/>
        </w:rPr>
        <w:t>er</w:t>
      </w:r>
      <w:r>
        <w:rPr>
          <w:rFonts w:ascii="Times New Roman" w:hAnsi="Times New Roman" w:cs="Times New Roman"/>
        </w:rPr>
        <w:t xml:space="preserve"> levels of congruence with preferences </w:t>
      </w:r>
      <w:r w:rsidR="00E0028D">
        <w:rPr>
          <w:rFonts w:ascii="Times New Roman" w:hAnsi="Times New Roman" w:cs="Times New Roman"/>
        </w:rPr>
        <w:t>of</w:t>
      </w:r>
      <w:r>
        <w:rPr>
          <w:rFonts w:ascii="Times New Roman" w:hAnsi="Times New Roman" w:cs="Times New Roman"/>
        </w:rPr>
        <w:t xml:space="preserve"> stakeholders representing the public in the consultation preceding the proposal. In contentious interinstitutional negotiations, on issues with high public salience and visibility, the Commission was ready to trade long-standing policy collaborators for a realignment with stakeholders that better serve</w:t>
      </w:r>
      <w:r w:rsidR="00025B2F">
        <w:rPr>
          <w:rFonts w:ascii="Times New Roman" w:hAnsi="Times New Roman" w:cs="Times New Roman"/>
        </w:rPr>
        <w:t>d</w:t>
      </w:r>
      <w:r>
        <w:rPr>
          <w:rFonts w:ascii="Times New Roman" w:hAnsi="Times New Roman" w:cs="Times New Roman"/>
        </w:rPr>
        <w:t xml:space="preserve"> its contemporaneous needs for </w:t>
      </w:r>
      <w:r w:rsidRPr="00E0028D">
        <w:rPr>
          <w:rFonts w:ascii="Times New Roman" w:hAnsi="Times New Roman" w:cs="Times New Roman"/>
        </w:rPr>
        <w:t>democratic</w:t>
      </w:r>
      <w:r>
        <w:rPr>
          <w:rFonts w:ascii="Times New Roman" w:hAnsi="Times New Roman" w:cs="Times New Roman"/>
        </w:rPr>
        <w:t xml:space="preserve"> legitimacy.</w:t>
      </w:r>
    </w:p>
    <w:p w14:paraId="025FD2C8" w14:textId="12400AF7" w:rsidR="001D1DFF" w:rsidRPr="005C2866" w:rsidRDefault="001D1DFF" w:rsidP="00C62A9F">
      <w:pPr>
        <w:spacing w:line="360" w:lineRule="auto"/>
        <w:jc w:val="both"/>
        <w:rPr>
          <w:rFonts w:ascii="Times New Roman" w:hAnsi="Times New Roman" w:cs="Times New Roman"/>
        </w:rPr>
      </w:pPr>
      <w:r>
        <w:rPr>
          <w:rFonts w:ascii="Times New Roman" w:hAnsi="Times New Roman" w:cs="Times New Roman"/>
        </w:rPr>
        <w:tab/>
        <w:t>The</w:t>
      </w:r>
      <w:r w:rsidR="00C417FE">
        <w:rPr>
          <w:rFonts w:ascii="Times New Roman" w:hAnsi="Times New Roman" w:cs="Times New Roman"/>
        </w:rPr>
        <w:t>se</w:t>
      </w:r>
      <w:r>
        <w:rPr>
          <w:rFonts w:ascii="Times New Roman" w:hAnsi="Times New Roman" w:cs="Times New Roman"/>
        </w:rPr>
        <w:t xml:space="preserve"> findings provide interesting insights into the </w:t>
      </w:r>
      <w:r w:rsidRPr="00C417FE">
        <w:rPr>
          <w:rFonts w:ascii="Times New Roman" w:hAnsi="Times New Roman" w:cs="Times New Roman"/>
        </w:rPr>
        <w:t>consequences of politicisation</w:t>
      </w:r>
      <w:r>
        <w:rPr>
          <w:rFonts w:ascii="Times New Roman" w:hAnsi="Times New Roman" w:cs="Times New Roman"/>
        </w:rPr>
        <w:t xml:space="preserve"> of supranational policymaking on the Commission’s agenda-setting strategies and </w:t>
      </w:r>
      <w:r w:rsidRPr="00C417FE">
        <w:rPr>
          <w:rFonts w:ascii="Times New Roman" w:hAnsi="Times New Roman" w:cs="Times New Roman"/>
        </w:rPr>
        <w:t>the adaptive mechanisms</w:t>
      </w:r>
      <w:r w:rsidRPr="005962DA">
        <w:rPr>
          <w:rFonts w:ascii="Times New Roman" w:hAnsi="Times New Roman" w:cs="Times New Roman"/>
        </w:rPr>
        <w:t xml:space="preserve"> it</w:t>
      </w:r>
      <w:r>
        <w:rPr>
          <w:rFonts w:ascii="Times New Roman" w:hAnsi="Times New Roman" w:cs="Times New Roman"/>
        </w:rPr>
        <w:t xml:space="preserve"> developed to enhance its institutional legitimacy and reputation in the context of contentious and politicised decision-making (Haverland et al. 2018). This addresses an important gap in the literature on the consequences of politicisation in the EU (Zürn 2016: 175). The findings illustrate the Commission’s adaptive and strategic behaviour in times of politicisation, decreasing institutional power due to treaty changes and increased public criticism for lack of democratic accountability. The European executive adapts by forming new policy coalitions that suit its reputational incentives and reinforce its claim for political legitimacy (Rauh 2016). An important implication is that, similar to how business groups were Commission’s foremost allies in the creation of a single European market (Coen and Richardson 2009), stakeholders representing public interests are now likely to become the Commission’s foremost allies on initiatives marked by high levels of politicisation and interinstitutional conflict. This </w:t>
      </w:r>
      <w:r w:rsidR="00E0028D">
        <w:rPr>
          <w:rFonts w:ascii="Times New Roman" w:hAnsi="Times New Roman" w:cs="Times New Roman"/>
        </w:rPr>
        <w:t>is consistent with</w:t>
      </w:r>
      <w:r>
        <w:rPr>
          <w:rFonts w:ascii="Times New Roman" w:hAnsi="Times New Roman" w:cs="Times New Roman"/>
        </w:rPr>
        <w:t xml:space="preserve"> recent research indicating a decline in the influence of corporate interests over EU decision-making across policy areas (Dür et al. 2015).</w:t>
      </w:r>
    </w:p>
    <w:p w14:paraId="5C105D0B" w14:textId="1933595C" w:rsidR="00470BD2" w:rsidRDefault="001D1DFF" w:rsidP="00C62A9F">
      <w:pPr>
        <w:spacing w:line="360" w:lineRule="auto"/>
        <w:jc w:val="both"/>
        <w:rPr>
          <w:rFonts w:ascii="Times New Roman" w:hAnsi="Times New Roman" w:cs="Times New Roman"/>
        </w:rPr>
      </w:pPr>
      <w:r>
        <w:rPr>
          <w:rFonts w:ascii="Times New Roman" w:hAnsi="Times New Roman" w:cs="Times New Roman"/>
        </w:rPr>
        <w:tab/>
        <w:t xml:space="preserve">Two key questions remain for future research: to what extent the Commission’s proposal and stakeholders’ positions on regulating EU lobbying were congruent to those of the political groupings in the EP? And, to what extent the terms of the adopted interinstitutional agreement reflect the Commission’s proposed measures for regulating </w:t>
      </w:r>
      <w:r w:rsidR="00470BD2">
        <w:rPr>
          <w:rFonts w:ascii="Times New Roman" w:hAnsi="Times New Roman" w:cs="Times New Roman"/>
        </w:rPr>
        <w:t>supranational</w:t>
      </w:r>
      <w:r>
        <w:rPr>
          <w:rFonts w:ascii="Times New Roman" w:hAnsi="Times New Roman" w:cs="Times New Roman"/>
        </w:rPr>
        <w:t xml:space="preserve"> </w:t>
      </w:r>
      <w:r w:rsidRPr="00C96665">
        <w:rPr>
          <w:rFonts w:ascii="Times New Roman" w:hAnsi="Times New Roman" w:cs="Times New Roman"/>
        </w:rPr>
        <w:t>lobbying? The negotiations are still underway.</w:t>
      </w:r>
      <w:r>
        <w:rPr>
          <w:rFonts w:ascii="Times New Roman" w:hAnsi="Times New Roman" w:cs="Times New Roman"/>
        </w:rPr>
        <w:t xml:space="preserve"> Answering these questions would allow assessing the effectiveness of EC’s agenda-setting strategies that rely on public consultations and stakeholders’ feedback in the context of politicised decision-making, and the EP role during negotiation talks and in determining negotiation outcomes. </w:t>
      </w:r>
    </w:p>
    <w:p w14:paraId="4A5EF7B5" w14:textId="77777777" w:rsidR="00F203C6" w:rsidRPr="00470BD2" w:rsidRDefault="00F203C6" w:rsidP="00CD3967">
      <w:pPr>
        <w:spacing w:line="480" w:lineRule="auto"/>
        <w:jc w:val="both"/>
        <w:rPr>
          <w:rFonts w:ascii="Times New Roman" w:hAnsi="Times New Roman" w:cs="Times New Roman"/>
        </w:rPr>
      </w:pPr>
    </w:p>
    <w:p w14:paraId="68F619E1" w14:textId="77777777" w:rsidR="001D1DFF" w:rsidRDefault="001D1DFF" w:rsidP="00C62A9F">
      <w:pPr>
        <w:spacing w:line="360" w:lineRule="auto"/>
        <w:jc w:val="both"/>
        <w:rPr>
          <w:rFonts w:ascii="Times New Roman" w:hAnsi="Times New Roman" w:cs="Times New Roman"/>
          <w:b/>
        </w:rPr>
      </w:pPr>
      <w:r>
        <w:rPr>
          <w:rFonts w:ascii="Times New Roman" w:hAnsi="Times New Roman" w:cs="Times New Roman"/>
          <w:b/>
        </w:rPr>
        <w:t>REFERENCES</w:t>
      </w:r>
    </w:p>
    <w:p w14:paraId="444BAA53" w14:textId="77777777" w:rsidR="001D1DFF" w:rsidRPr="0083028A" w:rsidRDefault="001D1DFF" w:rsidP="00C62A9F">
      <w:pPr>
        <w:spacing w:line="360" w:lineRule="auto"/>
        <w:ind w:left="720" w:hanging="720"/>
        <w:jc w:val="both"/>
        <w:rPr>
          <w:rFonts w:ascii="Times New Roman" w:hAnsi="Times New Roman" w:cs="Times New Roman"/>
        </w:rPr>
      </w:pPr>
      <w:r w:rsidRPr="0083028A">
        <w:rPr>
          <w:rFonts w:ascii="Times New Roman" w:hAnsi="Times New Roman" w:cs="Times New Roman"/>
        </w:rPr>
        <w:t>Balla, S.J (2000) ‘Political and organizational determinants of bureaucratic responsiveness.’</w:t>
      </w:r>
      <w:r>
        <w:rPr>
          <w:rFonts w:ascii="Times New Roman" w:hAnsi="Times New Roman" w:cs="Times New Roman"/>
        </w:rPr>
        <w:t xml:space="preserve"> </w:t>
      </w:r>
      <w:r w:rsidRPr="001028FE">
        <w:rPr>
          <w:rFonts w:ascii="Times New Roman" w:hAnsi="Times New Roman" w:cs="Times New Roman"/>
          <w:i/>
        </w:rPr>
        <w:t>American Politics Quarterly</w:t>
      </w:r>
      <w:r>
        <w:rPr>
          <w:rFonts w:ascii="Times New Roman" w:hAnsi="Times New Roman" w:cs="Times New Roman"/>
        </w:rPr>
        <w:t xml:space="preserve"> 28(2): 163-193.</w:t>
      </w:r>
    </w:p>
    <w:p w14:paraId="25D206F9" w14:textId="77777777" w:rsidR="001D1DFF" w:rsidRDefault="001D1DFF" w:rsidP="00C62A9F">
      <w:pPr>
        <w:spacing w:line="360" w:lineRule="auto"/>
        <w:ind w:left="720" w:hanging="720"/>
        <w:jc w:val="both"/>
        <w:rPr>
          <w:rFonts w:ascii="Times New Roman" w:hAnsi="Times New Roman" w:cs="Times New Roman"/>
        </w:rPr>
      </w:pPr>
      <w:r w:rsidRPr="004E58EA">
        <w:rPr>
          <w:rFonts w:ascii="Times New Roman" w:hAnsi="Times New Roman" w:cs="Times New Roman"/>
        </w:rPr>
        <w:t>Bernhagen, P</w:t>
      </w:r>
      <w:r>
        <w:rPr>
          <w:rFonts w:ascii="Times New Roman" w:hAnsi="Times New Roman" w:cs="Times New Roman"/>
        </w:rPr>
        <w:t>.</w:t>
      </w:r>
      <w:r w:rsidRPr="004E58EA">
        <w:rPr>
          <w:rFonts w:ascii="Times New Roman" w:hAnsi="Times New Roman" w:cs="Times New Roman"/>
        </w:rPr>
        <w:t>, Dur, A., Marshall, D. (2015)</w:t>
      </w:r>
      <w:r>
        <w:rPr>
          <w:rFonts w:ascii="Times New Roman" w:hAnsi="Times New Roman" w:cs="Times New Roman"/>
        </w:rPr>
        <w:t xml:space="preserve"> ‘Information or context: what accounts for positional proximity between the European Commission and lobbyists?’ </w:t>
      </w:r>
      <w:r w:rsidRPr="004E58EA">
        <w:rPr>
          <w:rFonts w:ascii="Times New Roman" w:hAnsi="Times New Roman" w:cs="Times New Roman"/>
          <w:i/>
        </w:rPr>
        <w:t>Journal of European Public Policy</w:t>
      </w:r>
      <w:r>
        <w:rPr>
          <w:rFonts w:ascii="Times New Roman" w:hAnsi="Times New Roman" w:cs="Times New Roman"/>
        </w:rPr>
        <w:t xml:space="preserve"> 22(4): 570-587. </w:t>
      </w:r>
    </w:p>
    <w:p w14:paraId="0562499D" w14:textId="77777777" w:rsidR="001D1DFF" w:rsidRDefault="001D1DFF" w:rsidP="00C62A9F">
      <w:pPr>
        <w:spacing w:line="360" w:lineRule="auto"/>
        <w:ind w:left="720" w:hanging="720"/>
        <w:jc w:val="both"/>
        <w:rPr>
          <w:rFonts w:ascii="Times New Roman" w:hAnsi="Times New Roman" w:cs="Times New Roman"/>
        </w:rPr>
      </w:pPr>
      <w:r>
        <w:rPr>
          <w:rFonts w:ascii="Times New Roman" w:hAnsi="Times New Roman" w:cs="Times New Roman"/>
        </w:rPr>
        <w:t xml:space="preserve">Bouwen, P. (2007) ‘Competing for consultation: Civil society and conflict between the European Commission and the European Parliament.’ </w:t>
      </w:r>
      <w:r w:rsidRPr="007A19B2">
        <w:rPr>
          <w:rFonts w:ascii="Times New Roman" w:hAnsi="Times New Roman" w:cs="Times New Roman"/>
          <w:i/>
        </w:rPr>
        <w:t>West European Politics</w:t>
      </w:r>
      <w:r>
        <w:rPr>
          <w:rFonts w:ascii="Times New Roman" w:hAnsi="Times New Roman" w:cs="Times New Roman"/>
        </w:rPr>
        <w:t xml:space="preserve"> 30(2): 265-284.</w:t>
      </w:r>
    </w:p>
    <w:p w14:paraId="26AEC6A2" w14:textId="77777777" w:rsidR="001D1DFF" w:rsidRDefault="001D1DF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Bunea, A. (2018). ‘</w:t>
      </w:r>
      <w:r w:rsidRPr="009537D7">
        <w:rPr>
          <w:rFonts w:ascii="Times New Roman" w:hAnsi="Times New Roman" w:cs="Times New Roman"/>
          <w:color w:val="000000"/>
        </w:rPr>
        <w:t>Legitimacy through targeted transparency? Regulatory effectiveness and sustainability of lobbying regulation in the European Union.</w:t>
      </w:r>
      <w:r>
        <w:rPr>
          <w:rFonts w:ascii="Times New Roman" w:hAnsi="Times New Roman" w:cs="Times New Roman"/>
          <w:color w:val="000000"/>
        </w:rPr>
        <w:t>’</w:t>
      </w:r>
      <w:r w:rsidRPr="009537D7">
        <w:rPr>
          <w:rFonts w:ascii="Times New Roman" w:hAnsi="Times New Roman" w:cs="Times New Roman"/>
          <w:color w:val="000000"/>
        </w:rPr>
        <w:t xml:space="preserve"> </w:t>
      </w:r>
      <w:r>
        <w:rPr>
          <w:rFonts w:ascii="Times New Roman" w:hAnsi="Times New Roman" w:cs="Times New Roman"/>
          <w:i/>
          <w:color w:val="000000"/>
        </w:rPr>
        <w:t>European Journal of Political R</w:t>
      </w:r>
      <w:r w:rsidRPr="00F45FCA">
        <w:rPr>
          <w:rFonts w:ascii="Times New Roman" w:hAnsi="Times New Roman" w:cs="Times New Roman"/>
          <w:i/>
          <w:color w:val="000000"/>
        </w:rPr>
        <w:t>esearch</w:t>
      </w:r>
      <w:r>
        <w:rPr>
          <w:rFonts w:ascii="Times New Roman" w:hAnsi="Times New Roman" w:cs="Times New Roman"/>
          <w:color w:val="000000"/>
        </w:rPr>
        <w:t xml:space="preserve"> 57(2): 378-403.</w:t>
      </w:r>
    </w:p>
    <w:p w14:paraId="1A06E9FA" w14:textId="77777777" w:rsidR="001D1DFF" w:rsidRPr="009537D7" w:rsidRDefault="001D1DF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Bunea, A. (2017</w:t>
      </w:r>
      <w:r w:rsidRPr="009537D7">
        <w:rPr>
          <w:rFonts w:ascii="Times New Roman" w:hAnsi="Times New Roman" w:cs="Times New Roman"/>
          <w:color w:val="000000"/>
        </w:rPr>
        <w:t xml:space="preserve">). ‘Designing stakeholder consultations: Reinforcing or alleviating bias in the European union system of governance?’ </w:t>
      </w:r>
      <w:r w:rsidRPr="009537D7">
        <w:rPr>
          <w:rFonts w:ascii="Times New Roman" w:hAnsi="Times New Roman" w:cs="Times New Roman"/>
          <w:i/>
          <w:iCs/>
          <w:color w:val="000000"/>
        </w:rPr>
        <w:t xml:space="preserve">European Journal of Political Research </w:t>
      </w:r>
      <w:r w:rsidRPr="009537D7">
        <w:rPr>
          <w:rFonts w:ascii="Times New Roman" w:hAnsi="Times New Roman" w:cs="Times New Roman"/>
          <w:color w:val="000000"/>
        </w:rPr>
        <w:t xml:space="preserve">56(1): 46–69. </w:t>
      </w:r>
    </w:p>
    <w:p w14:paraId="164AED58" w14:textId="77777777" w:rsidR="001D1DFF" w:rsidRDefault="001D1DFF" w:rsidP="00C62A9F">
      <w:pP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Bunea, A., Ibenskas R. (2017) ‘Unveiling Patterns of contestation over Better Regulation reforms in the European Union.’ </w:t>
      </w:r>
      <w:r w:rsidRPr="008F7702">
        <w:rPr>
          <w:rFonts w:ascii="Times New Roman" w:hAnsi="Times New Roman" w:cs="Times New Roman"/>
          <w:i/>
          <w:color w:val="000000"/>
        </w:rPr>
        <w:t xml:space="preserve">Public </w:t>
      </w:r>
      <w:r w:rsidRPr="00916F28">
        <w:rPr>
          <w:rFonts w:ascii="Times New Roman" w:hAnsi="Times New Roman" w:cs="Times New Roman"/>
          <w:i/>
          <w:color w:val="000000"/>
        </w:rPr>
        <w:t>Administration</w:t>
      </w:r>
      <w:r w:rsidRPr="00916F28">
        <w:rPr>
          <w:rFonts w:ascii="Times New Roman" w:hAnsi="Times New Roman" w:cs="Times New Roman"/>
          <w:color w:val="000000"/>
        </w:rPr>
        <w:t xml:space="preserve"> </w:t>
      </w:r>
      <w:r>
        <w:rPr>
          <w:rFonts w:ascii="Times New Roman" w:hAnsi="Times New Roman" w:cs="Times New Roman"/>
          <w:color w:val="000000"/>
        </w:rPr>
        <w:t>95(3): 589-604.</w:t>
      </w:r>
    </w:p>
    <w:p w14:paraId="5380146C" w14:textId="77777777" w:rsidR="001D1DFF" w:rsidRDefault="001D1DFF" w:rsidP="00C62A9F">
      <w:pP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Bunea A., Thomson, R. (2015) ‘Consultations with Interest Groups and the Empowerment of Executive: Evidence from the European Union.’ </w:t>
      </w:r>
      <w:r w:rsidRPr="00FF0D4F">
        <w:rPr>
          <w:rFonts w:ascii="Times New Roman" w:hAnsi="Times New Roman" w:cs="Times New Roman"/>
          <w:i/>
          <w:color w:val="000000"/>
        </w:rPr>
        <w:t>Governance</w:t>
      </w:r>
      <w:r>
        <w:rPr>
          <w:rFonts w:ascii="Times New Roman" w:hAnsi="Times New Roman" w:cs="Times New Roman"/>
          <w:color w:val="000000"/>
        </w:rPr>
        <w:t xml:space="preserve"> 28(4): 517-531.</w:t>
      </w:r>
    </w:p>
    <w:p w14:paraId="739C49B3" w14:textId="18498248" w:rsidR="001D1DFF" w:rsidRDefault="001D1DFF" w:rsidP="00C62A9F">
      <w:pPr>
        <w:widowControl w:val="0"/>
        <w:autoSpaceDE w:val="0"/>
        <w:autoSpaceDN w:val="0"/>
        <w:adjustRightInd w:val="0"/>
        <w:spacing w:line="360" w:lineRule="auto"/>
        <w:ind w:left="720" w:hanging="720"/>
        <w:jc w:val="both"/>
        <w:rPr>
          <w:rFonts w:ascii="Times" w:hAnsi="Times" w:cs="Times"/>
          <w:color w:val="000000"/>
        </w:rPr>
      </w:pPr>
      <w:r>
        <w:rPr>
          <w:rFonts w:ascii="Times" w:hAnsi="Times" w:cs="Times"/>
          <w:color w:val="000000"/>
        </w:rPr>
        <w:t xml:space="preserve">Carpenter, D. P. (2001). </w:t>
      </w:r>
      <w:r>
        <w:rPr>
          <w:rFonts w:ascii="Times" w:hAnsi="Times" w:cs="Times"/>
          <w:i/>
          <w:iCs/>
          <w:color w:val="000000"/>
        </w:rPr>
        <w:t>The Forging of Bureaucratic Autonomy: Reputations, Networks, and Policy Innovation in Executive Agencies 1862–1928</w:t>
      </w:r>
      <w:r>
        <w:rPr>
          <w:rFonts w:ascii="Times" w:hAnsi="Times" w:cs="Times"/>
          <w:color w:val="000000"/>
        </w:rPr>
        <w:t xml:space="preserve">. </w:t>
      </w:r>
      <w:r w:rsidR="00A92BCC">
        <w:rPr>
          <w:rFonts w:ascii="Times" w:hAnsi="Times" w:cs="Times"/>
          <w:color w:val="000000"/>
        </w:rPr>
        <w:t xml:space="preserve">Princeton: </w:t>
      </w:r>
      <w:r>
        <w:rPr>
          <w:rFonts w:ascii="Times" w:hAnsi="Times" w:cs="Times"/>
          <w:color w:val="000000"/>
        </w:rPr>
        <w:t xml:space="preserve">Princeton University Press. </w:t>
      </w:r>
    </w:p>
    <w:p w14:paraId="4DC44965" w14:textId="77777777" w:rsidR="001D1DFF" w:rsidRDefault="001D1DFF" w:rsidP="00C62A9F">
      <w:pPr>
        <w:widowControl w:val="0"/>
        <w:autoSpaceDE w:val="0"/>
        <w:autoSpaceDN w:val="0"/>
        <w:adjustRightInd w:val="0"/>
        <w:spacing w:line="360" w:lineRule="auto"/>
        <w:ind w:left="720" w:hanging="720"/>
        <w:jc w:val="both"/>
        <w:rPr>
          <w:rFonts w:ascii="Times" w:hAnsi="Times" w:cs="Times"/>
          <w:color w:val="000000"/>
        </w:rPr>
      </w:pPr>
      <w:r>
        <w:rPr>
          <w:rFonts w:ascii="Times" w:hAnsi="Times" w:cs="Times"/>
          <w:color w:val="000000"/>
        </w:rPr>
        <w:t xml:space="preserve">Carpenter, D.P., Krause, G.A (2012) ‘Reputation and Public Administration’ </w:t>
      </w:r>
      <w:r w:rsidRPr="00115C5B">
        <w:rPr>
          <w:rFonts w:ascii="Times" w:hAnsi="Times" w:cs="Times"/>
          <w:i/>
          <w:color w:val="000000"/>
        </w:rPr>
        <w:t>Public Administration Review</w:t>
      </w:r>
      <w:r>
        <w:rPr>
          <w:rFonts w:ascii="Times" w:hAnsi="Times" w:cs="Times"/>
          <w:color w:val="000000"/>
        </w:rPr>
        <w:t xml:space="preserve"> 72(1): 26-32.</w:t>
      </w:r>
    </w:p>
    <w:p w14:paraId="7E407AC9" w14:textId="77777777" w:rsidR="001D1DFF" w:rsidRDefault="001D1DFF" w:rsidP="00C62A9F">
      <w:pPr>
        <w:widowControl w:val="0"/>
        <w:autoSpaceDE w:val="0"/>
        <w:autoSpaceDN w:val="0"/>
        <w:adjustRightInd w:val="0"/>
        <w:spacing w:line="360" w:lineRule="auto"/>
        <w:ind w:left="720" w:hanging="720"/>
        <w:jc w:val="both"/>
        <w:rPr>
          <w:rFonts w:ascii="Times" w:hAnsi="Times" w:cs="Times"/>
          <w:color w:val="000000"/>
        </w:rPr>
      </w:pPr>
      <w:r w:rsidRPr="0004554A">
        <w:rPr>
          <w:rFonts w:ascii="Times New Roman" w:hAnsi="Times New Roman" w:cs="Times New Roman"/>
          <w:color w:val="000000"/>
        </w:rPr>
        <w:t xml:space="preserve">Cini, M. (2013). </w:t>
      </w:r>
      <w:r>
        <w:rPr>
          <w:rFonts w:ascii="Times New Roman" w:hAnsi="Times New Roman" w:cs="Times New Roman"/>
          <w:color w:val="000000"/>
        </w:rPr>
        <w:t>‘</w:t>
      </w:r>
      <w:r w:rsidRPr="0004554A">
        <w:rPr>
          <w:rFonts w:ascii="Times New Roman" w:hAnsi="Times New Roman" w:cs="Times New Roman"/>
          <w:color w:val="000000"/>
        </w:rPr>
        <w:t>EU decision-making on inter-institutional agreements: Defining (common) rules of conduct for European lobbyists and public servants.</w:t>
      </w:r>
      <w:r>
        <w:rPr>
          <w:rFonts w:ascii="Times New Roman" w:hAnsi="Times New Roman" w:cs="Times New Roman"/>
          <w:color w:val="000000"/>
        </w:rPr>
        <w:t>’</w:t>
      </w:r>
      <w:r w:rsidRPr="0004554A">
        <w:rPr>
          <w:rFonts w:ascii="Times New Roman" w:hAnsi="Times New Roman" w:cs="Times New Roman"/>
          <w:color w:val="000000"/>
        </w:rPr>
        <w:t xml:space="preserve"> </w:t>
      </w:r>
      <w:r w:rsidRPr="0004554A">
        <w:rPr>
          <w:rFonts w:ascii="Times New Roman" w:hAnsi="Times New Roman" w:cs="Times New Roman"/>
          <w:i/>
          <w:iCs/>
          <w:color w:val="000000"/>
        </w:rPr>
        <w:t xml:space="preserve">West European Politics </w:t>
      </w:r>
      <w:r>
        <w:rPr>
          <w:rFonts w:ascii="Times New Roman" w:hAnsi="Times New Roman" w:cs="Times New Roman"/>
          <w:color w:val="000000"/>
        </w:rPr>
        <w:t>36(6): 1143-</w:t>
      </w:r>
      <w:r w:rsidRPr="0004554A">
        <w:rPr>
          <w:rFonts w:ascii="Times New Roman" w:hAnsi="Times New Roman" w:cs="Times New Roman"/>
          <w:color w:val="000000"/>
        </w:rPr>
        <w:t xml:space="preserve">1158. </w:t>
      </w:r>
    </w:p>
    <w:p w14:paraId="0AB35BB9" w14:textId="77777777" w:rsidR="001D1DFF" w:rsidRPr="00826B64" w:rsidRDefault="001D1DFF" w:rsidP="00C62A9F">
      <w:pPr>
        <w:widowControl w:val="0"/>
        <w:autoSpaceDE w:val="0"/>
        <w:autoSpaceDN w:val="0"/>
        <w:adjustRightInd w:val="0"/>
        <w:spacing w:line="360" w:lineRule="auto"/>
        <w:ind w:left="720" w:hanging="720"/>
        <w:jc w:val="both"/>
        <w:rPr>
          <w:rFonts w:ascii="Times" w:hAnsi="Times" w:cs="Times"/>
          <w:color w:val="000000"/>
        </w:rPr>
      </w:pPr>
      <w:r>
        <w:rPr>
          <w:rFonts w:ascii="Times" w:hAnsi="Times" w:cs="Times"/>
          <w:color w:val="000000"/>
        </w:rPr>
        <w:t xml:space="preserve">Coen, D., Richardson, D. (eds.) (2009). </w:t>
      </w:r>
      <w:r>
        <w:rPr>
          <w:rFonts w:ascii="Times" w:hAnsi="Times" w:cs="Times"/>
          <w:i/>
          <w:iCs/>
          <w:color w:val="000000"/>
        </w:rPr>
        <w:t>Lobbying the European Union</w:t>
      </w:r>
      <w:r>
        <w:rPr>
          <w:rFonts w:ascii="Times" w:hAnsi="Times" w:cs="Times"/>
          <w:color w:val="000000"/>
        </w:rPr>
        <w:t xml:space="preserve">. Oxford: Oxford University Press. </w:t>
      </w:r>
    </w:p>
    <w:p w14:paraId="1DD26E7F" w14:textId="77777777" w:rsidR="001D1DFF" w:rsidRPr="0004554A" w:rsidRDefault="001D1DFF" w:rsidP="00C62A9F">
      <w:pPr>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Costello, R., Thomson, R., (2013). ‘The distribution of power among EU institutions: who wins under codecision and why? </w:t>
      </w:r>
      <w:r w:rsidRPr="0004554A">
        <w:rPr>
          <w:rFonts w:ascii="Times New Roman" w:hAnsi="Times New Roman" w:cs="Times New Roman"/>
          <w:i/>
          <w:color w:val="000000"/>
        </w:rPr>
        <w:t>Journal of European Public Policy</w:t>
      </w:r>
      <w:r>
        <w:rPr>
          <w:rFonts w:ascii="Times New Roman" w:hAnsi="Times New Roman" w:cs="Times New Roman"/>
          <w:i/>
          <w:color w:val="000000"/>
        </w:rPr>
        <w:t xml:space="preserve"> </w:t>
      </w:r>
      <w:r>
        <w:rPr>
          <w:rFonts w:ascii="Times New Roman" w:hAnsi="Times New Roman" w:cs="Times New Roman"/>
          <w:color w:val="000000"/>
        </w:rPr>
        <w:t>20(7): 1025-1039.</w:t>
      </w:r>
    </w:p>
    <w:p w14:paraId="2CE5D102" w14:textId="77777777" w:rsidR="001D1DFF" w:rsidRDefault="001D1DFF" w:rsidP="00C62A9F">
      <w:pPr>
        <w:spacing w:line="360" w:lineRule="auto"/>
        <w:ind w:left="720" w:hanging="720"/>
        <w:jc w:val="both"/>
        <w:rPr>
          <w:rFonts w:ascii="Times New Roman" w:hAnsi="Times New Roman" w:cs="Times New Roman"/>
        </w:rPr>
      </w:pPr>
      <w:r>
        <w:rPr>
          <w:rFonts w:ascii="Times New Roman" w:hAnsi="Times New Roman" w:cs="Times New Roman"/>
        </w:rPr>
        <w:t xml:space="preserve">De Wilder, P. (2011). ‘No Polity for Old Politics? A Framework for Analysing the Politicization of European Integration.’ </w:t>
      </w:r>
      <w:r w:rsidRPr="00A2137B">
        <w:rPr>
          <w:rFonts w:ascii="Times New Roman" w:hAnsi="Times New Roman" w:cs="Times New Roman"/>
          <w:i/>
        </w:rPr>
        <w:t>Journal of European Integration</w:t>
      </w:r>
      <w:r>
        <w:rPr>
          <w:rFonts w:ascii="Times New Roman" w:hAnsi="Times New Roman" w:cs="Times New Roman"/>
        </w:rPr>
        <w:t xml:space="preserve"> 33(5): 559-575.</w:t>
      </w:r>
    </w:p>
    <w:p w14:paraId="07900F86" w14:textId="77777777" w:rsidR="001D1DFF" w:rsidRDefault="001D1DFF" w:rsidP="00C62A9F">
      <w:pPr>
        <w:spacing w:line="360" w:lineRule="auto"/>
        <w:ind w:left="720" w:hanging="720"/>
        <w:jc w:val="both"/>
        <w:rPr>
          <w:rFonts w:ascii="Times New Roman" w:hAnsi="Times New Roman" w:cs="Times New Roman"/>
        </w:rPr>
      </w:pPr>
      <w:r>
        <w:rPr>
          <w:rFonts w:ascii="Times New Roman" w:hAnsi="Times New Roman" w:cs="Times New Roman"/>
        </w:rPr>
        <w:t xml:space="preserve">Driessen, B. (2008) ‘Interinstitutional Conventions and institutional balance.’ </w:t>
      </w:r>
      <w:r w:rsidRPr="00FD6452">
        <w:rPr>
          <w:rFonts w:ascii="Times New Roman" w:hAnsi="Times New Roman" w:cs="Times New Roman"/>
          <w:i/>
        </w:rPr>
        <w:t>European Law Review</w:t>
      </w:r>
      <w:r>
        <w:rPr>
          <w:rFonts w:ascii="Times New Roman" w:hAnsi="Times New Roman" w:cs="Times New Roman"/>
        </w:rPr>
        <w:t xml:space="preserve"> 33(4): 550-562.</w:t>
      </w:r>
    </w:p>
    <w:p w14:paraId="3CB03A55" w14:textId="5717CE09" w:rsidR="001D1DFF" w:rsidRPr="00B150B4" w:rsidRDefault="001D1DFF" w:rsidP="00C62A9F">
      <w:pPr>
        <w:spacing w:line="360" w:lineRule="auto"/>
        <w:ind w:left="720" w:hanging="720"/>
        <w:jc w:val="both"/>
        <w:rPr>
          <w:rFonts w:ascii="Times New Roman" w:hAnsi="Times New Roman" w:cs="Times New Roman"/>
        </w:rPr>
      </w:pPr>
      <w:r>
        <w:rPr>
          <w:rFonts w:ascii="Times New Roman" w:hAnsi="Times New Roman" w:cs="Times New Roman"/>
        </w:rPr>
        <w:t>Dür, A., Bernhagen, P., Marshall, D. (2015). ‘Interest Group Success in the European Union: When (and Why) Does Business lose</w:t>
      </w:r>
      <w:r w:rsidR="00A92BCC">
        <w:rPr>
          <w:rFonts w:ascii="Times New Roman" w:hAnsi="Times New Roman" w:cs="Times New Roman"/>
        </w:rPr>
        <w:t>.</w:t>
      </w:r>
      <w:r>
        <w:rPr>
          <w:rFonts w:ascii="Times New Roman" w:hAnsi="Times New Roman" w:cs="Times New Roman"/>
        </w:rPr>
        <w:t xml:space="preserve">’ </w:t>
      </w:r>
      <w:r w:rsidRPr="00F45FCA">
        <w:rPr>
          <w:rFonts w:ascii="Times New Roman" w:hAnsi="Times New Roman" w:cs="Times New Roman"/>
          <w:i/>
        </w:rPr>
        <w:t>Comparative Political Studies</w:t>
      </w:r>
      <w:r>
        <w:rPr>
          <w:rFonts w:ascii="Times New Roman" w:hAnsi="Times New Roman" w:cs="Times New Roman"/>
        </w:rPr>
        <w:t xml:space="preserve"> 48(8): 951-983. </w:t>
      </w:r>
    </w:p>
    <w:p w14:paraId="4FBAA0A0" w14:textId="0181E6DC" w:rsidR="001D1DFF" w:rsidRPr="004529FC" w:rsidRDefault="001D1DFF" w:rsidP="00C62A9F">
      <w:pPr>
        <w:widowControl w:val="0"/>
        <w:autoSpaceDE w:val="0"/>
        <w:autoSpaceDN w:val="0"/>
        <w:adjustRightInd w:val="0"/>
        <w:spacing w:line="360" w:lineRule="auto"/>
        <w:ind w:left="720" w:hanging="720"/>
        <w:jc w:val="both"/>
        <w:rPr>
          <w:rFonts w:ascii="Times New Roman" w:hAnsi="Times New Roman" w:cs="Times New Roman"/>
        </w:rPr>
      </w:pPr>
      <w:r w:rsidRPr="00B150B4">
        <w:rPr>
          <w:rFonts w:ascii="Times New Roman" w:hAnsi="Times New Roman" w:cs="Times New Roman"/>
        </w:rPr>
        <w:t>Ellinas, A</w:t>
      </w:r>
      <w:r>
        <w:rPr>
          <w:rFonts w:ascii="Times New Roman" w:hAnsi="Times New Roman" w:cs="Times New Roman"/>
        </w:rPr>
        <w:t>.</w:t>
      </w:r>
      <w:r w:rsidRPr="00B150B4">
        <w:rPr>
          <w:rFonts w:ascii="Times New Roman" w:hAnsi="Times New Roman" w:cs="Times New Roman"/>
        </w:rPr>
        <w:t>A., Suleiman</w:t>
      </w:r>
      <w:r>
        <w:rPr>
          <w:rFonts w:ascii="Times New Roman" w:hAnsi="Times New Roman" w:cs="Times New Roman"/>
        </w:rPr>
        <w:t xml:space="preserve"> E</w:t>
      </w:r>
      <w:r w:rsidRPr="00B150B4">
        <w:rPr>
          <w:rFonts w:ascii="Times New Roman" w:hAnsi="Times New Roman" w:cs="Times New Roman"/>
        </w:rPr>
        <w:t xml:space="preserve">. </w:t>
      </w:r>
      <w:r>
        <w:rPr>
          <w:rFonts w:ascii="Times New Roman" w:hAnsi="Times New Roman" w:cs="Times New Roman"/>
        </w:rPr>
        <w:t>(</w:t>
      </w:r>
      <w:r w:rsidRPr="00B150B4">
        <w:rPr>
          <w:rFonts w:ascii="Times New Roman" w:hAnsi="Times New Roman" w:cs="Times New Roman"/>
        </w:rPr>
        <w:t>2012</w:t>
      </w:r>
      <w:r>
        <w:rPr>
          <w:rFonts w:ascii="Times New Roman" w:hAnsi="Times New Roman" w:cs="Times New Roman"/>
        </w:rPr>
        <w:t>)</w:t>
      </w:r>
      <w:r w:rsidRPr="00B150B4">
        <w:rPr>
          <w:rFonts w:ascii="Times New Roman" w:hAnsi="Times New Roman" w:cs="Times New Roman"/>
        </w:rPr>
        <w:t xml:space="preserve">. </w:t>
      </w:r>
      <w:r w:rsidRPr="00B150B4">
        <w:rPr>
          <w:rFonts w:ascii="Times New Roman" w:hAnsi="Times New Roman" w:cs="Times New Roman"/>
          <w:i/>
        </w:rPr>
        <w:t xml:space="preserve">The European Commission and Bureaucratic Autonomy: </w:t>
      </w:r>
      <w:r w:rsidRPr="004529FC">
        <w:rPr>
          <w:rFonts w:ascii="Times New Roman" w:hAnsi="Times New Roman" w:cs="Times New Roman"/>
          <w:i/>
        </w:rPr>
        <w:t>Europe’s Custodians.</w:t>
      </w:r>
      <w:r w:rsidRPr="004529FC">
        <w:rPr>
          <w:rFonts w:ascii="Times New Roman" w:hAnsi="Times New Roman" w:cs="Times New Roman"/>
        </w:rPr>
        <w:t xml:space="preserve"> </w:t>
      </w:r>
      <w:r w:rsidR="00A92BCC">
        <w:rPr>
          <w:rFonts w:ascii="Times New Roman" w:hAnsi="Times New Roman" w:cs="Times New Roman"/>
        </w:rPr>
        <w:t xml:space="preserve">Cambridge: </w:t>
      </w:r>
      <w:r w:rsidRPr="004529FC">
        <w:rPr>
          <w:rFonts w:ascii="Times New Roman" w:hAnsi="Times New Roman" w:cs="Times New Roman"/>
        </w:rPr>
        <w:t>Cambridge University Press.</w:t>
      </w:r>
    </w:p>
    <w:p w14:paraId="31863127" w14:textId="66D53BCB" w:rsidR="001D1DFF" w:rsidRPr="0004554A" w:rsidRDefault="001D1DFF" w:rsidP="00C62A9F">
      <w:pPr>
        <w:widowControl w:val="0"/>
        <w:autoSpaceDE w:val="0"/>
        <w:autoSpaceDN w:val="0"/>
        <w:adjustRightInd w:val="0"/>
        <w:spacing w:line="360" w:lineRule="auto"/>
        <w:ind w:left="720" w:hanging="720"/>
        <w:jc w:val="both"/>
        <w:rPr>
          <w:rFonts w:ascii="Times New Roman" w:hAnsi="Times New Roman" w:cs="Times New Roman"/>
        </w:rPr>
      </w:pPr>
      <w:r w:rsidRPr="004529FC">
        <w:rPr>
          <w:rFonts w:ascii="Times New Roman" w:hAnsi="Times New Roman" w:cs="Times New Roman"/>
        </w:rPr>
        <w:t xml:space="preserve">Esterling, K. (2004) </w:t>
      </w:r>
      <w:r w:rsidRPr="00A92BCC">
        <w:rPr>
          <w:rFonts w:ascii="Times New Roman" w:hAnsi="Times New Roman" w:cs="Times New Roman"/>
          <w:i/>
        </w:rPr>
        <w:t>The Political Economy of Expertise</w:t>
      </w:r>
      <w:r w:rsidRPr="004529FC">
        <w:rPr>
          <w:rFonts w:ascii="Times New Roman" w:hAnsi="Times New Roman" w:cs="Times New Roman"/>
        </w:rPr>
        <w:t xml:space="preserve">. </w:t>
      </w:r>
      <w:r w:rsidR="00A92BCC">
        <w:rPr>
          <w:rFonts w:ascii="Times New Roman" w:hAnsi="Times New Roman" w:cs="Times New Roman"/>
        </w:rPr>
        <w:t xml:space="preserve">Ann Harbour: </w:t>
      </w:r>
      <w:r w:rsidRPr="004529FC">
        <w:rPr>
          <w:rFonts w:ascii="Times New Roman" w:hAnsi="Times New Roman" w:cs="Times New Roman"/>
        </w:rPr>
        <w:t>Michigan University Press.</w:t>
      </w:r>
    </w:p>
    <w:p w14:paraId="0418714D" w14:textId="2795CD62" w:rsidR="001D1DFF" w:rsidRDefault="001D1DF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sidRPr="0004554A">
        <w:rPr>
          <w:rFonts w:ascii="Times New Roman" w:hAnsi="Times New Roman" w:cs="Times New Roman"/>
          <w:color w:val="000000"/>
        </w:rPr>
        <w:t xml:space="preserve">Greenwood, J. (2011). </w:t>
      </w:r>
      <w:r w:rsidR="00DC2DAF">
        <w:rPr>
          <w:rFonts w:ascii="Times New Roman" w:hAnsi="Times New Roman" w:cs="Times New Roman"/>
          <w:color w:val="000000"/>
        </w:rPr>
        <w:t>‘</w:t>
      </w:r>
      <w:r w:rsidRPr="0004554A">
        <w:rPr>
          <w:rFonts w:ascii="Times New Roman" w:hAnsi="Times New Roman" w:cs="Times New Roman"/>
          <w:color w:val="000000"/>
        </w:rPr>
        <w:t>The lobbing regulation element of the European Transparency Initiative: Between liberal and deliberative model of democracy.</w:t>
      </w:r>
      <w:r w:rsidR="00DC2DAF">
        <w:rPr>
          <w:rFonts w:ascii="Times New Roman" w:hAnsi="Times New Roman" w:cs="Times New Roman"/>
          <w:color w:val="000000"/>
        </w:rPr>
        <w:t>’</w:t>
      </w:r>
      <w:r w:rsidRPr="0004554A">
        <w:rPr>
          <w:rFonts w:ascii="Times New Roman" w:hAnsi="Times New Roman" w:cs="Times New Roman"/>
          <w:color w:val="000000"/>
        </w:rPr>
        <w:t xml:space="preserve"> </w:t>
      </w:r>
      <w:r w:rsidRPr="0004554A">
        <w:rPr>
          <w:rFonts w:ascii="Times New Roman" w:hAnsi="Times New Roman" w:cs="Times New Roman"/>
          <w:i/>
          <w:iCs/>
          <w:color w:val="000000"/>
        </w:rPr>
        <w:t xml:space="preserve">Comparative European Politics </w:t>
      </w:r>
      <w:r w:rsidRPr="0004554A">
        <w:rPr>
          <w:rFonts w:ascii="Times New Roman" w:hAnsi="Times New Roman" w:cs="Times New Roman"/>
          <w:color w:val="000000"/>
        </w:rPr>
        <w:t xml:space="preserve">9(3): 317–343. </w:t>
      </w:r>
    </w:p>
    <w:p w14:paraId="31E25C76" w14:textId="3208EEAE" w:rsidR="00C62A9F" w:rsidRDefault="00C62A9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Greenwood, J. and Dreger, J. (2013) ‘The Transparency Register: A European vanguard of strong lobby regulation?’ </w:t>
      </w:r>
      <w:r w:rsidRPr="00C62A9F">
        <w:rPr>
          <w:rFonts w:ascii="Times New Roman" w:hAnsi="Times New Roman" w:cs="Times New Roman"/>
          <w:i/>
          <w:color w:val="000000"/>
        </w:rPr>
        <w:t>Interest Group and Advocacy</w:t>
      </w:r>
      <w:r>
        <w:rPr>
          <w:rFonts w:ascii="Times New Roman" w:hAnsi="Times New Roman" w:cs="Times New Roman"/>
          <w:color w:val="000000"/>
        </w:rPr>
        <w:t xml:space="preserve"> 2(2): 139-162.</w:t>
      </w:r>
    </w:p>
    <w:p w14:paraId="68CEE123" w14:textId="2CCF905F" w:rsidR="00C62A9F" w:rsidRDefault="00C62A9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Gormley, W.T. and Balla, S.J. (2013) Bureaucracy and Democracy: Accountability and Performance”. Washington, DC: CQ Press. 2</w:t>
      </w:r>
      <w:r w:rsidRPr="00C62A9F">
        <w:rPr>
          <w:rFonts w:ascii="Times New Roman" w:hAnsi="Times New Roman" w:cs="Times New Roman"/>
          <w:color w:val="000000"/>
          <w:vertAlign w:val="superscript"/>
        </w:rPr>
        <w:t>nd</w:t>
      </w:r>
      <w:r>
        <w:rPr>
          <w:rFonts w:ascii="Times New Roman" w:hAnsi="Times New Roman" w:cs="Times New Roman"/>
          <w:color w:val="000000"/>
        </w:rPr>
        <w:t xml:space="preserve"> edition.</w:t>
      </w:r>
    </w:p>
    <w:p w14:paraId="38BF3911" w14:textId="77777777" w:rsidR="001D1DFF" w:rsidRDefault="001D1DF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Haverland, M., de Ruiter, M., Van de Walle, S. (2018) ‘Agenda-setting by the European Commission. Seeking the public?’ </w:t>
      </w:r>
      <w:r w:rsidRPr="00D72069">
        <w:rPr>
          <w:rFonts w:ascii="Times New Roman" w:hAnsi="Times New Roman" w:cs="Times New Roman"/>
          <w:i/>
          <w:color w:val="000000"/>
        </w:rPr>
        <w:t>Journal of European Public Policy</w:t>
      </w:r>
      <w:r>
        <w:rPr>
          <w:rFonts w:ascii="Times New Roman" w:hAnsi="Times New Roman" w:cs="Times New Roman"/>
          <w:color w:val="000000"/>
        </w:rPr>
        <w:t xml:space="preserve"> 25(3): 327-345.  </w:t>
      </w:r>
    </w:p>
    <w:p w14:paraId="1AFD0D75" w14:textId="77777777" w:rsidR="001D1DFF" w:rsidRPr="00BE0B92" w:rsidRDefault="001D1DFF" w:rsidP="00C62A9F">
      <w:pPr>
        <w:widowControl w:val="0"/>
        <w:autoSpaceDE w:val="0"/>
        <w:autoSpaceDN w:val="0"/>
        <w:adjustRightInd w:val="0"/>
        <w:spacing w:line="360" w:lineRule="auto"/>
        <w:ind w:left="720" w:hanging="720"/>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Héritier, A. </w:t>
      </w:r>
      <w:r w:rsidRPr="00BE0B92">
        <w:rPr>
          <w:rFonts w:ascii="Times New Roman" w:eastAsia="Arial Unicode MS" w:hAnsi="Times New Roman" w:cs="Times New Roman"/>
          <w:color w:val="000000"/>
        </w:rPr>
        <w:t xml:space="preserve">(1999) ‘Elements of democratic legitimation in Europe: an alternative perspective.’ </w:t>
      </w:r>
      <w:r w:rsidRPr="00BE0B92">
        <w:rPr>
          <w:rFonts w:ascii="Times New Roman" w:eastAsia="Arial Unicode MS" w:hAnsi="Times New Roman" w:cs="Times New Roman"/>
          <w:i/>
          <w:color w:val="000000"/>
        </w:rPr>
        <w:t>Journal of European Public Policy</w:t>
      </w:r>
      <w:r w:rsidRPr="00BE0B92">
        <w:rPr>
          <w:rFonts w:ascii="Times New Roman" w:eastAsia="Arial Unicode MS" w:hAnsi="Times New Roman" w:cs="Times New Roman"/>
          <w:color w:val="000000"/>
        </w:rPr>
        <w:t xml:space="preserve"> 6(2):</w:t>
      </w:r>
      <w:r>
        <w:rPr>
          <w:rFonts w:ascii="Times New Roman" w:eastAsia="Arial Unicode MS" w:hAnsi="Times New Roman" w:cs="Times New Roman"/>
          <w:color w:val="000000"/>
        </w:rPr>
        <w:t xml:space="preserve"> 269-282.</w:t>
      </w:r>
    </w:p>
    <w:p w14:paraId="78F9F188" w14:textId="1BB969A5" w:rsidR="001D1DFF" w:rsidRDefault="00FA5E9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Pr>
          <w:rFonts w:ascii="Times New Roman" w:hAnsi="Times New Roman" w:cs="Times New Roman"/>
          <w:color w:val="000000"/>
        </w:rPr>
        <w:t>Hummer,</w:t>
      </w:r>
      <w:r w:rsidR="00C62A9F">
        <w:rPr>
          <w:rFonts w:ascii="Times New Roman" w:hAnsi="Times New Roman" w:cs="Times New Roman"/>
          <w:color w:val="000000"/>
        </w:rPr>
        <w:t xml:space="preserve"> </w:t>
      </w:r>
      <w:r>
        <w:rPr>
          <w:rFonts w:ascii="Times New Roman" w:hAnsi="Times New Roman" w:cs="Times New Roman"/>
          <w:color w:val="000000"/>
        </w:rPr>
        <w:t xml:space="preserve">W. </w:t>
      </w:r>
      <w:r w:rsidR="001D1DFF">
        <w:rPr>
          <w:rFonts w:ascii="Times New Roman" w:hAnsi="Times New Roman" w:cs="Times New Roman"/>
          <w:color w:val="000000"/>
        </w:rPr>
        <w:t xml:space="preserve">(2007) ‘From ‘Institutional Agreements’ to ‘Interinstitutional Agencies/Offices’? </w:t>
      </w:r>
      <w:r w:rsidR="001D1DFF" w:rsidRPr="00F45FCA">
        <w:rPr>
          <w:rFonts w:ascii="Times New Roman" w:hAnsi="Times New Roman" w:cs="Times New Roman"/>
          <w:i/>
          <w:color w:val="000000"/>
        </w:rPr>
        <w:t>European Law Journal</w:t>
      </w:r>
      <w:r w:rsidR="001D1DFF">
        <w:rPr>
          <w:rFonts w:ascii="Times New Roman" w:hAnsi="Times New Roman" w:cs="Times New Roman"/>
          <w:color w:val="000000"/>
        </w:rPr>
        <w:t xml:space="preserve"> 13(1): 47-74.</w:t>
      </w:r>
    </w:p>
    <w:p w14:paraId="27B3D8CE" w14:textId="401B7C80" w:rsidR="001D1DFF" w:rsidRDefault="001D1DFF" w:rsidP="00C62A9F">
      <w:pPr>
        <w:spacing w:line="360" w:lineRule="auto"/>
        <w:ind w:left="720" w:hanging="720"/>
        <w:jc w:val="both"/>
        <w:rPr>
          <w:rFonts w:ascii="Times New Roman" w:hAnsi="Times New Roman" w:cs="Times New Roman"/>
        </w:rPr>
      </w:pPr>
      <w:r w:rsidRPr="004E58EA">
        <w:rPr>
          <w:rFonts w:ascii="Times New Roman" w:hAnsi="Times New Roman" w:cs="Times New Roman"/>
        </w:rPr>
        <w:t xml:space="preserve">Kassim, H., </w:t>
      </w:r>
      <w:r w:rsidR="00470BD2">
        <w:rPr>
          <w:rFonts w:ascii="Times New Roman" w:hAnsi="Times New Roman" w:cs="Times New Roman"/>
        </w:rPr>
        <w:t>et al.</w:t>
      </w:r>
      <w:r w:rsidRPr="004E58EA">
        <w:rPr>
          <w:rFonts w:ascii="Times New Roman" w:hAnsi="Times New Roman" w:cs="Times New Roman"/>
        </w:rPr>
        <w:t xml:space="preserve"> (2017) </w:t>
      </w:r>
      <w:r>
        <w:rPr>
          <w:rFonts w:ascii="Times New Roman" w:hAnsi="Times New Roman" w:cs="Times New Roman"/>
        </w:rPr>
        <w:t>‘</w:t>
      </w:r>
      <w:r w:rsidRPr="004E58EA">
        <w:rPr>
          <w:rFonts w:ascii="Times New Roman" w:hAnsi="Times New Roman" w:cs="Times New Roman"/>
        </w:rPr>
        <w:t>Managing the house: the Presidency, agenda control and policy activism in the European Commission.</w:t>
      </w:r>
      <w:r>
        <w:rPr>
          <w:rFonts w:ascii="Times New Roman" w:hAnsi="Times New Roman" w:cs="Times New Roman"/>
        </w:rPr>
        <w:t>’</w:t>
      </w:r>
      <w:r w:rsidRPr="004E58EA">
        <w:rPr>
          <w:rFonts w:ascii="Times New Roman" w:hAnsi="Times New Roman" w:cs="Times New Roman"/>
        </w:rPr>
        <w:t xml:space="preserve"> </w:t>
      </w:r>
      <w:r w:rsidRPr="004E58EA">
        <w:rPr>
          <w:rFonts w:ascii="Times New Roman" w:hAnsi="Times New Roman" w:cs="Times New Roman"/>
          <w:i/>
        </w:rPr>
        <w:t>Journal of European Public Policy</w:t>
      </w:r>
      <w:r w:rsidRPr="004E58EA">
        <w:rPr>
          <w:rFonts w:ascii="Times New Roman" w:hAnsi="Times New Roman" w:cs="Times New Roman"/>
        </w:rPr>
        <w:t xml:space="preserve"> 24(5): 653-674.</w:t>
      </w:r>
    </w:p>
    <w:p w14:paraId="39912DFA" w14:textId="31498FD7" w:rsidR="001D1DFF" w:rsidRPr="004E58EA" w:rsidRDefault="001D1DFF" w:rsidP="00C62A9F">
      <w:pPr>
        <w:spacing w:line="360" w:lineRule="auto"/>
        <w:ind w:left="720" w:hanging="720"/>
        <w:jc w:val="both"/>
        <w:rPr>
          <w:rFonts w:ascii="Times New Roman" w:hAnsi="Times New Roman" w:cs="Times New Roman"/>
        </w:rPr>
      </w:pPr>
      <w:r>
        <w:rPr>
          <w:rFonts w:ascii="Times New Roman" w:hAnsi="Times New Roman" w:cs="Times New Roman"/>
        </w:rPr>
        <w:t xml:space="preserve">Kassim, H. et al. (2013) </w:t>
      </w:r>
      <w:r w:rsidRPr="000067EE">
        <w:rPr>
          <w:rFonts w:ascii="Times New Roman" w:hAnsi="Times New Roman" w:cs="Times New Roman"/>
          <w:i/>
        </w:rPr>
        <w:t>The European Commission of the Twenty-First Century.</w:t>
      </w:r>
      <w:r>
        <w:rPr>
          <w:rFonts w:ascii="Times New Roman" w:hAnsi="Times New Roman" w:cs="Times New Roman"/>
        </w:rPr>
        <w:t xml:space="preserve"> </w:t>
      </w:r>
      <w:r w:rsidR="00A92BCC">
        <w:rPr>
          <w:rFonts w:ascii="Times New Roman" w:hAnsi="Times New Roman" w:cs="Times New Roman"/>
        </w:rPr>
        <w:t xml:space="preserve">Oxford: </w:t>
      </w:r>
      <w:r>
        <w:rPr>
          <w:rFonts w:ascii="Times New Roman" w:hAnsi="Times New Roman" w:cs="Times New Roman"/>
        </w:rPr>
        <w:t xml:space="preserve">Oxford University Press. </w:t>
      </w:r>
    </w:p>
    <w:p w14:paraId="119DB32E" w14:textId="77777777" w:rsidR="001D1DFF" w:rsidRDefault="001D1DFF" w:rsidP="00C62A9F">
      <w:pPr>
        <w:widowControl w:val="0"/>
        <w:autoSpaceDE w:val="0"/>
        <w:autoSpaceDN w:val="0"/>
        <w:adjustRightInd w:val="0"/>
        <w:spacing w:line="360" w:lineRule="auto"/>
        <w:ind w:left="720" w:hanging="720"/>
        <w:jc w:val="both"/>
        <w:rPr>
          <w:rFonts w:ascii="Times New Roman" w:hAnsi="Times New Roman" w:cs="Times New Roman"/>
          <w:color w:val="231F20"/>
          <w:lang w:val="en-US"/>
        </w:rPr>
      </w:pPr>
      <w:r w:rsidRPr="004E58EA">
        <w:rPr>
          <w:rFonts w:ascii="Times New Roman" w:hAnsi="Times New Roman" w:cs="Times New Roman"/>
          <w:color w:val="231F20"/>
          <w:lang w:val="en-US"/>
        </w:rPr>
        <w:t>Kassim H.</w:t>
      </w:r>
      <w:r>
        <w:rPr>
          <w:rFonts w:ascii="Times New Roman" w:hAnsi="Times New Roman" w:cs="Times New Roman"/>
          <w:color w:val="231F20"/>
          <w:lang w:val="en-US"/>
        </w:rPr>
        <w:t>,</w:t>
      </w:r>
      <w:r w:rsidRPr="004E58EA">
        <w:rPr>
          <w:rFonts w:ascii="Times New Roman" w:hAnsi="Times New Roman" w:cs="Times New Roman"/>
          <w:color w:val="231F20"/>
          <w:lang w:val="en-US"/>
        </w:rPr>
        <w:t xml:space="preserve"> Menon, A. (2003) ‘The principal-agent approach and the study of the Europe</w:t>
      </w:r>
      <w:r>
        <w:rPr>
          <w:rFonts w:ascii="Times New Roman" w:hAnsi="Times New Roman" w:cs="Times New Roman"/>
          <w:color w:val="231F20"/>
          <w:lang w:val="en-US"/>
        </w:rPr>
        <w:t>an Union: promise unfulfilled?’</w:t>
      </w:r>
      <w:r w:rsidRPr="004E58EA">
        <w:rPr>
          <w:rFonts w:ascii="Times New Roman" w:hAnsi="Times New Roman" w:cs="Times New Roman"/>
          <w:color w:val="231F20"/>
          <w:lang w:val="en-US"/>
        </w:rPr>
        <w:t xml:space="preserve"> </w:t>
      </w:r>
      <w:r w:rsidRPr="00A67943">
        <w:rPr>
          <w:rFonts w:ascii="Times New Roman" w:hAnsi="Times New Roman" w:cs="Times New Roman"/>
          <w:i/>
          <w:color w:val="231F20"/>
          <w:lang w:val="en-US"/>
        </w:rPr>
        <w:t>Journal of European Public Policy</w:t>
      </w:r>
      <w:r w:rsidRPr="004E58EA">
        <w:rPr>
          <w:rFonts w:ascii="Times New Roman" w:hAnsi="Times New Roman" w:cs="Times New Roman"/>
          <w:color w:val="231F20"/>
          <w:lang w:val="en-US"/>
        </w:rPr>
        <w:t xml:space="preserve"> 10(1): </w:t>
      </w:r>
      <w:r>
        <w:rPr>
          <w:rFonts w:ascii="Times New Roman" w:hAnsi="Times New Roman" w:cs="Times New Roman"/>
          <w:color w:val="231F20"/>
          <w:lang w:val="en-US"/>
        </w:rPr>
        <w:t>121-</w:t>
      </w:r>
      <w:r w:rsidRPr="004E58EA">
        <w:rPr>
          <w:rFonts w:ascii="Times New Roman" w:hAnsi="Times New Roman" w:cs="Times New Roman"/>
          <w:color w:val="231F20"/>
          <w:lang w:val="en-US"/>
        </w:rPr>
        <w:t>39.</w:t>
      </w:r>
    </w:p>
    <w:p w14:paraId="69EF99A4" w14:textId="77777777" w:rsidR="001D1DFF" w:rsidRPr="00660676" w:rsidRDefault="001D1DFF" w:rsidP="00C62A9F">
      <w:pPr>
        <w:widowControl w:val="0"/>
        <w:autoSpaceDE w:val="0"/>
        <w:autoSpaceDN w:val="0"/>
        <w:adjustRightInd w:val="0"/>
        <w:spacing w:line="360" w:lineRule="auto"/>
        <w:ind w:left="720" w:hanging="720"/>
        <w:jc w:val="both"/>
        <w:rPr>
          <w:rFonts w:ascii="Times" w:hAnsi="Times" w:cs="Times"/>
          <w:color w:val="000000"/>
        </w:rPr>
      </w:pPr>
      <w:r>
        <w:rPr>
          <w:rFonts w:ascii="Times" w:hAnsi="Times" w:cs="Times"/>
          <w:color w:val="000000"/>
        </w:rPr>
        <w:t xml:space="preserve">Kingdon, J.W. 2003. </w:t>
      </w:r>
      <w:r>
        <w:rPr>
          <w:rFonts w:ascii="Times" w:hAnsi="Times" w:cs="Times"/>
          <w:i/>
          <w:iCs/>
          <w:color w:val="000000"/>
        </w:rPr>
        <w:t>Agendas, Alternatives and Public Policies</w:t>
      </w:r>
      <w:r>
        <w:rPr>
          <w:rFonts w:ascii="Times" w:hAnsi="Times" w:cs="Times"/>
          <w:color w:val="000000"/>
        </w:rPr>
        <w:t xml:space="preserve">. 2nd ed. New York: Longman. </w:t>
      </w:r>
    </w:p>
    <w:p w14:paraId="27E60FAE" w14:textId="6462C26A" w:rsidR="001D1DFF" w:rsidRPr="0004554A" w:rsidRDefault="001D1DFF" w:rsidP="00C62A9F">
      <w:pPr>
        <w:widowControl w:val="0"/>
        <w:autoSpaceDE w:val="0"/>
        <w:autoSpaceDN w:val="0"/>
        <w:adjustRightInd w:val="0"/>
        <w:spacing w:line="360" w:lineRule="auto"/>
        <w:ind w:left="720" w:hanging="720"/>
        <w:rPr>
          <w:rFonts w:ascii="Times New Roman" w:hAnsi="Times New Roman" w:cs="Times New Roman"/>
          <w:color w:val="000000"/>
        </w:rPr>
      </w:pPr>
      <w:r w:rsidRPr="0004554A">
        <w:rPr>
          <w:rFonts w:ascii="Times New Roman" w:hAnsi="Times New Roman" w:cs="Times New Roman"/>
          <w:color w:val="000000"/>
        </w:rPr>
        <w:t xml:space="preserve">Klüver, H. (2013). </w:t>
      </w:r>
      <w:r w:rsidRPr="0004554A">
        <w:rPr>
          <w:rFonts w:ascii="Times New Roman" w:hAnsi="Times New Roman" w:cs="Times New Roman"/>
          <w:i/>
          <w:iCs/>
          <w:color w:val="000000"/>
        </w:rPr>
        <w:t>Lobbying in the European Union: Interest groups, lobbying coalitions and policy change</w:t>
      </w:r>
      <w:r w:rsidRPr="0004554A">
        <w:rPr>
          <w:rFonts w:ascii="Times New Roman" w:hAnsi="Times New Roman" w:cs="Times New Roman"/>
          <w:color w:val="000000"/>
        </w:rPr>
        <w:t xml:space="preserve">. </w:t>
      </w:r>
      <w:r w:rsidR="00A92BCC">
        <w:rPr>
          <w:rFonts w:ascii="Times New Roman" w:hAnsi="Times New Roman" w:cs="Times New Roman"/>
          <w:color w:val="000000"/>
        </w:rPr>
        <w:t xml:space="preserve">Oxford: </w:t>
      </w:r>
      <w:r w:rsidRPr="0004554A">
        <w:rPr>
          <w:rFonts w:ascii="Times New Roman" w:hAnsi="Times New Roman" w:cs="Times New Roman"/>
          <w:color w:val="000000"/>
        </w:rPr>
        <w:t xml:space="preserve">Oxford University Press. </w:t>
      </w:r>
    </w:p>
    <w:p w14:paraId="3FF45DA7" w14:textId="77777777" w:rsidR="001D1DFF" w:rsidRPr="004E58EA" w:rsidRDefault="001D1DFF" w:rsidP="00C62A9F">
      <w:pPr>
        <w:spacing w:line="360" w:lineRule="auto"/>
        <w:ind w:left="720" w:hanging="720"/>
        <w:jc w:val="both"/>
        <w:rPr>
          <w:rFonts w:ascii="Times New Roman" w:hAnsi="Times New Roman" w:cs="Times New Roman"/>
        </w:rPr>
      </w:pPr>
      <w:r w:rsidRPr="004E58EA">
        <w:rPr>
          <w:rFonts w:ascii="Times New Roman" w:hAnsi="Times New Roman" w:cs="Times New Roman"/>
        </w:rPr>
        <w:t>Kreppel, A.</w:t>
      </w:r>
      <w:r>
        <w:rPr>
          <w:rFonts w:ascii="Times New Roman" w:hAnsi="Times New Roman" w:cs="Times New Roman"/>
        </w:rPr>
        <w:t>,</w:t>
      </w:r>
      <w:r w:rsidRPr="004E58EA">
        <w:rPr>
          <w:rFonts w:ascii="Times New Roman" w:hAnsi="Times New Roman" w:cs="Times New Roman"/>
        </w:rPr>
        <w:t xml:space="preserve"> Oztas, B</w:t>
      </w:r>
      <w:r>
        <w:rPr>
          <w:rFonts w:ascii="Times New Roman" w:hAnsi="Times New Roman" w:cs="Times New Roman"/>
        </w:rPr>
        <w:t>.</w:t>
      </w:r>
      <w:r w:rsidRPr="004E58EA">
        <w:rPr>
          <w:rFonts w:ascii="Times New Roman" w:hAnsi="Times New Roman" w:cs="Times New Roman"/>
        </w:rPr>
        <w:t xml:space="preserve"> (2017)</w:t>
      </w:r>
      <w:r>
        <w:rPr>
          <w:rFonts w:ascii="Times New Roman" w:hAnsi="Times New Roman" w:cs="Times New Roman"/>
        </w:rPr>
        <w:t>.</w:t>
      </w:r>
      <w:r w:rsidRPr="004E58EA">
        <w:rPr>
          <w:rFonts w:ascii="Times New Roman" w:hAnsi="Times New Roman" w:cs="Times New Roman"/>
        </w:rPr>
        <w:t xml:space="preserve"> </w:t>
      </w:r>
      <w:r>
        <w:rPr>
          <w:rFonts w:ascii="Times New Roman" w:hAnsi="Times New Roman" w:cs="Times New Roman"/>
        </w:rPr>
        <w:t>‘</w:t>
      </w:r>
      <w:r w:rsidRPr="004E58EA">
        <w:rPr>
          <w:rFonts w:ascii="Times New Roman" w:hAnsi="Times New Roman" w:cs="Times New Roman"/>
        </w:rPr>
        <w:t>Leading the band or Just Playing the Tune? Reassessing the Agenda-Setting Powers of the European Commission.</w:t>
      </w:r>
      <w:r>
        <w:rPr>
          <w:rFonts w:ascii="Times New Roman" w:hAnsi="Times New Roman" w:cs="Times New Roman"/>
        </w:rPr>
        <w:t>’</w:t>
      </w:r>
      <w:r w:rsidRPr="004E58EA">
        <w:rPr>
          <w:rFonts w:ascii="Times New Roman" w:hAnsi="Times New Roman" w:cs="Times New Roman"/>
        </w:rPr>
        <w:t xml:space="preserve"> </w:t>
      </w:r>
      <w:r w:rsidRPr="004E58EA">
        <w:rPr>
          <w:rFonts w:ascii="Times New Roman" w:hAnsi="Times New Roman" w:cs="Times New Roman"/>
          <w:i/>
        </w:rPr>
        <w:t xml:space="preserve">Comparative Political Studies </w:t>
      </w:r>
      <w:r w:rsidRPr="004E58EA">
        <w:rPr>
          <w:rFonts w:ascii="Times New Roman" w:hAnsi="Times New Roman" w:cs="Times New Roman"/>
        </w:rPr>
        <w:t>50(8): 118-1150.</w:t>
      </w:r>
    </w:p>
    <w:p w14:paraId="1CB9A889" w14:textId="0940CF5E" w:rsidR="001D1DFF" w:rsidRPr="00A70E02" w:rsidRDefault="001D1DFF" w:rsidP="00C62A9F">
      <w:pPr>
        <w:spacing w:line="360" w:lineRule="auto"/>
        <w:ind w:left="720" w:hanging="720"/>
        <w:jc w:val="both"/>
        <w:rPr>
          <w:rFonts w:ascii="Times New Roman" w:hAnsi="Times New Roman" w:cs="Times New Roman"/>
        </w:rPr>
      </w:pPr>
      <w:r w:rsidRPr="004E58EA">
        <w:rPr>
          <w:rFonts w:ascii="Times New Roman" w:hAnsi="Times New Roman" w:cs="Times New Roman"/>
        </w:rPr>
        <w:t>Levi-Faur</w:t>
      </w:r>
      <w:r>
        <w:rPr>
          <w:rFonts w:ascii="Times New Roman" w:hAnsi="Times New Roman" w:cs="Times New Roman"/>
        </w:rPr>
        <w:t xml:space="preserve">, D. </w:t>
      </w:r>
      <w:r w:rsidRPr="004E58EA">
        <w:rPr>
          <w:rFonts w:ascii="Times New Roman" w:hAnsi="Times New Roman" w:cs="Times New Roman"/>
        </w:rPr>
        <w:t>(2011) ‘Regulation and regulatory governance.’ In D. Levi-</w:t>
      </w:r>
      <w:r>
        <w:rPr>
          <w:rFonts w:ascii="Times New Roman" w:hAnsi="Times New Roman" w:cs="Times New Roman"/>
        </w:rPr>
        <w:t>F</w:t>
      </w:r>
      <w:r w:rsidRPr="004E58EA">
        <w:rPr>
          <w:rFonts w:ascii="Times New Roman" w:hAnsi="Times New Roman" w:cs="Times New Roman"/>
        </w:rPr>
        <w:t xml:space="preserve">aur (ed.) </w:t>
      </w:r>
      <w:r w:rsidRPr="00A70E02">
        <w:rPr>
          <w:rFonts w:ascii="Times New Roman" w:hAnsi="Times New Roman" w:cs="Times New Roman"/>
          <w:i/>
        </w:rPr>
        <w:t>Handbook on the Politics of Regulation</w:t>
      </w:r>
      <w:r w:rsidRPr="00A70E02">
        <w:rPr>
          <w:rFonts w:ascii="Times New Roman" w:hAnsi="Times New Roman" w:cs="Times New Roman"/>
        </w:rPr>
        <w:t xml:space="preserve">. </w:t>
      </w:r>
      <w:r w:rsidR="00A92BCC">
        <w:rPr>
          <w:rFonts w:ascii="Times New Roman" w:hAnsi="Times New Roman" w:cs="Times New Roman"/>
        </w:rPr>
        <w:t xml:space="preserve">Chelthenham: </w:t>
      </w:r>
      <w:r w:rsidRPr="00A70E02">
        <w:rPr>
          <w:rFonts w:ascii="Times New Roman" w:hAnsi="Times New Roman" w:cs="Times New Roman"/>
        </w:rPr>
        <w:t xml:space="preserve">Edward Elgar. </w:t>
      </w:r>
      <w:r w:rsidR="00A92BCC">
        <w:rPr>
          <w:rFonts w:ascii="Times New Roman" w:hAnsi="Times New Roman" w:cs="Times New Roman"/>
        </w:rPr>
        <w:t>p</w:t>
      </w:r>
      <w:r w:rsidRPr="00A70E02">
        <w:rPr>
          <w:rFonts w:ascii="Times New Roman" w:hAnsi="Times New Roman" w:cs="Times New Roman"/>
        </w:rPr>
        <w:t>p. 3-24.</w:t>
      </w:r>
    </w:p>
    <w:p w14:paraId="19835395" w14:textId="55E79CB1" w:rsidR="001D1DFF" w:rsidRDefault="001D1DFF" w:rsidP="00C62A9F">
      <w:pPr>
        <w:spacing w:line="360" w:lineRule="auto"/>
        <w:ind w:left="720" w:hanging="720"/>
        <w:jc w:val="both"/>
        <w:rPr>
          <w:rFonts w:ascii="Times New Roman" w:hAnsi="Times New Roman" w:cs="Times New Roman"/>
        </w:rPr>
      </w:pPr>
      <w:r w:rsidRPr="00BE0B92">
        <w:rPr>
          <w:rFonts w:ascii="Times New Roman" w:eastAsia="Arial Unicode MS" w:hAnsi="Times New Roman" w:cs="Times New Roman"/>
          <w:lang w:eastAsia="en-GB"/>
        </w:rPr>
        <w:t>Lindgren</w:t>
      </w:r>
      <w:r w:rsidRPr="00A70E02">
        <w:rPr>
          <w:rFonts w:ascii="Times New Roman" w:eastAsia="Arial Unicode MS" w:hAnsi="Times New Roman" w:cs="Times New Roman"/>
          <w:lang w:eastAsia="en-GB"/>
        </w:rPr>
        <w:t>, K.O.</w:t>
      </w:r>
      <w:r>
        <w:rPr>
          <w:rFonts w:ascii="Times New Roman" w:eastAsia="Arial Unicode MS" w:hAnsi="Times New Roman" w:cs="Times New Roman"/>
          <w:lang w:eastAsia="en-GB"/>
        </w:rPr>
        <w:t>,</w:t>
      </w:r>
      <w:r w:rsidRPr="00BE0B92">
        <w:rPr>
          <w:rFonts w:ascii="Times New Roman" w:eastAsia="Arial Unicode MS" w:hAnsi="Times New Roman" w:cs="Times New Roman"/>
          <w:lang w:eastAsia="en-GB"/>
        </w:rPr>
        <w:t xml:space="preserve"> Persson</w:t>
      </w:r>
      <w:r>
        <w:rPr>
          <w:rFonts w:ascii="Times New Roman" w:eastAsia="Arial Unicode MS" w:hAnsi="Times New Roman" w:cs="Times New Roman"/>
          <w:lang w:eastAsia="en-GB"/>
        </w:rPr>
        <w:t>,</w:t>
      </w:r>
      <w:r w:rsidR="004529FC">
        <w:rPr>
          <w:rFonts w:ascii="Times New Roman" w:eastAsia="Arial Unicode MS" w:hAnsi="Times New Roman" w:cs="Times New Roman"/>
          <w:lang w:eastAsia="en-GB"/>
        </w:rPr>
        <w:t>T</w:t>
      </w:r>
      <w:r w:rsidRPr="00A70E02">
        <w:rPr>
          <w:rFonts w:ascii="Times New Roman" w:eastAsia="Arial Unicode MS" w:hAnsi="Times New Roman" w:cs="Times New Roman"/>
          <w:lang w:eastAsia="en-GB"/>
        </w:rPr>
        <w:t>.</w:t>
      </w:r>
      <w:r w:rsidRPr="00BE0B92">
        <w:rPr>
          <w:rFonts w:ascii="Times New Roman" w:eastAsia="Arial Unicode MS" w:hAnsi="Times New Roman" w:cs="Times New Roman"/>
          <w:lang w:eastAsia="en-GB"/>
        </w:rPr>
        <w:t xml:space="preserve"> (2010) </w:t>
      </w:r>
      <w:r>
        <w:rPr>
          <w:rFonts w:ascii="Times New Roman" w:eastAsia="Arial Unicode MS" w:hAnsi="Times New Roman" w:cs="Times New Roman"/>
          <w:lang w:eastAsia="en-GB"/>
        </w:rPr>
        <w:t>‘</w:t>
      </w:r>
      <w:r w:rsidRPr="00BE0B92">
        <w:rPr>
          <w:rFonts w:ascii="Times New Roman" w:eastAsia="Arial Unicode MS" w:hAnsi="Times New Roman" w:cs="Times New Roman"/>
          <w:lang w:eastAsia="en-GB"/>
        </w:rPr>
        <w:t>Input and output legitimacy: synergy or trade-off? Empir</w:t>
      </w:r>
      <w:r>
        <w:rPr>
          <w:rFonts w:ascii="Times New Roman" w:eastAsia="Arial Unicode MS" w:hAnsi="Times New Roman" w:cs="Times New Roman"/>
          <w:lang w:eastAsia="en-GB"/>
        </w:rPr>
        <w:t>ical evidence from an EU survey.’</w:t>
      </w:r>
      <w:r w:rsidRPr="00BE0B92">
        <w:rPr>
          <w:rFonts w:ascii="Times New Roman" w:eastAsia="Arial Unicode MS" w:hAnsi="Times New Roman" w:cs="Times New Roman"/>
          <w:lang w:eastAsia="en-GB"/>
        </w:rPr>
        <w:t xml:space="preserve"> </w:t>
      </w:r>
      <w:r w:rsidRPr="00BE0B92">
        <w:rPr>
          <w:rFonts w:ascii="Times New Roman" w:eastAsia="Arial Unicode MS" w:hAnsi="Times New Roman" w:cs="Times New Roman"/>
          <w:i/>
          <w:lang w:eastAsia="en-GB"/>
        </w:rPr>
        <w:t>Jo</w:t>
      </w:r>
      <w:r w:rsidRPr="00A70E02">
        <w:rPr>
          <w:rFonts w:ascii="Times New Roman" w:eastAsia="Arial Unicode MS" w:hAnsi="Times New Roman" w:cs="Times New Roman"/>
          <w:i/>
          <w:lang w:eastAsia="en-GB"/>
        </w:rPr>
        <w:t>urnal of European Public Policy</w:t>
      </w:r>
      <w:r>
        <w:rPr>
          <w:rFonts w:ascii="Times New Roman" w:eastAsia="Arial Unicode MS" w:hAnsi="Times New Roman" w:cs="Times New Roman"/>
          <w:lang w:eastAsia="en-GB"/>
        </w:rPr>
        <w:t xml:space="preserve"> 17(4):</w:t>
      </w:r>
      <w:r w:rsidRPr="00BE0B92">
        <w:rPr>
          <w:rFonts w:ascii="Times New Roman" w:eastAsia="Arial Unicode MS" w:hAnsi="Times New Roman" w:cs="Times New Roman"/>
          <w:lang w:eastAsia="en-GB"/>
        </w:rPr>
        <w:t xml:space="preserve"> 449-467 </w:t>
      </w:r>
    </w:p>
    <w:p w14:paraId="5E2A3D5D" w14:textId="77777777" w:rsidR="001D1DFF" w:rsidRPr="0072440B" w:rsidRDefault="001D1DFF" w:rsidP="00C62A9F">
      <w:pPr>
        <w:widowControl w:val="0"/>
        <w:autoSpaceDE w:val="0"/>
        <w:autoSpaceDN w:val="0"/>
        <w:adjustRightInd w:val="0"/>
        <w:spacing w:line="360" w:lineRule="auto"/>
        <w:ind w:left="720" w:hanging="720"/>
        <w:jc w:val="both"/>
        <w:rPr>
          <w:rFonts w:ascii="Times" w:hAnsi="Times" w:cs="Times"/>
          <w:color w:val="000000"/>
        </w:rPr>
      </w:pPr>
      <w:r>
        <w:rPr>
          <w:rFonts w:ascii="Times" w:hAnsi="Times" w:cs="Times"/>
          <w:color w:val="000000"/>
        </w:rPr>
        <w:t xml:space="preserve">Majone, G. (1999). ‘The European Commission as Regulator.’ In </w:t>
      </w:r>
      <w:r>
        <w:rPr>
          <w:rFonts w:ascii="Times" w:hAnsi="Times" w:cs="Times"/>
          <w:i/>
          <w:iCs/>
          <w:color w:val="000000"/>
        </w:rPr>
        <w:t>Regulating Europe</w:t>
      </w:r>
      <w:r>
        <w:rPr>
          <w:rFonts w:ascii="Times" w:hAnsi="Times" w:cs="Times"/>
          <w:color w:val="000000"/>
        </w:rPr>
        <w:t>, Majone. G. (ed.). London: Routledge</w:t>
      </w:r>
      <w:r>
        <w:rPr>
          <w:rFonts w:ascii="Times New Roman" w:hAnsi="Times New Roman" w:cs="Times New Roman"/>
          <w:color w:val="000000"/>
        </w:rPr>
        <w:t>.</w:t>
      </w:r>
    </w:p>
    <w:p w14:paraId="15810882" w14:textId="3402DF22" w:rsidR="001D1DFF" w:rsidRPr="00D37223" w:rsidRDefault="001D1DFF" w:rsidP="00C62A9F">
      <w:pPr>
        <w:spacing w:line="360" w:lineRule="auto"/>
        <w:ind w:left="720" w:hanging="720"/>
        <w:jc w:val="both"/>
        <w:rPr>
          <w:rFonts w:ascii="Times New Roman" w:hAnsi="Times New Roman" w:cs="Times New Roman"/>
        </w:rPr>
      </w:pPr>
      <w:r>
        <w:rPr>
          <w:rFonts w:ascii="Times New Roman" w:hAnsi="Times New Roman" w:cs="Times New Roman"/>
        </w:rPr>
        <w:t xml:space="preserve">Mazey, S. and Richardson, J. (2015) ‘Shooting where the ducks are.’ In S. Mazey and J. Richardson (eds.) European Union: Power and Policymaking. </w:t>
      </w:r>
      <w:r w:rsidR="00A92BCC">
        <w:rPr>
          <w:rFonts w:ascii="Times New Roman" w:hAnsi="Times New Roman" w:cs="Times New Roman"/>
        </w:rPr>
        <w:t xml:space="preserve">London: </w:t>
      </w:r>
      <w:r>
        <w:rPr>
          <w:rFonts w:ascii="Times New Roman" w:hAnsi="Times New Roman" w:cs="Times New Roman"/>
        </w:rPr>
        <w:t>Routledge. pp. 387-409.</w:t>
      </w:r>
    </w:p>
    <w:p w14:paraId="58E3F492" w14:textId="476A7DC1" w:rsidR="001D1DFF" w:rsidRPr="00DB0C7D" w:rsidRDefault="001D1DFF" w:rsidP="00C62A9F">
      <w:pPr>
        <w:spacing w:line="360" w:lineRule="auto"/>
        <w:ind w:left="720" w:hanging="720"/>
        <w:jc w:val="both"/>
        <w:rPr>
          <w:rFonts w:ascii="Times New Roman" w:hAnsi="Times New Roman" w:cs="Times New Roman"/>
        </w:rPr>
      </w:pPr>
      <w:r>
        <w:rPr>
          <w:rFonts w:ascii="Times New Roman" w:hAnsi="Times New Roman" w:cs="Times New Roman"/>
        </w:rPr>
        <w:t>Moffitt, S.L. (2010) ‘Promoting Agency Reputation through Public Advice: Advisory Committee Use in the FDA</w:t>
      </w:r>
      <w:r w:rsidR="00E26061">
        <w:rPr>
          <w:rFonts w:ascii="Times New Roman" w:hAnsi="Times New Roman" w:cs="Times New Roman"/>
        </w:rPr>
        <w:t>.</w:t>
      </w:r>
      <w:r>
        <w:rPr>
          <w:rFonts w:ascii="Times New Roman" w:hAnsi="Times New Roman" w:cs="Times New Roman"/>
        </w:rPr>
        <w:t xml:space="preserve">’ </w:t>
      </w:r>
      <w:r w:rsidRPr="00DB0C7D">
        <w:rPr>
          <w:rFonts w:ascii="Times New Roman" w:hAnsi="Times New Roman" w:cs="Times New Roman"/>
          <w:i/>
        </w:rPr>
        <w:t>Journal of Politics</w:t>
      </w:r>
      <w:r>
        <w:rPr>
          <w:rFonts w:ascii="Times New Roman" w:hAnsi="Times New Roman" w:cs="Times New Roman"/>
          <w:i/>
        </w:rPr>
        <w:t xml:space="preserve"> </w:t>
      </w:r>
      <w:r>
        <w:rPr>
          <w:rFonts w:ascii="Times New Roman" w:hAnsi="Times New Roman" w:cs="Times New Roman"/>
        </w:rPr>
        <w:t>72(3):</w:t>
      </w:r>
      <w:r>
        <w:rPr>
          <w:rFonts w:ascii="Times New Roman" w:hAnsi="Times New Roman" w:cs="Times New Roman"/>
          <w:i/>
        </w:rPr>
        <w:t xml:space="preserve"> </w:t>
      </w:r>
      <w:r>
        <w:rPr>
          <w:rFonts w:ascii="Times New Roman" w:hAnsi="Times New Roman" w:cs="Times New Roman"/>
        </w:rPr>
        <w:t>880-893.</w:t>
      </w:r>
    </w:p>
    <w:p w14:paraId="3C2A73EF" w14:textId="10CF598E" w:rsidR="001D1DFF" w:rsidRDefault="001D1DFF" w:rsidP="00C62A9F">
      <w:pPr>
        <w:spacing w:line="360" w:lineRule="auto"/>
        <w:ind w:left="720" w:hanging="720"/>
        <w:jc w:val="both"/>
        <w:rPr>
          <w:rFonts w:ascii="Times New Roman" w:hAnsi="Times New Roman" w:cs="Times New Roman"/>
        </w:rPr>
      </w:pPr>
      <w:r>
        <w:rPr>
          <w:rFonts w:ascii="Times New Roman" w:hAnsi="Times New Roman" w:cs="Times New Roman"/>
        </w:rPr>
        <w:t>Murdoch, Z., Connolly, S., Kassim, H. (201</w:t>
      </w:r>
      <w:r w:rsidR="00A92BCC">
        <w:rPr>
          <w:rFonts w:ascii="Times New Roman" w:hAnsi="Times New Roman" w:cs="Times New Roman"/>
        </w:rPr>
        <w:t>8</w:t>
      </w:r>
      <w:r>
        <w:rPr>
          <w:rFonts w:ascii="Times New Roman" w:hAnsi="Times New Roman" w:cs="Times New Roman"/>
        </w:rPr>
        <w:t xml:space="preserve">) ‘Administrative legitimacy and the democratic deficit of the European Union.’ </w:t>
      </w:r>
      <w:r w:rsidRPr="00D37223">
        <w:rPr>
          <w:rFonts w:ascii="Times New Roman" w:hAnsi="Times New Roman" w:cs="Times New Roman"/>
          <w:i/>
        </w:rPr>
        <w:t>Journal of European Public Policy</w:t>
      </w:r>
      <w:r>
        <w:rPr>
          <w:rFonts w:ascii="Times New Roman" w:hAnsi="Times New Roman" w:cs="Times New Roman"/>
        </w:rPr>
        <w:t xml:space="preserve"> </w:t>
      </w:r>
      <w:r w:rsidR="00A92BCC">
        <w:rPr>
          <w:rFonts w:ascii="Times New Roman" w:hAnsi="Times New Roman" w:cs="Times New Roman"/>
        </w:rPr>
        <w:t>25(3): 380-408.</w:t>
      </w:r>
    </w:p>
    <w:p w14:paraId="43AE6B12" w14:textId="77777777" w:rsidR="001D1DFF" w:rsidRDefault="001D1DFF" w:rsidP="00C62A9F">
      <w:pPr>
        <w:spacing w:line="360" w:lineRule="auto"/>
        <w:ind w:left="720" w:hanging="720"/>
        <w:jc w:val="both"/>
        <w:rPr>
          <w:rFonts w:ascii="Times New Roman" w:hAnsi="Times New Roman" w:cs="Times New Roman"/>
        </w:rPr>
      </w:pPr>
      <w:r>
        <w:rPr>
          <w:rFonts w:ascii="Times New Roman" w:hAnsi="Times New Roman" w:cs="Times New Roman"/>
        </w:rPr>
        <w:t xml:space="preserve">Princen, S. (2011) ‘Agenda-setting strategies in EU policy processes.’ </w:t>
      </w:r>
      <w:r w:rsidRPr="00D37223">
        <w:rPr>
          <w:rFonts w:ascii="Times New Roman" w:hAnsi="Times New Roman" w:cs="Times New Roman"/>
          <w:i/>
        </w:rPr>
        <w:t>Journal of European Public Policy</w:t>
      </w:r>
      <w:r>
        <w:rPr>
          <w:rFonts w:ascii="Times New Roman" w:hAnsi="Times New Roman" w:cs="Times New Roman"/>
        </w:rPr>
        <w:t xml:space="preserve"> 18(7): 927-943.</w:t>
      </w:r>
    </w:p>
    <w:p w14:paraId="154E63D0" w14:textId="5720E643" w:rsidR="001D1DFF" w:rsidRPr="00271C30" w:rsidRDefault="001D1DFF" w:rsidP="00C62A9F">
      <w:pPr>
        <w:widowControl w:val="0"/>
        <w:autoSpaceDE w:val="0"/>
        <w:autoSpaceDN w:val="0"/>
        <w:adjustRightInd w:val="0"/>
        <w:spacing w:line="360" w:lineRule="auto"/>
        <w:ind w:left="720" w:hanging="720"/>
        <w:jc w:val="both"/>
        <w:rPr>
          <w:rFonts w:ascii="Times New Roman" w:eastAsia="MS Mincho" w:hAnsi="Times New Roman" w:cs="Times New Roman"/>
          <w:color w:val="000000"/>
        </w:rPr>
      </w:pPr>
      <w:r>
        <w:rPr>
          <w:rFonts w:ascii="Times New Roman" w:hAnsi="Times New Roman" w:cs="Times New Roman"/>
          <w:color w:val="000000"/>
        </w:rPr>
        <w:t xml:space="preserve">Pollack, M.A. (2003). </w:t>
      </w:r>
      <w:r>
        <w:rPr>
          <w:rFonts w:ascii="Times" w:hAnsi="Times" w:cs="Times"/>
          <w:i/>
          <w:iCs/>
          <w:color w:val="000000"/>
        </w:rPr>
        <w:t>The engines of European integration: Delegation, agency and agenda-</w:t>
      </w:r>
      <w:r w:rsidRPr="00271C30">
        <w:rPr>
          <w:rFonts w:ascii="Times New Roman" w:hAnsi="Times New Roman" w:cs="Times New Roman"/>
          <w:i/>
          <w:iCs/>
          <w:color w:val="000000"/>
        </w:rPr>
        <w:t>setting in the EU</w:t>
      </w:r>
      <w:r w:rsidRPr="00271C30">
        <w:rPr>
          <w:rFonts w:ascii="Times New Roman" w:hAnsi="Times New Roman" w:cs="Times New Roman"/>
          <w:color w:val="000000"/>
        </w:rPr>
        <w:t xml:space="preserve">. </w:t>
      </w:r>
      <w:r w:rsidR="00A92BCC">
        <w:rPr>
          <w:rFonts w:ascii="Times New Roman" w:hAnsi="Times New Roman" w:cs="Times New Roman"/>
          <w:color w:val="000000"/>
        </w:rPr>
        <w:t xml:space="preserve">New York: </w:t>
      </w:r>
      <w:r w:rsidRPr="00271C30">
        <w:rPr>
          <w:rFonts w:ascii="Times New Roman" w:hAnsi="Times New Roman" w:cs="Times New Roman"/>
          <w:color w:val="000000"/>
        </w:rPr>
        <w:t>Oxford University Press.</w:t>
      </w:r>
      <w:r w:rsidRPr="00271C30">
        <w:rPr>
          <w:rFonts w:ascii="MS Mincho" w:eastAsia="MS Mincho" w:hAnsi="MS Mincho" w:cs="MS Mincho"/>
          <w:color w:val="000000"/>
        </w:rPr>
        <w:t> </w:t>
      </w:r>
    </w:p>
    <w:p w14:paraId="7B57E6F8" w14:textId="5750F534" w:rsidR="001D1DFF" w:rsidRPr="005413E2" w:rsidRDefault="001D1DF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sidRPr="00271C30">
        <w:rPr>
          <w:rFonts w:ascii="Times New Roman" w:eastAsia="MS Mincho" w:hAnsi="Times New Roman" w:cs="Times New Roman"/>
          <w:color w:val="000000"/>
        </w:rPr>
        <w:t>Rauh, C.</w:t>
      </w:r>
      <w:r>
        <w:rPr>
          <w:rFonts w:ascii="Times New Roman" w:eastAsia="MS Mincho" w:hAnsi="Times New Roman" w:cs="Times New Roman"/>
          <w:color w:val="000000"/>
        </w:rPr>
        <w:t xml:space="preserve"> </w:t>
      </w:r>
      <w:r w:rsidRPr="00271C30">
        <w:rPr>
          <w:rFonts w:ascii="Times New Roman" w:eastAsia="MS Mincho" w:hAnsi="Times New Roman" w:cs="Times New Roman"/>
          <w:color w:val="000000"/>
        </w:rPr>
        <w:t>(201</w:t>
      </w:r>
      <w:r>
        <w:rPr>
          <w:rFonts w:ascii="Times New Roman" w:eastAsia="MS Mincho" w:hAnsi="Times New Roman" w:cs="Times New Roman"/>
          <w:color w:val="000000"/>
        </w:rPr>
        <w:t>6</w:t>
      </w:r>
      <w:r w:rsidRPr="00271C30">
        <w:rPr>
          <w:rFonts w:ascii="Times New Roman" w:eastAsia="MS Mincho" w:hAnsi="Times New Roman" w:cs="Times New Roman"/>
          <w:color w:val="000000"/>
        </w:rPr>
        <w:t xml:space="preserve">) </w:t>
      </w:r>
      <w:r w:rsidRPr="00271C30">
        <w:rPr>
          <w:rFonts w:ascii="Times New Roman" w:eastAsia="MS Mincho" w:hAnsi="Times New Roman" w:cs="Times New Roman"/>
          <w:i/>
          <w:color w:val="000000"/>
        </w:rPr>
        <w:t>A responsive Technocracy? EU Politicisation and the Consumer Policies of the European Commission.</w:t>
      </w:r>
      <w:r>
        <w:rPr>
          <w:rFonts w:ascii="Times New Roman" w:eastAsia="MS Mincho" w:hAnsi="Times New Roman" w:cs="Times New Roman"/>
          <w:i/>
          <w:color w:val="000000"/>
        </w:rPr>
        <w:t xml:space="preserve"> </w:t>
      </w:r>
      <w:r w:rsidR="00A92BCC">
        <w:rPr>
          <w:rFonts w:ascii="Times New Roman" w:eastAsia="MS Mincho" w:hAnsi="Times New Roman" w:cs="Times New Roman"/>
          <w:color w:val="000000"/>
        </w:rPr>
        <w:t xml:space="preserve">Colchester: </w:t>
      </w:r>
      <w:r>
        <w:rPr>
          <w:rFonts w:ascii="Times New Roman" w:eastAsia="MS Mincho" w:hAnsi="Times New Roman" w:cs="Times New Roman"/>
          <w:color w:val="000000"/>
        </w:rPr>
        <w:t xml:space="preserve">ECPR Press. </w:t>
      </w:r>
    </w:p>
    <w:p w14:paraId="44707804" w14:textId="77777777" w:rsidR="001D1DFF" w:rsidRDefault="001D1DF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Pr>
          <w:rFonts w:ascii="Times" w:hAnsi="Times" w:cs="Times"/>
          <w:color w:val="000000"/>
        </w:rPr>
        <w:t xml:space="preserve">Rasmussen, A., Mäder, L.K., Reher, S. (2018) ‘With a Little Help from the People? The Role of Public Opinion in Advocacy Success.’ </w:t>
      </w:r>
      <w:r w:rsidRPr="00D9324F">
        <w:rPr>
          <w:rFonts w:ascii="Times" w:hAnsi="Times" w:cs="Times"/>
          <w:i/>
          <w:color w:val="000000"/>
        </w:rPr>
        <w:t>Comparative Political Studies</w:t>
      </w:r>
      <w:r>
        <w:rPr>
          <w:rFonts w:ascii="Times" w:hAnsi="Times" w:cs="Times"/>
          <w:color w:val="000000"/>
        </w:rPr>
        <w:t xml:space="preserve"> 51(2): 139-164.</w:t>
      </w:r>
    </w:p>
    <w:p w14:paraId="29B907B3" w14:textId="65D96A30" w:rsidR="001D1DFF" w:rsidRDefault="001D1DFF" w:rsidP="00C62A9F">
      <w:pPr>
        <w:spacing w:line="360" w:lineRule="auto"/>
        <w:ind w:left="720" w:hanging="720"/>
        <w:rPr>
          <w:rFonts w:ascii="Times New Roman" w:hAnsi="Times New Roman" w:cs="Times New Roman"/>
          <w:color w:val="211E1E"/>
          <w:lang w:eastAsia="en-GB"/>
        </w:rPr>
      </w:pPr>
      <w:r w:rsidRPr="00B513E4">
        <w:rPr>
          <w:rFonts w:ascii="Times New Roman" w:hAnsi="Times New Roman" w:cs="Times New Roman"/>
          <w:color w:val="211E1E"/>
          <w:lang w:eastAsia="en-GB"/>
        </w:rPr>
        <w:t>Risse, T. (2006) ‘Transnational governance and legitim</w:t>
      </w:r>
      <w:r>
        <w:rPr>
          <w:rFonts w:ascii="Times New Roman" w:hAnsi="Times New Roman" w:cs="Times New Roman"/>
          <w:color w:val="211E1E"/>
          <w:lang w:eastAsia="en-GB"/>
        </w:rPr>
        <w:t>acy’, in A. Benz and Y. Papado</w:t>
      </w:r>
      <w:r w:rsidRPr="00B513E4">
        <w:rPr>
          <w:rFonts w:ascii="Times New Roman" w:hAnsi="Times New Roman" w:cs="Times New Roman"/>
          <w:color w:val="211E1E"/>
          <w:lang w:eastAsia="en-GB"/>
        </w:rPr>
        <w:t xml:space="preserve">poulos (eds), </w:t>
      </w:r>
      <w:r w:rsidRPr="00B513E4">
        <w:rPr>
          <w:rFonts w:ascii="Times New Roman" w:hAnsi="Times New Roman" w:cs="Times New Roman"/>
          <w:i/>
          <w:color w:val="211E1E"/>
          <w:lang w:eastAsia="en-GB"/>
        </w:rPr>
        <w:t>Governance and Democracy</w:t>
      </w:r>
      <w:r w:rsidRPr="00B513E4">
        <w:rPr>
          <w:rFonts w:ascii="Times New Roman" w:hAnsi="Times New Roman" w:cs="Times New Roman"/>
          <w:color w:val="211E1E"/>
          <w:lang w:eastAsia="en-GB"/>
        </w:rPr>
        <w:t xml:space="preserve">, </w:t>
      </w:r>
      <w:r w:rsidR="006A6F63">
        <w:rPr>
          <w:rFonts w:ascii="Times New Roman" w:hAnsi="Times New Roman" w:cs="Times New Roman"/>
          <w:color w:val="211E1E"/>
          <w:lang w:eastAsia="en-GB"/>
        </w:rPr>
        <w:t xml:space="preserve">London: </w:t>
      </w:r>
      <w:r w:rsidRPr="00B513E4">
        <w:rPr>
          <w:rFonts w:ascii="Times New Roman" w:hAnsi="Times New Roman" w:cs="Times New Roman"/>
          <w:color w:val="211E1E"/>
          <w:lang w:eastAsia="en-GB"/>
        </w:rPr>
        <w:t>Routledge, pp. 179</w:t>
      </w:r>
      <w:r>
        <w:rPr>
          <w:rFonts w:ascii="Times New Roman" w:hAnsi="Times New Roman" w:cs="Times New Roman"/>
          <w:color w:val="211E1E"/>
          <w:lang w:eastAsia="en-GB"/>
        </w:rPr>
        <w:t>-</w:t>
      </w:r>
      <w:r w:rsidRPr="00B513E4">
        <w:rPr>
          <w:rFonts w:ascii="Times New Roman" w:hAnsi="Times New Roman" w:cs="Times New Roman"/>
          <w:color w:val="211E1E"/>
          <w:lang w:eastAsia="en-GB"/>
        </w:rPr>
        <w:t xml:space="preserve">99. </w:t>
      </w:r>
    </w:p>
    <w:p w14:paraId="57CA8021" w14:textId="77777777" w:rsidR="00615ACA" w:rsidRPr="00615ACA" w:rsidRDefault="00615ACA" w:rsidP="00615ACA">
      <w:pPr>
        <w:widowControl w:val="0"/>
        <w:autoSpaceDE w:val="0"/>
        <w:autoSpaceDN w:val="0"/>
        <w:adjustRightInd w:val="0"/>
        <w:spacing w:line="480" w:lineRule="auto"/>
        <w:ind w:left="720" w:hanging="720"/>
        <w:jc w:val="both"/>
        <w:rPr>
          <w:rFonts w:ascii="Times New Roman" w:hAnsi="Times New Roman" w:cs="Times New Roman"/>
          <w:color w:val="000000"/>
          <w:lang w:val="en-US"/>
        </w:rPr>
      </w:pPr>
      <w:r w:rsidRPr="00615ACA">
        <w:rPr>
          <w:rFonts w:ascii="Times New Roman" w:hAnsi="Times New Roman" w:cs="Times New Roman"/>
          <w:color w:val="000000"/>
          <w:lang w:val="en-US"/>
        </w:rPr>
        <w:t>Rhodes, R. A. W. (</w:t>
      </w:r>
      <w:r w:rsidRPr="00615ACA">
        <w:rPr>
          <w:rFonts w:ascii="Times New Roman" w:hAnsi="Times New Roman" w:cs="Times New Roman"/>
          <w:color w:val="000085"/>
          <w:lang w:val="en-US"/>
        </w:rPr>
        <w:t>2017</w:t>
      </w:r>
      <w:r w:rsidRPr="00615ACA">
        <w:rPr>
          <w:rFonts w:ascii="Times New Roman" w:hAnsi="Times New Roman" w:cs="Times New Roman"/>
          <w:color w:val="000000"/>
          <w:lang w:val="en-US"/>
        </w:rPr>
        <w:t>) Network Governance and the Differentiated Polity. Selected Essay.</w:t>
      </w:r>
    </w:p>
    <w:p w14:paraId="0460B560" w14:textId="0EA247C9" w:rsidR="00615ACA" w:rsidRPr="00615ACA" w:rsidRDefault="00615ACA" w:rsidP="00615ACA">
      <w:pPr>
        <w:spacing w:line="480" w:lineRule="auto"/>
        <w:ind w:left="720"/>
        <w:jc w:val="both"/>
        <w:rPr>
          <w:rFonts w:ascii="Times New Roman" w:hAnsi="Times New Roman" w:cs="Times New Roman"/>
          <w:lang w:eastAsia="en-GB"/>
        </w:rPr>
      </w:pPr>
      <w:r w:rsidRPr="00615ACA">
        <w:rPr>
          <w:rFonts w:ascii="Times New Roman" w:hAnsi="Times New Roman" w:cs="Times New Roman"/>
          <w:color w:val="000000"/>
          <w:lang w:val="en-US"/>
        </w:rPr>
        <w:t>Volume 1, Oxford: Oxford University Press.</w:t>
      </w:r>
    </w:p>
    <w:p w14:paraId="3A691420" w14:textId="77777777" w:rsidR="001D1DFF" w:rsidRPr="004529FC" w:rsidRDefault="001D1DF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sidRPr="00F45FCA">
        <w:rPr>
          <w:rFonts w:ascii="Times New Roman" w:hAnsi="Times New Roman" w:cs="Times New Roman"/>
          <w:color w:val="000000"/>
        </w:rPr>
        <w:t xml:space="preserve">Schmidt, V.A. (2013). </w:t>
      </w:r>
      <w:r>
        <w:rPr>
          <w:rFonts w:ascii="Times New Roman" w:hAnsi="Times New Roman" w:cs="Times New Roman"/>
          <w:color w:val="000000"/>
        </w:rPr>
        <w:t>‘</w:t>
      </w:r>
      <w:r w:rsidRPr="00F45FCA">
        <w:rPr>
          <w:rFonts w:ascii="Times New Roman" w:hAnsi="Times New Roman" w:cs="Times New Roman"/>
          <w:color w:val="000000"/>
        </w:rPr>
        <w:t>Democracy and legitimacy in the European Union revisited:</w:t>
      </w:r>
      <w:r>
        <w:rPr>
          <w:rFonts w:ascii="Times New Roman" w:hAnsi="Times New Roman" w:cs="Times New Roman"/>
          <w:color w:val="000000"/>
        </w:rPr>
        <w:t xml:space="preserve"> Input, </w:t>
      </w:r>
      <w:r w:rsidRPr="004529FC">
        <w:rPr>
          <w:rFonts w:ascii="Times New Roman" w:hAnsi="Times New Roman" w:cs="Times New Roman"/>
          <w:color w:val="000000"/>
        </w:rPr>
        <w:t xml:space="preserve">output and ‘throughput’ </w:t>
      </w:r>
      <w:r w:rsidRPr="004529FC">
        <w:rPr>
          <w:rFonts w:ascii="Times New Roman" w:hAnsi="Times New Roman" w:cs="Times New Roman"/>
          <w:i/>
          <w:iCs/>
          <w:color w:val="000000"/>
        </w:rPr>
        <w:t xml:space="preserve">Political Studies </w:t>
      </w:r>
      <w:r w:rsidRPr="004529FC">
        <w:rPr>
          <w:rFonts w:ascii="Times New Roman" w:hAnsi="Times New Roman" w:cs="Times New Roman"/>
          <w:color w:val="000000"/>
        </w:rPr>
        <w:t xml:space="preserve">61(1): 2-22. </w:t>
      </w:r>
    </w:p>
    <w:p w14:paraId="6C35EF02" w14:textId="78D4AA30" w:rsidR="001D1DFF" w:rsidRPr="0034252D" w:rsidRDefault="001D1DF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sidRPr="004529FC">
        <w:rPr>
          <w:rFonts w:ascii="Times New Roman" w:hAnsi="Times New Roman" w:cs="Times New Roman"/>
          <w:color w:val="000000"/>
        </w:rPr>
        <w:t xml:space="preserve">Scharpf, F. (1999) </w:t>
      </w:r>
      <w:r w:rsidRPr="004529FC">
        <w:rPr>
          <w:rFonts w:ascii="Times New Roman" w:hAnsi="Times New Roman" w:cs="Times New Roman"/>
          <w:i/>
          <w:color w:val="000000"/>
        </w:rPr>
        <w:t xml:space="preserve">Governing in Europe. Effective and Democratic? </w:t>
      </w:r>
      <w:r w:rsidR="005230FD">
        <w:rPr>
          <w:rFonts w:ascii="Times New Roman" w:hAnsi="Times New Roman" w:cs="Times New Roman"/>
          <w:color w:val="000000"/>
        </w:rPr>
        <w:t xml:space="preserve">Oxford: </w:t>
      </w:r>
      <w:r w:rsidRPr="004529FC">
        <w:rPr>
          <w:rFonts w:ascii="Times New Roman" w:hAnsi="Times New Roman" w:cs="Times New Roman"/>
          <w:color w:val="000000"/>
        </w:rPr>
        <w:t>Oxford University Press.</w:t>
      </w:r>
    </w:p>
    <w:p w14:paraId="6C1F0254" w14:textId="77777777" w:rsidR="001D1DFF" w:rsidRPr="00F45FCA" w:rsidRDefault="001D1DFF" w:rsidP="00C62A9F">
      <w:pPr>
        <w:widowControl w:val="0"/>
        <w:autoSpaceDE w:val="0"/>
        <w:autoSpaceDN w:val="0"/>
        <w:adjustRightInd w:val="0"/>
        <w:spacing w:line="360" w:lineRule="auto"/>
        <w:ind w:left="720" w:hanging="720"/>
        <w:jc w:val="both"/>
        <w:rPr>
          <w:rFonts w:ascii="Times New Roman" w:hAnsi="Times New Roman" w:cs="Times New Roman"/>
          <w:color w:val="000000"/>
        </w:rPr>
      </w:pPr>
      <w:r w:rsidRPr="00F45FCA">
        <w:rPr>
          <w:rFonts w:ascii="Times New Roman" w:hAnsi="Times New Roman" w:cs="Times New Roman"/>
          <w:color w:val="000000"/>
        </w:rPr>
        <w:t xml:space="preserve">Smismans, S. (2014). </w:t>
      </w:r>
      <w:r>
        <w:rPr>
          <w:rFonts w:ascii="Times New Roman" w:hAnsi="Times New Roman" w:cs="Times New Roman"/>
          <w:color w:val="000000"/>
        </w:rPr>
        <w:t>‘</w:t>
      </w:r>
      <w:r w:rsidRPr="00F45FCA">
        <w:rPr>
          <w:rFonts w:ascii="Times New Roman" w:hAnsi="Times New Roman" w:cs="Times New Roman"/>
          <w:color w:val="000000"/>
        </w:rPr>
        <w:t>Regulating interest group participation in the European Union: Changing paradigms between transparency and representation.</w:t>
      </w:r>
      <w:r>
        <w:rPr>
          <w:rFonts w:ascii="Times New Roman" w:hAnsi="Times New Roman" w:cs="Times New Roman"/>
          <w:color w:val="000000"/>
        </w:rPr>
        <w:t>’</w:t>
      </w:r>
      <w:r w:rsidRPr="00F45FCA">
        <w:rPr>
          <w:rFonts w:ascii="Times New Roman" w:hAnsi="Times New Roman" w:cs="Times New Roman"/>
          <w:color w:val="000000"/>
        </w:rPr>
        <w:t xml:space="preserve"> </w:t>
      </w:r>
      <w:r w:rsidRPr="00F45FCA">
        <w:rPr>
          <w:rFonts w:ascii="Times New Roman" w:hAnsi="Times New Roman" w:cs="Times New Roman"/>
          <w:i/>
          <w:iCs/>
          <w:color w:val="000000"/>
        </w:rPr>
        <w:t xml:space="preserve">European Law Review </w:t>
      </w:r>
      <w:r>
        <w:rPr>
          <w:rFonts w:ascii="Times New Roman" w:hAnsi="Times New Roman" w:cs="Times New Roman"/>
          <w:color w:val="000000"/>
        </w:rPr>
        <w:t>39: 470-</w:t>
      </w:r>
      <w:r w:rsidRPr="00F45FCA">
        <w:rPr>
          <w:rFonts w:ascii="Times New Roman" w:hAnsi="Times New Roman" w:cs="Times New Roman"/>
          <w:color w:val="000000"/>
        </w:rPr>
        <w:t xml:space="preserve">492. </w:t>
      </w:r>
    </w:p>
    <w:p w14:paraId="2627EB1A" w14:textId="77777777" w:rsidR="001D1DFF" w:rsidRDefault="001D1DFF" w:rsidP="00C62A9F">
      <w:pPr>
        <w:spacing w:line="360" w:lineRule="auto"/>
        <w:ind w:left="720" w:hanging="720"/>
        <w:jc w:val="both"/>
        <w:rPr>
          <w:rFonts w:ascii="Times New Roman" w:eastAsia="Arial Unicode MS" w:hAnsi="Times New Roman" w:cs="Times New Roman"/>
          <w:lang w:eastAsia="en-GB"/>
        </w:rPr>
      </w:pPr>
      <w:r w:rsidRPr="00B85092">
        <w:rPr>
          <w:rFonts w:ascii="Times New Roman" w:eastAsia="Arial Unicode MS" w:hAnsi="Times New Roman" w:cs="Times New Roman"/>
          <w:lang w:eastAsia="en-GB"/>
        </w:rPr>
        <w:t xml:space="preserve">Zürn, M. (2016) </w:t>
      </w:r>
      <w:r>
        <w:rPr>
          <w:rFonts w:ascii="Times New Roman" w:eastAsia="Arial Unicode MS" w:hAnsi="Times New Roman" w:cs="Times New Roman"/>
          <w:lang w:eastAsia="en-GB"/>
        </w:rPr>
        <w:t>‘</w:t>
      </w:r>
      <w:r w:rsidRPr="00B85092">
        <w:rPr>
          <w:rFonts w:ascii="Times New Roman" w:eastAsia="Arial Unicode MS" w:hAnsi="Times New Roman" w:cs="Times New Roman"/>
          <w:lang w:eastAsia="en-GB"/>
        </w:rPr>
        <w:t xml:space="preserve">Opening up Europe: next steps in politicisation research.’  </w:t>
      </w:r>
      <w:r w:rsidRPr="00B85092">
        <w:rPr>
          <w:rFonts w:ascii="Times New Roman" w:eastAsia="Arial Unicode MS" w:hAnsi="Times New Roman" w:cs="Times New Roman"/>
          <w:i/>
          <w:lang w:eastAsia="en-GB"/>
        </w:rPr>
        <w:t>West European Politics</w:t>
      </w:r>
      <w:r w:rsidRPr="00B85092">
        <w:rPr>
          <w:rFonts w:ascii="Times New Roman" w:eastAsia="Arial Unicode MS" w:hAnsi="Times New Roman" w:cs="Times New Roman"/>
          <w:lang w:eastAsia="en-GB"/>
        </w:rPr>
        <w:t xml:space="preserve"> 39(1): 164-182. </w:t>
      </w:r>
    </w:p>
    <w:p w14:paraId="2C969E55" w14:textId="77777777" w:rsidR="002A0829" w:rsidRPr="00F6570C" w:rsidRDefault="002A0829" w:rsidP="00C62A9F">
      <w:pPr>
        <w:spacing w:line="360" w:lineRule="auto"/>
        <w:jc w:val="both"/>
        <w:rPr>
          <w:rFonts w:ascii="Times New Roman" w:hAnsi="Times New Roman" w:cs="Times New Roman"/>
          <w:b/>
        </w:rPr>
      </w:pPr>
    </w:p>
    <w:p w14:paraId="7486D80F" w14:textId="77777777" w:rsidR="0043535D" w:rsidRDefault="0043535D" w:rsidP="00CD3967">
      <w:pPr>
        <w:spacing w:line="480" w:lineRule="auto"/>
        <w:ind w:left="720" w:hanging="720"/>
        <w:jc w:val="both"/>
        <w:rPr>
          <w:rFonts w:ascii="Times New Roman" w:eastAsia="Arial Unicode MS" w:hAnsi="Times New Roman" w:cs="Times New Roman"/>
          <w:lang w:eastAsia="en-GB"/>
        </w:rPr>
      </w:pPr>
    </w:p>
    <w:p w14:paraId="741BA331" w14:textId="77777777" w:rsidR="0043535D" w:rsidRDefault="0043535D" w:rsidP="00CD3967">
      <w:pPr>
        <w:spacing w:line="480" w:lineRule="auto"/>
        <w:ind w:left="720" w:hanging="720"/>
        <w:jc w:val="both"/>
        <w:rPr>
          <w:rFonts w:ascii="Times New Roman" w:eastAsia="Arial Unicode MS" w:hAnsi="Times New Roman" w:cs="Times New Roman"/>
          <w:lang w:eastAsia="en-GB"/>
        </w:rPr>
      </w:pPr>
    </w:p>
    <w:p w14:paraId="2D61B85C" w14:textId="77777777" w:rsidR="00DC2DAF" w:rsidRDefault="00DC2DAF" w:rsidP="0042317C">
      <w:pPr>
        <w:rPr>
          <w:rFonts w:ascii="Times New Roman" w:hAnsi="Times New Roman" w:cs="Times New Roman"/>
          <w:b/>
        </w:rPr>
        <w:sectPr w:rsidR="00DC2DAF" w:rsidSect="007F0139">
          <w:footerReference w:type="even" r:id="rId8"/>
          <w:footerReference w:type="default" r:id="rId9"/>
          <w:pgSz w:w="11900" w:h="16840"/>
          <w:pgMar w:top="1440" w:right="1440" w:bottom="1440" w:left="1440" w:header="720" w:footer="720" w:gutter="0"/>
          <w:cols w:space="720"/>
          <w:docGrid w:linePitch="360"/>
        </w:sectPr>
      </w:pPr>
    </w:p>
    <w:p w14:paraId="343A3FFC" w14:textId="64E9D28E" w:rsidR="0042317C" w:rsidRDefault="0042317C" w:rsidP="0042317C">
      <w:pPr>
        <w:jc w:val="both"/>
        <w:rPr>
          <w:rFonts w:ascii="Times New Roman" w:hAnsi="Times New Roman" w:cs="Times New Roman"/>
          <w:b/>
        </w:rPr>
      </w:pPr>
    </w:p>
    <w:p w14:paraId="39B58781" w14:textId="0DC7D24F" w:rsidR="0042317C" w:rsidRPr="00C762B1" w:rsidRDefault="003D1042" w:rsidP="0042317C">
      <w:pPr>
        <w:jc w:val="both"/>
        <w:rPr>
          <w:rFonts w:ascii="Times New Roman" w:hAnsi="Times New Roman" w:cs="Times New Roman"/>
          <w:b/>
        </w:rPr>
      </w:pPr>
      <w:r>
        <w:rPr>
          <w:rFonts w:ascii="Times New Roman" w:hAnsi="Times New Roman" w:cs="Times New Roman"/>
          <w:b/>
        </w:rPr>
        <w:t>Table 1</w:t>
      </w:r>
      <w:r w:rsidR="0042317C" w:rsidRPr="00C762B1">
        <w:rPr>
          <w:rFonts w:ascii="Times New Roman" w:hAnsi="Times New Roman" w:cs="Times New Roman"/>
          <w:b/>
        </w:rPr>
        <w:t>. Examining the congruence between</w:t>
      </w:r>
      <w:r w:rsidR="0042317C">
        <w:rPr>
          <w:rFonts w:ascii="Times New Roman" w:hAnsi="Times New Roman" w:cs="Times New Roman"/>
          <w:b/>
        </w:rPr>
        <w:t xml:space="preserve"> EC proposal measures and stakeholders’ preferences across measures. </w:t>
      </w:r>
    </w:p>
    <w:tbl>
      <w:tblPr>
        <w:tblStyle w:val="TableGrid"/>
        <w:tblW w:w="15030" w:type="dxa"/>
        <w:tblInd w:w="-1242" w:type="dxa"/>
        <w:tblLayout w:type="fixed"/>
        <w:tblLook w:val="04A0" w:firstRow="1" w:lastRow="0" w:firstColumn="1" w:lastColumn="0" w:noHBand="0" w:noVBand="1"/>
      </w:tblPr>
      <w:tblGrid>
        <w:gridCol w:w="1800"/>
        <w:gridCol w:w="1710"/>
        <w:gridCol w:w="1530"/>
        <w:gridCol w:w="1350"/>
        <w:gridCol w:w="1440"/>
        <w:gridCol w:w="1080"/>
        <w:gridCol w:w="1170"/>
        <w:gridCol w:w="1710"/>
        <w:gridCol w:w="1620"/>
        <w:gridCol w:w="1620"/>
      </w:tblGrid>
      <w:tr w:rsidR="0042317C" w:rsidRPr="00041AAB" w14:paraId="6B05A466" w14:textId="77777777" w:rsidTr="00894642">
        <w:trPr>
          <w:trHeight w:val="507"/>
        </w:trPr>
        <w:tc>
          <w:tcPr>
            <w:tcW w:w="1800" w:type="dxa"/>
          </w:tcPr>
          <w:p w14:paraId="041C3B5B" w14:textId="77777777" w:rsidR="0042317C" w:rsidRPr="00041AAB" w:rsidRDefault="0042317C" w:rsidP="00894642">
            <w:pPr>
              <w:jc w:val="both"/>
              <w:rPr>
                <w:rFonts w:ascii="Times New Roman" w:hAnsi="Times New Roman" w:cs="Times New Roman"/>
                <w:b/>
                <w:sz w:val="20"/>
                <w:szCs w:val="20"/>
              </w:rPr>
            </w:pPr>
          </w:p>
        </w:tc>
        <w:tc>
          <w:tcPr>
            <w:tcW w:w="1710" w:type="dxa"/>
          </w:tcPr>
          <w:p w14:paraId="4A1DBD38" w14:textId="77777777" w:rsidR="0042317C" w:rsidRPr="00BE0713" w:rsidRDefault="0042317C" w:rsidP="00894642">
            <w:pPr>
              <w:rPr>
                <w:rFonts w:ascii="Times New Roman" w:hAnsi="Times New Roman" w:cs="Times New Roman"/>
                <w:b/>
                <w:sz w:val="20"/>
                <w:szCs w:val="20"/>
              </w:rPr>
            </w:pPr>
            <w:r w:rsidRPr="00BE0713">
              <w:rPr>
                <w:rFonts w:ascii="Times New Roman" w:hAnsi="Times New Roman" w:cs="Times New Roman"/>
                <w:b/>
                <w:sz w:val="20"/>
                <w:szCs w:val="20"/>
              </w:rPr>
              <w:t>1.Mandatory TR</w:t>
            </w:r>
          </w:p>
          <w:p w14:paraId="71F0D8CB" w14:textId="77777777" w:rsidR="0042317C" w:rsidRPr="00BE0713" w:rsidRDefault="0042317C" w:rsidP="00894642">
            <w:pPr>
              <w:rPr>
                <w:rFonts w:ascii="Times New Roman" w:hAnsi="Times New Roman" w:cs="Times New Roman"/>
                <w:b/>
                <w:sz w:val="20"/>
                <w:szCs w:val="20"/>
              </w:rPr>
            </w:pPr>
            <w:r w:rsidRPr="00BE0713">
              <w:rPr>
                <w:rFonts w:ascii="Times New Roman" w:hAnsi="Times New Roman" w:cs="Times New Roman"/>
                <w:b/>
                <w:sz w:val="20"/>
                <w:szCs w:val="20"/>
              </w:rPr>
              <w:t>covering the Council</w:t>
            </w:r>
          </w:p>
        </w:tc>
        <w:tc>
          <w:tcPr>
            <w:tcW w:w="1530" w:type="dxa"/>
          </w:tcPr>
          <w:p w14:paraId="3FB9E094" w14:textId="77777777" w:rsidR="0042317C" w:rsidRPr="00BE0713" w:rsidRDefault="0042317C" w:rsidP="00894642">
            <w:pPr>
              <w:rPr>
                <w:rFonts w:ascii="Times New Roman" w:hAnsi="Times New Roman" w:cs="Times New Roman"/>
                <w:b/>
                <w:sz w:val="20"/>
                <w:szCs w:val="20"/>
              </w:rPr>
            </w:pPr>
            <w:r w:rsidRPr="00BE0713">
              <w:rPr>
                <w:rFonts w:ascii="Times New Roman" w:hAnsi="Times New Roman" w:cs="Times New Roman"/>
                <w:b/>
                <w:sz w:val="20"/>
                <w:szCs w:val="20"/>
              </w:rPr>
              <w:t>2. Regulated</w:t>
            </w:r>
          </w:p>
          <w:p w14:paraId="58E958EB" w14:textId="77777777" w:rsidR="0042317C" w:rsidRPr="00BE0713" w:rsidRDefault="0042317C" w:rsidP="00894642">
            <w:pPr>
              <w:rPr>
                <w:rFonts w:ascii="Times New Roman" w:hAnsi="Times New Roman" w:cs="Times New Roman"/>
                <w:b/>
                <w:sz w:val="20"/>
                <w:szCs w:val="20"/>
              </w:rPr>
            </w:pPr>
            <w:r w:rsidRPr="00BE0713">
              <w:rPr>
                <w:rFonts w:ascii="Times New Roman" w:hAnsi="Times New Roman" w:cs="Times New Roman"/>
                <w:b/>
                <w:sz w:val="20"/>
                <w:szCs w:val="20"/>
              </w:rPr>
              <w:t>interactions</w:t>
            </w:r>
          </w:p>
        </w:tc>
        <w:tc>
          <w:tcPr>
            <w:tcW w:w="1350" w:type="dxa"/>
          </w:tcPr>
          <w:p w14:paraId="0B051055" w14:textId="77777777" w:rsidR="0042317C" w:rsidRPr="00BE0713" w:rsidRDefault="0042317C" w:rsidP="00894642">
            <w:pPr>
              <w:rPr>
                <w:rFonts w:ascii="Times New Roman" w:hAnsi="Times New Roman" w:cs="Times New Roman"/>
                <w:b/>
                <w:sz w:val="20"/>
                <w:szCs w:val="20"/>
              </w:rPr>
            </w:pPr>
            <w:r w:rsidRPr="00BE0713">
              <w:rPr>
                <w:rFonts w:ascii="Times New Roman" w:hAnsi="Times New Roman" w:cs="Times New Roman"/>
                <w:b/>
                <w:sz w:val="20"/>
                <w:szCs w:val="20"/>
              </w:rPr>
              <w:t>3. Definitions</w:t>
            </w:r>
          </w:p>
        </w:tc>
        <w:tc>
          <w:tcPr>
            <w:tcW w:w="1440" w:type="dxa"/>
          </w:tcPr>
          <w:p w14:paraId="5C504200" w14:textId="77777777" w:rsidR="0042317C" w:rsidRPr="00BE0713" w:rsidRDefault="0042317C" w:rsidP="00894642">
            <w:pPr>
              <w:rPr>
                <w:rFonts w:ascii="Times New Roman" w:hAnsi="Times New Roman" w:cs="Times New Roman"/>
                <w:b/>
                <w:sz w:val="20"/>
                <w:szCs w:val="20"/>
              </w:rPr>
            </w:pPr>
            <w:r w:rsidRPr="00BE0713">
              <w:rPr>
                <w:rFonts w:ascii="Times New Roman" w:hAnsi="Times New Roman" w:cs="Times New Roman"/>
                <w:b/>
                <w:sz w:val="20"/>
                <w:szCs w:val="20"/>
              </w:rPr>
              <w:t>4. Exemptions</w:t>
            </w:r>
          </w:p>
        </w:tc>
        <w:tc>
          <w:tcPr>
            <w:tcW w:w="1080" w:type="dxa"/>
          </w:tcPr>
          <w:p w14:paraId="0E00F1E3" w14:textId="77777777" w:rsidR="0042317C" w:rsidRPr="00BE0713" w:rsidRDefault="0042317C" w:rsidP="00894642">
            <w:pPr>
              <w:rPr>
                <w:rFonts w:ascii="Times New Roman" w:hAnsi="Times New Roman" w:cs="Times New Roman"/>
                <w:b/>
                <w:sz w:val="20"/>
                <w:szCs w:val="20"/>
              </w:rPr>
            </w:pPr>
            <w:r w:rsidRPr="00BE0713">
              <w:rPr>
                <w:rFonts w:ascii="Times New Roman" w:hAnsi="Times New Roman" w:cs="Times New Roman"/>
                <w:b/>
                <w:sz w:val="20"/>
                <w:szCs w:val="20"/>
              </w:rPr>
              <w:t>5. Data disclosure</w:t>
            </w:r>
          </w:p>
        </w:tc>
        <w:tc>
          <w:tcPr>
            <w:tcW w:w="1170" w:type="dxa"/>
          </w:tcPr>
          <w:p w14:paraId="554C5CEB" w14:textId="77777777" w:rsidR="0042317C" w:rsidRPr="00BE0713" w:rsidRDefault="0042317C" w:rsidP="00894642">
            <w:pPr>
              <w:rPr>
                <w:rFonts w:ascii="Times New Roman" w:hAnsi="Times New Roman" w:cs="Times New Roman"/>
                <w:b/>
                <w:sz w:val="20"/>
                <w:szCs w:val="20"/>
              </w:rPr>
            </w:pPr>
            <w:r w:rsidRPr="00BE0713">
              <w:rPr>
                <w:rFonts w:ascii="Times New Roman" w:hAnsi="Times New Roman" w:cs="Times New Roman"/>
                <w:b/>
                <w:sz w:val="20"/>
                <w:szCs w:val="20"/>
              </w:rPr>
              <w:t>6. Ex-ante checks</w:t>
            </w:r>
          </w:p>
        </w:tc>
        <w:tc>
          <w:tcPr>
            <w:tcW w:w="1710" w:type="dxa"/>
          </w:tcPr>
          <w:p w14:paraId="6D9579D6" w14:textId="77777777" w:rsidR="0042317C" w:rsidRPr="00BE0713" w:rsidRDefault="0042317C" w:rsidP="00894642">
            <w:pPr>
              <w:rPr>
                <w:rFonts w:ascii="Times New Roman" w:hAnsi="Times New Roman" w:cs="Times New Roman"/>
                <w:b/>
                <w:sz w:val="20"/>
                <w:szCs w:val="20"/>
              </w:rPr>
            </w:pPr>
            <w:r w:rsidRPr="00BE0713">
              <w:rPr>
                <w:rFonts w:ascii="Times New Roman" w:hAnsi="Times New Roman" w:cs="Times New Roman"/>
                <w:b/>
                <w:sz w:val="20"/>
                <w:szCs w:val="20"/>
              </w:rPr>
              <w:t>7. Code of Conduct</w:t>
            </w:r>
          </w:p>
        </w:tc>
        <w:tc>
          <w:tcPr>
            <w:tcW w:w="1620" w:type="dxa"/>
          </w:tcPr>
          <w:p w14:paraId="1A6FF81C" w14:textId="77777777" w:rsidR="0042317C" w:rsidRPr="00BE0713" w:rsidRDefault="0042317C" w:rsidP="00894642">
            <w:pPr>
              <w:rPr>
                <w:rFonts w:ascii="Times New Roman" w:hAnsi="Times New Roman" w:cs="Times New Roman"/>
                <w:b/>
                <w:sz w:val="20"/>
                <w:szCs w:val="20"/>
              </w:rPr>
            </w:pPr>
            <w:r w:rsidRPr="00BE0713">
              <w:rPr>
                <w:rFonts w:ascii="Times New Roman" w:hAnsi="Times New Roman" w:cs="Times New Roman"/>
                <w:b/>
                <w:sz w:val="20"/>
                <w:szCs w:val="20"/>
              </w:rPr>
              <w:t>8. Breaches management</w:t>
            </w:r>
          </w:p>
        </w:tc>
        <w:tc>
          <w:tcPr>
            <w:tcW w:w="1620" w:type="dxa"/>
          </w:tcPr>
          <w:p w14:paraId="548E1D44" w14:textId="77777777" w:rsidR="0042317C" w:rsidRPr="00BE0713" w:rsidRDefault="0042317C" w:rsidP="00894642">
            <w:pPr>
              <w:rPr>
                <w:rFonts w:ascii="Times New Roman" w:hAnsi="Times New Roman" w:cs="Times New Roman"/>
                <w:b/>
                <w:sz w:val="20"/>
                <w:szCs w:val="20"/>
              </w:rPr>
            </w:pPr>
            <w:r w:rsidRPr="00BE0713">
              <w:rPr>
                <w:rFonts w:ascii="Times New Roman" w:hAnsi="Times New Roman" w:cs="Times New Roman"/>
                <w:b/>
                <w:sz w:val="20"/>
                <w:szCs w:val="20"/>
              </w:rPr>
              <w:t>9. Suspension and removal</w:t>
            </w:r>
          </w:p>
        </w:tc>
      </w:tr>
      <w:tr w:rsidR="0042317C" w14:paraId="130A9C84" w14:textId="77777777" w:rsidTr="00894642">
        <w:trPr>
          <w:trHeight w:val="247"/>
        </w:trPr>
        <w:tc>
          <w:tcPr>
            <w:tcW w:w="1800" w:type="dxa"/>
          </w:tcPr>
          <w:p w14:paraId="5280D012" w14:textId="77777777" w:rsidR="0042317C" w:rsidRPr="00041AAB" w:rsidRDefault="0042317C" w:rsidP="00894642">
            <w:pPr>
              <w:jc w:val="both"/>
              <w:rPr>
                <w:rFonts w:ascii="Times New Roman" w:hAnsi="Times New Roman" w:cs="Times New Roman"/>
                <w:i/>
                <w:sz w:val="22"/>
                <w:szCs w:val="22"/>
              </w:rPr>
            </w:pPr>
            <w:r w:rsidRPr="00041AAB">
              <w:rPr>
                <w:rFonts w:ascii="Times New Roman" w:hAnsi="Times New Roman" w:cs="Times New Roman"/>
                <w:i/>
                <w:sz w:val="22"/>
                <w:szCs w:val="22"/>
              </w:rPr>
              <w:t>Intercept</w:t>
            </w:r>
          </w:p>
        </w:tc>
        <w:tc>
          <w:tcPr>
            <w:tcW w:w="1710" w:type="dxa"/>
          </w:tcPr>
          <w:p w14:paraId="32BB157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1.97***</w:t>
            </w:r>
          </w:p>
          <w:p w14:paraId="4E3412CF"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(0.33)</w:t>
            </w:r>
          </w:p>
        </w:tc>
        <w:tc>
          <w:tcPr>
            <w:tcW w:w="1530" w:type="dxa"/>
          </w:tcPr>
          <w:p w14:paraId="3EC2641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0.41*</w:t>
            </w:r>
          </w:p>
          <w:p w14:paraId="4286BED7"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(0.21)</w:t>
            </w:r>
          </w:p>
        </w:tc>
        <w:tc>
          <w:tcPr>
            <w:tcW w:w="1350" w:type="dxa"/>
          </w:tcPr>
          <w:p w14:paraId="46541AF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-0.79***</w:t>
            </w:r>
          </w:p>
          <w:p w14:paraId="239A6B6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(0.16)</w:t>
            </w:r>
          </w:p>
        </w:tc>
        <w:tc>
          <w:tcPr>
            <w:tcW w:w="1440" w:type="dxa"/>
          </w:tcPr>
          <w:p w14:paraId="76178F8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-3.76***</w:t>
            </w:r>
          </w:p>
          <w:p w14:paraId="00E94B7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(0.60)</w:t>
            </w:r>
          </w:p>
        </w:tc>
        <w:tc>
          <w:tcPr>
            <w:tcW w:w="1080" w:type="dxa"/>
          </w:tcPr>
          <w:p w14:paraId="10FFE00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0.45*</w:t>
            </w:r>
          </w:p>
          <w:p w14:paraId="43424C4D"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(0.20)</w:t>
            </w:r>
          </w:p>
        </w:tc>
        <w:tc>
          <w:tcPr>
            <w:tcW w:w="1170" w:type="dxa"/>
          </w:tcPr>
          <w:p w14:paraId="6176108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0.10</w:t>
            </w:r>
          </w:p>
          <w:p w14:paraId="0966135F"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(0.19)</w:t>
            </w:r>
          </w:p>
        </w:tc>
        <w:tc>
          <w:tcPr>
            <w:tcW w:w="1710" w:type="dxa"/>
          </w:tcPr>
          <w:p w14:paraId="2C01D9B0"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-2.69***</w:t>
            </w:r>
          </w:p>
          <w:p w14:paraId="5E08F4ED"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(0.32)</w:t>
            </w:r>
          </w:p>
        </w:tc>
        <w:tc>
          <w:tcPr>
            <w:tcW w:w="1620" w:type="dxa"/>
          </w:tcPr>
          <w:p w14:paraId="18A90696"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-0.16</w:t>
            </w:r>
          </w:p>
          <w:p w14:paraId="276E5DD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(0.23)</w:t>
            </w:r>
          </w:p>
        </w:tc>
        <w:tc>
          <w:tcPr>
            <w:tcW w:w="1620" w:type="dxa"/>
          </w:tcPr>
          <w:p w14:paraId="5012E78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-0.42*</w:t>
            </w:r>
          </w:p>
          <w:p w14:paraId="004931DD"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(0.20)</w:t>
            </w:r>
          </w:p>
        </w:tc>
      </w:tr>
      <w:tr w:rsidR="0042317C" w14:paraId="769DD0A0" w14:textId="77777777" w:rsidTr="00894642">
        <w:trPr>
          <w:trHeight w:val="280"/>
        </w:trPr>
        <w:tc>
          <w:tcPr>
            <w:tcW w:w="15030" w:type="dxa"/>
            <w:gridSpan w:val="10"/>
          </w:tcPr>
          <w:p w14:paraId="19233465" w14:textId="3A68A1E9" w:rsidR="0042317C" w:rsidRPr="00041AAB" w:rsidRDefault="0042317C" w:rsidP="00894642">
            <w:pPr>
              <w:jc w:val="both"/>
              <w:rPr>
                <w:rFonts w:ascii="Times New Roman" w:hAnsi="Times New Roman" w:cs="Times New Roman"/>
                <w:sz w:val="22"/>
                <w:szCs w:val="22"/>
              </w:rPr>
            </w:pPr>
            <w:r w:rsidRPr="00041AAB">
              <w:rPr>
                <w:rFonts w:ascii="Times New Roman" w:hAnsi="Times New Roman" w:cs="Times New Roman"/>
                <w:b/>
                <w:i/>
                <w:sz w:val="22"/>
                <w:szCs w:val="22"/>
              </w:rPr>
              <w:t>Interest type (</w:t>
            </w:r>
            <w:r w:rsidR="007C21F9">
              <w:rPr>
                <w:rFonts w:ascii="Times New Roman" w:hAnsi="Times New Roman" w:cs="Times New Roman"/>
                <w:b/>
                <w:i/>
                <w:sz w:val="22"/>
                <w:szCs w:val="22"/>
              </w:rPr>
              <w:t>R</w:t>
            </w:r>
            <w:r w:rsidRPr="00041AAB">
              <w:rPr>
                <w:rFonts w:ascii="Times New Roman" w:hAnsi="Times New Roman" w:cs="Times New Roman"/>
                <w:b/>
                <w:i/>
                <w:sz w:val="22"/>
                <w:szCs w:val="22"/>
              </w:rPr>
              <w:t>ef. category</w:t>
            </w:r>
            <w:r w:rsidR="007C21F9">
              <w:rPr>
                <w:rFonts w:ascii="Times New Roman" w:hAnsi="Times New Roman" w:cs="Times New Roman"/>
                <w:b/>
                <w:i/>
                <w:sz w:val="22"/>
                <w:szCs w:val="22"/>
              </w:rPr>
              <w:t>:</w:t>
            </w:r>
            <w:r w:rsidRPr="00041AAB">
              <w:rPr>
                <w:rFonts w:ascii="Times New Roman" w:hAnsi="Times New Roman" w:cs="Times New Roman"/>
                <w:b/>
                <w:i/>
                <w:sz w:val="22"/>
                <w:szCs w:val="22"/>
              </w:rPr>
              <w:t xml:space="preserve"> business)</w:t>
            </w:r>
          </w:p>
        </w:tc>
      </w:tr>
      <w:tr w:rsidR="0042317C" w14:paraId="22557880" w14:textId="77777777" w:rsidTr="00894642">
        <w:trPr>
          <w:trHeight w:val="247"/>
        </w:trPr>
        <w:tc>
          <w:tcPr>
            <w:tcW w:w="1800" w:type="dxa"/>
          </w:tcPr>
          <w:p w14:paraId="1F597688" w14:textId="4F5301D8" w:rsidR="0042317C" w:rsidRPr="00041AAB" w:rsidRDefault="0042317C" w:rsidP="00894642">
            <w:pPr>
              <w:jc w:val="both"/>
              <w:rPr>
                <w:rFonts w:ascii="Times New Roman" w:hAnsi="Times New Roman" w:cs="Times New Roman"/>
                <w:sz w:val="22"/>
                <w:szCs w:val="22"/>
              </w:rPr>
            </w:pPr>
            <w:r w:rsidRPr="00041AAB">
              <w:rPr>
                <w:rFonts w:ascii="Times New Roman" w:hAnsi="Times New Roman" w:cs="Times New Roman"/>
                <w:sz w:val="22"/>
                <w:szCs w:val="22"/>
              </w:rPr>
              <w:t>Citizen</w:t>
            </w:r>
            <w:r w:rsidR="00971803">
              <w:rPr>
                <w:rFonts w:ascii="Times New Roman" w:hAnsi="Times New Roman" w:cs="Times New Roman"/>
                <w:sz w:val="22"/>
                <w:szCs w:val="22"/>
              </w:rPr>
              <w:t>s</w:t>
            </w:r>
          </w:p>
        </w:tc>
        <w:tc>
          <w:tcPr>
            <w:tcW w:w="1710" w:type="dxa"/>
          </w:tcPr>
          <w:p w14:paraId="4624F46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0.83</w:t>
            </w:r>
          </w:p>
          <w:p w14:paraId="12C0173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(0.48)</w:t>
            </w:r>
          </w:p>
        </w:tc>
        <w:tc>
          <w:tcPr>
            <w:tcW w:w="1530" w:type="dxa"/>
          </w:tcPr>
          <w:p w14:paraId="6E46602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1.12***</w:t>
            </w:r>
          </w:p>
          <w:p w14:paraId="1CE2CE12"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(0.30)</w:t>
            </w:r>
          </w:p>
        </w:tc>
        <w:tc>
          <w:tcPr>
            <w:tcW w:w="1350" w:type="dxa"/>
          </w:tcPr>
          <w:p w14:paraId="44085A96"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0.39*</w:t>
            </w:r>
          </w:p>
          <w:p w14:paraId="0F88025D"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(0.18)</w:t>
            </w:r>
          </w:p>
        </w:tc>
        <w:tc>
          <w:tcPr>
            <w:tcW w:w="1440" w:type="dxa"/>
          </w:tcPr>
          <w:p w14:paraId="6FCF6367"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0.88</w:t>
            </w:r>
          </w:p>
          <w:p w14:paraId="02255A6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(0.62)</w:t>
            </w:r>
          </w:p>
        </w:tc>
        <w:tc>
          <w:tcPr>
            <w:tcW w:w="1080" w:type="dxa"/>
          </w:tcPr>
          <w:p w14:paraId="6E0A288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-0.82**</w:t>
            </w:r>
          </w:p>
          <w:p w14:paraId="16C1168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(0.27)</w:t>
            </w:r>
          </w:p>
        </w:tc>
        <w:tc>
          <w:tcPr>
            <w:tcW w:w="1170" w:type="dxa"/>
          </w:tcPr>
          <w:p w14:paraId="088A7AB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0.58*</w:t>
            </w:r>
          </w:p>
          <w:p w14:paraId="43934687"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(0.25)</w:t>
            </w:r>
          </w:p>
        </w:tc>
        <w:tc>
          <w:tcPr>
            <w:tcW w:w="1710" w:type="dxa"/>
          </w:tcPr>
          <w:p w14:paraId="040586C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2.64***</w:t>
            </w:r>
          </w:p>
          <w:p w14:paraId="6310630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(0.36)</w:t>
            </w:r>
          </w:p>
        </w:tc>
        <w:tc>
          <w:tcPr>
            <w:tcW w:w="1620" w:type="dxa"/>
          </w:tcPr>
          <w:p w14:paraId="06B4ACA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0.36</w:t>
            </w:r>
          </w:p>
          <w:p w14:paraId="5C4FA48F"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(0.29)</w:t>
            </w:r>
          </w:p>
        </w:tc>
        <w:tc>
          <w:tcPr>
            <w:tcW w:w="1620" w:type="dxa"/>
          </w:tcPr>
          <w:p w14:paraId="7668D66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-2.44***</w:t>
            </w:r>
          </w:p>
          <w:p w14:paraId="2EF5AF5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(0.40)</w:t>
            </w:r>
          </w:p>
        </w:tc>
      </w:tr>
      <w:tr w:rsidR="0042317C" w14:paraId="740717F2" w14:textId="77777777" w:rsidTr="00894642">
        <w:trPr>
          <w:trHeight w:val="247"/>
        </w:trPr>
        <w:tc>
          <w:tcPr>
            <w:tcW w:w="1800" w:type="dxa"/>
          </w:tcPr>
          <w:p w14:paraId="43FC87B0" w14:textId="77777777" w:rsidR="0042317C" w:rsidRPr="00041AAB" w:rsidRDefault="0042317C" w:rsidP="00894642">
            <w:pPr>
              <w:jc w:val="both"/>
              <w:rPr>
                <w:rFonts w:ascii="Times New Roman" w:hAnsi="Times New Roman" w:cs="Times New Roman"/>
                <w:sz w:val="22"/>
                <w:szCs w:val="22"/>
              </w:rPr>
            </w:pPr>
            <w:r w:rsidRPr="00041AAB">
              <w:rPr>
                <w:rFonts w:ascii="Times New Roman" w:hAnsi="Times New Roman" w:cs="Times New Roman"/>
                <w:sz w:val="22"/>
                <w:szCs w:val="22"/>
              </w:rPr>
              <w:t>Consultancies</w:t>
            </w:r>
          </w:p>
        </w:tc>
        <w:tc>
          <w:tcPr>
            <w:tcW w:w="1710" w:type="dxa"/>
          </w:tcPr>
          <w:p w14:paraId="49EE45D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1.76</w:t>
            </w:r>
          </w:p>
          <w:p w14:paraId="54F99627"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(1.06)</w:t>
            </w:r>
          </w:p>
        </w:tc>
        <w:tc>
          <w:tcPr>
            <w:tcW w:w="1530" w:type="dxa"/>
          </w:tcPr>
          <w:p w14:paraId="0602429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0.34</w:t>
            </w:r>
          </w:p>
          <w:p w14:paraId="1FC16E5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(0.40)</w:t>
            </w:r>
          </w:p>
        </w:tc>
        <w:tc>
          <w:tcPr>
            <w:tcW w:w="1350" w:type="dxa"/>
          </w:tcPr>
          <w:p w14:paraId="5AB24D5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0.23</w:t>
            </w:r>
          </w:p>
          <w:p w14:paraId="054D6DE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(0.31)</w:t>
            </w:r>
          </w:p>
        </w:tc>
        <w:tc>
          <w:tcPr>
            <w:tcW w:w="1440" w:type="dxa"/>
          </w:tcPr>
          <w:p w14:paraId="067EF1D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1.04</w:t>
            </w:r>
          </w:p>
          <w:p w14:paraId="4F10AFA7"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(0.84)</w:t>
            </w:r>
          </w:p>
        </w:tc>
        <w:tc>
          <w:tcPr>
            <w:tcW w:w="1080" w:type="dxa"/>
          </w:tcPr>
          <w:p w14:paraId="4E2F7EBF"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-0.40</w:t>
            </w:r>
          </w:p>
          <w:p w14:paraId="0F1E408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(0.39)</w:t>
            </w:r>
          </w:p>
        </w:tc>
        <w:tc>
          <w:tcPr>
            <w:tcW w:w="1170" w:type="dxa"/>
          </w:tcPr>
          <w:p w14:paraId="169D438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-0.55</w:t>
            </w:r>
          </w:p>
          <w:p w14:paraId="2A350B8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(0.36)</w:t>
            </w:r>
          </w:p>
        </w:tc>
        <w:tc>
          <w:tcPr>
            <w:tcW w:w="1710" w:type="dxa"/>
          </w:tcPr>
          <w:p w14:paraId="50091B2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1.17*</w:t>
            </w:r>
          </w:p>
          <w:p w14:paraId="0864905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(0.50)</w:t>
            </w:r>
          </w:p>
        </w:tc>
        <w:tc>
          <w:tcPr>
            <w:tcW w:w="1620" w:type="dxa"/>
          </w:tcPr>
          <w:p w14:paraId="1501871D"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-0.68</w:t>
            </w:r>
          </w:p>
          <w:p w14:paraId="76A9178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(0.45)</w:t>
            </w:r>
          </w:p>
        </w:tc>
        <w:tc>
          <w:tcPr>
            <w:tcW w:w="1620" w:type="dxa"/>
          </w:tcPr>
          <w:p w14:paraId="4FF8BEDB"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-1.07*</w:t>
            </w:r>
          </w:p>
          <w:p w14:paraId="14BEBA8B"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(0.44)</w:t>
            </w:r>
          </w:p>
        </w:tc>
      </w:tr>
      <w:tr w:rsidR="0042317C" w14:paraId="08E818FB" w14:textId="77777777" w:rsidTr="00894642">
        <w:trPr>
          <w:trHeight w:val="298"/>
        </w:trPr>
        <w:tc>
          <w:tcPr>
            <w:tcW w:w="1800" w:type="dxa"/>
          </w:tcPr>
          <w:p w14:paraId="4F2E9A9F" w14:textId="77777777" w:rsidR="0042317C" w:rsidRPr="00041AAB" w:rsidRDefault="0042317C" w:rsidP="00894642">
            <w:pPr>
              <w:jc w:val="both"/>
              <w:rPr>
                <w:rFonts w:ascii="Times New Roman" w:hAnsi="Times New Roman" w:cs="Times New Roman"/>
                <w:sz w:val="22"/>
                <w:szCs w:val="22"/>
              </w:rPr>
            </w:pPr>
            <w:r w:rsidRPr="00041AAB">
              <w:rPr>
                <w:rFonts w:ascii="Times New Roman" w:hAnsi="Times New Roman" w:cs="Times New Roman"/>
                <w:sz w:val="22"/>
                <w:szCs w:val="22"/>
              </w:rPr>
              <w:t>Professional org.</w:t>
            </w:r>
          </w:p>
        </w:tc>
        <w:tc>
          <w:tcPr>
            <w:tcW w:w="1710" w:type="dxa"/>
          </w:tcPr>
          <w:p w14:paraId="49EE9B6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0.91</w:t>
            </w:r>
          </w:p>
          <w:p w14:paraId="61CCAFD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(0.83)</w:t>
            </w:r>
          </w:p>
        </w:tc>
        <w:tc>
          <w:tcPr>
            <w:tcW w:w="1530" w:type="dxa"/>
          </w:tcPr>
          <w:p w14:paraId="048364E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0.92*</w:t>
            </w:r>
          </w:p>
          <w:p w14:paraId="3FC31E4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(0.41)</w:t>
            </w:r>
          </w:p>
        </w:tc>
        <w:tc>
          <w:tcPr>
            <w:tcW w:w="1350" w:type="dxa"/>
          </w:tcPr>
          <w:p w14:paraId="3B6C74C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-0.13</w:t>
            </w:r>
          </w:p>
          <w:p w14:paraId="4AC82BD0"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(0.30)</w:t>
            </w:r>
          </w:p>
        </w:tc>
        <w:tc>
          <w:tcPr>
            <w:tcW w:w="1440" w:type="dxa"/>
          </w:tcPr>
          <w:p w14:paraId="7C45B5A2"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-13.75</w:t>
            </w:r>
          </w:p>
          <w:p w14:paraId="1955F75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(534.49)</w:t>
            </w:r>
          </w:p>
        </w:tc>
        <w:tc>
          <w:tcPr>
            <w:tcW w:w="1080" w:type="dxa"/>
          </w:tcPr>
          <w:p w14:paraId="11FECF9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-0.37</w:t>
            </w:r>
          </w:p>
          <w:p w14:paraId="776EF83F"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(0.38)</w:t>
            </w:r>
          </w:p>
        </w:tc>
        <w:tc>
          <w:tcPr>
            <w:tcW w:w="1170" w:type="dxa"/>
          </w:tcPr>
          <w:p w14:paraId="773676A7"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-0.61</w:t>
            </w:r>
          </w:p>
          <w:p w14:paraId="7F72E8E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(0.35)</w:t>
            </w:r>
          </w:p>
        </w:tc>
        <w:tc>
          <w:tcPr>
            <w:tcW w:w="1710" w:type="dxa"/>
          </w:tcPr>
          <w:p w14:paraId="765E49C6"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1.16**</w:t>
            </w:r>
          </w:p>
          <w:p w14:paraId="1A411902"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(0.45)</w:t>
            </w:r>
          </w:p>
        </w:tc>
        <w:tc>
          <w:tcPr>
            <w:tcW w:w="1620" w:type="dxa"/>
          </w:tcPr>
          <w:p w14:paraId="4E6920B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-0.08</w:t>
            </w:r>
          </w:p>
          <w:p w14:paraId="3219E9A6"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(0.39)</w:t>
            </w:r>
          </w:p>
        </w:tc>
        <w:tc>
          <w:tcPr>
            <w:tcW w:w="1620" w:type="dxa"/>
          </w:tcPr>
          <w:p w14:paraId="272549D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-0.31</w:t>
            </w:r>
          </w:p>
          <w:p w14:paraId="5C8F84D7"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(0.36)</w:t>
            </w:r>
          </w:p>
        </w:tc>
      </w:tr>
      <w:tr w:rsidR="0042317C" w14:paraId="17FE8FC3" w14:textId="77777777" w:rsidTr="00894642">
        <w:trPr>
          <w:trHeight w:val="504"/>
        </w:trPr>
        <w:tc>
          <w:tcPr>
            <w:tcW w:w="1800" w:type="dxa"/>
          </w:tcPr>
          <w:p w14:paraId="4B1305BD" w14:textId="77777777" w:rsidR="0042317C" w:rsidRPr="00041AAB" w:rsidRDefault="0042317C" w:rsidP="00894642">
            <w:pPr>
              <w:jc w:val="both"/>
              <w:rPr>
                <w:rFonts w:ascii="Times New Roman" w:hAnsi="Times New Roman" w:cs="Times New Roman"/>
                <w:sz w:val="22"/>
                <w:szCs w:val="22"/>
              </w:rPr>
            </w:pPr>
            <w:r w:rsidRPr="00041AAB">
              <w:rPr>
                <w:rFonts w:ascii="Times New Roman" w:hAnsi="Times New Roman" w:cs="Times New Roman"/>
                <w:sz w:val="22"/>
                <w:szCs w:val="22"/>
              </w:rPr>
              <w:t>Public authorities</w:t>
            </w:r>
          </w:p>
        </w:tc>
        <w:tc>
          <w:tcPr>
            <w:tcW w:w="1710" w:type="dxa"/>
          </w:tcPr>
          <w:p w14:paraId="33CFF21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-1.10</w:t>
            </w:r>
          </w:p>
          <w:p w14:paraId="4B87FCD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(0.91)</w:t>
            </w:r>
          </w:p>
        </w:tc>
        <w:tc>
          <w:tcPr>
            <w:tcW w:w="1530" w:type="dxa"/>
          </w:tcPr>
          <w:p w14:paraId="3AFB36F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0.13</w:t>
            </w:r>
          </w:p>
          <w:p w14:paraId="52799047"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(0.80)</w:t>
            </w:r>
          </w:p>
        </w:tc>
        <w:tc>
          <w:tcPr>
            <w:tcW w:w="1350" w:type="dxa"/>
          </w:tcPr>
          <w:p w14:paraId="1CA0E41D"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1.46***</w:t>
            </w:r>
          </w:p>
          <w:p w14:paraId="635BEAB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(0.30)</w:t>
            </w:r>
          </w:p>
        </w:tc>
        <w:tc>
          <w:tcPr>
            <w:tcW w:w="1440" w:type="dxa"/>
          </w:tcPr>
          <w:p w14:paraId="5848B24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5.63***</w:t>
            </w:r>
          </w:p>
          <w:p w14:paraId="77EBCC97"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(0.68)</w:t>
            </w:r>
          </w:p>
        </w:tc>
        <w:tc>
          <w:tcPr>
            <w:tcW w:w="1080" w:type="dxa"/>
          </w:tcPr>
          <w:p w14:paraId="2C14C0A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1.21</w:t>
            </w:r>
          </w:p>
          <w:p w14:paraId="332FB3FD"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(1.13)</w:t>
            </w:r>
          </w:p>
        </w:tc>
        <w:tc>
          <w:tcPr>
            <w:tcW w:w="1170" w:type="dxa"/>
          </w:tcPr>
          <w:p w14:paraId="4818CB46"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0.98</w:t>
            </w:r>
          </w:p>
          <w:p w14:paraId="7A3B188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(0.83)</w:t>
            </w:r>
          </w:p>
        </w:tc>
        <w:tc>
          <w:tcPr>
            <w:tcW w:w="1710" w:type="dxa"/>
          </w:tcPr>
          <w:p w14:paraId="482862D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0.80</w:t>
            </w:r>
          </w:p>
          <w:p w14:paraId="506562C5"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(1.13)</w:t>
            </w:r>
          </w:p>
        </w:tc>
        <w:tc>
          <w:tcPr>
            <w:tcW w:w="1620" w:type="dxa"/>
          </w:tcPr>
          <w:p w14:paraId="5C8AF90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-0.06</w:t>
            </w:r>
          </w:p>
          <w:p w14:paraId="5A807D1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(0.87)</w:t>
            </w:r>
          </w:p>
        </w:tc>
        <w:tc>
          <w:tcPr>
            <w:tcW w:w="1620" w:type="dxa"/>
          </w:tcPr>
          <w:p w14:paraId="0E4C1615"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-0.51</w:t>
            </w:r>
          </w:p>
          <w:p w14:paraId="17F7C99F"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(0.86)</w:t>
            </w:r>
          </w:p>
        </w:tc>
      </w:tr>
      <w:tr w:rsidR="0042317C" w14:paraId="4D5612A6" w14:textId="77777777" w:rsidTr="00894642">
        <w:trPr>
          <w:trHeight w:val="507"/>
        </w:trPr>
        <w:tc>
          <w:tcPr>
            <w:tcW w:w="1800" w:type="dxa"/>
          </w:tcPr>
          <w:p w14:paraId="1BDDEBC2" w14:textId="77777777" w:rsidR="0042317C" w:rsidRPr="00041AAB" w:rsidRDefault="0042317C" w:rsidP="00894642">
            <w:pPr>
              <w:jc w:val="both"/>
              <w:rPr>
                <w:rFonts w:ascii="Times New Roman" w:hAnsi="Times New Roman" w:cs="Times New Roman"/>
                <w:sz w:val="22"/>
                <w:szCs w:val="22"/>
              </w:rPr>
            </w:pPr>
            <w:r w:rsidRPr="00041AAB">
              <w:rPr>
                <w:rFonts w:ascii="Times New Roman" w:hAnsi="Times New Roman" w:cs="Times New Roman"/>
                <w:sz w:val="22"/>
                <w:szCs w:val="22"/>
              </w:rPr>
              <w:t>Public interest org.</w:t>
            </w:r>
          </w:p>
        </w:tc>
        <w:tc>
          <w:tcPr>
            <w:tcW w:w="1710" w:type="dxa"/>
          </w:tcPr>
          <w:p w14:paraId="2BAA22A2"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1.19*</w:t>
            </w:r>
          </w:p>
          <w:p w14:paraId="38FF5A5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(0.56)</w:t>
            </w:r>
          </w:p>
        </w:tc>
        <w:tc>
          <w:tcPr>
            <w:tcW w:w="1530" w:type="dxa"/>
          </w:tcPr>
          <w:p w14:paraId="3738E1D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1.27***</w:t>
            </w:r>
          </w:p>
          <w:p w14:paraId="1C3CDE15"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(0.29)</w:t>
            </w:r>
          </w:p>
        </w:tc>
        <w:tc>
          <w:tcPr>
            <w:tcW w:w="1350" w:type="dxa"/>
          </w:tcPr>
          <w:p w14:paraId="66209176"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0.45*</w:t>
            </w:r>
          </w:p>
          <w:p w14:paraId="0A7940CD"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(0.21)</w:t>
            </w:r>
          </w:p>
        </w:tc>
        <w:tc>
          <w:tcPr>
            <w:tcW w:w="1440" w:type="dxa"/>
          </w:tcPr>
          <w:p w14:paraId="68B79F4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1.44*</w:t>
            </w:r>
          </w:p>
          <w:p w14:paraId="676690C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(0.70)</w:t>
            </w:r>
          </w:p>
        </w:tc>
        <w:tc>
          <w:tcPr>
            <w:tcW w:w="1080" w:type="dxa"/>
          </w:tcPr>
          <w:p w14:paraId="64CE0E25"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-0.86**</w:t>
            </w:r>
          </w:p>
          <w:p w14:paraId="50017D1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(0.27)</w:t>
            </w:r>
          </w:p>
        </w:tc>
        <w:tc>
          <w:tcPr>
            <w:tcW w:w="1170" w:type="dxa"/>
          </w:tcPr>
          <w:p w14:paraId="642847B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0.09</w:t>
            </w:r>
          </w:p>
          <w:p w14:paraId="78546DC7"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(0.24)</w:t>
            </w:r>
          </w:p>
        </w:tc>
        <w:tc>
          <w:tcPr>
            <w:tcW w:w="1710" w:type="dxa"/>
          </w:tcPr>
          <w:p w14:paraId="5A0468DF"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1.82***</w:t>
            </w:r>
          </w:p>
          <w:p w14:paraId="76381D55"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(0.34)</w:t>
            </w:r>
          </w:p>
        </w:tc>
        <w:tc>
          <w:tcPr>
            <w:tcW w:w="1620" w:type="dxa"/>
          </w:tcPr>
          <w:p w14:paraId="61CA3C6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0.09</w:t>
            </w:r>
          </w:p>
          <w:p w14:paraId="267C962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(0.28)</w:t>
            </w:r>
          </w:p>
        </w:tc>
        <w:tc>
          <w:tcPr>
            <w:tcW w:w="1620" w:type="dxa"/>
          </w:tcPr>
          <w:p w14:paraId="14987836"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-0.88**</w:t>
            </w:r>
          </w:p>
          <w:p w14:paraId="38486BA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(0.28)</w:t>
            </w:r>
          </w:p>
        </w:tc>
      </w:tr>
      <w:tr w:rsidR="0042317C" w14:paraId="34832C40" w14:textId="77777777" w:rsidTr="00894642">
        <w:trPr>
          <w:trHeight w:val="468"/>
        </w:trPr>
        <w:tc>
          <w:tcPr>
            <w:tcW w:w="1800" w:type="dxa"/>
          </w:tcPr>
          <w:p w14:paraId="7A163A40" w14:textId="77777777" w:rsidR="0042317C" w:rsidRPr="00041AAB" w:rsidRDefault="0042317C" w:rsidP="00894642">
            <w:pPr>
              <w:rPr>
                <w:rFonts w:ascii="Times New Roman" w:hAnsi="Times New Roman" w:cs="Times New Roman"/>
                <w:b/>
                <w:i/>
                <w:sz w:val="22"/>
                <w:szCs w:val="22"/>
              </w:rPr>
            </w:pPr>
            <w:r w:rsidRPr="00BE0713">
              <w:rPr>
                <w:rFonts w:ascii="Times New Roman" w:hAnsi="Times New Roman" w:cs="Times New Roman"/>
                <w:b/>
                <w:i/>
                <w:sz w:val="22"/>
                <w:szCs w:val="22"/>
              </w:rPr>
              <w:t>Policy network member</w:t>
            </w:r>
          </w:p>
        </w:tc>
        <w:tc>
          <w:tcPr>
            <w:tcW w:w="1710" w:type="dxa"/>
          </w:tcPr>
          <w:p w14:paraId="41C5A22F" w14:textId="73D41792"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w:t>
            </w:r>
            <w:r w:rsidR="00F05AC3">
              <w:rPr>
                <w:rFonts w:ascii="Times New Roman" w:hAnsi="Times New Roman" w:cs="Times New Roman"/>
                <w:sz w:val="22"/>
                <w:szCs w:val="22"/>
              </w:rPr>
              <w:t>57</w:t>
            </w:r>
          </w:p>
          <w:p w14:paraId="55EBC582" w14:textId="54863E3C"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(0.6</w:t>
            </w:r>
            <w:r w:rsidR="00F05AC3">
              <w:rPr>
                <w:rFonts w:ascii="Times New Roman" w:hAnsi="Times New Roman" w:cs="Times New Roman"/>
                <w:sz w:val="22"/>
                <w:szCs w:val="22"/>
              </w:rPr>
              <w:t>3</w:t>
            </w:r>
            <w:r w:rsidRPr="00041AAB">
              <w:rPr>
                <w:rFonts w:ascii="Times New Roman" w:hAnsi="Times New Roman" w:cs="Times New Roman"/>
                <w:sz w:val="22"/>
                <w:szCs w:val="22"/>
              </w:rPr>
              <w:t>)</w:t>
            </w:r>
          </w:p>
        </w:tc>
        <w:tc>
          <w:tcPr>
            <w:tcW w:w="1530" w:type="dxa"/>
          </w:tcPr>
          <w:p w14:paraId="5104DD4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-0.84**</w:t>
            </w:r>
          </w:p>
          <w:p w14:paraId="42AA9AFB"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(0.32)</w:t>
            </w:r>
          </w:p>
        </w:tc>
        <w:tc>
          <w:tcPr>
            <w:tcW w:w="1350" w:type="dxa"/>
          </w:tcPr>
          <w:p w14:paraId="2608580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0.54*</w:t>
            </w:r>
          </w:p>
          <w:p w14:paraId="29255A36"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(0.25)</w:t>
            </w:r>
          </w:p>
        </w:tc>
        <w:tc>
          <w:tcPr>
            <w:tcW w:w="1440" w:type="dxa"/>
          </w:tcPr>
          <w:p w14:paraId="19028B6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0.38</w:t>
            </w:r>
          </w:p>
          <w:p w14:paraId="11AADAB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(0.60)</w:t>
            </w:r>
          </w:p>
        </w:tc>
        <w:tc>
          <w:tcPr>
            <w:tcW w:w="1080" w:type="dxa"/>
          </w:tcPr>
          <w:p w14:paraId="62947DD5"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0.43</w:t>
            </w:r>
          </w:p>
          <w:p w14:paraId="75AC43CB"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(0.31)</w:t>
            </w:r>
          </w:p>
        </w:tc>
        <w:tc>
          <w:tcPr>
            <w:tcW w:w="1170" w:type="dxa"/>
          </w:tcPr>
          <w:p w14:paraId="6CB1C6C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1.18***</w:t>
            </w:r>
          </w:p>
          <w:p w14:paraId="7B234F80"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(0.32)</w:t>
            </w:r>
          </w:p>
        </w:tc>
        <w:tc>
          <w:tcPr>
            <w:tcW w:w="1710" w:type="dxa"/>
          </w:tcPr>
          <w:p w14:paraId="14ADDCE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0.59</w:t>
            </w:r>
          </w:p>
          <w:p w14:paraId="6D00906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(0.33)</w:t>
            </w:r>
          </w:p>
        </w:tc>
        <w:tc>
          <w:tcPr>
            <w:tcW w:w="1620" w:type="dxa"/>
          </w:tcPr>
          <w:p w14:paraId="49B10E12"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1.42***</w:t>
            </w:r>
          </w:p>
          <w:p w14:paraId="2875A12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(0.36)</w:t>
            </w:r>
          </w:p>
        </w:tc>
        <w:tc>
          <w:tcPr>
            <w:tcW w:w="1620" w:type="dxa"/>
          </w:tcPr>
          <w:p w14:paraId="43B536FB"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0.50</w:t>
            </w:r>
          </w:p>
          <w:p w14:paraId="1A0B09C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(0.31)</w:t>
            </w:r>
          </w:p>
        </w:tc>
      </w:tr>
      <w:tr w:rsidR="0042317C" w14:paraId="3C1CD6E3" w14:textId="77777777" w:rsidTr="00894642">
        <w:trPr>
          <w:trHeight w:val="504"/>
        </w:trPr>
        <w:tc>
          <w:tcPr>
            <w:tcW w:w="1800" w:type="dxa"/>
          </w:tcPr>
          <w:p w14:paraId="274570FD" w14:textId="77777777" w:rsidR="0042317C" w:rsidRPr="00041AAB" w:rsidRDefault="0042317C" w:rsidP="00894642">
            <w:pPr>
              <w:jc w:val="both"/>
              <w:rPr>
                <w:rFonts w:ascii="Times New Roman" w:hAnsi="Times New Roman" w:cs="Times New Roman"/>
                <w:b/>
                <w:i/>
                <w:sz w:val="22"/>
                <w:szCs w:val="22"/>
              </w:rPr>
            </w:pPr>
            <w:r w:rsidRPr="00041AAB">
              <w:rPr>
                <w:rFonts w:ascii="Times New Roman" w:hAnsi="Times New Roman" w:cs="Times New Roman"/>
                <w:b/>
                <w:i/>
                <w:sz w:val="22"/>
                <w:szCs w:val="22"/>
              </w:rPr>
              <w:t>European</w:t>
            </w:r>
          </w:p>
          <w:p w14:paraId="2E0C564E" w14:textId="77777777" w:rsidR="0042317C" w:rsidRPr="00041AAB" w:rsidRDefault="0042317C" w:rsidP="00894642">
            <w:pPr>
              <w:jc w:val="both"/>
              <w:rPr>
                <w:rFonts w:ascii="Times New Roman" w:hAnsi="Times New Roman" w:cs="Times New Roman"/>
                <w:b/>
                <w:i/>
                <w:sz w:val="22"/>
                <w:szCs w:val="22"/>
              </w:rPr>
            </w:pPr>
            <w:r w:rsidRPr="00041AAB">
              <w:rPr>
                <w:rFonts w:ascii="Times New Roman" w:hAnsi="Times New Roman" w:cs="Times New Roman"/>
                <w:b/>
                <w:i/>
                <w:sz w:val="22"/>
                <w:szCs w:val="22"/>
              </w:rPr>
              <w:t>association</w:t>
            </w:r>
          </w:p>
        </w:tc>
        <w:tc>
          <w:tcPr>
            <w:tcW w:w="1710" w:type="dxa"/>
          </w:tcPr>
          <w:p w14:paraId="2A57B140"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1.31*</w:t>
            </w:r>
          </w:p>
          <w:p w14:paraId="01379F9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(0.66)</w:t>
            </w:r>
          </w:p>
        </w:tc>
        <w:tc>
          <w:tcPr>
            <w:tcW w:w="1530" w:type="dxa"/>
          </w:tcPr>
          <w:p w14:paraId="4DF25EA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-0.06</w:t>
            </w:r>
          </w:p>
          <w:p w14:paraId="66266E6F"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(0.28)</w:t>
            </w:r>
          </w:p>
        </w:tc>
        <w:tc>
          <w:tcPr>
            <w:tcW w:w="1350" w:type="dxa"/>
          </w:tcPr>
          <w:p w14:paraId="6B6772F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-0.08</w:t>
            </w:r>
          </w:p>
          <w:p w14:paraId="7AB3258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(0.22)</w:t>
            </w:r>
          </w:p>
        </w:tc>
        <w:tc>
          <w:tcPr>
            <w:tcW w:w="1440" w:type="dxa"/>
          </w:tcPr>
          <w:p w14:paraId="45B2BEB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-0.79</w:t>
            </w:r>
          </w:p>
          <w:p w14:paraId="754B989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(0.63)</w:t>
            </w:r>
          </w:p>
        </w:tc>
        <w:tc>
          <w:tcPr>
            <w:tcW w:w="1080" w:type="dxa"/>
          </w:tcPr>
          <w:p w14:paraId="7029F3C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-0.83**</w:t>
            </w:r>
          </w:p>
          <w:p w14:paraId="147B17F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(0.28)</w:t>
            </w:r>
          </w:p>
        </w:tc>
        <w:tc>
          <w:tcPr>
            <w:tcW w:w="1170" w:type="dxa"/>
          </w:tcPr>
          <w:p w14:paraId="5152B7B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-0.14</w:t>
            </w:r>
          </w:p>
          <w:p w14:paraId="6D5DE926"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(0.25)</w:t>
            </w:r>
          </w:p>
        </w:tc>
        <w:tc>
          <w:tcPr>
            <w:tcW w:w="1710" w:type="dxa"/>
          </w:tcPr>
          <w:p w14:paraId="46C64D9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0.16</w:t>
            </w:r>
          </w:p>
          <w:p w14:paraId="409A89C5"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(0.31)</w:t>
            </w:r>
          </w:p>
        </w:tc>
        <w:tc>
          <w:tcPr>
            <w:tcW w:w="1620" w:type="dxa"/>
          </w:tcPr>
          <w:p w14:paraId="03A4191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-0.08</w:t>
            </w:r>
          </w:p>
          <w:p w14:paraId="49636EFB"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(0.30)</w:t>
            </w:r>
          </w:p>
        </w:tc>
        <w:tc>
          <w:tcPr>
            <w:tcW w:w="1620" w:type="dxa"/>
          </w:tcPr>
          <w:p w14:paraId="06A5750B"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-0.58*</w:t>
            </w:r>
          </w:p>
          <w:p w14:paraId="1487E30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(0.29)</w:t>
            </w:r>
          </w:p>
        </w:tc>
      </w:tr>
      <w:tr w:rsidR="0042317C" w14:paraId="4DF6461C" w14:textId="77777777" w:rsidTr="00894642">
        <w:trPr>
          <w:trHeight w:val="270"/>
        </w:trPr>
        <w:tc>
          <w:tcPr>
            <w:tcW w:w="1800" w:type="dxa"/>
          </w:tcPr>
          <w:p w14:paraId="396C926A" w14:textId="77777777" w:rsidR="0042317C" w:rsidRPr="00041AAB" w:rsidRDefault="0042317C" w:rsidP="00894642">
            <w:pPr>
              <w:jc w:val="both"/>
              <w:rPr>
                <w:rFonts w:ascii="Times New Roman" w:hAnsi="Times New Roman" w:cs="Times New Roman"/>
                <w:sz w:val="22"/>
                <w:szCs w:val="22"/>
              </w:rPr>
            </w:pPr>
            <w:r w:rsidRPr="00041AAB">
              <w:rPr>
                <w:rFonts w:ascii="Times New Roman" w:hAnsi="Times New Roman" w:cs="Times New Roman"/>
                <w:sz w:val="22"/>
                <w:szCs w:val="22"/>
              </w:rPr>
              <w:t>AIC</w:t>
            </w:r>
          </w:p>
        </w:tc>
        <w:tc>
          <w:tcPr>
            <w:tcW w:w="1710" w:type="dxa"/>
          </w:tcPr>
          <w:p w14:paraId="1539BF15"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236.31</w:t>
            </w:r>
          </w:p>
        </w:tc>
        <w:tc>
          <w:tcPr>
            <w:tcW w:w="1530" w:type="dxa"/>
          </w:tcPr>
          <w:p w14:paraId="6364428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563.86</w:t>
            </w:r>
          </w:p>
        </w:tc>
        <w:tc>
          <w:tcPr>
            <w:tcW w:w="1350" w:type="dxa"/>
          </w:tcPr>
          <w:p w14:paraId="1859DE5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1749.06</w:t>
            </w:r>
          </w:p>
        </w:tc>
        <w:tc>
          <w:tcPr>
            <w:tcW w:w="1440" w:type="dxa"/>
          </w:tcPr>
          <w:p w14:paraId="4AB43FAB"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509.75</w:t>
            </w:r>
          </w:p>
        </w:tc>
        <w:tc>
          <w:tcPr>
            <w:tcW w:w="1080" w:type="dxa"/>
          </w:tcPr>
          <w:p w14:paraId="7FFB7190"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602.55</w:t>
            </w:r>
          </w:p>
        </w:tc>
        <w:tc>
          <w:tcPr>
            <w:tcW w:w="1170" w:type="dxa"/>
          </w:tcPr>
          <w:p w14:paraId="6C40977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722.81</w:t>
            </w:r>
          </w:p>
        </w:tc>
        <w:tc>
          <w:tcPr>
            <w:tcW w:w="1710" w:type="dxa"/>
          </w:tcPr>
          <w:p w14:paraId="04FFE80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575.94</w:t>
            </w:r>
          </w:p>
        </w:tc>
        <w:tc>
          <w:tcPr>
            <w:tcW w:w="1620" w:type="dxa"/>
          </w:tcPr>
          <w:p w14:paraId="6875441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573.58</w:t>
            </w:r>
          </w:p>
        </w:tc>
        <w:tc>
          <w:tcPr>
            <w:tcW w:w="1620" w:type="dxa"/>
          </w:tcPr>
          <w:p w14:paraId="75C2D1C4" w14:textId="31B8C1D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515.2</w:t>
            </w:r>
            <w:r w:rsidR="00BA1197">
              <w:rPr>
                <w:rFonts w:ascii="Times New Roman" w:hAnsi="Times New Roman" w:cs="Times New Roman"/>
                <w:sz w:val="22"/>
                <w:szCs w:val="22"/>
              </w:rPr>
              <w:t>0</w:t>
            </w:r>
          </w:p>
        </w:tc>
      </w:tr>
      <w:tr w:rsidR="0042317C" w14:paraId="0CAC0CA5" w14:textId="77777777" w:rsidTr="00894642">
        <w:trPr>
          <w:trHeight w:val="215"/>
        </w:trPr>
        <w:tc>
          <w:tcPr>
            <w:tcW w:w="1800" w:type="dxa"/>
          </w:tcPr>
          <w:p w14:paraId="7BEC8E63" w14:textId="77777777" w:rsidR="0042317C" w:rsidRPr="00041AAB" w:rsidRDefault="0042317C" w:rsidP="00894642">
            <w:pPr>
              <w:jc w:val="both"/>
              <w:rPr>
                <w:rFonts w:ascii="Times New Roman" w:hAnsi="Times New Roman" w:cs="Times New Roman"/>
                <w:sz w:val="22"/>
                <w:szCs w:val="22"/>
              </w:rPr>
            </w:pPr>
            <w:r w:rsidRPr="00041AAB">
              <w:rPr>
                <w:rFonts w:ascii="Times New Roman" w:hAnsi="Times New Roman" w:cs="Times New Roman"/>
                <w:sz w:val="22"/>
                <w:szCs w:val="22"/>
              </w:rPr>
              <w:t>BIC</w:t>
            </w:r>
          </w:p>
        </w:tc>
        <w:tc>
          <w:tcPr>
            <w:tcW w:w="1710" w:type="dxa"/>
          </w:tcPr>
          <w:p w14:paraId="3D1F7396"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270.21</w:t>
            </w:r>
          </w:p>
        </w:tc>
        <w:tc>
          <w:tcPr>
            <w:tcW w:w="1530" w:type="dxa"/>
          </w:tcPr>
          <w:p w14:paraId="7AA212A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597.61</w:t>
            </w:r>
          </w:p>
        </w:tc>
        <w:tc>
          <w:tcPr>
            <w:tcW w:w="1350" w:type="dxa"/>
          </w:tcPr>
          <w:p w14:paraId="36B1EC8E"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1790.49</w:t>
            </w:r>
          </w:p>
        </w:tc>
        <w:tc>
          <w:tcPr>
            <w:tcW w:w="1440" w:type="dxa"/>
          </w:tcPr>
          <w:p w14:paraId="62CCC87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550.38</w:t>
            </w:r>
          </w:p>
        </w:tc>
        <w:tc>
          <w:tcPr>
            <w:tcW w:w="1080" w:type="dxa"/>
          </w:tcPr>
          <w:p w14:paraId="6532947B"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635.28</w:t>
            </w:r>
          </w:p>
        </w:tc>
        <w:tc>
          <w:tcPr>
            <w:tcW w:w="1170" w:type="dxa"/>
          </w:tcPr>
          <w:p w14:paraId="60770F12"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757.16</w:t>
            </w:r>
          </w:p>
        </w:tc>
        <w:tc>
          <w:tcPr>
            <w:tcW w:w="1710" w:type="dxa"/>
          </w:tcPr>
          <w:p w14:paraId="5289FDF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610.46</w:t>
            </w:r>
          </w:p>
        </w:tc>
        <w:tc>
          <w:tcPr>
            <w:tcW w:w="1620" w:type="dxa"/>
          </w:tcPr>
          <w:p w14:paraId="12E0605F"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605.90</w:t>
            </w:r>
          </w:p>
        </w:tc>
        <w:tc>
          <w:tcPr>
            <w:tcW w:w="1620" w:type="dxa"/>
          </w:tcPr>
          <w:p w14:paraId="44DDD11D"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549.60</w:t>
            </w:r>
          </w:p>
        </w:tc>
      </w:tr>
      <w:tr w:rsidR="0042317C" w14:paraId="55DCA3FE" w14:textId="77777777" w:rsidTr="00894642">
        <w:trPr>
          <w:trHeight w:val="247"/>
        </w:trPr>
        <w:tc>
          <w:tcPr>
            <w:tcW w:w="1800" w:type="dxa"/>
          </w:tcPr>
          <w:p w14:paraId="3F6DD7E1" w14:textId="77777777" w:rsidR="0042317C" w:rsidRPr="00041AAB" w:rsidRDefault="0042317C" w:rsidP="00894642">
            <w:pPr>
              <w:jc w:val="both"/>
              <w:rPr>
                <w:rFonts w:ascii="Times New Roman" w:hAnsi="Times New Roman" w:cs="Times New Roman"/>
                <w:sz w:val="22"/>
                <w:szCs w:val="22"/>
              </w:rPr>
            </w:pPr>
            <w:r w:rsidRPr="00041AAB">
              <w:rPr>
                <w:rFonts w:ascii="Times New Roman" w:hAnsi="Times New Roman" w:cs="Times New Roman"/>
                <w:sz w:val="22"/>
                <w:szCs w:val="22"/>
              </w:rPr>
              <w:t>LogLik</w:t>
            </w:r>
          </w:p>
        </w:tc>
        <w:tc>
          <w:tcPr>
            <w:tcW w:w="1710" w:type="dxa"/>
          </w:tcPr>
          <w:p w14:paraId="73FFA695"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-110.15</w:t>
            </w:r>
          </w:p>
        </w:tc>
        <w:tc>
          <w:tcPr>
            <w:tcW w:w="1530" w:type="dxa"/>
          </w:tcPr>
          <w:p w14:paraId="31A685C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-273.93</w:t>
            </w:r>
          </w:p>
        </w:tc>
        <w:tc>
          <w:tcPr>
            <w:tcW w:w="1350" w:type="dxa"/>
          </w:tcPr>
          <w:p w14:paraId="5C6739F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-866.53</w:t>
            </w:r>
          </w:p>
        </w:tc>
        <w:tc>
          <w:tcPr>
            <w:tcW w:w="1440" w:type="dxa"/>
          </w:tcPr>
          <w:p w14:paraId="7F27EA02"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-246.87</w:t>
            </w:r>
          </w:p>
        </w:tc>
        <w:tc>
          <w:tcPr>
            <w:tcW w:w="1080" w:type="dxa"/>
          </w:tcPr>
          <w:p w14:paraId="394945C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-293.27</w:t>
            </w:r>
          </w:p>
        </w:tc>
        <w:tc>
          <w:tcPr>
            <w:tcW w:w="1170" w:type="dxa"/>
          </w:tcPr>
          <w:p w14:paraId="4B0721F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-353.41</w:t>
            </w:r>
          </w:p>
        </w:tc>
        <w:tc>
          <w:tcPr>
            <w:tcW w:w="1710" w:type="dxa"/>
          </w:tcPr>
          <w:p w14:paraId="6BAFA4F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-279.97</w:t>
            </w:r>
          </w:p>
        </w:tc>
        <w:tc>
          <w:tcPr>
            <w:tcW w:w="1620" w:type="dxa"/>
          </w:tcPr>
          <w:p w14:paraId="4C57E767"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-278.79</w:t>
            </w:r>
          </w:p>
        </w:tc>
        <w:tc>
          <w:tcPr>
            <w:tcW w:w="1620" w:type="dxa"/>
          </w:tcPr>
          <w:p w14:paraId="63552E4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-249.60</w:t>
            </w:r>
          </w:p>
        </w:tc>
      </w:tr>
      <w:tr w:rsidR="0042317C" w14:paraId="5698AF7C" w14:textId="77777777" w:rsidTr="00894642">
        <w:trPr>
          <w:trHeight w:val="270"/>
        </w:trPr>
        <w:tc>
          <w:tcPr>
            <w:tcW w:w="1800" w:type="dxa"/>
          </w:tcPr>
          <w:p w14:paraId="0C8C3772" w14:textId="77777777" w:rsidR="0042317C" w:rsidRPr="00041AAB" w:rsidRDefault="0042317C" w:rsidP="00894642">
            <w:pPr>
              <w:jc w:val="both"/>
              <w:rPr>
                <w:rFonts w:ascii="Times New Roman" w:hAnsi="Times New Roman" w:cs="Times New Roman"/>
                <w:sz w:val="22"/>
                <w:szCs w:val="22"/>
              </w:rPr>
            </w:pPr>
            <w:r w:rsidRPr="00041AAB">
              <w:rPr>
                <w:rFonts w:ascii="Times New Roman" w:hAnsi="Times New Roman" w:cs="Times New Roman"/>
                <w:sz w:val="22"/>
                <w:szCs w:val="22"/>
              </w:rPr>
              <w:t>Deviance</w:t>
            </w:r>
          </w:p>
        </w:tc>
        <w:tc>
          <w:tcPr>
            <w:tcW w:w="1710" w:type="dxa"/>
          </w:tcPr>
          <w:p w14:paraId="7A37C0A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220.31</w:t>
            </w:r>
          </w:p>
        </w:tc>
        <w:tc>
          <w:tcPr>
            <w:tcW w:w="1530" w:type="dxa"/>
          </w:tcPr>
          <w:p w14:paraId="47E73910"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547.86</w:t>
            </w:r>
          </w:p>
        </w:tc>
        <w:tc>
          <w:tcPr>
            <w:tcW w:w="1350" w:type="dxa"/>
          </w:tcPr>
          <w:p w14:paraId="0C84E5AB"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1733.06</w:t>
            </w:r>
          </w:p>
        </w:tc>
        <w:tc>
          <w:tcPr>
            <w:tcW w:w="1440" w:type="dxa"/>
          </w:tcPr>
          <w:p w14:paraId="616B9634"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493.75</w:t>
            </w:r>
          </w:p>
        </w:tc>
        <w:tc>
          <w:tcPr>
            <w:tcW w:w="1080" w:type="dxa"/>
          </w:tcPr>
          <w:p w14:paraId="776E34DC"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586.55</w:t>
            </w:r>
          </w:p>
        </w:tc>
        <w:tc>
          <w:tcPr>
            <w:tcW w:w="1170" w:type="dxa"/>
          </w:tcPr>
          <w:p w14:paraId="59EED24F"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706.81</w:t>
            </w:r>
          </w:p>
        </w:tc>
        <w:tc>
          <w:tcPr>
            <w:tcW w:w="1710" w:type="dxa"/>
          </w:tcPr>
          <w:p w14:paraId="3A06FA3D"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559.94</w:t>
            </w:r>
          </w:p>
        </w:tc>
        <w:tc>
          <w:tcPr>
            <w:tcW w:w="1620" w:type="dxa"/>
          </w:tcPr>
          <w:p w14:paraId="38BAD253"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557.58</w:t>
            </w:r>
          </w:p>
        </w:tc>
        <w:tc>
          <w:tcPr>
            <w:tcW w:w="1620" w:type="dxa"/>
          </w:tcPr>
          <w:p w14:paraId="72237DA9"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499.20</w:t>
            </w:r>
          </w:p>
        </w:tc>
      </w:tr>
      <w:tr w:rsidR="0042317C" w14:paraId="39AE6D41" w14:textId="77777777" w:rsidTr="00894642">
        <w:trPr>
          <w:trHeight w:val="252"/>
        </w:trPr>
        <w:tc>
          <w:tcPr>
            <w:tcW w:w="1800" w:type="dxa"/>
          </w:tcPr>
          <w:p w14:paraId="3A9101E3" w14:textId="77777777" w:rsidR="0042317C" w:rsidRPr="00041AAB" w:rsidRDefault="0042317C" w:rsidP="00894642">
            <w:pPr>
              <w:jc w:val="both"/>
              <w:rPr>
                <w:rFonts w:ascii="Times New Roman" w:hAnsi="Times New Roman" w:cs="Times New Roman"/>
                <w:sz w:val="22"/>
                <w:szCs w:val="22"/>
              </w:rPr>
            </w:pPr>
            <w:r w:rsidRPr="00041AAB">
              <w:rPr>
                <w:rFonts w:ascii="Times New Roman" w:hAnsi="Times New Roman" w:cs="Times New Roman"/>
                <w:sz w:val="22"/>
                <w:szCs w:val="22"/>
              </w:rPr>
              <w:t>N</w:t>
            </w:r>
          </w:p>
        </w:tc>
        <w:tc>
          <w:tcPr>
            <w:tcW w:w="1710" w:type="dxa"/>
          </w:tcPr>
          <w:p w14:paraId="68023322"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512</w:t>
            </w:r>
          </w:p>
        </w:tc>
        <w:tc>
          <w:tcPr>
            <w:tcW w:w="1530" w:type="dxa"/>
          </w:tcPr>
          <w:p w14:paraId="37709F1B"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502</w:t>
            </w:r>
          </w:p>
        </w:tc>
        <w:tc>
          <w:tcPr>
            <w:tcW w:w="1350" w:type="dxa"/>
          </w:tcPr>
          <w:p w14:paraId="76949D08"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1312</w:t>
            </w:r>
          </w:p>
        </w:tc>
        <w:tc>
          <w:tcPr>
            <w:tcW w:w="1440" w:type="dxa"/>
          </w:tcPr>
          <w:p w14:paraId="3E592E06"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1187</w:t>
            </w:r>
          </w:p>
        </w:tc>
        <w:tc>
          <w:tcPr>
            <w:tcW w:w="1080" w:type="dxa"/>
          </w:tcPr>
          <w:p w14:paraId="7E47683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442</w:t>
            </w:r>
          </w:p>
        </w:tc>
        <w:tc>
          <w:tcPr>
            <w:tcW w:w="1170" w:type="dxa"/>
          </w:tcPr>
          <w:p w14:paraId="1476874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541</w:t>
            </w:r>
          </w:p>
        </w:tc>
        <w:tc>
          <w:tcPr>
            <w:tcW w:w="1710" w:type="dxa"/>
          </w:tcPr>
          <w:p w14:paraId="2230CC12"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553</w:t>
            </w:r>
          </w:p>
        </w:tc>
        <w:tc>
          <w:tcPr>
            <w:tcW w:w="1620" w:type="dxa"/>
          </w:tcPr>
          <w:p w14:paraId="45118C21"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420</w:t>
            </w:r>
          </w:p>
        </w:tc>
        <w:tc>
          <w:tcPr>
            <w:tcW w:w="1620" w:type="dxa"/>
          </w:tcPr>
          <w:p w14:paraId="4D39B3AA" w14:textId="77777777" w:rsidR="0042317C" w:rsidRPr="00041AAB" w:rsidRDefault="0042317C" w:rsidP="002B6FDD">
            <w:pPr>
              <w:jc w:val="center"/>
              <w:rPr>
                <w:rFonts w:ascii="Times New Roman" w:hAnsi="Times New Roman" w:cs="Times New Roman"/>
                <w:sz w:val="22"/>
                <w:szCs w:val="22"/>
              </w:rPr>
            </w:pPr>
            <w:r w:rsidRPr="00041AAB">
              <w:rPr>
                <w:rFonts w:ascii="Times New Roman" w:hAnsi="Times New Roman" w:cs="Times New Roman"/>
                <w:sz w:val="22"/>
                <w:szCs w:val="22"/>
              </w:rPr>
              <w:t>539</w:t>
            </w:r>
          </w:p>
        </w:tc>
      </w:tr>
    </w:tbl>
    <w:p w14:paraId="73A2310D" w14:textId="77777777" w:rsidR="0042317C" w:rsidRPr="008B6FE5" w:rsidRDefault="0042317C" w:rsidP="0042317C">
      <w:pPr>
        <w:jc w:val="both"/>
        <w:rPr>
          <w:rFonts w:ascii="Times New Roman" w:hAnsi="Times New Roman" w:cs="Times New Roman"/>
          <w:sz w:val="22"/>
          <w:szCs w:val="22"/>
        </w:rPr>
      </w:pPr>
      <w:r w:rsidRPr="00053DF2">
        <w:rPr>
          <w:rFonts w:ascii="Times New Roman" w:hAnsi="Times New Roman" w:cs="Times New Roman"/>
          <w:sz w:val="22"/>
          <w:szCs w:val="22"/>
        </w:rPr>
        <w:t xml:space="preserve">NOTE: </w:t>
      </w:r>
      <w:r>
        <w:rPr>
          <w:rFonts w:ascii="Times New Roman" w:hAnsi="Times New Roman" w:cs="Times New Roman"/>
          <w:sz w:val="22"/>
          <w:szCs w:val="22"/>
        </w:rPr>
        <w:t xml:space="preserve">Logit regression models. Standard errors in parentheses. </w:t>
      </w:r>
      <w:r w:rsidRPr="00053DF2">
        <w:rPr>
          <w:rFonts w:ascii="Times New Roman" w:hAnsi="Times New Roman" w:cs="Times New Roman"/>
          <w:sz w:val="22"/>
          <w:szCs w:val="22"/>
        </w:rPr>
        <w:t>Significance levels: ***</w:t>
      </w:r>
      <w:r w:rsidRPr="00053DF2">
        <w:rPr>
          <w:rFonts w:ascii="Times New Roman" w:hAnsi="Times New Roman" w:cs="Times New Roman"/>
          <w:i/>
          <w:sz w:val="22"/>
          <w:szCs w:val="22"/>
        </w:rPr>
        <w:t>p</w:t>
      </w:r>
      <w:r w:rsidRPr="00053DF2">
        <w:rPr>
          <w:rFonts w:ascii="Times New Roman" w:hAnsi="Times New Roman" w:cs="Times New Roman"/>
          <w:sz w:val="22"/>
          <w:szCs w:val="22"/>
        </w:rPr>
        <w:t>&lt;0.001, **</w:t>
      </w:r>
      <w:r w:rsidRPr="00053DF2">
        <w:rPr>
          <w:rFonts w:ascii="Times New Roman" w:hAnsi="Times New Roman" w:cs="Times New Roman"/>
          <w:i/>
          <w:sz w:val="22"/>
          <w:szCs w:val="22"/>
        </w:rPr>
        <w:t>p</w:t>
      </w:r>
      <w:r w:rsidRPr="00053DF2">
        <w:rPr>
          <w:rFonts w:ascii="Times New Roman" w:hAnsi="Times New Roman" w:cs="Times New Roman"/>
          <w:sz w:val="22"/>
          <w:szCs w:val="22"/>
        </w:rPr>
        <w:t>&lt;0.01</w:t>
      </w:r>
      <w:r>
        <w:rPr>
          <w:rFonts w:ascii="Times New Roman" w:hAnsi="Times New Roman" w:cs="Times New Roman"/>
          <w:sz w:val="22"/>
          <w:szCs w:val="22"/>
        </w:rPr>
        <w:t xml:space="preserve">, </w:t>
      </w:r>
      <w:r w:rsidRPr="00053DF2">
        <w:rPr>
          <w:rFonts w:ascii="Times New Roman" w:hAnsi="Times New Roman" w:cs="Times New Roman"/>
          <w:sz w:val="22"/>
          <w:szCs w:val="22"/>
        </w:rPr>
        <w:t>*</w:t>
      </w:r>
      <w:r w:rsidRPr="00053DF2">
        <w:rPr>
          <w:rFonts w:ascii="Times New Roman" w:hAnsi="Times New Roman" w:cs="Times New Roman"/>
          <w:i/>
          <w:sz w:val="22"/>
          <w:szCs w:val="22"/>
        </w:rPr>
        <w:t>p</w:t>
      </w:r>
      <w:r w:rsidRPr="00053DF2">
        <w:rPr>
          <w:rFonts w:ascii="Times New Roman" w:hAnsi="Times New Roman" w:cs="Times New Roman"/>
          <w:sz w:val="22"/>
          <w:szCs w:val="22"/>
        </w:rPr>
        <w:t>&lt;0.05</w:t>
      </w:r>
      <w:r>
        <w:rPr>
          <w:rFonts w:ascii="Times New Roman" w:hAnsi="Times New Roman" w:cs="Times New Roman"/>
          <w:sz w:val="22"/>
          <w:szCs w:val="22"/>
        </w:rPr>
        <w:t>.</w:t>
      </w:r>
    </w:p>
    <w:p w14:paraId="3040A2C7" w14:textId="77777777" w:rsidR="0042317C" w:rsidRDefault="0042317C" w:rsidP="0042317C">
      <w:pPr>
        <w:jc w:val="both"/>
        <w:rPr>
          <w:rFonts w:ascii="Times New Roman" w:hAnsi="Times New Roman" w:cs="Times New Roman"/>
          <w:b/>
          <w:sz w:val="22"/>
          <w:szCs w:val="22"/>
        </w:rPr>
      </w:pPr>
    </w:p>
    <w:p w14:paraId="3AB18B3A" w14:textId="77777777" w:rsidR="0042317C" w:rsidRDefault="0042317C" w:rsidP="0042317C">
      <w:pPr>
        <w:jc w:val="both"/>
        <w:rPr>
          <w:rFonts w:ascii="Times New Roman" w:hAnsi="Times New Roman" w:cs="Times New Roman"/>
          <w:b/>
          <w:sz w:val="22"/>
          <w:szCs w:val="22"/>
        </w:rPr>
      </w:pPr>
    </w:p>
    <w:p w14:paraId="48370F3B" w14:textId="77777777" w:rsidR="0042317C" w:rsidRDefault="0042317C" w:rsidP="0042317C">
      <w:pPr>
        <w:jc w:val="both"/>
        <w:rPr>
          <w:rFonts w:ascii="Times New Roman" w:hAnsi="Times New Roman" w:cs="Times New Roman"/>
          <w:b/>
          <w:sz w:val="22"/>
          <w:szCs w:val="22"/>
        </w:rPr>
        <w:sectPr w:rsidR="0042317C" w:rsidSect="00894642">
          <w:pgSz w:w="16840" w:h="11900" w:orient="landscape"/>
          <w:pgMar w:top="1584" w:right="1440" w:bottom="1440" w:left="2448" w:header="720" w:footer="720" w:gutter="0"/>
          <w:cols w:space="720"/>
          <w:docGrid w:linePitch="360"/>
        </w:sectPr>
      </w:pPr>
    </w:p>
    <w:p w14:paraId="31C1535C" w14:textId="207E1075" w:rsidR="0043535D" w:rsidRPr="00A8383C" w:rsidRDefault="003D1042" w:rsidP="0043535D">
      <w:pPr>
        <w:jc w:val="both"/>
        <w:rPr>
          <w:rFonts w:ascii="Times New Roman" w:hAnsi="Times New Roman" w:cs="Times New Roman"/>
          <w:sz w:val="22"/>
          <w:szCs w:val="22"/>
        </w:rPr>
      </w:pPr>
      <w:r w:rsidRPr="00A8383C">
        <w:rPr>
          <w:rFonts w:ascii="Times New Roman" w:hAnsi="Times New Roman" w:cs="Times New Roman"/>
          <w:b/>
          <w:sz w:val="22"/>
          <w:szCs w:val="22"/>
        </w:rPr>
        <w:t>Table 2</w:t>
      </w:r>
      <w:r w:rsidR="0043535D" w:rsidRPr="00A8383C">
        <w:rPr>
          <w:rFonts w:ascii="Times New Roman" w:hAnsi="Times New Roman" w:cs="Times New Roman"/>
          <w:b/>
          <w:sz w:val="22"/>
          <w:szCs w:val="22"/>
        </w:rPr>
        <w:t xml:space="preserve">. First differences in predicted probabilities of stakeholder-proposal congruence. 95% confidence intervals in parentheses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43535D" w:rsidRPr="000A0A39" w14:paraId="6096676B" w14:textId="77777777" w:rsidTr="0043535D">
        <w:trPr>
          <w:trHeight w:val="269"/>
        </w:trPr>
        <w:tc>
          <w:tcPr>
            <w:tcW w:w="3618" w:type="dxa"/>
            <w:tcBorders>
              <w:top w:val="single" w:sz="4" w:space="0" w:color="auto"/>
              <w:bottom w:val="single" w:sz="4" w:space="0" w:color="auto"/>
            </w:tcBorders>
          </w:tcPr>
          <w:p w14:paraId="60A7CC5B" w14:textId="77777777" w:rsidR="0043535D" w:rsidRPr="00A8383C" w:rsidRDefault="0043535D" w:rsidP="0043535D">
            <w:pPr>
              <w:jc w:val="both"/>
              <w:rPr>
                <w:rFonts w:ascii="Times New Roman" w:hAnsi="Times New Roman" w:cs="Times New Roman"/>
                <w:b/>
                <w:sz w:val="22"/>
                <w:szCs w:val="22"/>
              </w:rPr>
            </w:pPr>
            <w:r w:rsidRPr="00A8383C">
              <w:rPr>
                <w:rFonts w:ascii="Times New Roman" w:hAnsi="Times New Roman" w:cs="Times New Roman"/>
                <w:b/>
                <w:sz w:val="22"/>
                <w:szCs w:val="22"/>
              </w:rPr>
              <w:t>Regression model</w:t>
            </w:r>
          </w:p>
        </w:tc>
        <w:tc>
          <w:tcPr>
            <w:tcW w:w="4140" w:type="dxa"/>
            <w:tcBorders>
              <w:top w:val="single" w:sz="4" w:space="0" w:color="auto"/>
              <w:bottom w:val="single" w:sz="4" w:space="0" w:color="auto"/>
            </w:tcBorders>
          </w:tcPr>
          <w:p w14:paraId="2057BA65" w14:textId="77777777" w:rsidR="0043535D" w:rsidRPr="00A8383C" w:rsidRDefault="0043535D" w:rsidP="0043535D">
            <w:pPr>
              <w:jc w:val="both"/>
              <w:rPr>
                <w:rFonts w:ascii="Times New Roman" w:hAnsi="Times New Roman" w:cs="Times New Roman"/>
                <w:b/>
                <w:sz w:val="22"/>
                <w:szCs w:val="22"/>
              </w:rPr>
            </w:pPr>
            <w:r w:rsidRPr="00A8383C">
              <w:rPr>
                <w:rFonts w:ascii="Times New Roman" w:hAnsi="Times New Roman" w:cs="Times New Roman"/>
                <w:b/>
                <w:sz w:val="22"/>
                <w:szCs w:val="22"/>
              </w:rPr>
              <w:t>Change in variable</w:t>
            </w:r>
          </w:p>
        </w:tc>
      </w:tr>
      <w:tr w:rsidR="0043535D" w:rsidRPr="000A0A39" w14:paraId="78F4BA69" w14:textId="77777777" w:rsidTr="0043535D">
        <w:tc>
          <w:tcPr>
            <w:tcW w:w="3618" w:type="dxa"/>
            <w:tcBorders>
              <w:top w:val="single" w:sz="4" w:space="0" w:color="auto"/>
            </w:tcBorders>
          </w:tcPr>
          <w:p w14:paraId="050A4C97" w14:textId="77777777" w:rsidR="0043535D" w:rsidRPr="00A8383C" w:rsidRDefault="0043535D" w:rsidP="0043535D">
            <w:pPr>
              <w:jc w:val="both"/>
              <w:rPr>
                <w:rFonts w:ascii="Times New Roman" w:hAnsi="Times New Roman" w:cs="Times New Roman"/>
                <w:b/>
                <w:sz w:val="22"/>
                <w:szCs w:val="22"/>
              </w:rPr>
            </w:pPr>
          </w:p>
        </w:tc>
        <w:tc>
          <w:tcPr>
            <w:tcW w:w="4140" w:type="dxa"/>
            <w:tcBorders>
              <w:top w:val="single" w:sz="4" w:space="0" w:color="auto"/>
            </w:tcBorders>
          </w:tcPr>
          <w:p w14:paraId="7728F2BA" w14:textId="77777777" w:rsidR="0043535D" w:rsidRPr="00A8383C" w:rsidRDefault="0043535D" w:rsidP="0043535D">
            <w:pPr>
              <w:jc w:val="both"/>
              <w:rPr>
                <w:rFonts w:ascii="Times New Roman" w:hAnsi="Times New Roman" w:cs="Times New Roman"/>
                <w:b/>
                <w:sz w:val="22"/>
                <w:szCs w:val="22"/>
              </w:rPr>
            </w:pPr>
            <w:r w:rsidRPr="00A8383C">
              <w:rPr>
                <w:rFonts w:ascii="Times New Roman" w:hAnsi="Times New Roman" w:cs="Times New Roman"/>
                <w:b/>
                <w:sz w:val="22"/>
                <w:szCs w:val="22"/>
              </w:rPr>
              <w:t xml:space="preserve">Business </w:t>
            </w:r>
            <w:r w:rsidRPr="00A8383C">
              <w:rPr>
                <w:rFonts w:ascii="Times New Roman" w:hAnsi="Times New Roman" w:cs="Times New Roman"/>
                <w:b/>
                <w:sz w:val="22"/>
                <w:szCs w:val="22"/>
              </w:rPr>
              <w:sym w:font="Wingdings" w:char="F0E0"/>
            </w:r>
            <w:r w:rsidRPr="00A8383C">
              <w:rPr>
                <w:rFonts w:ascii="normal" w:hAnsi="normal" w:cs="Times New Roman"/>
                <w:b/>
                <w:sz w:val="22"/>
                <w:szCs w:val="22"/>
              </w:rPr>
              <w:t xml:space="preserve"> Citizen</w:t>
            </w:r>
          </w:p>
        </w:tc>
      </w:tr>
      <w:tr w:rsidR="0043535D" w14:paraId="3F3D568D" w14:textId="77777777" w:rsidTr="0043535D">
        <w:tc>
          <w:tcPr>
            <w:tcW w:w="3618" w:type="dxa"/>
          </w:tcPr>
          <w:p w14:paraId="5FA03D43"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2. Regulated interactions</w:t>
            </w:r>
          </w:p>
        </w:tc>
        <w:tc>
          <w:tcPr>
            <w:tcW w:w="4140" w:type="dxa"/>
          </w:tcPr>
          <w:p w14:paraId="215B1B91"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0.220 (0.097; 0.330)</w:t>
            </w:r>
          </w:p>
        </w:tc>
      </w:tr>
      <w:tr w:rsidR="0043535D" w14:paraId="03591A1B" w14:textId="77777777" w:rsidTr="0043535D">
        <w:tc>
          <w:tcPr>
            <w:tcW w:w="3618" w:type="dxa"/>
          </w:tcPr>
          <w:p w14:paraId="2F2E4700"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3. Definitions</w:t>
            </w:r>
          </w:p>
        </w:tc>
        <w:tc>
          <w:tcPr>
            <w:tcW w:w="4140" w:type="dxa"/>
          </w:tcPr>
          <w:p w14:paraId="1D66946F"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0.086 (0.009; 0.160)</w:t>
            </w:r>
          </w:p>
        </w:tc>
      </w:tr>
      <w:tr w:rsidR="0043535D" w14:paraId="703B256A" w14:textId="77777777" w:rsidTr="0043535D">
        <w:tc>
          <w:tcPr>
            <w:tcW w:w="3618" w:type="dxa"/>
          </w:tcPr>
          <w:p w14:paraId="0C4B1EA1"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5. Data disclosure</w:t>
            </w:r>
          </w:p>
        </w:tc>
        <w:tc>
          <w:tcPr>
            <w:tcW w:w="4140" w:type="dxa"/>
          </w:tcPr>
          <w:p w14:paraId="38E2CF65"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-0.211 (-0.333; -0.085)</w:t>
            </w:r>
          </w:p>
        </w:tc>
      </w:tr>
      <w:tr w:rsidR="0043535D" w14:paraId="1453FDC2" w14:textId="77777777" w:rsidTr="0043535D">
        <w:tc>
          <w:tcPr>
            <w:tcW w:w="3618" w:type="dxa"/>
          </w:tcPr>
          <w:p w14:paraId="2817378A"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6. Ex-ante checks</w:t>
            </w:r>
          </w:p>
        </w:tc>
        <w:tc>
          <w:tcPr>
            <w:tcW w:w="4140" w:type="dxa"/>
          </w:tcPr>
          <w:p w14:paraId="1DBA6F7E"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 xml:space="preserve">0.133 (0.016; 0.250) </w:t>
            </w:r>
          </w:p>
        </w:tc>
      </w:tr>
      <w:tr w:rsidR="0043535D" w14:paraId="6890AF0B" w14:textId="77777777" w:rsidTr="0043535D">
        <w:trPr>
          <w:trHeight w:val="224"/>
        </w:trPr>
        <w:tc>
          <w:tcPr>
            <w:tcW w:w="3618" w:type="dxa"/>
          </w:tcPr>
          <w:p w14:paraId="753AABCD"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7. Code of conduct</w:t>
            </w:r>
          </w:p>
        </w:tc>
        <w:tc>
          <w:tcPr>
            <w:tcW w:w="4140" w:type="dxa"/>
          </w:tcPr>
          <w:p w14:paraId="66DDDDBE"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0.419 (0.332; 0.508)</w:t>
            </w:r>
          </w:p>
        </w:tc>
      </w:tr>
      <w:tr w:rsidR="0043535D" w14:paraId="7A3C22D2" w14:textId="77777777" w:rsidTr="0043535D">
        <w:tc>
          <w:tcPr>
            <w:tcW w:w="3618" w:type="dxa"/>
          </w:tcPr>
          <w:p w14:paraId="11981DDA"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9. Suspension and removal</w:t>
            </w:r>
          </w:p>
        </w:tc>
        <w:tc>
          <w:tcPr>
            <w:tcW w:w="4140" w:type="dxa"/>
          </w:tcPr>
          <w:p w14:paraId="13BDFA68"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-0.340 (-0.440; -0.245)</w:t>
            </w:r>
          </w:p>
        </w:tc>
      </w:tr>
      <w:tr w:rsidR="0043535D" w14:paraId="0B29D851" w14:textId="77777777" w:rsidTr="0043535D">
        <w:tc>
          <w:tcPr>
            <w:tcW w:w="3618" w:type="dxa"/>
          </w:tcPr>
          <w:p w14:paraId="7010D795" w14:textId="77777777" w:rsidR="0043535D" w:rsidRPr="00A8383C" w:rsidRDefault="0043535D" w:rsidP="0043535D">
            <w:pPr>
              <w:jc w:val="both"/>
              <w:rPr>
                <w:rFonts w:ascii="Times New Roman" w:hAnsi="Times New Roman" w:cs="Times New Roman"/>
                <w:sz w:val="22"/>
                <w:szCs w:val="22"/>
              </w:rPr>
            </w:pPr>
          </w:p>
        </w:tc>
        <w:tc>
          <w:tcPr>
            <w:tcW w:w="4140" w:type="dxa"/>
          </w:tcPr>
          <w:p w14:paraId="512B74BA" w14:textId="77777777" w:rsidR="0043535D" w:rsidRPr="00A8383C" w:rsidRDefault="0043535D" w:rsidP="0043535D">
            <w:pPr>
              <w:jc w:val="both"/>
              <w:rPr>
                <w:rFonts w:ascii="Times New Roman" w:hAnsi="Times New Roman" w:cs="Times New Roman"/>
                <w:b/>
                <w:sz w:val="22"/>
                <w:szCs w:val="22"/>
              </w:rPr>
            </w:pPr>
            <w:r w:rsidRPr="00A8383C">
              <w:rPr>
                <w:rFonts w:ascii="Times New Roman" w:hAnsi="Times New Roman" w:cs="Times New Roman"/>
                <w:b/>
                <w:sz w:val="22"/>
                <w:szCs w:val="22"/>
              </w:rPr>
              <w:t xml:space="preserve">Business </w:t>
            </w:r>
            <w:r w:rsidRPr="00A8383C">
              <w:rPr>
                <w:rFonts w:ascii="normal" w:hAnsi="normal" w:cs="Times New Roman"/>
                <w:b/>
                <w:sz w:val="22"/>
                <w:szCs w:val="22"/>
              </w:rPr>
              <w:sym w:font="Wingdings" w:char="F0E0"/>
            </w:r>
            <w:r w:rsidRPr="00A8383C">
              <w:rPr>
                <w:rFonts w:ascii="normal" w:hAnsi="normal" w:cs="Times New Roman"/>
                <w:b/>
                <w:sz w:val="22"/>
                <w:szCs w:val="22"/>
              </w:rPr>
              <w:t xml:space="preserve"> Public subnational authority</w:t>
            </w:r>
          </w:p>
        </w:tc>
      </w:tr>
      <w:tr w:rsidR="0043535D" w14:paraId="4C3E48DD" w14:textId="77777777" w:rsidTr="0043535D">
        <w:tc>
          <w:tcPr>
            <w:tcW w:w="3618" w:type="dxa"/>
          </w:tcPr>
          <w:p w14:paraId="5F5C5F9C"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3. Definitions</w:t>
            </w:r>
          </w:p>
        </w:tc>
        <w:tc>
          <w:tcPr>
            <w:tcW w:w="4140" w:type="dxa"/>
          </w:tcPr>
          <w:p w14:paraId="75CCC8BF" w14:textId="77777777" w:rsidR="0043535D" w:rsidRPr="00A8383C" w:rsidRDefault="0043535D" w:rsidP="0043535D">
            <w:pPr>
              <w:jc w:val="both"/>
              <w:rPr>
                <w:rFonts w:ascii="Times New Roman" w:hAnsi="Times New Roman" w:cs="Times New Roman"/>
                <w:b/>
                <w:sz w:val="22"/>
                <w:szCs w:val="22"/>
              </w:rPr>
            </w:pPr>
            <w:r w:rsidRPr="00A8383C">
              <w:rPr>
                <w:rFonts w:ascii="Times New Roman" w:hAnsi="Times New Roman" w:cs="Times New Roman"/>
                <w:sz w:val="22"/>
                <w:szCs w:val="22"/>
              </w:rPr>
              <w:t>0.346 (0.206; 0.463)</w:t>
            </w:r>
          </w:p>
        </w:tc>
      </w:tr>
      <w:tr w:rsidR="0043535D" w14:paraId="48D8ECFF" w14:textId="77777777" w:rsidTr="0043535D">
        <w:tc>
          <w:tcPr>
            <w:tcW w:w="3618" w:type="dxa"/>
          </w:tcPr>
          <w:p w14:paraId="0C7E1B55"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4. Exemptions</w:t>
            </w:r>
          </w:p>
        </w:tc>
        <w:tc>
          <w:tcPr>
            <w:tcW w:w="4140" w:type="dxa"/>
          </w:tcPr>
          <w:p w14:paraId="5CEB4592"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0.837 (0.748; 0.907)</w:t>
            </w:r>
          </w:p>
        </w:tc>
      </w:tr>
      <w:tr w:rsidR="0043535D" w14:paraId="69E6789D" w14:textId="77777777" w:rsidTr="0043535D">
        <w:tc>
          <w:tcPr>
            <w:tcW w:w="3618" w:type="dxa"/>
          </w:tcPr>
          <w:p w14:paraId="4508CF40" w14:textId="77777777" w:rsidR="0043535D" w:rsidRPr="00A8383C" w:rsidRDefault="0043535D" w:rsidP="0043535D">
            <w:pPr>
              <w:jc w:val="both"/>
              <w:rPr>
                <w:rFonts w:ascii="Times New Roman" w:hAnsi="Times New Roman" w:cs="Times New Roman"/>
                <w:sz w:val="22"/>
                <w:szCs w:val="22"/>
              </w:rPr>
            </w:pPr>
          </w:p>
        </w:tc>
        <w:tc>
          <w:tcPr>
            <w:tcW w:w="4140" w:type="dxa"/>
          </w:tcPr>
          <w:p w14:paraId="7E039134" w14:textId="77777777" w:rsidR="0043535D" w:rsidRPr="00A8383C" w:rsidRDefault="0043535D" w:rsidP="0043535D">
            <w:pPr>
              <w:jc w:val="both"/>
              <w:rPr>
                <w:rFonts w:ascii="Times New Roman" w:hAnsi="Times New Roman" w:cs="Times New Roman"/>
                <w:b/>
                <w:sz w:val="22"/>
                <w:szCs w:val="22"/>
              </w:rPr>
            </w:pPr>
            <w:r w:rsidRPr="00A8383C">
              <w:rPr>
                <w:rFonts w:ascii="Times New Roman" w:hAnsi="Times New Roman" w:cs="Times New Roman"/>
                <w:b/>
                <w:sz w:val="22"/>
                <w:szCs w:val="22"/>
              </w:rPr>
              <w:t xml:space="preserve">Business </w:t>
            </w:r>
            <w:r w:rsidRPr="00A8383C">
              <w:rPr>
                <w:rFonts w:ascii="normal" w:hAnsi="normal" w:cs="Times New Roman"/>
                <w:b/>
                <w:sz w:val="22"/>
                <w:szCs w:val="22"/>
              </w:rPr>
              <w:sym w:font="Wingdings" w:char="F0E0"/>
            </w:r>
            <w:r w:rsidRPr="00A8383C">
              <w:rPr>
                <w:rFonts w:ascii="normal" w:hAnsi="normal" w:cs="Times New Roman"/>
                <w:b/>
                <w:sz w:val="22"/>
                <w:szCs w:val="22"/>
              </w:rPr>
              <w:t xml:space="preserve"> Public interest organisation</w:t>
            </w:r>
          </w:p>
        </w:tc>
      </w:tr>
      <w:tr w:rsidR="0043535D" w14:paraId="04EB5946" w14:textId="77777777" w:rsidTr="0043535D">
        <w:tc>
          <w:tcPr>
            <w:tcW w:w="3618" w:type="dxa"/>
          </w:tcPr>
          <w:p w14:paraId="49AE21A3"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1. Mandatory TR</w:t>
            </w:r>
          </w:p>
        </w:tc>
        <w:tc>
          <w:tcPr>
            <w:tcW w:w="4140" w:type="dxa"/>
          </w:tcPr>
          <w:p w14:paraId="384D34B2" w14:textId="77777777" w:rsidR="0043535D" w:rsidRPr="00A8383C" w:rsidRDefault="0043535D" w:rsidP="0043535D">
            <w:pPr>
              <w:jc w:val="both"/>
              <w:rPr>
                <w:rFonts w:ascii="Times New Roman" w:hAnsi="Times New Roman" w:cs="Times New Roman"/>
                <w:b/>
                <w:sz w:val="22"/>
                <w:szCs w:val="22"/>
              </w:rPr>
            </w:pPr>
            <w:r w:rsidRPr="00A8383C">
              <w:rPr>
                <w:rFonts w:ascii="Times New Roman" w:hAnsi="Times New Roman" w:cs="Times New Roman"/>
                <w:sz w:val="22"/>
                <w:szCs w:val="22"/>
              </w:rPr>
              <w:t>0.080 (0.004; 0.163)</w:t>
            </w:r>
          </w:p>
        </w:tc>
      </w:tr>
      <w:tr w:rsidR="0043535D" w14:paraId="37BE097C" w14:textId="77777777" w:rsidTr="0043535D">
        <w:tc>
          <w:tcPr>
            <w:tcW w:w="3618" w:type="dxa"/>
          </w:tcPr>
          <w:p w14:paraId="53CC8647"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2. Regulated interactions</w:t>
            </w:r>
          </w:p>
        </w:tc>
        <w:tc>
          <w:tcPr>
            <w:tcW w:w="4140" w:type="dxa"/>
          </w:tcPr>
          <w:p w14:paraId="6848464E"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0.240 (0.133; 0.353)</w:t>
            </w:r>
          </w:p>
        </w:tc>
      </w:tr>
      <w:tr w:rsidR="0043535D" w14:paraId="79B99B51" w14:textId="77777777" w:rsidTr="0043535D">
        <w:trPr>
          <w:trHeight w:val="243"/>
        </w:trPr>
        <w:tc>
          <w:tcPr>
            <w:tcW w:w="3618" w:type="dxa"/>
          </w:tcPr>
          <w:p w14:paraId="107EAA26"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3. Definitions</w:t>
            </w:r>
          </w:p>
        </w:tc>
        <w:tc>
          <w:tcPr>
            <w:tcW w:w="4140" w:type="dxa"/>
          </w:tcPr>
          <w:p w14:paraId="66522DF2"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0.101 (0.008; 0.193)</w:t>
            </w:r>
          </w:p>
        </w:tc>
      </w:tr>
      <w:tr w:rsidR="0043535D" w14:paraId="5224F80F" w14:textId="77777777" w:rsidTr="0043535D">
        <w:tc>
          <w:tcPr>
            <w:tcW w:w="3618" w:type="dxa"/>
          </w:tcPr>
          <w:p w14:paraId="60885CAC"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4. Exemptions</w:t>
            </w:r>
          </w:p>
        </w:tc>
        <w:tc>
          <w:tcPr>
            <w:tcW w:w="4140" w:type="dxa"/>
          </w:tcPr>
          <w:p w14:paraId="6A582233"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0.065 (0.008; 0.120)</w:t>
            </w:r>
          </w:p>
        </w:tc>
      </w:tr>
      <w:tr w:rsidR="0043535D" w14:paraId="6A816B34" w14:textId="77777777" w:rsidTr="0043535D">
        <w:tc>
          <w:tcPr>
            <w:tcW w:w="3618" w:type="dxa"/>
          </w:tcPr>
          <w:p w14:paraId="6F4D491D"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5. Data disclosure</w:t>
            </w:r>
          </w:p>
        </w:tc>
        <w:tc>
          <w:tcPr>
            <w:tcW w:w="4140" w:type="dxa"/>
          </w:tcPr>
          <w:p w14:paraId="02FACC6F"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-0.210 (-0.338; -0.080)</w:t>
            </w:r>
          </w:p>
        </w:tc>
      </w:tr>
      <w:tr w:rsidR="0043535D" w14:paraId="54CA830F" w14:textId="77777777" w:rsidTr="0043535D">
        <w:tc>
          <w:tcPr>
            <w:tcW w:w="3618" w:type="dxa"/>
          </w:tcPr>
          <w:p w14:paraId="01FAA288"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7. Code of conduct</w:t>
            </w:r>
          </w:p>
        </w:tc>
        <w:tc>
          <w:tcPr>
            <w:tcW w:w="4140" w:type="dxa"/>
          </w:tcPr>
          <w:p w14:paraId="0739F076"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0.231 (0.144; 0.325)</w:t>
            </w:r>
          </w:p>
        </w:tc>
      </w:tr>
      <w:tr w:rsidR="0043535D" w14:paraId="0ED60934" w14:textId="77777777" w:rsidTr="0043535D">
        <w:tc>
          <w:tcPr>
            <w:tcW w:w="3618" w:type="dxa"/>
          </w:tcPr>
          <w:p w14:paraId="7812BD03"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9. Suspension and removal</w:t>
            </w:r>
          </w:p>
        </w:tc>
        <w:tc>
          <w:tcPr>
            <w:tcW w:w="4140" w:type="dxa"/>
          </w:tcPr>
          <w:p w14:paraId="01EA2690"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-0.180 (-0.287; -0.063)</w:t>
            </w:r>
          </w:p>
        </w:tc>
      </w:tr>
      <w:tr w:rsidR="0043535D" w14:paraId="283D4EC8" w14:textId="77777777" w:rsidTr="0043535D">
        <w:tc>
          <w:tcPr>
            <w:tcW w:w="3618" w:type="dxa"/>
          </w:tcPr>
          <w:p w14:paraId="442BCDC9" w14:textId="77777777" w:rsidR="0043535D" w:rsidRPr="00A8383C" w:rsidRDefault="0043535D" w:rsidP="0043535D">
            <w:pPr>
              <w:jc w:val="both"/>
              <w:rPr>
                <w:rFonts w:ascii="Times New Roman" w:hAnsi="Times New Roman" w:cs="Times New Roman"/>
                <w:sz w:val="22"/>
                <w:szCs w:val="22"/>
              </w:rPr>
            </w:pPr>
          </w:p>
        </w:tc>
        <w:tc>
          <w:tcPr>
            <w:tcW w:w="4140" w:type="dxa"/>
          </w:tcPr>
          <w:p w14:paraId="5F8263D8" w14:textId="77777777" w:rsidR="0043535D" w:rsidRPr="00A8383C" w:rsidRDefault="0043535D" w:rsidP="0043535D">
            <w:pPr>
              <w:jc w:val="both"/>
              <w:rPr>
                <w:rFonts w:ascii="Times New Roman" w:hAnsi="Times New Roman" w:cs="Times New Roman"/>
                <w:b/>
                <w:sz w:val="22"/>
                <w:szCs w:val="22"/>
              </w:rPr>
            </w:pPr>
            <w:r w:rsidRPr="00A8383C">
              <w:rPr>
                <w:rFonts w:ascii="Times New Roman" w:hAnsi="Times New Roman" w:cs="Times New Roman"/>
                <w:b/>
                <w:sz w:val="22"/>
                <w:szCs w:val="22"/>
              </w:rPr>
              <w:t xml:space="preserve">Participated in previous cons. 0 </w:t>
            </w:r>
            <w:r w:rsidRPr="00A8383C">
              <w:rPr>
                <w:rFonts w:ascii="normal" w:hAnsi="normal" w:cs="Times New Roman"/>
                <w:b/>
                <w:sz w:val="22"/>
                <w:szCs w:val="22"/>
              </w:rPr>
              <w:sym w:font="Wingdings" w:char="F0E0"/>
            </w:r>
            <w:r w:rsidRPr="00A8383C">
              <w:rPr>
                <w:rFonts w:ascii="normal" w:hAnsi="normal" w:cs="Times New Roman"/>
                <w:b/>
                <w:sz w:val="22"/>
                <w:szCs w:val="22"/>
              </w:rPr>
              <w:t xml:space="preserve"> 1</w:t>
            </w:r>
          </w:p>
        </w:tc>
      </w:tr>
      <w:tr w:rsidR="0043535D" w14:paraId="07A5754F" w14:textId="77777777" w:rsidTr="0043535D">
        <w:tc>
          <w:tcPr>
            <w:tcW w:w="3618" w:type="dxa"/>
          </w:tcPr>
          <w:p w14:paraId="5304050E"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2. Regulated interactions</w:t>
            </w:r>
          </w:p>
        </w:tc>
        <w:tc>
          <w:tcPr>
            <w:tcW w:w="4140" w:type="dxa"/>
          </w:tcPr>
          <w:p w14:paraId="5C42BEFA"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-0.163 (-0.313; -0.032)</w:t>
            </w:r>
          </w:p>
        </w:tc>
      </w:tr>
      <w:tr w:rsidR="0043535D" w14:paraId="465317FB" w14:textId="77777777" w:rsidTr="0043535D">
        <w:trPr>
          <w:trHeight w:val="278"/>
        </w:trPr>
        <w:tc>
          <w:tcPr>
            <w:tcW w:w="3618" w:type="dxa"/>
          </w:tcPr>
          <w:p w14:paraId="71920E2B"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3. Clearer definitions</w:t>
            </w:r>
          </w:p>
        </w:tc>
        <w:tc>
          <w:tcPr>
            <w:tcW w:w="4140" w:type="dxa"/>
          </w:tcPr>
          <w:p w14:paraId="0B3689DA"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0.133 (0.015; 0.253)</w:t>
            </w:r>
          </w:p>
        </w:tc>
      </w:tr>
      <w:tr w:rsidR="0043535D" w14:paraId="1DEE6E68" w14:textId="77777777" w:rsidTr="0043535D">
        <w:tc>
          <w:tcPr>
            <w:tcW w:w="3618" w:type="dxa"/>
          </w:tcPr>
          <w:p w14:paraId="7CCBE354"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6. Ex-ante checks</w:t>
            </w:r>
          </w:p>
        </w:tc>
        <w:tc>
          <w:tcPr>
            <w:tcW w:w="4140" w:type="dxa"/>
          </w:tcPr>
          <w:p w14:paraId="34DD03FA"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0.254 (0.136; 0.360)</w:t>
            </w:r>
          </w:p>
        </w:tc>
      </w:tr>
      <w:tr w:rsidR="0043535D" w14:paraId="31F07C27" w14:textId="77777777" w:rsidTr="0043535D">
        <w:tc>
          <w:tcPr>
            <w:tcW w:w="3618" w:type="dxa"/>
          </w:tcPr>
          <w:p w14:paraId="5F0E446D"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8. Breaches management</w:t>
            </w:r>
          </w:p>
        </w:tc>
        <w:tc>
          <w:tcPr>
            <w:tcW w:w="4140" w:type="dxa"/>
          </w:tcPr>
          <w:p w14:paraId="4163EFBA"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 xml:space="preserve">0.278 (0.164; 0.377) </w:t>
            </w:r>
          </w:p>
        </w:tc>
      </w:tr>
      <w:tr w:rsidR="0043535D" w14:paraId="186D05A7" w14:textId="77777777" w:rsidTr="0043535D">
        <w:tc>
          <w:tcPr>
            <w:tcW w:w="3618" w:type="dxa"/>
          </w:tcPr>
          <w:p w14:paraId="71D7A5E1" w14:textId="77777777" w:rsidR="0043535D" w:rsidRPr="00A8383C" w:rsidRDefault="0043535D" w:rsidP="0043535D">
            <w:pPr>
              <w:jc w:val="both"/>
              <w:rPr>
                <w:rFonts w:ascii="Times New Roman" w:hAnsi="Times New Roman" w:cs="Times New Roman"/>
                <w:sz w:val="22"/>
                <w:szCs w:val="22"/>
              </w:rPr>
            </w:pPr>
          </w:p>
        </w:tc>
        <w:tc>
          <w:tcPr>
            <w:tcW w:w="4140" w:type="dxa"/>
          </w:tcPr>
          <w:p w14:paraId="79038E0A" w14:textId="77777777" w:rsidR="0043535D" w:rsidRPr="00A8383C" w:rsidRDefault="0043535D" w:rsidP="0043535D">
            <w:pPr>
              <w:jc w:val="both"/>
              <w:rPr>
                <w:rFonts w:ascii="Times New Roman" w:hAnsi="Times New Roman" w:cs="Times New Roman"/>
                <w:b/>
                <w:sz w:val="22"/>
                <w:szCs w:val="22"/>
              </w:rPr>
            </w:pPr>
            <w:r w:rsidRPr="00A8383C">
              <w:rPr>
                <w:rFonts w:ascii="Times New Roman" w:hAnsi="Times New Roman" w:cs="Times New Roman"/>
                <w:b/>
                <w:sz w:val="22"/>
                <w:szCs w:val="22"/>
              </w:rPr>
              <w:t xml:space="preserve">European association 0 </w:t>
            </w:r>
            <w:r w:rsidRPr="00A8383C">
              <w:rPr>
                <w:rFonts w:ascii="normal" w:hAnsi="normal" w:cs="Times New Roman"/>
                <w:b/>
                <w:sz w:val="22"/>
                <w:szCs w:val="22"/>
              </w:rPr>
              <w:sym w:font="Wingdings" w:char="F0E0"/>
            </w:r>
            <w:r w:rsidRPr="00A8383C">
              <w:rPr>
                <w:rFonts w:ascii="normal" w:hAnsi="normal" w:cs="Times New Roman"/>
                <w:b/>
                <w:sz w:val="22"/>
                <w:szCs w:val="22"/>
              </w:rPr>
              <w:t xml:space="preserve"> 1</w:t>
            </w:r>
          </w:p>
        </w:tc>
      </w:tr>
      <w:tr w:rsidR="0043535D" w14:paraId="36A296E0" w14:textId="77777777" w:rsidTr="0043535D">
        <w:tc>
          <w:tcPr>
            <w:tcW w:w="3618" w:type="dxa"/>
          </w:tcPr>
          <w:p w14:paraId="297EA06D"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1. Mandatory TR</w:t>
            </w:r>
          </w:p>
        </w:tc>
        <w:tc>
          <w:tcPr>
            <w:tcW w:w="4140" w:type="dxa"/>
          </w:tcPr>
          <w:p w14:paraId="79DD3762"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0.040 (0.002; 0.080)</w:t>
            </w:r>
          </w:p>
        </w:tc>
      </w:tr>
      <w:tr w:rsidR="0043535D" w14:paraId="6D909593" w14:textId="77777777" w:rsidTr="00A8383C">
        <w:trPr>
          <w:trHeight w:val="87"/>
        </w:trPr>
        <w:tc>
          <w:tcPr>
            <w:tcW w:w="3618" w:type="dxa"/>
          </w:tcPr>
          <w:p w14:paraId="1682D4FC"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5. Data disclosure</w:t>
            </w:r>
          </w:p>
        </w:tc>
        <w:tc>
          <w:tcPr>
            <w:tcW w:w="4140" w:type="dxa"/>
          </w:tcPr>
          <w:p w14:paraId="34319792"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-0.199 (-0.333; -0.068)</w:t>
            </w:r>
          </w:p>
        </w:tc>
      </w:tr>
      <w:tr w:rsidR="0043535D" w14:paraId="765F6FEC" w14:textId="77777777" w:rsidTr="0043535D">
        <w:tc>
          <w:tcPr>
            <w:tcW w:w="3618" w:type="dxa"/>
          </w:tcPr>
          <w:p w14:paraId="5EC72AED"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Model 9. Suspension and removal</w:t>
            </w:r>
          </w:p>
        </w:tc>
        <w:tc>
          <w:tcPr>
            <w:tcW w:w="4140" w:type="dxa"/>
          </w:tcPr>
          <w:p w14:paraId="19C6B020" w14:textId="77777777" w:rsidR="0043535D" w:rsidRPr="00A8383C" w:rsidRDefault="0043535D" w:rsidP="0043535D">
            <w:pPr>
              <w:jc w:val="both"/>
              <w:rPr>
                <w:rFonts w:ascii="Times New Roman" w:hAnsi="Times New Roman" w:cs="Times New Roman"/>
                <w:sz w:val="22"/>
                <w:szCs w:val="22"/>
              </w:rPr>
            </w:pPr>
            <w:r w:rsidRPr="00A8383C">
              <w:rPr>
                <w:rFonts w:ascii="Times New Roman" w:hAnsi="Times New Roman" w:cs="Times New Roman"/>
                <w:sz w:val="22"/>
                <w:szCs w:val="22"/>
              </w:rPr>
              <w:t>-0.234 (-0.051; -0.002)</w:t>
            </w:r>
          </w:p>
        </w:tc>
      </w:tr>
    </w:tbl>
    <w:p w14:paraId="45F70D2D" w14:textId="77777777" w:rsidR="0043535D" w:rsidRDefault="0043535D" w:rsidP="0043535D">
      <w:pPr>
        <w:jc w:val="both"/>
      </w:pPr>
    </w:p>
    <w:sectPr w:rsidR="0043535D" w:rsidSect="007F013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E4E40" w14:textId="77777777" w:rsidR="0090352F" w:rsidRDefault="0090352F" w:rsidP="0042317C">
      <w:r>
        <w:separator/>
      </w:r>
    </w:p>
  </w:endnote>
  <w:endnote w:type="continuationSeparator" w:id="0">
    <w:p w14:paraId="4793D264" w14:textId="77777777" w:rsidR="0090352F" w:rsidRDefault="0090352F" w:rsidP="0042317C">
      <w:r>
        <w:continuationSeparator/>
      </w:r>
    </w:p>
  </w:endnote>
  <w:endnote w:id="1">
    <w:p w14:paraId="64731D02" w14:textId="30D68BBC" w:rsidR="00BE6483" w:rsidRPr="002E6B8D" w:rsidRDefault="00BE6483" w:rsidP="0043535D">
      <w:pPr>
        <w:pStyle w:val="EndnoteText"/>
        <w:jc w:val="both"/>
        <w:rPr>
          <w:rFonts w:ascii="Times New Roman" w:hAnsi="Times New Roman" w:cs="Times New Roman"/>
          <w:sz w:val="20"/>
          <w:szCs w:val="20"/>
        </w:rPr>
      </w:pPr>
      <w:r>
        <w:rPr>
          <w:rStyle w:val="EndnoteReference"/>
        </w:rPr>
        <w:endnoteRef/>
      </w:r>
      <w:hyperlink r:id="rId1" w:history="1">
        <w:r w:rsidRPr="00914FA3">
          <w:rPr>
            <w:rStyle w:val="Hyperlink"/>
            <w:rFonts w:ascii="Times New Roman" w:hAnsi="Times New Roman" w:cs="Times New Roman"/>
            <w:sz w:val="20"/>
            <w:szCs w:val="20"/>
          </w:rPr>
          <w:t>http://www.consilium.europa.eu/en/press/press-releases/2017/12/06/transparency-register-council-agrees-mandate-for-negotiations/</w:t>
        </w:r>
      </w:hyperlink>
      <w:r>
        <w:rPr>
          <w:rFonts w:ascii="Times New Roman" w:hAnsi="Times New Roman" w:cs="Times New Roman"/>
          <w:sz w:val="20"/>
          <w:szCs w:val="20"/>
        </w:rPr>
        <w:t xml:space="preserve"> (Accessed: June 26</w:t>
      </w:r>
      <w:r w:rsidRPr="002E6B8D">
        <w:rPr>
          <w:rFonts w:ascii="Times New Roman" w:hAnsi="Times New Roman" w:cs="Times New Roman"/>
          <w:sz w:val="20"/>
          <w:szCs w:val="20"/>
          <w:vertAlign w:val="superscript"/>
        </w:rPr>
        <w:t>th</w:t>
      </w:r>
      <w:r>
        <w:rPr>
          <w:rFonts w:ascii="Times New Roman" w:hAnsi="Times New Roman" w:cs="Times New Roman"/>
          <w:sz w:val="20"/>
          <w:szCs w:val="20"/>
        </w:rPr>
        <w:t>, 2018).</w:t>
      </w:r>
    </w:p>
  </w:endnote>
  <w:endnote w:id="2">
    <w:p w14:paraId="645D310C" w14:textId="433DE531" w:rsidR="00BE6483" w:rsidRPr="0043535D" w:rsidRDefault="00BE6483" w:rsidP="0043535D">
      <w:pPr>
        <w:jc w:val="both"/>
        <w:rPr>
          <w:rFonts w:ascii="Times New Roman" w:hAnsi="Times New Roman" w:cs="Times New Roman"/>
        </w:rPr>
      </w:pPr>
      <w:r>
        <w:rPr>
          <w:rStyle w:val="EndnoteReference"/>
        </w:rPr>
        <w:endnoteRef/>
      </w:r>
      <w:r>
        <w:t xml:space="preserve"> </w:t>
      </w:r>
      <w:r>
        <w:rPr>
          <w:rFonts w:ascii="Times New Roman" w:hAnsi="Times New Roman" w:cs="Times New Roman"/>
          <w:sz w:val="20"/>
          <w:szCs w:val="20"/>
        </w:rPr>
        <w:t xml:space="preserve">Preference attainment/lobbying success is however not the analytical focus of this study. </w:t>
      </w:r>
      <w:r w:rsidRPr="008B21A5">
        <w:rPr>
          <w:rFonts w:ascii="Times New Roman" w:hAnsi="Times New Roman" w:cs="Times New Roman"/>
          <w:sz w:val="20"/>
          <w:szCs w:val="20"/>
        </w:rPr>
        <w:t xml:space="preserve">No assumption or theoretical argument is made about </w:t>
      </w:r>
      <w:r>
        <w:rPr>
          <w:rFonts w:ascii="Times New Roman" w:hAnsi="Times New Roman" w:cs="Times New Roman"/>
          <w:sz w:val="20"/>
          <w:szCs w:val="20"/>
        </w:rPr>
        <w:t>stakeholders’</w:t>
      </w:r>
      <w:r w:rsidRPr="008B21A5">
        <w:rPr>
          <w:rFonts w:ascii="Times New Roman" w:hAnsi="Times New Roman" w:cs="Times New Roman"/>
          <w:sz w:val="20"/>
          <w:szCs w:val="20"/>
        </w:rPr>
        <w:t xml:space="preserve"> attempts to influence the Commission proposal.</w:t>
      </w:r>
      <w:r>
        <w:rPr>
          <w:rFonts w:ascii="Times New Roman" w:hAnsi="Times New Roman" w:cs="Times New Roman"/>
          <w:sz w:val="20"/>
          <w:szCs w:val="20"/>
        </w:rPr>
        <w:t xml:space="preserve">  </w:t>
      </w:r>
    </w:p>
  </w:endnote>
  <w:endnote w:id="3">
    <w:p w14:paraId="48711A06" w14:textId="1BC133F7" w:rsidR="00BE6483" w:rsidRPr="00EA5B7E" w:rsidRDefault="00BE6483" w:rsidP="0043535D">
      <w:pPr>
        <w:pStyle w:val="EndnoteText"/>
        <w:jc w:val="both"/>
        <w:rPr>
          <w:rFonts w:ascii="Times New Roman" w:hAnsi="Times New Roman" w:cs="Times New Roman"/>
          <w:sz w:val="20"/>
          <w:szCs w:val="20"/>
          <w:highlight w:val="yellow"/>
        </w:rPr>
      </w:pPr>
      <w:r w:rsidRPr="00DB55F0">
        <w:rPr>
          <w:rStyle w:val="EndnoteReference"/>
          <w:rFonts w:ascii="Times New Roman" w:hAnsi="Times New Roman" w:cs="Times New Roman"/>
          <w:sz w:val="20"/>
          <w:szCs w:val="20"/>
        </w:rPr>
        <w:endnoteRef/>
      </w:r>
      <w:r w:rsidRPr="00DB55F0">
        <w:rPr>
          <w:rFonts w:ascii="Times New Roman" w:hAnsi="Times New Roman" w:cs="Times New Roman"/>
          <w:sz w:val="20"/>
          <w:szCs w:val="20"/>
        </w:rPr>
        <w:t xml:space="preserve"> </w:t>
      </w:r>
      <w:r>
        <w:rPr>
          <w:rFonts w:ascii="Times New Roman" w:hAnsi="Times New Roman" w:cs="Times New Roman"/>
          <w:sz w:val="20"/>
          <w:szCs w:val="20"/>
        </w:rPr>
        <w:t>However, d</w:t>
      </w:r>
      <w:r w:rsidRPr="00AA2400">
        <w:rPr>
          <w:rFonts w:ascii="Times New Roman" w:hAnsi="Times New Roman" w:cs="Times New Roman"/>
          <w:sz w:val="20"/>
          <w:szCs w:val="20"/>
        </w:rPr>
        <w:t>espite its (relatively) more ambitious rhetoric asking for a mandatory TR, the EP has never introduced a register recording the meetings between interest groups and MEPs or their staff members, nor has it ever adopted more stringent rules regulating lobbying activities within its premises or involving its elected members. Cini (2013) discusses this nuanced EP position on lobbying regulation across time and political groupings.</w:t>
      </w:r>
    </w:p>
  </w:endnote>
  <w:endnote w:id="4">
    <w:p w14:paraId="3600292E" w14:textId="4EFAF18C" w:rsidR="00BE6483" w:rsidRDefault="00BE6483" w:rsidP="0043535D">
      <w:pPr>
        <w:pStyle w:val="EndnoteText"/>
        <w:jc w:val="both"/>
      </w:pPr>
      <w:r>
        <w:rPr>
          <w:rStyle w:val="EndnoteReference"/>
        </w:rPr>
        <w:endnoteRef/>
      </w:r>
      <w:hyperlink r:id="rId2" w:history="1">
        <w:r w:rsidRPr="00887078">
          <w:rPr>
            <w:rStyle w:val="Hyperlink"/>
            <w:rFonts w:ascii="Times New Roman" w:hAnsi="Times New Roman" w:cs="Times New Roman"/>
            <w:sz w:val="20"/>
            <w:szCs w:val="20"/>
            <w:lang w:val="en-US"/>
          </w:rPr>
          <w:t>http://ec.europa.eu/transparencyregister/public/staticPage/displayStaticPage.do?locale=en&amp;reference=KEY_DATES</w:t>
        </w:r>
      </w:hyperlink>
      <w:r>
        <w:rPr>
          <w:rStyle w:val="Hyperlink"/>
          <w:rFonts w:ascii="Times New Roman" w:hAnsi="Times New Roman" w:cs="Times New Roman"/>
          <w:sz w:val="20"/>
          <w:szCs w:val="20"/>
          <w:lang w:val="en-US"/>
        </w:rPr>
        <w:t xml:space="preserve"> </w:t>
      </w:r>
      <w:r w:rsidRPr="008E512D">
        <w:rPr>
          <w:rStyle w:val="Hyperlink"/>
          <w:rFonts w:ascii="Times New Roman" w:hAnsi="Times New Roman" w:cs="Times New Roman"/>
          <w:color w:val="000000" w:themeColor="text1"/>
          <w:sz w:val="20"/>
          <w:szCs w:val="20"/>
          <w:u w:val="none"/>
          <w:lang w:val="en-US"/>
        </w:rPr>
        <w:t>(Accessed July 23</w:t>
      </w:r>
      <w:r w:rsidRPr="008E512D">
        <w:rPr>
          <w:rStyle w:val="Hyperlink"/>
          <w:rFonts w:ascii="Times New Roman" w:hAnsi="Times New Roman" w:cs="Times New Roman"/>
          <w:color w:val="000000" w:themeColor="text1"/>
          <w:sz w:val="20"/>
          <w:szCs w:val="20"/>
          <w:u w:val="none"/>
          <w:vertAlign w:val="superscript"/>
          <w:lang w:val="en-US"/>
        </w:rPr>
        <w:t>rd</w:t>
      </w:r>
      <w:r w:rsidRPr="008E512D">
        <w:rPr>
          <w:rStyle w:val="Hyperlink"/>
          <w:rFonts w:ascii="Times New Roman" w:hAnsi="Times New Roman" w:cs="Times New Roman"/>
          <w:color w:val="000000" w:themeColor="text1"/>
          <w:sz w:val="20"/>
          <w:szCs w:val="20"/>
          <w:u w:val="none"/>
          <w:lang w:val="en-US"/>
        </w:rPr>
        <w:t xml:space="preserve"> 2018).</w:t>
      </w:r>
    </w:p>
  </w:endnote>
  <w:endnote w:id="5">
    <w:p w14:paraId="3F388AC0" w14:textId="77777777" w:rsidR="00BE6483" w:rsidRDefault="00BE6483" w:rsidP="0043535D">
      <w:pPr>
        <w:pStyle w:val="EndnoteText"/>
        <w:jc w:val="both"/>
      </w:pPr>
      <w:r>
        <w:rPr>
          <w:rStyle w:val="EndnoteReference"/>
        </w:rPr>
        <w:endnoteRef/>
      </w:r>
      <w:hyperlink r:id="rId3" w:history="1">
        <w:r w:rsidRPr="0054318F">
          <w:rPr>
            <w:rStyle w:val="Hyperlink"/>
            <w:rFonts w:ascii="Times New Roman" w:hAnsi="Times New Roman" w:cs="Times New Roman"/>
            <w:sz w:val="20"/>
            <w:szCs w:val="20"/>
          </w:rPr>
          <w:t>http://ec.europa.eu/transparencyregister/public/staticPage/displayStaticPage.do;TRPUBLICID-prod=XLrIFK2e8eQ3n08kboM_bLNouSHZaMnJCVdyPW_qAoLCIf9XAB7t!-158032683?locale=en&amp;reference=KEY_DATES</w:t>
        </w:r>
      </w:hyperlink>
      <w:r>
        <w:rPr>
          <w:rFonts w:ascii="Times New Roman" w:hAnsi="Times New Roman" w:cs="Times New Roman"/>
          <w:sz w:val="20"/>
          <w:szCs w:val="20"/>
        </w:rPr>
        <w:t xml:space="preserve"> (Accessed</w:t>
      </w:r>
      <w:r w:rsidRPr="0054318F">
        <w:rPr>
          <w:rFonts w:ascii="Times New Roman" w:hAnsi="Times New Roman" w:cs="Times New Roman"/>
          <w:sz w:val="20"/>
          <w:szCs w:val="20"/>
        </w:rPr>
        <w:t xml:space="preserve"> July 23</w:t>
      </w:r>
      <w:r w:rsidRPr="0054318F">
        <w:rPr>
          <w:rFonts w:ascii="Times New Roman" w:hAnsi="Times New Roman" w:cs="Times New Roman"/>
          <w:sz w:val="20"/>
          <w:szCs w:val="20"/>
          <w:vertAlign w:val="superscript"/>
        </w:rPr>
        <w:t>rd</w:t>
      </w:r>
      <w:r w:rsidRPr="0054318F">
        <w:rPr>
          <w:rFonts w:ascii="Times New Roman" w:hAnsi="Times New Roman" w:cs="Times New Roman"/>
          <w:sz w:val="20"/>
          <w:szCs w:val="20"/>
        </w:rPr>
        <w:t xml:space="preserve"> 2018).</w:t>
      </w:r>
    </w:p>
  </w:endnote>
  <w:endnote w:id="6">
    <w:p w14:paraId="7C3425C5" w14:textId="388E6C28" w:rsidR="00BE6483" w:rsidRPr="0043535D" w:rsidRDefault="00BE6483" w:rsidP="0043535D">
      <w:pPr>
        <w:pStyle w:val="EndnoteText"/>
        <w:jc w:val="both"/>
        <w:rPr>
          <w:rFonts w:ascii="Times New Roman" w:hAnsi="Times New Roman" w:cs="Times New Roman"/>
          <w:sz w:val="20"/>
          <w:szCs w:val="20"/>
        </w:rPr>
      </w:pPr>
      <w:r w:rsidRPr="00583046">
        <w:rPr>
          <w:rStyle w:val="EndnoteReference"/>
          <w:rFonts w:ascii="Times New Roman" w:hAnsi="Times New Roman" w:cs="Times New Roman"/>
          <w:sz w:val="20"/>
          <w:szCs w:val="20"/>
        </w:rPr>
        <w:endnoteRef/>
      </w:r>
      <w:r>
        <w:rPr>
          <w:rFonts w:ascii="Times New Roman" w:hAnsi="Times New Roman" w:cs="Times New Roman"/>
          <w:sz w:val="20"/>
          <w:szCs w:val="20"/>
        </w:rPr>
        <w:t xml:space="preserve"> </w:t>
      </w:r>
      <w:r w:rsidRPr="00583046">
        <w:rPr>
          <w:rFonts w:ascii="Times New Roman" w:hAnsi="Times New Roman" w:cs="Times New Roman"/>
          <w:sz w:val="20"/>
          <w:szCs w:val="20"/>
        </w:rPr>
        <w:t>Political Guidelines for the next European Commission (2014)</w:t>
      </w:r>
      <w:r>
        <w:rPr>
          <w:rFonts w:ascii="Times New Roman" w:hAnsi="Times New Roman" w:cs="Times New Roman"/>
          <w:sz w:val="20"/>
          <w:szCs w:val="20"/>
        </w:rPr>
        <w:t xml:space="preserve"> (</w:t>
      </w:r>
      <w:hyperlink r:id="rId4" w:history="1">
        <w:r w:rsidRPr="00583046">
          <w:rPr>
            <w:rStyle w:val="Hyperlink"/>
            <w:rFonts w:ascii="Times New Roman" w:hAnsi="Times New Roman" w:cs="Times New Roman"/>
            <w:sz w:val="20"/>
            <w:szCs w:val="20"/>
          </w:rPr>
          <w:t>https://ec.europa.eu/commission/sites/beta-political/files/juncker-political-guidelines-speech_en.pdf</w:t>
        </w:r>
      </w:hyperlink>
      <w:r>
        <w:rPr>
          <w:rFonts w:ascii="Times New Roman" w:hAnsi="Times New Roman" w:cs="Times New Roman"/>
          <w:sz w:val="20"/>
          <w:szCs w:val="20"/>
        </w:rPr>
        <w:t xml:space="preserve">. </w:t>
      </w:r>
      <w:r w:rsidRPr="00583046">
        <w:rPr>
          <w:rFonts w:ascii="Times New Roman" w:hAnsi="Times New Roman" w:cs="Times New Roman"/>
          <w:sz w:val="20"/>
          <w:szCs w:val="20"/>
        </w:rPr>
        <w:t>Accessed July 9th, 2018).</w:t>
      </w:r>
    </w:p>
  </w:endnote>
  <w:endnote w:id="7">
    <w:p w14:paraId="7799E263" w14:textId="5B14E165" w:rsidR="00BE6483" w:rsidRPr="00654A79" w:rsidRDefault="00BE6483" w:rsidP="0043535D">
      <w:pPr>
        <w:pStyle w:val="EndnoteText"/>
        <w:jc w:val="both"/>
        <w:rPr>
          <w:rFonts w:ascii="Times New Roman" w:hAnsi="Times New Roman" w:cs="Times New Roman"/>
          <w:sz w:val="20"/>
          <w:szCs w:val="20"/>
        </w:rPr>
      </w:pPr>
      <w:r w:rsidRPr="00654A79">
        <w:rPr>
          <w:rStyle w:val="EndnoteReference"/>
          <w:rFonts w:ascii="Times New Roman" w:hAnsi="Times New Roman" w:cs="Times New Roman"/>
          <w:sz w:val="20"/>
          <w:szCs w:val="20"/>
        </w:rPr>
        <w:endnoteRef/>
      </w:r>
      <w:r>
        <w:rPr>
          <w:rFonts w:ascii="Times New Roman" w:hAnsi="Times New Roman" w:cs="Times New Roman"/>
          <w:sz w:val="20"/>
          <w:szCs w:val="20"/>
        </w:rPr>
        <w:t xml:space="preserve"> </w:t>
      </w:r>
      <w:hyperlink r:id="rId5" w:history="1">
        <w:r w:rsidRPr="00654A79">
          <w:rPr>
            <w:rStyle w:val="Hyperlink"/>
            <w:rFonts w:ascii="Times New Roman" w:hAnsi="Times New Roman" w:cs="Times New Roman"/>
            <w:sz w:val="20"/>
            <w:szCs w:val="20"/>
          </w:rPr>
          <w:t>http://eur-lex.europa.eu/legal-content/en/TXT/?uri=CELEX:52016PC0627</w:t>
        </w:r>
      </w:hyperlink>
    </w:p>
  </w:endnote>
  <w:endnote w:id="8">
    <w:p w14:paraId="658ED87D" w14:textId="4B17D541" w:rsidR="00BE6483" w:rsidRPr="00ED3015" w:rsidRDefault="00BE6483" w:rsidP="0043535D">
      <w:pPr>
        <w:pStyle w:val="EndnoteText"/>
        <w:jc w:val="both"/>
        <w:rPr>
          <w:rFonts w:ascii="Times New Roman" w:hAnsi="Times New Roman" w:cs="Times New Roman"/>
          <w:sz w:val="20"/>
          <w:szCs w:val="20"/>
        </w:rPr>
      </w:pPr>
      <w:r w:rsidRPr="00654A79">
        <w:rPr>
          <w:rStyle w:val="EndnoteReference"/>
          <w:rFonts w:ascii="Times New Roman" w:hAnsi="Times New Roman" w:cs="Times New Roman"/>
          <w:sz w:val="20"/>
          <w:szCs w:val="20"/>
        </w:rPr>
        <w:endnoteRef/>
      </w:r>
      <w:r>
        <w:rPr>
          <w:rFonts w:ascii="Times New Roman" w:hAnsi="Times New Roman" w:cs="Times New Roman"/>
          <w:sz w:val="20"/>
          <w:szCs w:val="20"/>
        </w:rPr>
        <w:t xml:space="preserve"> </w:t>
      </w:r>
      <w:hyperlink r:id="rId6" w:history="1">
        <w:r w:rsidRPr="00654A79">
          <w:rPr>
            <w:rStyle w:val="Hyperlink"/>
            <w:rFonts w:ascii="Times New Roman" w:hAnsi="Times New Roman" w:cs="Times New Roman"/>
            <w:sz w:val="20"/>
            <w:szCs w:val="20"/>
          </w:rPr>
          <w:t>http://europa.eu/rapid/press-release_MEMO-16-3181_en.htm</w:t>
        </w:r>
      </w:hyperlink>
    </w:p>
  </w:endnote>
  <w:endnote w:id="9">
    <w:p w14:paraId="34141C3C" w14:textId="3FF4D246" w:rsidR="00BE6483" w:rsidRDefault="00BE6483" w:rsidP="0043535D">
      <w:pPr>
        <w:pStyle w:val="EndnoteText"/>
        <w:jc w:val="both"/>
        <w:rPr>
          <w:rFonts w:ascii="Times New Roman" w:hAnsi="Times New Roman" w:cs="Times New Roman"/>
          <w:sz w:val="20"/>
          <w:szCs w:val="20"/>
        </w:rPr>
      </w:pPr>
      <w:r w:rsidRPr="00ED3015">
        <w:rPr>
          <w:rStyle w:val="EndnoteReference"/>
          <w:rFonts w:ascii="Times New Roman" w:hAnsi="Times New Roman" w:cs="Times New Roman"/>
          <w:sz w:val="20"/>
          <w:szCs w:val="20"/>
        </w:rPr>
        <w:endnoteRef/>
      </w:r>
      <w:r w:rsidRPr="00ED3015">
        <w:rPr>
          <w:rFonts w:ascii="Times New Roman" w:hAnsi="Times New Roman" w:cs="Times New Roman"/>
          <w:sz w:val="20"/>
          <w:szCs w:val="20"/>
        </w:rPr>
        <w:t xml:space="preserve"> </w:t>
      </w:r>
      <w:r>
        <w:rPr>
          <w:rFonts w:ascii="Times New Roman" w:hAnsi="Times New Roman" w:cs="Times New Roman"/>
          <w:sz w:val="20"/>
          <w:szCs w:val="20"/>
        </w:rPr>
        <w:t xml:space="preserve"> For a</w:t>
      </w:r>
      <w:r w:rsidRPr="00ED3015">
        <w:rPr>
          <w:rFonts w:ascii="Times New Roman" w:hAnsi="Times New Roman" w:cs="Times New Roman"/>
          <w:sz w:val="20"/>
          <w:szCs w:val="20"/>
        </w:rPr>
        <w:t xml:space="preserve"> detailed description of the consultation </w:t>
      </w:r>
      <w:r>
        <w:rPr>
          <w:rFonts w:ascii="Times New Roman" w:hAnsi="Times New Roman" w:cs="Times New Roman"/>
          <w:sz w:val="20"/>
          <w:szCs w:val="20"/>
        </w:rPr>
        <w:t>see Bunea 2018.</w:t>
      </w:r>
    </w:p>
    <w:p w14:paraId="41CEC6A0" w14:textId="77777777" w:rsidR="00BE6483" w:rsidRDefault="00BE6483" w:rsidP="0043535D">
      <w:pPr>
        <w:pStyle w:val="EndnoteText"/>
        <w:jc w:val="both"/>
        <w:rPr>
          <w:rFonts w:ascii="Times New Roman" w:hAnsi="Times New Roman" w:cs="Times New Roman"/>
          <w:sz w:val="20"/>
          <w:szCs w:val="20"/>
        </w:rPr>
      </w:pPr>
    </w:p>
    <w:p w14:paraId="34A6C317" w14:textId="77777777" w:rsidR="00BE6483" w:rsidRDefault="00BE6483" w:rsidP="0043535D">
      <w:pPr>
        <w:pStyle w:val="EndnoteText"/>
        <w:jc w:val="both"/>
        <w:rPr>
          <w:rFonts w:ascii="Times New Roman" w:hAnsi="Times New Roman" w:cs="Times New Roman"/>
          <w:sz w:val="20"/>
          <w:szCs w:val="20"/>
        </w:rPr>
      </w:pPr>
    </w:p>
    <w:p w14:paraId="7C971076" w14:textId="77777777" w:rsidR="00BE6483" w:rsidRDefault="00BE6483" w:rsidP="0043535D">
      <w:pPr>
        <w:pStyle w:val="EndnoteText"/>
        <w:jc w:val="both"/>
        <w:rPr>
          <w:rFonts w:ascii="Times New Roman" w:hAnsi="Times New Roman" w:cs="Times New Roman"/>
          <w:sz w:val="20"/>
          <w:szCs w:val="20"/>
        </w:rPr>
      </w:pPr>
    </w:p>
    <w:p w14:paraId="1D3EEBC3" w14:textId="77777777" w:rsidR="00BE6483" w:rsidRDefault="00BE6483" w:rsidP="0043535D">
      <w:pPr>
        <w:pStyle w:val="EndnoteText"/>
        <w:jc w:val="both"/>
        <w:rPr>
          <w:rFonts w:ascii="Times New Roman" w:hAnsi="Times New Roman" w:cs="Times New Roman"/>
          <w:sz w:val="20"/>
          <w:szCs w:val="20"/>
        </w:rPr>
      </w:pPr>
    </w:p>
    <w:p w14:paraId="11E75163" w14:textId="77777777" w:rsidR="00BE6483" w:rsidRDefault="00BE6483" w:rsidP="0043535D">
      <w:pPr>
        <w:pStyle w:val="EndnoteText"/>
        <w:jc w:val="both"/>
        <w:rPr>
          <w:rFonts w:ascii="Times New Roman" w:hAnsi="Times New Roman" w:cs="Times New Roman"/>
          <w:sz w:val="20"/>
          <w:szCs w:val="20"/>
        </w:rPr>
      </w:pPr>
    </w:p>
    <w:p w14:paraId="722A099F" w14:textId="77777777" w:rsidR="00BE6483" w:rsidRDefault="00BE6483" w:rsidP="0043535D">
      <w:pPr>
        <w:pStyle w:val="EndnoteText"/>
        <w:jc w:val="both"/>
        <w:rPr>
          <w:rFonts w:ascii="Times New Roman" w:hAnsi="Times New Roman" w:cs="Times New Roman"/>
          <w:sz w:val="20"/>
          <w:szCs w:val="20"/>
        </w:rPr>
      </w:pPr>
    </w:p>
    <w:p w14:paraId="51BFFD9D" w14:textId="77777777" w:rsidR="00BE6483" w:rsidRDefault="00BE6483" w:rsidP="0043535D">
      <w:pPr>
        <w:pStyle w:val="EndnoteText"/>
        <w:jc w:val="both"/>
        <w:rPr>
          <w:rFonts w:ascii="Times New Roman" w:hAnsi="Times New Roman" w:cs="Times New Roman"/>
          <w:sz w:val="20"/>
          <w:szCs w:val="20"/>
        </w:rPr>
      </w:pPr>
    </w:p>
    <w:p w14:paraId="4D715CC1" w14:textId="77777777" w:rsidR="00BE6483" w:rsidRPr="00ED3015" w:rsidRDefault="00BE6483" w:rsidP="0043535D">
      <w:pPr>
        <w:pStyle w:val="EndnoteText"/>
        <w:jc w:val="both"/>
        <w:rPr>
          <w:rFonts w:ascii="Times New Roman" w:hAnsi="Times New Roman" w:cs="Times New Roman"/>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normal">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AC4D" w14:textId="77777777" w:rsidR="00BE6483" w:rsidRDefault="00BE6483" w:rsidP="00894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4FCEE2" w14:textId="77777777" w:rsidR="00BE6483" w:rsidRDefault="00BE64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D431" w14:textId="77777777" w:rsidR="00BE6483" w:rsidRDefault="00BE6483" w:rsidP="00894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4DEA">
      <w:rPr>
        <w:rStyle w:val="PageNumber"/>
        <w:noProof/>
      </w:rPr>
      <w:t>1</w:t>
    </w:r>
    <w:r>
      <w:rPr>
        <w:rStyle w:val="PageNumber"/>
      </w:rPr>
      <w:fldChar w:fldCharType="end"/>
    </w:r>
  </w:p>
  <w:p w14:paraId="6E194945" w14:textId="77777777" w:rsidR="00BE6483" w:rsidRDefault="00BE6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8AB2C" w14:textId="77777777" w:rsidR="0090352F" w:rsidRDefault="0090352F" w:rsidP="0042317C">
      <w:r>
        <w:separator/>
      </w:r>
    </w:p>
  </w:footnote>
  <w:footnote w:type="continuationSeparator" w:id="0">
    <w:p w14:paraId="3027A17E" w14:textId="77777777" w:rsidR="0090352F" w:rsidRDefault="0090352F" w:rsidP="00423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97920"/>
    <w:multiLevelType w:val="hybridMultilevel"/>
    <w:tmpl w:val="24C27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6136B1"/>
    <w:multiLevelType w:val="hybridMultilevel"/>
    <w:tmpl w:val="34946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E07651"/>
    <w:multiLevelType w:val="multilevel"/>
    <w:tmpl w:val="C4E0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F07263"/>
    <w:multiLevelType w:val="hybridMultilevel"/>
    <w:tmpl w:val="A3768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7C"/>
    <w:rsid w:val="00011AA6"/>
    <w:rsid w:val="00025B2F"/>
    <w:rsid w:val="00035162"/>
    <w:rsid w:val="0004312C"/>
    <w:rsid w:val="000910A7"/>
    <w:rsid w:val="000A187A"/>
    <w:rsid w:val="000C375C"/>
    <w:rsid w:val="000C573E"/>
    <w:rsid w:val="000F4223"/>
    <w:rsid w:val="000F765D"/>
    <w:rsid w:val="00100001"/>
    <w:rsid w:val="00125051"/>
    <w:rsid w:val="00127BA3"/>
    <w:rsid w:val="001343B7"/>
    <w:rsid w:val="00154DEA"/>
    <w:rsid w:val="001569C4"/>
    <w:rsid w:val="00163857"/>
    <w:rsid w:val="00167886"/>
    <w:rsid w:val="00174F99"/>
    <w:rsid w:val="001B1A03"/>
    <w:rsid w:val="001C7D42"/>
    <w:rsid w:val="001D1DFF"/>
    <w:rsid w:val="001E0A73"/>
    <w:rsid w:val="00206A7F"/>
    <w:rsid w:val="00223516"/>
    <w:rsid w:val="00271CD4"/>
    <w:rsid w:val="002A0829"/>
    <w:rsid w:val="002A2C86"/>
    <w:rsid w:val="002B6FDD"/>
    <w:rsid w:val="002D1C8A"/>
    <w:rsid w:val="003136D6"/>
    <w:rsid w:val="00340048"/>
    <w:rsid w:val="00347C78"/>
    <w:rsid w:val="003508F0"/>
    <w:rsid w:val="003764B0"/>
    <w:rsid w:val="003D1042"/>
    <w:rsid w:val="003D406F"/>
    <w:rsid w:val="00406E82"/>
    <w:rsid w:val="0042317C"/>
    <w:rsid w:val="004266AD"/>
    <w:rsid w:val="0043535D"/>
    <w:rsid w:val="0043730B"/>
    <w:rsid w:val="004529FC"/>
    <w:rsid w:val="00453B61"/>
    <w:rsid w:val="00470BD2"/>
    <w:rsid w:val="00482486"/>
    <w:rsid w:val="004A15A8"/>
    <w:rsid w:val="004B1CA7"/>
    <w:rsid w:val="004B3907"/>
    <w:rsid w:val="004D0AC1"/>
    <w:rsid w:val="004E2DD3"/>
    <w:rsid w:val="005230FD"/>
    <w:rsid w:val="005303AA"/>
    <w:rsid w:val="00536F02"/>
    <w:rsid w:val="005411F7"/>
    <w:rsid w:val="0055700D"/>
    <w:rsid w:val="00570368"/>
    <w:rsid w:val="0058328E"/>
    <w:rsid w:val="0059669A"/>
    <w:rsid w:val="005A1B29"/>
    <w:rsid w:val="005B7972"/>
    <w:rsid w:val="005D3706"/>
    <w:rsid w:val="005E4A2B"/>
    <w:rsid w:val="00601121"/>
    <w:rsid w:val="006020AE"/>
    <w:rsid w:val="006046A9"/>
    <w:rsid w:val="0060746B"/>
    <w:rsid w:val="00615ACA"/>
    <w:rsid w:val="00634C0F"/>
    <w:rsid w:val="0063761F"/>
    <w:rsid w:val="00674E27"/>
    <w:rsid w:val="00676E33"/>
    <w:rsid w:val="00682FEB"/>
    <w:rsid w:val="006A3130"/>
    <w:rsid w:val="006A6F63"/>
    <w:rsid w:val="006C5850"/>
    <w:rsid w:val="00707AC1"/>
    <w:rsid w:val="0072429A"/>
    <w:rsid w:val="0072621C"/>
    <w:rsid w:val="00744CEF"/>
    <w:rsid w:val="007644FD"/>
    <w:rsid w:val="00784D42"/>
    <w:rsid w:val="007B6941"/>
    <w:rsid w:val="007C21F9"/>
    <w:rsid w:val="007C772C"/>
    <w:rsid w:val="007E2089"/>
    <w:rsid w:val="007F0139"/>
    <w:rsid w:val="007F28F9"/>
    <w:rsid w:val="007F6E5D"/>
    <w:rsid w:val="00804F8F"/>
    <w:rsid w:val="008516C1"/>
    <w:rsid w:val="0086513A"/>
    <w:rsid w:val="00873153"/>
    <w:rsid w:val="00874CC1"/>
    <w:rsid w:val="008936DC"/>
    <w:rsid w:val="00894642"/>
    <w:rsid w:val="008B21A5"/>
    <w:rsid w:val="008B24B7"/>
    <w:rsid w:val="008C506E"/>
    <w:rsid w:val="008C5C93"/>
    <w:rsid w:val="008D53FF"/>
    <w:rsid w:val="008D790C"/>
    <w:rsid w:val="008E0D8D"/>
    <w:rsid w:val="008E31A4"/>
    <w:rsid w:val="008F6DCB"/>
    <w:rsid w:val="0090352F"/>
    <w:rsid w:val="009265B5"/>
    <w:rsid w:val="009430F1"/>
    <w:rsid w:val="00946F10"/>
    <w:rsid w:val="00971803"/>
    <w:rsid w:val="00972F92"/>
    <w:rsid w:val="00982AA6"/>
    <w:rsid w:val="009C5340"/>
    <w:rsid w:val="009E76C6"/>
    <w:rsid w:val="00A1161A"/>
    <w:rsid w:val="00A27EF6"/>
    <w:rsid w:val="00A33CF5"/>
    <w:rsid w:val="00A50C97"/>
    <w:rsid w:val="00A654D9"/>
    <w:rsid w:val="00A8383C"/>
    <w:rsid w:val="00A92BCC"/>
    <w:rsid w:val="00AA2400"/>
    <w:rsid w:val="00AC028B"/>
    <w:rsid w:val="00AC502A"/>
    <w:rsid w:val="00AC68A5"/>
    <w:rsid w:val="00AD046A"/>
    <w:rsid w:val="00AE0638"/>
    <w:rsid w:val="00B11D22"/>
    <w:rsid w:val="00B123C6"/>
    <w:rsid w:val="00B247CC"/>
    <w:rsid w:val="00B256AD"/>
    <w:rsid w:val="00B34034"/>
    <w:rsid w:val="00B472E3"/>
    <w:rsid w:val="00B5607E"/>
    <w:rsid w:val="00B633F5"/>
    <w:rsid w:val="00B80F8B"/>
    <w:rsid w:val="00B81C2B"/>
    <w:rsid w:val="00B84BBB"/>
    <w:rsid w:val="00B94220"/>
    <w:rsid w:val="00BA1197"/>
    <w:rsid w:val="00BB1EE7"/>
    <w:rsid w:val="00BD43CF"/>
    <w:rsid w:val="00BE0713"/>
    <w:rsid w:val="00BE6483"/>
    <w:rsid w:val="00C117A1"/>
    <w:rsid w:val="00C14671"/>
    <w:rsid w:val="00C249EF"/>
    <w:rsid w:val="00C2719F"/>
    <w:rsid w:val="00C417FE"/>
    <w:rsid w:val="00C62A9F"/>
    <w:rsid w:val="00C93C8D"/>
    <w:rsid w:val="00C96665"/>
    <w:rsid w:val="00CB6617"/>
    <w:rsid w:val="00CD3967"/>
    <w:rsid w:val="00CE389C"/>
    <w:rsid w:val="00CE6078"/>
    <w:rsid w:val="00CE7FCA"/>
    <w:rsid w:val="00D1756E"/>
    <w:rsid w:val="00D2106D"/>
    <w:rsid w:val="00D212EE"/>
    <w:rsid w:val="00D26B60"/>
    <w:rsid w:val="00D72589"/>
    <w:rsid w:val="00D7550F"/>
    <w:rsid w:val="00D81860"/>
    <w:rsid w:val="00D83D5A"/>
    <w:rsid w:val="00DC2DAF"/>
    <w:rsid w:val="00DD1960"/>
    <w:rsid w:val="00DD2275"/>
    <w:rsid w:val="00DD555C"/>
    <w:rsid w:val="00DF5C6C"/>
    <w:rsid w:val="00E0028D"/>
    <w:rsid w:val="00E07CF0"/>
    <w:rsid w:val="00E2307B"/>
    <w:rsid w:val="00E26061"/>
    <w:rsid w:val="00E3784E"/>
    <w:rsid w:val="00E402B9"/>
    <w:rsid w:val="00E6083D"/>
    <w:rsid w:val="00E63B7B"/>
    <w:rsid w:val="00E67995"/>
    <w:rsid w:val="00E728DF"/>
    <w:rsid w:val="00E952D6"/>
    <w:rsid w:val="00EB6312"/>
    <w:rsid w:val="00ED69CB"/>
    <w:rsid w:val="00EE16A2"/>
    <w:rsid w:val="00EE1C07"/>
    <w:rsid w:val="00EE372F"/>
    <w:rsid w:val="00EF245B"/>
    <w:rsid w:val="00F01CA2"/>
    <w:rsid w:val="00F021EE"/>
    <w:rsid w:val="00F048CC"/>
    <w:rsid w:val="00F05AC3"/>
    <w:rsid w:val="00F203C6"/>
    <w:rsid w:val="00F532BF"/>
    <w:rsid w:val="00F6570C"/>
    <w:rsid w:val="00F775D5"/>
    <w:rsid w:val="00F975C4"/>
    <w:rsid w:val="00FA5E9F"/>
    <w:rsid w:val="00FB6742"/>
    <w:rsid w:val="00FD6F55"/>
    <w:rsid w:val="00FF1ACA"/>
    <w:rsid w:val="00FF57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4CF8E"/>
  <w14:defaultImageDpi w14:val="32767"/>
  <w15:docId w15:val="{0A4E39EC-DD3A-4F33-854D-D8DE3B28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317C"/>
    <w:pPr>
      <w:ind w:left="720"/>
      <w:contextualSpacing/>
    </w:pPr>
  </w:style>
  <w:style w:type="paragraph" w:styleId="NormalWeb">
    <w:name w:val="Normal (Web)"/>
    <w:basedOn w:val="Normal"/>
    <w:uiPriority w:val="99"/>
    <w:semiHidden/>
    <w:unhideWhenUsed/>
    <w:rsid w:val="0042317C"/>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42317C"/>
  </w:style>
  <w:style w:type="character" w:customStyle="1" w:styleId="FootnoteTextChar">
    <w:name w:val="Footnote Text Char"/>
    <w:basedOn w:val="DefaultParagraphFont"/>
    <w:link w:val="FootnoteText"/>
    <w:uiPriority w:val="99"/>
    <w:rsid w:val="0042317C"/>
  </w:style>
  <w:style w:type="character" w:styleId="FootnoteReference">
    <w:name w:val="footnote reference"/>
    <w:basedOn w:val="DefaultParagraphFont"/>
    <w:uiPriority w:val="99"/>
    <w:unhideWhenUsed/>
    <w:rsid w:val="0042317C"/>
    <w:rPr>
      <w:vertAlign w:val="superscript"/>
    </w:rPr>
  </w:style>
  <w:style w:type="paragraph" w:styleId="Footer">
    <w:name w:val="footer"/>
    <w:basedOn w:val="Normal"/>
    <w:link w:val="FooterChar"/>
    <w:uiPriority w:val="99"/>
    <w:unhideWhenUsed/>
    <w:rsid w:val="0042317C"/>
    <w:pPr>
      <w:tabs>
        <w:tab w:val="center" w:pos="4320"/>
        <w:tab w:val="right" w:pos="8640"/>
      </w:tabs>
    </w:pPr>
  </w:style>
  <w:style w:type="character" w:customStyle="1" w:styleId="FooterChar">
    <w:name w:val="Footer Char"/>
    <w:basedOn w:val="DefaultParagraphFont"/>
    <w:link w:val="Footer"/>
    <w:uiPriority w:val="99"/>
    <w:rsid w:val="0042317C"/>
  </w:style>
  <w:style w:type="character" w:styleId="PageNumber">
    <w:name w:val="page number"/>
    <w:basedOn w:val="DefaultParagraphFont"/>
    <w:uiPriority w:val="99"/>
    <w:semiHidden/>
    <w:unhideWhenUsed/>
    <w:rsid w:val="0042317C"/>
  </w:style>
  <w:style w:type="character" w:styleId="Hyperlink">
    <w:name w:val="Hyperlink"/>
    <w:basedOn w:val="DefaultParagraphFont"/>
    <w:uiPriority w:val="99"/>
    <w:unhideWhenUsed/>
    <w:rsid w:val="0042317C"/>
    <w:rPr>
      <w:color w:val="0563C1" w:themeColor="hyperlink"/>
      <w:u w:val="single"/>
    </w:rPr>
  </w:style>
  <w:style w:type="character" w:styleId="CommentReference">
    <w:name w:val="annotation reference"/>
    <w:basedOn w:val="DefaultParagraphFont"/>
    <w:uiPriority w:val="99"/>
    <w:semiHidden/>
    <w:unhideWhenUsed/>
    <w:rsid w:val="0042317C"/>
    <w:rPr>
      <w:sz w:val="18"/>
      <w:szCs w:val="18"/>
    </w:rPr>
  </w:style>
  <w:style w:type="paragraph" w:styleId="CommentText">
    <w:name w:val="annotation text"/>
    <w:basedOn w:val="Normal"/>
    <w:link w:val="CommentTextChar"/>
    <w:uiPriority w:val="99"/>
    <w:semiHidden/>
    <w:unhideWhenUsed/>
    <w:rsid w:val="0042317C"/>
  </w:style>
  <w:style w:type="character" w:customStyle="1" w:styleId="CommentTextChar">
    <w:name w:val="Comment Text Char"/>
    <w:basedOn w:val="DefaultParagraphFont"/>
    <w:link w:val="CommentText"/>
    <w:uiPriority w:val="99"/>
    <w:semiHidden/>
    <w:rsid w:val="0042317C"/>
  </w:style>
  <w:style w:type="paragraph" w:styleId="CommentSubject">
    <w:name w:val="annotation subject"/>
    <w:basedOn w:val="CommentText"/>
    <w:next w:val="CommentText"/>
    <w:link w:val="CommentSubjectChar"/>
    <w:uiPriority w:val="99"/>
    <w:semiHidden/>
    <w:unhideWhenUsed/>
    <w:rsid w:val="0042317C"/>
    <w:rPr>
      <w:b/>
      <w:bCs/>
      <w:sz w:val="20"/>
      <w:szCs w:val="20"/>
    </w:rPr>
  </w:style>
  <w:style w:type="character" w:customStyle="1" w:styleId="CommentSubjectChar">
    <w:name w:val="Comment Subject Char"/>
    <w:basedOn w:val="CommentTextChar"/>
    <w:link w:val="CommentSubject"/>
    <w:uiPriority w:val="99"/>
    <w:semiHidden/>
    <w:rsid w:val="0042317C"/>
    <w:rPr>
      <w:b/>
      <w:bCs/>
      <w:sz w:val="20"/>
      <w:szCs w:val="20"/>
    </w:rPr>
  </w:style>
  <w:style w:type="paragraph" w:styleId="BalloonText">
    <w:name w:val="Balloon Text"/>
    <w:basedOn w:val="Normal"/>
    <w:link w:val="BalloonTextChar"/>
    <w:uiPriority w:val="99"/>
    <w:semiHidden/>
    <w:unhideWhenUsed/>
    <w:rsid w:val="004231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317C"/>
    <w:rPr>
      <w:rFonts w:ascii="Times New Roman" w:hAnsi="Times New Roman" w:cs="Times New Roman"/>
      <w:sz w:val="18"/>
      <w:szCs w:val="18"/>
    </w:rPr>
  </w:style>
  <w:style w:type="paragraph" w:customStyle="1" w:styleId="p1">
    <w:name w:val="p1"/>
    <w:basedOn w:val="Normal"/>
    <w:rsid w:val="0042317C"/>
    <w:rPr>
      <w:rFonts w:ascii="Helvetica Neue" w:hAnsi="Helvetica Neue" w:cs="Times New Roman"/>
      <w:color w:val="454545"/>
      <w:sz w:val="18"/>
      <w:szCs w:val="18"/>
      <w:lang w:eastAsia="en-GB"/>
    </w:rPr>
  </w:style>
  <w:style w:type="character" w:customStyle="1" w:styleId="apple-converted-space">
    <w:name w:val="apple-converted-space"/>
    <w:basedOn w:val="DefaultParagraphFont"/>
    <w:rsid w:val="0042317C"/>
  </w:style>
  <w:style w:type="character" w:styleId="FollowedHyperlink">
    <w:name w:val="FollowedHyperlink"/>
    <w:basedOn w:val="DefaultParagraphFont"/>
    <w:uiPriority w:val="99"/>
    <w:semiHidden/>
    <w:unhideWhenUsed/>
    <w:rsid w:val="0042317C"/>
    <w:rPr>
      <w:color w:val="954F72" w:themeColor="followedHyperlink"/>
      <w:u w:val="single"/>
    </w:rPr>
  </w:style>
  <w:style w:type="paragraph" w:styleId="Header">
    <w:name w:val="header"/>
    <w:basedOn w:val="Normal"/>
    <w:link w:val="HeaderChar"/>
    <w:uiPriority w:val="99"/>
    <w:unhideWhenUsed/>
    <w:rsid w:val="0042317C"/>
    <w:pPr>
      <w:tabs>
        <w:tab w:val="center" w:pos="4513"/>
        <w:tab w:val="right" w:pos="9026"/>
      </w:tabs>
    </w:pPr>
  </w:style>
  <w:style w:type="character" w:customStyle="1" w:styleId="HeaderChar">
    <w:name w:val="Header Char"/>
    <w:basedOn w:val="DefaultParagraphFont"/>
    <w:link w:val="Header"/>
    <w:uiPriority w:val="99"/>
    <w:rsid w:val="0042317C"/>
  </w:style>
  <w:style w:type="character" w:customStyle="1" w:styleId="UnresolvedMention1">
    <w:name w:val="Unresolved Mention1"/>
    <w:basedOn w:val="DefaultParagraphFont"/>
    <w:uiPriority w:val="99"/>
    <w:semiHidden/>
    <w:unhideWhenUsed/>
    <w:rsid w:val="00CD3967"/>
    <w:rPr>
      <w:color w:val="605E5C"/>
      <w:shd w:val="clear" w:color="auto" w:fill="E1DFDD"/>
    </w:rPr>
  </w:style>
  <w:style w:type="paragraph" w:styleId="EndnoteText">
    <w:name w:val="endnote text"/>
    <w:basedOn w:val="Normal"/>
    <w:link w:val="EndnoteTextChar"/>
    <w:uiPriority w:val="99"/>
    <w:unhideWhenUsed/>
    <w:rsid w:val="0043535D"/>
  </w:style>
  <w:style w:type="character" w:customStyle="1" w:styleId="EndnoteTextChar">
    <w:name w:val="Endnote Text Char"/>
    <w:basedOn w:val="DefaultParagraphFont"/>
    <w:link w:val="EndnoteText"/>
    <w:uiPriority w:val="99"/>
    <w:rsid w:val="0043535D"/>
  </w:style>
  <w:style w:type="character" w:styleId="EndnoteReference">
    <w:name w:val="endnote reference"/>
    <w:basedOn w:val="DefaultParagraphFont"/>
    <w:uiPriority w:val="99"/>
    <w:unhideWhenUsed/>
    <w:rsid w:val="0043535D"/>
    <w:rPr>
      <w:vertAlign w:val="superscript"/>
    </w:rPr>
  </w:style>
  <w:style w:type="paragraph" w:styleId="TOC1">
    <w:name w:val="toc 1"/>
    <w:basedOn w:val="Normal"/>
    <w:next w:val="Normal"/>
    <w:autoRedefine/>
    <w:uiPriority w:val="39"/>
    <w:unhideWhenUsed/>
    <w:rsid w:val="00DD2275"/>
  </w:style>
  <w:style w:type="paragraph" w:styleId="TOC2">
    <w:name w:val="toc 2"/>
    <w:basedOn w:val="Normal"/>
    <w:next w:val="Normal"/>
    <w:autoRedefine/>
    <w:uiPriority w:val="39"/>
    <w:unhideWhenUsed/>
    <w:rsid w:val="00DD2275"/>
    <w:pPr>
      <w:ind w:left="240"/>
    </w:pPr>
  </w:style>
  <w:style w:type="paragraph" w:styleId="TOC3">
    <w:name w:val="toc 3"/>
    <w:basedOn w:val="Normal"/>
    <w:next w:val="Normal"/>
    <w:autoRedefine/>
    <w:uiPriority w:val="39"/>
    <w:unhideWhenUsed/>
    <w:rsid w:val="00DD2275"/>
    <w:pPr>
      <w:ind w:left="480"/>
    </w:pPr>
  </w:style>
  <w:style w:type="paragraph" w:styleId="TOC4">
    <w:name w:val="toc 4"/>
    <w:basedOn w:val="Normal"/>
    <w:next w:val="Normal"/>
    <w:autoRedefine/>
    <w:uiPriority w:val="39"/>
    <w:unhideWhenUsed/>
    <w:rsid w:val="00DD2275"/>
    <w:pPr>
      <w:ind w:left="720"/>
    </w:pPr>
  </w:style>
  <w:style w:type="paragraph" w:styleId="TOC5">
    <w:name w:val="toc 5"/>
    <w:basedOn w:val="Normal"/>
    <w:next w:val="Normal"/>
    <w:autoRedefine/>
    <w:uiPriority w:val="39"/>
    <w:unhideWhenUsed/>
    <w:rsid w:val="00DD2275"/>
    <w:pPr>
      <w:ind w:left="960"/>
    </w:pPr>
  </w:style>
  <w:style w:type="paragraph" w:styleId="TOC6">
    <w:name w:val="toc 6"/>
    <w:basedOn w:val="Normal"/>
    <w:next w:val="Normal"/>
    <w:autoRedefine/>
    <w:uiPriority w:val="39"/>
    <w:unhideWhenUsed/>
    <w:rsid w:val="00DD2275"/>
    <w:pPr>
      <w:ind w:left="1200"/>
    </w:pPr>
  </w:style>
  <w:style w:type="paragraph" w:styleId="TOC7">
    <w:name w:val="toc 7"/>
    <w:basedOn w:val="Normal"/>
    <w:next w:val="Normal"/>
    <w:autoRedefine/>
    <w:uiPriority w:val="39"/>
    <w:unhideWhenUsed/>
    <w:rsid w:val="00DD2275"/>
    <w:pPr>
      <w:ind w:left="1440"/>
    </w:pPr>
  </w:style>
  <w:style w:type="paragraph" w:styleId="TOC8">
    <w:name w:val="toc 8"/>
    <w:basedOn w:val="Normal"/>
    <w:next w:val="Normal"/>
    <w:autoRedefine/>
    <w:uiPriority w:val="39"/>
    <w:unhideWhenUsed/>
    <w:rsid w:val="00DD2275"/>
    <w:pPr>
      <w:ind w:left="1680"/>
    </w:pPr>
  </w:style>
  <w:style w:type="paragraph" w:styleId="TOC9">
    <w:name w:val="toc 9"/>
    <w:basedOn w:val="Normal"/>
    <w:next w:val="Normal"/>
    <w:autoRedefine/>
    <w:uiPriority w:val="39"/>
    <w:unhideWhenUsed/>
    <w:rsid w:val="00DD2275"/>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transparencyregister/public/staticPage/displayStaticPage.do;TRPUBLICID-prod=XLrIFK2e8eQ3n08kboM_bLNouSHZaMnJCVdyPW_qAoLCIf9XAB7t!-158032683?locale=en&amp;reference=KEY_DATES" TargetMode="External"/><Relationship Id="rId2" Type="http://schemas.openxmlformats.org/officeDocument/2006/relationships/hyperlink" Target="http://ec.europa.eu/transparencyregister/public/staticPage/displayStaticPage.do?locale=en&amp;reference=KEY_DATES" TargetMode="External"/><Relationship Id="rId1" Type="http://schemas.openxmlformats.org/officeDocument/2006/relationships/hyperlink" Target="http://www.consilium.europa.eu/en/press/press-releases/2017/12/06/transparency-register-council-agrees-mandate-for-negotiations/" TargetMode="External"/><Relationship Id="rId6" Type="http://schemas.openxmlformats.org/officeDocument/2006/relationships/hyperlink" Target="http://europa.eu/rapid/press-release_MEMO-16-3181_en.htm" TargetMode="External"/><Relationship Id="rId5" Type="http://schemas.openxmlformats.org/officeDocument/2006/relationships/hyperlink" Target="http://eur-lex.europa.eu/legal-content/en/TXT/?uri=CELEX:52016PC0627" TargetMode="External"/><Relationship Id="rId4" Type="http://schemas.openxmlformats.org/officeDocument/2006/relationships/hyperlink" Target="https://ec.europa.eu/commission/sites/beta-political/files/juncker-political-guidelines-speech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E8D06-5382-4CC8-BA06-952CD50B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8591</Words>
  <Characters>48969</Characters>
  <Application>Microsoft Office Word</Application>
  <DocSecurity>4</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 Montfalcon S.P.</cp:lastModifiedBy>
  <cp:revision>2</cp:revision>
  <dcterms:created xsi:type="dcterms:W3CDTF">2018-11-02T15:25:00Z</dcterms:created>
  <dcterms:modified xsi:type="dcterms:W3CDTF">2018-11-02T15:25:00Z</dcterms:modified>
</cp:coreProperties>
</file>