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A4E45" w14:textId="77777777" w:rsidR="00293380" w:rsidRDefault="00293380" w:rsidP="008D623A">
      <w:pPr>
        <w:spacing w:after="0" w:line="480" w:lineRule="auto"/>
        <w:rPr>
          <w:rFonts w:ascii="Times New Roman" w:hAnsi="Times New Roman" w:cs="Times New Roman"/>
          <w:b/>
          <w:sz w:val="24"/>
          <w:szCs w:val="24"/>
        </w:rPr>
      </w:pPr>
    </w:p>
    <w:p w14:paraId="3D73C047" w14:textId="77777777" w:rsidR="00293380" w:rsidRDefault="00293380" w:rsidP="008D623A">
      <w:pPr>
        <w:spacing w:after="0" w:line="480" w:lineRule="auto"/>
        <w:rPr>
          <w:rFonts w:ascii="Times New Roman" w:hAnsi="Times New Roman" w:cs="Times New Roman"/>
          <w:b/>
          <w:sz w:val="24"/>
          <w:szCs w:val="24"/>
        </w:rPr>
      </w:pPr>
    </w:p>
    <w:p w14:paraId="611181B9" w14:textId="77777777" w:rsidR="00293380" w:rsidRDefault="00293380" w:rsidP="008D623A">
      <w:pPr>
        <w:spacing w:after="0" w:line="480" w:lineRule="auto"/>
        <w:rPr>
          <w:rFonts w:ascii="Times New Roman" w:hAnsi="Times New Roman" w:cs="Times New Roman"/>
          <w:b/>
          <w:sz w:val="24"/>
          <w:szCs w:val="24"/>
        </w:rPr>
      </w:pPr>
    </w:p>
    <w:p w14:paraId="0411C038" w14:textId="1CA42AFA" w:rsidR="00D354CB" w:rsidRDefault="00872182" w:rsidP="008D623A">
      <w:pPr>
        <w:spacing w:after="0" w:line="480" w:lineRule="auto"/>
        <w:rPr>
          <w:rFonts w:ascii="Times New Roman" w:hAnsi="Times New Roman" w:cs="Times New Roman"/>
          <w:b/>
          <w:sz w:val="24"/>
          <w:szCs w:val="24"/>
        </w:rPr>
      </w:pPr>
      <w:r w:rsidRPr="00872182">
        <w:rPr>
          <w:rFonts w:ascii="Times New Roman" w:hAnsi="Times New Roman" w:cs="Times New Roman"/>
          <w:b/>
          <w:sz w:val="24"/>
          <w:szCs w:val="24"/>
        </w:rPr>
        <w:t xml:space="preserve">The </w:t>
      </w:r>
      <w:r w:rsidR="00366222">
        <w:rPr>
          <w:rFonts w:ascii="Times New Roman" w:hAnsi="Times New Roman" w:cs="Times New Roman"/>
          <w:b/>
          <w:sz w:val="24"/>
          <w:szCs w:val="24"/>
        </w:rPr>
        <w:t>Divergent Dynamics</w:t>
      </w:r>
      <w:r w:rsidRPr="00872182">
        <w:rPr>
          <w:rFonts w:ascii="Times New Roman" w:hAnsi="Times New Roman" w:cs="Times New Roman"/>
          <w:b/>
          <w:sz w:val="24"/>
          <w:szCs w:val="24"/>
        </w:rPr>
        <w:t xml:space="preserve"> of </w:t>
      </w:r>
      <w:r w:rsidR="00907B70">
        <w:rPr>
          <w:rFonts w:ascii="Times New Roman" w:hAnsi="Times New Roman" w:cs="Times New Roman"/>
          <w:b/>
          <w:sz w:val="24"/>
          <w:szCs w:val="24"/>
        </w:rPr>
        <w:t>C</w:t>
      </w:r>
      <w:r w:rsidRPr="00872182">
        <w:rPr>
          <w:rFonts w:ascii="Times New Roman" w:hAnsi="Times New Roman" w:cs="Times New Roman"/>
          <w:b/>
          <w:sz w:val="24"/>
          <w:szCs w:val="24"/>
        </w:rPr>
        <w:t>ities</w:t>
      </w:r>
      <w:r w:rsidR="00366222">
        <w:rPr>
          <w:rFonts w:ascii="Times New Roman" w:hAnsi="Times New Roman" w:cs="Times New Roman"/>
          <w:b/>
          <w:sz w:val="24"/>
          <w:szCs w:val="24"/>
        </w:rPr>
        <w:t xml:space="preserve"> and</w:t>
      </w:r>
      <w:r w:rsidRPr="00872182">
        <w:rPr>
          <w:rFonts w:ascii="Times New Roman" w:hAnsi="Times New Roman" w:cs="Times New Roman"/>
          <w:b/>
          <w:sz w:val="24"/>
          <w:szCs w:val="24"/>
        </w:rPr>
        <w:t xml:space="preserve"> </w:t>
      </w:r>
      <w:r w:rsidR="00907B70">
        <w:rPr>
          <w:rFonts w:ascii="Times New Roman" w:hAnsi="Times New Roman" w:cs="Times New Roman"/>
          <w:b/>
          <w:sz w:val="24"/>
          <w:szCs w:val="24"/>
        </w:rPr>
        <w:t>T</w:t>
      </w:r>
      <w:r w:rsidRPr="00872182">
        <w:rPr>
          <w:rFonts w:ascii="Times New Roman" w:hAnsi="Times New Roman" w:cs="Times New Roman"/>
          <w:b/>
          <w:sz w:val="24"/>
          <w:szCs w:val="24"/>
        </w:rPr>
        <w:t>owns</w:t>
      </w:r>
      <w:r w:rsidR="001F5137">
        <w:rPr>
          <w:rFonts w:ascii="Times New Roman" w:hAnsi="Times New Roman" w:cs="Times New Roman"/>
          <w:b/>
          <w:sz w:val="24"/>
          <w:szCs w:val="24"/>
        </w:rPr>
        <w:t>:</w:t>
      </w:r>
      <w:r w:rsidR="00366222">
        <w:rPr>
          <w:rFonts w:ascii="Times New Roman" w:hAnsi="Times New Roman" w:cs="Times New Roman"/>
          <w:b/>
          <w:sz w:val="24"/>
          <w:szCs w:val="24"/>
        </w:rPr>
        <w:t xml:space="preserve"> </w:t>
      </w:r>
      <w:r w:rsidR="00DE73F0">
        <w:rPr>
          <w:rFonts w:ascii="Times New Roman" w:hAnsi="Times New Roman" w:cs="Times New Roman"/>
          <w:b/>
          <w:sz w:val="24"/>
          <w:szCs w:val="24"/>
        </w:rPr>
        <w:t>Geographical Polarisation</w:t>
      </w:r>
      <w:r w:rsidR="001F5137">
        <w:rPr>
          <w:rFonts w:ascii="Times New Roman" w:hAnsi="Times New Roman" w:cs="Times New Roman"/>
          <w:b/>
          <w:sz w:val="24"/>
          <w:szCs w:val="24"/>
        </w:rPr>
        <w:t xml:space="preserve"> </w:t>
      </w:r>
      <w:r w:rsidR="00907B70">
        <w:rPr>
          <w:rFonts w:ascii="Times New Roman" w:hAnsi="Times New Roman" w:cs="Times New Roman"/>
          <w:b/>
          <w:sz w:val="24"/>
          <w:szCs w:val="24"/>
        </w:rPr>
        <w:t>After Brexit</w:t>
      </w:r>
    </w:p>
    <w:p w14:paraId="63FA7F3E" w14:textId="77777777" w:rsidR="00293380" w:rsidRDefault="00293380" w:rsidP="00110033">
      <w:pPr>
        <w:spacing w:after="360" w:line="480" w:lineRule="auto"/>
        <w:rPr>
          <w:rFonts w:ascii="Times New Roman" w:hAnsi="Times New Roman" w:cs="Times New Roman"/>
          <w:i/>
          <w:sz w:val="24"/>
          <w:szCs w:val="24"/>
        </w:rPr>
      </w:pPr>
    </w:p>
    <w:p w14:paraId="687C48AF" w14:textId="77777777" w:rsidR="00293380" w:rsidRPr="00907B70" w:rsidRDefault="00293380" w:rsidP="00293380">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 xml:space="preserve">Will Jennings, </w:t>
      </w:r>
      <w:r>
        <w:rPr>
          <w:rFonts w:ascii="Times New Roman" w:hAnsi="Times New Roman" w:cs="Times New Roman"/>
          <w:i/>
          <w:sz w:val="24"/>
          <w:szCs w:val="24"/>
        </w:rPr>
        <w:t>University of Southampton</w:t>
      </w:r>
    </w:p>
    <w:p w14:paraId="3807DD84" w14:textId="4E90272E" w:rsidR="00872182" w:rsidRPr="00907B70" w:rsidRDefault="00907B70" w:rsidP="00293380">
      <w:pPr>
        <w:spacing w:after="360" w:line="480" w:lineRule="auto"/>
        <w:jc w:val="center"/>
        <w:rPr>
          <w:rFonts w:ascii="Times New Roman" w:hAnsi="Times New Roman" w:cs="Times New Roman"/>
          <w:i/>
          <w:sz w:val="24"/>
          <w:szCs w:val="24"/>
        </w:rPr>
      </w:pPr>
      <w:r>
        <w:rPr>
          <w:rFonts w:ascii="Times New Roman" w:hAnsi="Times New Roman" w:cs="Times New Roman"/>
          <w:i/>
          <w:sz w:val="24"/>
          <w:szCs w:val="24"/>
        </w:rPr>
        <w:t>Gerry Stoker</w:t>
      </w:r>
      <w:r w:rsidR="00DF6D80">
        <w:rPr>
          <w:rFonts w:ascii="Times New Roman" w:hAnsi="Times New Roman" w:cs="Times New Roman"/>
          <w:i/>
          <w:sz w:val="24"/>
          <w:szCs w:val="24"/>
        </w:rPr>
        <w:t>, University of</w:t>
      </w:r>
      <w:r w:rsidR="00293380">
        <w:rPr>
          <w:rFonts w:ascii="Times New Roman" w:hAnsi="Times New Roman" w:cs="Times New Roman"/>
          <w:i/>
          <w:sz w:val="24"/>
          <w:szCs w:val="24"/>
        </w:rPr>
        <w:t xml:space="preserve"> Canberra and University of </w:t>
      </w:r>
      <w:r w:rsidR="00DF6D80">
        <w:rPr>
          <w:rFonts w:ascii="Times New Roman" w:hAnsi="Times New Roman" w:cs="Times New Roman"/>
          <w:i/>
          <w:sz w:val="24"/>
          <w:szCs w:val="24"/>
        </w:rPr>
        <w:t>Southampton</w:t>
      </w:r>
    </w:p>
    <w:p w14:paraId="78B8AAF0" w14:textId="77777777" w:rsidR="00293380" w:rsidRDefault="00293380">
      <w:pPr>
        <w:rPr>
          <w:rFonts w:ascii="Times New Roman" w:hAnsi="Times New Roman" w:cs="Times New Roman"/>
          <w:sz w:val="24"/>
          <w:szCs w:val="24"/>
        </w:rPr>
      </w:pPr>
      <w:bookmarkStart w:id="0" w:name="_GoBack"/>
      <w:bookmarkEnd w:id="0"/>
    </w:p>
    <w:p w14:paraId="4014DE7C" w14:textId="77777777" w:rsidR="00293380" w:rsidRDefault="00293380">
      <w:pPr>
        <w:rPr>
          <w:rFonts w:ascii="Times New Roman" w:hAnsi="Times New Roman" w:cs="Times New Roman"/>
          <w:b/>
          <w:sz w:val="24"/>
          <w:szCs w:val="24"/>
        </w:rPr>
      </w:pPr>
    </w:p>
    <w:p w14:paraId="781F7230" w14:textId="77777777" w:rsidR="00293380" w:rsidRDefault="00293380" w:rsidP="00293380">
      <w:pPr>
        <w:jc w:val="center"/>
        <w:rPr>
          <w:rFonts w:ascii="Times New Roman" w:hAnsi="Times New Roman" w:cs="Times New Roman"/>
          <w:b/>
          <w:sz w:val="24"/>
          <w:szCs w:val="24"/>
        </w:rPr>
      </w:pPr>
    </w:p>
    <w:p w14:paraId="367EF286" w14:textId="77AA8C4A" w:rsidR="00293380" w:rsidRPr="00293380" w:rsidRDefault="00293380" w:rsidP="00293380">
      <w:pPr>
        <w:jc w:val="center"/>
        <w:rPr>
          <w:rFonts w:ascii="Times New Roman" w:hAnsi="Times New Roman" w:cs="Times New Roman"/>
          <w:b/>
          <w:sz w:val="24"/>
          <w:szCs w:val="24"/>
        </w:rPr>
      </w:pPr>
      <w:r w:rsidRPr="00293380">
        <w:rPr>
          <w:rFonts w:ascii="Times New Roman" w:hAnsi="Times New Roman" w:cs="Times New Roman"/>
          <w:b/>
          <w:sz w:val="24"/>
          <w:szCs w:val="24"/>
        </w:rPr>
        <w:t>Abstract</w:t>
      </w:r>
    </w:p>
    <w:p w14:paraId="4F3CC9AF" w14:textId="3FCA74EC" w:rsidR="00293380" w:rsidRDefault="00293380" w:rsidP="00293380">
      <w:pPr>
        <w:spacing w:line="480" w:lineRule="auto"/>
        <w:jc w:val="center"/>
        <w:rPr>
          <w:rFonts w:ascii="Times New Roman" w:hAnsi="Times New Roman" w:cs="Times New Roman"/>
          <w:sz w:val="24"/>
          <w:szCs w:val="24"/>
        </w:rPr>
      </w:pPr>
      <w:r w:rsidRPr="00293380">
        <w:rPr>
          <w:rFonts w:ascii="Times New Roman" w:hAnsi="Times New Roman" w:cs="Times New Roman"/>
          <w:sz w:val="24"/>
          <w:szCs w:val="24"/>
        </w:rPr>
        <w:t>While the EU referendum vote put the political divide between Britain’s towns and cities into the spotlight, this divide is the product of long-term forces of social and economic change. In this chapter, we show how geographical polarisation has and continues to reshape British politics, in the diverging trends between those places that have experienced relative decline and those that have thrived. Not only do these changes have electoral consequences for the major parties in Westminster they pose particular challenges in terms of public policy.</w:t>
      </w:r>
      <w:r>
        <w:rPr>
          <w:rFonts w:ascii="Times New Roman" w:hAnsi="Times New Roman" w:cs="Times New Roman"/>
          <w:sz w:val="24"/>
          <w:szCs w:val="24"/>
        </w:rPr>
        <w:br w:type="page"/>
      </w:r>
    </w:p>
    <w:p w14:paraId="20C9DB22" w14:textId="33E40FBE" w:rsidR="00DF6D80" w:rsidRDefault="00872182" w:rsidP="00A63E31">
      <w:pPr>
        <w:spacing w:after="240" w:line="480" w:lineRule="auto"/>
        <w:rPr>
          <w:rFonts w:ascii="Times New Roman" w:hAnsi="Times New Roman" w:cs="Times New Roman"/>
          <w:sz w:val="24"/>
          <w:szCs w:val="24"/>
        </w:rPr>
      </w:pPr>
      <w:r w:rsidRPr="00872182">
        <w:rPr>
          <w:rFonts w:ascii="Times New Roman" w:hAnsi="Times New Roman" w:cs="Times New Roman"/>
          <w:sz w:val="24"/>
          <w:szCs w:val="24"/>
        </w:rPr>
        <w:lastRenderedPageBreak/>
        <w:t xml:space="preserve">The Brexit vote revealed a country divided by </w:t>
      </w:r>
      <w:r w:rsidR="008346C9">
        <w:rPr>
          <w:rFonts w:ascii="Times New Roman" w:hAnsi="Times New Roman" w:cs="Times New Roman"/>
          <w:sz w:val="24"/>
          <w:szCs w:val="24"/>
        </w:rPr>
        <w:t>place</w:t>
      </w:r>
      <w:r w:rsidRPr="00872182">
        <w:rPr>
          <w:rFonts w:ascii="Times New Roman" w:hAnsi="Times New Roman" w:cs="Times New Roman"/>
          <w:sz w:val="24"/>
          <w:szCs w:val="24"/>
        </w:rPr>
        <w:t xml:space="preserve">, reflecting the </w:t>
      </w:r>
      <w:r w:rsidR="00585C4B">
        <w:rPr>
          <w:rFonts w:ascii="Times New Roman" w:hAnsi="Times New Roman" w:cs="Times New Roman"/>
          <w:sz w:val="24"/>
          <w:szCs w:val="24"/>
        </w:rPr>
        <w:t>diverging</w:t>
      </w:r>
      <w:r w:rsidRPr="00872182">
        <w:rPr>
          <w:rFonts w:ascii="Times New Roman" w:hAnsi="Times New Roman" w:cs="Times New Roman"/>
          <w:sz w:val="24"/>
          <w:szCs w:val="24"/>
        </w:rPr>
        <w:t xml:space="preserve"> trajectories of economic development and politics taken by locations </w:t>
      </w:r>
      <w:r w:rsidR="00A82384">
        <w:rPr>
          <w:rFonts w:ascii="Times New Roman" w:hAnsi="Times New Roman" w:cs="Times New Roman"/>
          <w:sz w:val="24"/>
          <w:szCs w:val="24"/>
        </w:rPr>
        <w:t>that have prospered in a</w:t>
      </w:r>
      <w:r w:rsidR="008346C9">
        <w:rPr>
          <w:rFonts w:ascii="Times New Roman" w:hAnsi="Times New Roman" w:cs="Times New Roman"/>
          <w:sz w:val="24"/>
          <w:szCs w:val="24"/>
        </w:rPr>
        <w:t xml:space="preserve"> </w:t>
      </w:r>
      <w:r w:rsidR="00A82384">
        <w:rPr>
          <w:rFonts w:ascii="Times New Roman" w:hAnsi="Times New Roman" w:cs="Times New Roman"/>
          <w:sz w:val="24"/>
          <w:szCs w:val="24"/>
        </w:rPr>
        <w:t>global</w:t>
      </w:r>
      <w:r w:rsidR="008346C9">
        <w:rPr>
          <w:rFonts w:ascii="Times New Roman" w:hAnsi="Times New Roman" w:cs="Times New Roman"/>
          <w:sz w:val="24"/>
          <w:szCs w:val="24"/>
        </w:rPr>
        <w:t>ised</w:t>
      </w:r>
      <w:r w:rsidR="00A82384">
        <w:rPr>
          <w:rFonts w:ascii="Times New Roman" w:hAnsi="Times New Roman" w:cs="Times New Roman"/>
          <w:sz w:val="24"/>
          <w:szCs w:val="24"/>
        </w:rPr>
        <w:t xml:space="preserve"> knowledge economy</w:t>
      </w:r>
      <w:r w:rsidR="0012170E">
        <w:rPr>
          <w:rFonts w:ascii="Times New Roman" w:hAnsi="Times New Roman" w:cs="Times New Roman"/>
          <w:sz w:val="24"/>
          <w:szCs w:val="24"/>
        </w:rPr>
        <w:t xml:space="preserve"> – predominantly cities –</w:t>
      </w:r>
      <w:r w:rsidR="00A82384">
        <w:rPr>
          <w:rFonts w:ascii="Times New Roman" w:hAnsi="Times New Roman" w:cs="Times New Roman"/>
          <w:sz w:val="24"/>
          <w:szCs w:val="24"/>
        </w:rPr>
        <w:t xml:space="preserve"> co</w:t>
      </w:r>
      <w:r w:rsidR="00585C4B">
        <w:rPr>
          <w:rFonts w:ascii="Times New Roman" w:hAnsi="Times New Roman" w:cs="Times New Roman"/>
          <w:sz w:val="24"/>
          <w:szCs w:val="24"/>
        </w:rPr>
        <w:t>ntrasted with</w:t>
      </w:r>
      <w:r w:rsidR="00A82384">
        <w:rPr>
          <w:rFonts w:ascii="Times New Roman" w:hAnsi="Times New Roman" w:cs="Times New Roman"/>
          <w:sz w:val="24"/>
          <w:szCs w:val="24"/>
        </w:rPr>
        <w:t xml:space="preserve"> </w:t>
      </w:r>
      <w:r w:rsidR="00585C4B">
        <w:rPr>
          <w:rFonts w:ascii="Times New Roman" w:hAnsi="Times New Roman" w:cs="Times New Roman"/>
          <w:sz w:val="24"/>
          <w:szCs w:val="24"/>
        </w:rPr>
        <w:t>places</w:t>
      </w:r>
      <w:r w:rsidR="00A82384">
        <w:rPr>
          <w:rFonts w:ascii="Times New Roman" w:hAnsi="Times New Roman" w:cs="Times New Roman"/>
          <w:sz w:val="24"/>
          <w:szCs w:val="24"/>
        </w:rPr>
        <w:t xml:space="preserve"> on the periphery</w:t>
      </w:r>
      <w:r w:rsidR="00274EB0">
        <w:rPr>
          <w:rFonts w:ascii="Times New Roman" w:hAnsi="Times New Roman" w:cs="Times New Roman"/>
          <w:sz w:val="24"/>
          <w:szCs w:val="24"/>
        </w:rPr>
        <w:t xml:space="preserve">, </w:t>
      </w:r>
      <w:r w:rsidR="0012170E">
        <w:rPr>
          <w:rFonts w:ascii="Times New Roman" w:hAnsi="Times New Roman" w:cs="Times New Roman"/>
          <w:sz w:val="24"/>
          <w:szCs w:val="24"/>
        </w:rPr>
        <w:t>in towns and rural areas</w:t>
      </w:r>
      <w:r w:rsidR="00A82384">
        <w:rPr>
          <w:rFonts w:ascii="Times New Roman" w:hAnsi="Times New Roman" w:cs="Times New Roman"/>
          <w:sz w:val="24"/>
          <w:szCs w:val="24"/>
        </w:rPr>
        <w:t>.</w:t>
      </w:r>
      <w:r w:rsidR="00DF6D80">
        <w:rPr>
          <w:rStyle w:val="EndnoteReference"/>
          <w:rFonts w:ascii="Times New Roman" w:hAnsi="Times New Roman" w:cs="Times New Roman"/>
          <w:sz w:val="24"/>
          <w:szCs w:val="24"/>
        </w:rPr>
        <w:endnoteReference w:id="1"/>
      </w:r>
      <w:r w:rsidR="00DF6D80">
        <w:rPr>
          <w:rFonts w:ascii="Times New Roman" w:hAnsi="Times New Roman" w:cs="Times New Roman"/>
          <w:sz w:val="24"/>
          <w:szCs w:val="24"/>
        </w:rPr>
        <w:t xml:space="preserve"> The same dynamics are observed in the United States, where</w:t>
      </w:r>
      <w:r w:rsidR="00DF6D80" w:rsidRPr="00585C4B">
        <w:rPr>
          <w:rFonts w:ascii="Times New Roman" w:hAnsi="Times New Roman" w:cs="Times New Roman"/>
          <w:sz w:val="24"/>
          <w:szCs w:val="24"/>
        </w:rPr>
        <w:t xml:space="preserve"> </w:t>
      </w:r>
      <w:r w:rsidR="00DF6D80">
        <w:rPr>
          <w:rFonts w:ascii="Times New Roman" w:hAnsi="Times New Roman" w:cs="Times New Roman"/>
          <w:sz w:val="24"/>
          <w:szCs w:val="24"/>
        </w:rPr>
        <w:t xml:space="preserve">support for the Democratic Party is increasingly concentrated in urban areas while the Republicans have lately made electoral inroads across the rural and small-town America that is shrinking or stagnating in terms of its population and jobs – creating </w:t>
      </w:r>
      <w:r w:rsidR="00DF6D80" w:rsidRPr="00872182">
        <w:rPr>
          <w:rFonts w:ascii="Times New Roman" w:hAnsi="Times New Roman" w:cs="Times New Roman"/>
          <w:sz w:val="24"/>
          <w:szCs w:val="24"/>
        </w:rPr>
        <w:t>a polarized</w:t>
      </w:r>
      <w:r w:rsidR="00DF6D80">
        <w:rPr>
          <w:rFonts w:ascii="Times New Roman" w:hAnsi="Times New Roman" w:cs="Times New Roman"/>
          <w:sz w:val="24"/>
          <w:szCs w:val="24"/>
        </w:rPr>
        <w:t xml:space="preserve"> politics that is divided by demographics and geography. In Europe, there has been a clear spatial pattern in electoral support for populist parties and candidates.</w:t>
      </w:r>
      <w:r w:rsidR="00DF6D80">
        <w:rPr>
          <w:rStyle w:val="EndnoteReference"/>
          <w:rFonts w:ascii="Times New Roman" w:hAnsi="Times New Roman" w:cs="Times New Roman"/>
          <w:sz w:val="24"/>
          <w:szCs w:val="24"/>
        </w:rPr>
        <w:endnoteReference w:id="2"/>
      </w:r>
      <w:r w:rsidR="00DF6D80">
        <w:rPr>
          <w:rFonts w:ascii="Times New Roman" w:hAnsi="Times New Roman" w:cs="Times New Roman"/>
          <w:sz w:val="24"/>
          <w:szCs w:val="24"/>
        </w:rPr>
        <w:t xml:space="preserve"> There are ways in which the British case has distinct features – due to its particular geography and institutions – but it largely reflects a wider trend where </w:t>
      </w:r>
      <w:r w:rsidR="00522D10">
        <w:rPr>
          <w:rFonts w:ascii="Times New Roman" w:hAnsi="Times New Roman" w:cs="Times New Roman"/>
          <w:sz w:val="24"/>
          <w:szCs w:val="24"/>
        </w:rPr>
        <w:t>‘</w:t>
      </w:r>
      <w:r w:rsidR="00DF6D80">
        <w:rPr>
          <w:rFonts w:ascii="Times New Roman" w:hAnsi="Times New Roman" w:cs="Times New Roman"/>
          <w:sz w:val="24"/>
          <w:szCs w:val="24"/>
        </w:rPr>
        <w:t>place</w:t>
      </w:r>
      <w:r w:rsidR="00522D10">
        <w:rPr>
          <w:rFonts w:ascii="Times New Roman" w:hAnsi="Times New Roman" w:cs="Times New Roman"/>
          <w:sz w:val="24"/>
          <w:szCs w:val="24"/>
        </w:rPr>
        <w:t>’</w:t>
      </w:r>
      <w:r w:rsidR="00DF6D80">
        <w:rPr>
          <w:rFonts w:ascii="Times New Roman" w:hAnsi="Times New Roman" w:cs="Times New Roman"/>
          <w:sz w:val="24"/>
          <w:szCs w:val="24"/>
        </w:rPr>
        <w:t xml:space="preserve"> is increasingly consequential for political change and public policy.</w:t>
      </w:r>
    </w:p>
    <w:p w14:paraId="7AE87A72" w14:textId="77777777" w:rsidR="00DF6D80" w:rsidRDefault="00DF6D80" w:rsidP="00044497">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While the EU referendum vote put the political divide between Britain’s towns and cities into the spotlight, this divide is the product of long-term forces of social and economic changes. In this chapter, we show how geographical polarisation has and continues to reshape British politics, in the diverging trends between those </w:t>
      </w:r>
      <w:r w:rsidRPr="00574F9E">
        <w:rPr>
          <w:rFonts w:ascii="Times New Roman" w:hAnsi="Times New Roman" w:cs="Times New Roman"/>
          <w:sz w:val="24"/>
          <w:szCs w:val="24"/>
        </w:rPr>
        <w:t xml:space="preserve">places that have experienced relative decline and </w:t>
      </w:r>
      <w:r>
        <w:rPr>
          <w:rFonts w:ascii="Times New Roman" w:hAnsi="Times New Roman" w:cs="Times New Roman"/>
          <w:sz w:val="24"/>
          <w:szCs w:val="24"/>
        </w:rPr>
        <w:t>those that have thrived. Not only do these changes have electoral consequences for the major parties in Westminster they pose particular challenges in terms of public policy.</w:t>
      </w:r>
    </w:p>
    <w:p w14:paraId="43AE521D" w14:textId="77777777" w:rsidR="00DF6D80" w:rsidRDefault="00DF6D80" w:rsidP="000444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Our argument proceeds as follows. Firstly, we demonstrate the trend towards geographical polarisation in voting behaviour, as the populations of big cities have voted in increasing numbers for Labour, while the residents of towns and rural areas increasingly have opted for the Conservatives. Secondly, we argue and show that this trend reflects economic as well as cultural forces: the schism between places reflects both divergent paths of demographic and economic change and related variation in the cultural and social outlooks of voters. Thirdly, we discuss the major challenge – amplified by Brexit – that this geographical polarisation </w:t>
      </w:r>
      <w:r>
        <w:rPr>
          <w:rFonts w:ascii="Times New Roman" w:hAnsi="Times New Roman" w:cs="Times New Roman"/>
          <w:sz w:val="24"/>
          <w:szCs w:val="24"/>
        </w:rPr>
        <w:lastRenderedPageBreak/>
        <w:t>presents for each of the parties as they seek to build electoral coalitions that reach beyond their existing strongholds. In concluding, we explore how the parties are presently responding to the place-based divergence of voting behaviour and policy problems.</w:t>
      </w:r>
    </w:p>
    <w:p w14:paraId="1190EF31" w14:textId="77777777" w:rsidR="00DF6D80" w:rsidRDefault="00DF6D80" w:rsidP="00044497">
      <w:pPr>
        <w:spacing w:after="0" w:line="240" w:lineRule="auto"/>
        <w:rPr>
          <w:rFonts w:ascii="Times New Roman" w:hAnsi="Times New Roman" w:cs="Times New Roman"/>
          <w:sz w:val="24"/>
          <w:szCs w:val="24"/>
        </w:rPr>
      </w:pPr>
    </w:p>
    <w:p w14:paraId="0034D750" w14:textId="77777777" w:rsidR="00DF6D80" w:rsidRPr="009E37C4" w:rsidRDefault="00DF6D80" w:rsidP="00044497">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Part I. </w:t>
      </w:r>
      <w:r w:rsidRPr="009E37C4">
        <w:rPr>
          <w:rFonts w:ascii="Times New Roman" w:hAnsi="Times New Roman" w:cs="Times New Roman"/>
          <w:b/>
          <w:sz w:val="24"/>
          <w:szCs w:val="24"/>
          <w:u w:val="single"/>
        </w:rPr>
        <w:t>The</w:t>
      </w:r>
      <w:r>
        <w:rPr>
          <w:rFonts w:ascii="Times New Roman" w:hAnsi="Times New Roman" w:cs="Times New Roman"/>
          <w:b/>
          <w:sz w:val="24"/>
          <w:szCs w:val="24"/>
          <w:u w:val="single"/>
        </w:rPr>
        <w:t xml:space="preserve"> trend towards geographical polarisation</w:t>
      </w:r>
    </w:p>
    <w:p w14:paraId="0634C77F" w14:textId="4AD3703C" w:rsidR="00DF6D80" w:rsidRDefault="00DF6D80" w:rsidP="00A8648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thesis of bifurcated politics, or </w:t>
      </w:r>
      <w:r w:rsidRPr="00120132">
        <w:rPr>
          <w:rFonts w:ascii="Times New Roman" w:hAnsi="Times New Roman" w:cs="Times New Roman"/>
          <w:sz w:val="24"/>
          <w:szCs w:val="24"/>
        </w:rPr>
        <w:t>‘Two Englands’</w:t>
      </w:r>
      <w:r>
        <w:rPr>
          <w:rFonts w:ascii="Times New Roman" w:hAnsi="Times New Roman" w:cs="Times New Roman"/>
          <w:sz w:val="24"/>
          <w:szCs w:val="24"/>
        </w:rPr>
        <w:t>,</w:t>
      </w:r>
      <w:r w:rsidRPr="00120132">
        <w:rPr>
          <w:rFonts w:ascii="Times New Roman" w:hAnsi="Times New Roman" w:cs="Times New Roman"/>
          <w:sz w:val="24"/>
          <w:szCs w:val="24"/>
        </w:rPr>
        <w:t xml:space="preserve"> </w:t>
      </w:r>
      <w:r>
        <w:rPr>
          <w:rFonts w:ascii="Times New Roman" w:hAnsi="Times New Roman" w:cs="Times New Roman"/>
          <w:sz w:val="24"/>
          <w:szCs w:val="24"/>
        </w:rPr>
        <w:t>that we set out in previous work</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argues that social and economic change is fundamentally reshaping electoral politics in England and Wales (with Scotland having undergone a nationalism-based realignment in the past decade).</w:t>
      </w:r>
      <w:r w:rsidRPr="00120132">
        <w:rPr>
          <w:rFonts w:ascii="Times New Roman" w:hAnsi="Times New Roman" w:cs="Times New Roman"/>
          <w:sz w:val="24"/>
          <w:szCs w:val="24"/>
        </w:rPr>
        <w:t xml:space="preserve"> </w:t>
      </w:r>
      <w:r>
        <w:rPr>
          <w:rFonts w:ascii="Times New Roman" w:hAnsi="Times New Roman" w:cs="Times New Roman"/>
          <w:sz w:val="24"/>
          <w:szCs w:val="24"/>
        </w:rPr>
        <w:t xml:space="preserve">Specifically, </w:t>
      </w:r>
      <w:r w:rsidRPr="00120132">
        <w:rPr>
          <w:rFonts w:ascii="Times New Roman" w:hAnsi="Times New Roman" w:cs="Times New Roman"/>
          <w:sz w:val="24"/>
          <w:szCs w:val="24"/>
        </w:rPr>
        <w:t>cities</w:t>
      </w:r>
      <w:r>
        <w:rPr>
          <w:rFonts w:ascii="Times New Roman" w:hAnsi="Times New Roman" w:cs="Times New Roman"/>
          <w:sz w:val="24"/>
          <w:szCs w:val="24"/>
        </w:rPr>
        <w:t xml:space="preserve"> </w:t>
      </w:r>
      <w:r w:rsidRPr="00120132">
        <w:rPr>
          <w:rFonts w:ascii="Times New Roman" w:hAnsi="Times New Roman" w:cs="Times New Roman"/>
          <w:sz w:val="24"/>
          <w:szCs w:val="24"/>
        </w:rPr>
        <w:t xml:space="preserve">are </w:t>
      </w:r>
      <w:r>
        <w:rPr>
          <w:rFonts w:ascii="Times New Roman" w:hAnsi="Times New Roman" w:cs="Times New Roman"/>
          <w:sz w:val="24"/>
          <w:szCs w:val="24"/>
        </w:rPr>
        <w:t>becom</w:t>
      </w:r>
      <w:r w:rsidRPr="00120132">
        <w:rPr>
          <w:rFonts w:ascii="Times New Roman" w:hAnsi="Times New Roman" w:cs="Times New Roman"/>
          <w:sz w:val="24"/>
          <w:szCs w:val="24"/>
        </w:rPr>
        <w:t xml:space="preserve">ing younger, more </w:t>
      </w:r>
      <w:r>
        <w:rPr>
          <w:rFonts w:ascii="Times New Roman" w:hAnsi="Times New Roman" w:cs="Times New Roman"/>
          <w:sz w:val="24"/>
          <w:szCs w:val="24"/>
        </w:rPr>
        <w:t xml:space="preserve">ethnically </w:t>
      </w:r>
      <w:r w:rsidRPr="00120132">
        <w:rPr>
          <w:rFonts w:ascii="Times New Roman" w:hAnsi="Times New Roman" w:cs="Times New Roman"/>
          <w:sz w:val="24"/>
          <w:szCs w:val="24"/>
        </w:rPr>
        <w:t xml:space="preserve">diverse, more educated and more socially liberal – while towns are aging, </w:t>
      </w:r>
      <w:r>
        <w:rPr>
          <w:rFonts w:ascii="Times New Roman" w:hAnsi="Times New Roman" w:cs="Times New Roman"/>
          <w:sz w:val="24"/>
          <w:szCs w:val="24"/>
        </w:rPr>
        <w:t xml:space="preserve">are </w:t>
      </w:r>
      <w:r w:rsidRPr="00120132">
        <w:rPr>
          <w:rFonts w:ascii="Times New Roman" w:hAnsi="Times New Roman" w:cs="Times New Roman"/>
          <w:sz w:val="24"/>
          <w:szCs w:val="24"/>
        </w:rPr>
        <w:t>less diverse, more nostalgic and more socially conservative</w:t>
      </w:r>
      <w:r>
        <w:rPr>
          <w:rFonts w:ascii="Times New Roman" w:hAnsi="Times New Roman" w:cs="Times New Roman"/>
          <w:sz w:val="24"/>
          <w:szCs w:val="24"/>
        </w:rPr>
        <w:t xml:space="preserve">. These dynamics, we argue, have </w:t>
      </w:r>
      <w:r w:rsidRPr="00120132">
        <w:rPr>
          <w:rFonts w:ascii="Times New Roman" w:hAnsi="Times New Roman" w:cs="Times New Roman"/>
          <w:sz w:val="24"/>
          <w:szCs w:val="24"/>
        </w:rPr>
        <w:t>led to</w:t>
      </w:r>
      <w:r>
        <w:rPr>
          <w:rFonts w:ascii="Times New Roman" w:hAnsi="Times New Roman" w:cs="Times New Roman"/>
          <w:sz w:val="24"/>
          <w:szCs w:val="24"/>
        </w:rPr>
        <w:t xml:space="preserve"> </w:t>
      </w:r>
      <w:r w:rsidRPr="00963D94">
        <w:rPr>
          <w:rFonts w:ascii="Times New Roman" w:hAnsi="Times New Roman" w:cs="Times New Roman"/>
          <w:i/>
          <w:sz w:val="24"/>
          <w:szCs w:val="24"/>
        </w:rPr>
        <w:t>tilting</w:t>
      </w:r>
      <w:r w:rsidRPr="00120132">
        <w:rPr>
          <w:rFonts w:ascii="Times New Roman" w:hAnsi="Times New Roman" w:cs="Times New Roman"/>
          <w:sz w:val="24"/>
          <w:szCs w:val="24"/>
        </w:rPr>
        <w:t xml:space="preserve"> of Britain’s political axis</w:t>
      </w:r>
      <w:r>
        <w:rPr>
          <w:rFonts w:ascii="Times New Roman" w:hAnsi="Times New Roman" w:cs="Times New Roman"/>
          <w:sz w:val="24"/>
          <w:szCs w:val="24"/>
        </w:rPr>
        <w:t xml:space="preserve"> towards the cosmopolitan-communitarian dimension,</w:t>
      </w:r>
      <w:r w:rsidRPr="00120132">
        <w:rPr>
          <w:rFonts w:ascii="Times New Roman" w:hAnsi="Times New Roman" w:cs="Times New Roman"/>
          <w:sz w:val="24"/>
          <w:szCs w:val="24"/>
        </w:rPr>
        <w:t xml:space="preserve"> as </w:t>
      </w:r>
      <w:r w:rsidRPr="00963D94">
        <w:rPr>
          <w:rFonts w:ascii="Times New Roman" w:hAnsi="Times New Roman" w:cs="Times New Roman"/>
          <w:iCs/>
          <w:sz w:val="24"/>
          <w:szCs w:val="24"/>
        </w:rPr>
        <w:t>both</w:t>
      </w:r>
      <w:r w:rsidRPr="00120132">
        <w:rPr>
          <w:rFonts w:ascii="Times New Roman" w:hAnsi="Times New Roman" w:cs="Times New Roman"/>
          <w:sz w:val="24"/>
          <w:szCs w:val="24"/>
        </w:rPr>
        <w:t xml:space="preserve"> voters and places change</w:t>
      </w:r>
      <w:r>
        <w:rPr>
          <w:rFonts w:ascii="Times New Roman" w:hAnsi="Times New Roman" w:cs="Times New Roman"/>
          <w:sz w:val="24"/>
          <w:szCs w:val="24"/>
        </w:rPr>
        <w:t>, though a full-blown realignment has not yet materialised</w:t>
      </w:r>
      <w:r w:rsidRPr="00120132">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These processes are being inexorably driven by a number of </w:t>
      </w:r>
      <w:r w:rsidRPr="00120132">
        <w:rPr>
          <w:rFonts w:ascii="Times New Roman" w:hAnsi="Times New Roman" w:cs="Times New Roman"/>
          <w:sz w:val="24"/>
          <w:szCs w:val="24"/>
        </w:rPr>
        <w:t>social and economic trends</w:t>
      </w:r>
      <w:r>
        <w:rPr>
          <w:rFonts w:ascii="Times New Roman" w:hAnsi="Times New Roman" w:cs="Times New Roman"/>
          <w:sz w:val="24"/>
          <w:szCs w:val="24"/>
        </w:rPr>
        <w:t>.</w:t>
      </w:r>
    </w:p>
    <w:p w14:paraId="31D605CA" w14:textId="77777777" w:rsidR="00DF6D80" w:rsidRDefault="00DF6D80" w:rsidP="00EB5A31">
      <w:pPr>
        <w:pStyle w:val="ListParagraph"/>
        <w:numPr>
          <w:ilvl w:val="0"/>
          <w:numId w:val="7"/>
        </w:numPr>
        <w:spacing w:line="480" w:lineRule="auto"/>
        <w:rPr>
          <w:rFonts w:ascii="Times New Roman" w:hAnsi="Times New Roman" w:cs="Times New Roman"/>
          <w:sz w:val="24"/>
        </w:rPr>
      </w:pPr>
      <w:r w:rsidRPr="00E3019B">
        <w:rPr>
          <w:rFonts w:ascii="Times New Roman" w:hAnsi="Times New Roman" w:cs="Times New Roman"/>
          <w:i/>
          <w:sz w:val="24"/>
          <w:szCs w:val="24"/>
        </w:rPr>
        <w:t>Economic divergence through urban agglomeration:</w:t>
      </w:r>
      <w:r w:rsidRPr="00E3019B">
        <w:rPr>
          <w:rFonts w:ascii="Times New Roman" w:hAnsi="Times New Roman" w:cs="Times New Roman"/>
          <w:sz w:val="24"/>
          <w:szCs w:val="24"/>
        </w:rPr>
        <w:t xml:space="preserve"> a defining feature of today’s global knowledge economy is the gravitational pull that clustering exerts on creation of jobs and economic activity</w:t>
      </w:r>
      <w:r>
        <w:rPr>
          <w:rFonts w:ascii="Times New Roman" w:hAnsi="Times New Roman" w:cs="Times New Roman"/>
          <w:sz w:val="24"/>
          <w:szCs w:val="24"/>
        </w:rPr>
        <w:t xml:space="preserve"> – increasing the geographical divide between economic winners and losers</w:t>
      </w:r>
      <w:r w:rsidRPr="00E3019B">
        <w:rPr>
          <w:rFonts w:ascii="Times New Roman" w:hAnsi="Times New Roman" w:cs="Times New Roman"/>
          <w:sz w:val="24"/>
          <w:szCs w:val="24"/>
        </w:rPr>
        <w:t>.</w:t>
      </w:r>
      <w:r>
        <w:rPr>
          <w:rStyle w:val="EndnoteReference"/>
          <w:rFonts w:ascii="Times New Roman" w:hAnsi="Times New Roman" w:cs="Times New Roman"/>
          <w:sz w:val="24"/>
          <w:szCs w:val="24"/>
        </w:rPr>
        <w:endnoteReference w:id="5"/>
      </w:r>
      <w:r w:rsidRPr="00E3019B">
        <w:rPr>
          <w:rFonts w:ascii="Times New Roman" w:hAnsi="Times New Roman" w:cs="Times New Roman"/>
          <w:sz w:val="24"/>
          <w:szCs w:val="24"/>
        </w:rPr>
        <w:t xml:space="preserve"> </w:t>
      </w:r>
      <w:r>
        <w:rPr>
          <w:rFonts w:ascii="Times New Roman" w:hAnsi="Times New Roman" w:cs="Times New Roman"/>
          <w:sz w:val="24"/>
          <w:szCs w:val="24"/>
        </w:rPr>
        <w:t xml:space="preserve">Cliffe argues that those places that have found a way to thrive typically </w:t>
      </w:r>
      <w:r w:rsidRPr="00E3019B">
        <w:rPr>
          <w:rFonts w:ascii="Times New Roman" w:hAnsi="Times New Roman" w:cs="Times New Roman"/>
          <w:sz w:val="24"/>
          <w:szCs w:val="24"/>
        </w:rPr>
        <w:t>‘have some combination of transport links, housing, natural resources, skills, international connections, open-mindedness, existing industrial clusters and political can-do’</w:t>
      </w:r>
      <w:r>
        <w:rPr>
          <w:rStyle w:val="EndnoteReference"/>
          <w:rFonts w:ascii="Times New Roman" w:hAnsi="Times New Roman" w:cs="Times New Roman"/>
          <w:sz w:val="24"/>
          <w:szCs w:val="24"/>
        </w:rPr>
        <w:endnoteReference w:id="6"/>
      </w:r>
      <w:r w:rsidRPr="00E3019B">
        <w:rPr>
          <w:rFonts w:ascii="Times New Roman" w:hAnsi="Times New Roman" w:cs="Times New Roman"/>
          <w:sz w:val="24"/>
          <w:szCs w:val="24"/>
        </w:rPr>
        <w:t xml:space="preserve">. </w:t>
      </w:r>
      <w:r w:rsidRPr="00E3019B">
        <w:rPr>
          <w:rFonts w:ascii="Times New Roman" w:hAnsi="Times New Roman" w:cs="Times New Roman"/>
          <w:sz w:val="24"/>
        </w:rPr>
        <w:t xml:space="preserve">At the same time, </w:t>
      </w:r>
      <w:r>
        <w:rPr>
          <w:rFonts w:ascii="Times New Roman" w:hAnsi="Times New Roman" w:cs="Times New Roman"/>
          <w:sz w:val="24"/>
        </w:rPr>
        <w:t>other places have experienced the loss of skills, jobs and investment, degradation of infrastructure and the urban environment, and low levels of entrepreneurship,</w:t>
      </w:r>
      <w:r w:rsidRPr="000D0EF5">
        <w:rPr>
          <w:rStyle w:val="EndnoteReference"/>
          <w:rFonts w:ascii="Times New Roman" w:hAnsi="Times New Roman" w:cs="Times New Roman"/>
          <w:sz w:val="24"/>
        </w:rPr>
        <w:endnoteReference w:id="7"/>
      </w:r>
      <w:r>
        <w:rPr>
          <w:rFonts w:ascii="Times New Roman" w:hAnsi="Times New Roman" w:cs="Times New Roman"/>
          <w:sz w:val="24"/>
        </w:rPr>
        <w:t xml:space="preserve"> becoming locked into a long-term spiral of economic decline – often following deindustrialisation</w:t>
      </w:r>
      <w:r w:rsidRPr="00E3019B">
        <w:rPr>
          <w:rFonts w:ascii="Times New Roman" w:hAnsi="Times New Roman" w:cs="Times New Roman"/>
          <w:sz w:val="24"/>
        </w:rPr>
        <w:t>.</w:t>
      </w:r>
      <w:r>
        <w:rPr>
          <w:rFonts w:ascii="Times New Roman" w:hAnsi="Times New Roman" w:cs="Times New Roman"/>
          <w:sz w:val="24"/>
        </w:rPr>
        <w:t xml:space="preserve"> These economic forces have left towns and cities on different tracks.</w:t>
      </w:r>
    </w:p>
    <w:p w14:paraId="7AA8F680" w14:textId="398BFF71" w:rsidR="00DF6D80" w:rsidRPr="00730614" w:rsidRDefault="00DF6D80" w:rsidP="00EB5A31">
      <w:pPr>
        <w:pStyle w:val="ListParagraph"/>
        <w:numPr>
          <w:ilvl w:val="0"/>
          <w:numId w:val="7"/>
        </w:numPr>
        <w:spacing w:line="480" w:lineRule="auto"/>
        <w:rPr>
          <w:rFonts w:ascii="Times New Roman" w:hAnsi="Times New Roman" w:cs="Times New Roman"/>
          <w:sz w:val="24"/>
          <w:szCs w:val="24"/>
        </w:rPr>
      </w:pPr>
      <w:r w:rsidRPr="00D4522E">
        <w:rPr>
          <w:rFonts w:ascii="Times New Roman" w:hAnsi="Times New Roman" w:cs="Times New Roman"/>
          <w:i/>
          <w:sz w:val="24"/>
          <w:szCs w:val="24"/>
        </w:rPr>
        <w:lastRenderedPageBreak/>
        <w:t>Education:</w:t>
      </w:r>
      <w:r w:rsidRPr="00D4522E">
        <w:rPr>
          <w:rFonts w:ascii="Times New Roman" w:hAnsi="Times New Roman" w:cs="Times New Roman"/>
          <w:sz w:val="24"/>
          <w:szCs w:val="24"/>
        </w:rPr>
        <w:t xml:space="preserve"> the ‘great divergence’ described by </w:t>
      </w:r>
      <w:r w:rsidRPr="00D4522E">
        <w:rPr>
          <w:rFonts w:ascii="Times New Roman" w:hAnsi="Times New Roman" w:cs="Times New Roman"/>
          <w:sz w:val="24"/>
        </w:rPr>
        <w:t>Moretti</w:t>
      </w:r>
      <w:r w:rsidRPr="000D0EF5">
        <w:rPr>
          <w:rStyle w:val="EndnoteReference"/>
          <w:rFonts w:ascii="Times New Roman" w:hAnsi="Times New Roman" w:cs="Times New Roman"/>
          <w:sz w:val="24"/>
        </w:rPr>
        <w:endnoteReference w:id="8"/>
      </w:r>
      <w:r w:rsidRPr="00D4522E">
        <w:rPr>
          <w:rFonts w:ascii="Times New Roman" w:hAnsi="Times New Roman" w:cs="Times New Roman"/>
          <w:sz w:val="24"/>
        </w:rPr>
        <w:t xml:space="preserve"> is a function both of urban agglomeration and </w:t>
      </w:r>
      <w:r>
        <w:rPr>
          <w:rFonts w:ascii="Times New Roman" w:hAnsi="Times New Roman" w:cs="Times New Roman"/>
          <w:sz w:val="24"/>
        </w:rPr>
        <w:t xml:space="preserve">geographical </w:t>
      </w:r>
      <w:r w:rsidRPr="00D4522E">
        <w:rPr>
          <w:rFonts w:ascii="Times New Roman" w:hAnsi="Times New Roman" w:cs="Times New Roman"/>
          <w:sz w:val="24"/>
        </w:rPr>
        <w:t xml:space="preserve">sorting of workers on educational lines. In Britain, </w:t>
      </w:r>
      <w:r w:rsidRPr="00D4522E">
        <w:rPr>
          <w:rFonts w:ascii="Times New Roman" w:hAnsi="Times New Roman" w:cs="Times New Roman"/>
          <w:sz w:val="24"/>
          <w:szCs w:val="24"/>
        </w:rPr>
        <w:t xml:space="preserve">expansion of higher education since the 1990s has led to growing numbers of younger people leaving home and, after university, seeking </w:t>
      </w:r>
      <w:r>
        <w:rPr>
          <w:rFonts w:ascii="Times New Roman" w:hAnsi="Times New Roman" w:cs="Times New Roman"/>
          <w:sz w:val="24"/>
          <w:szCs w:val="24"/>
        </w:rPr>
        <w:t>employment</w:t>
      </w:r>
      <w:r w:rsidRPr="00D4522E">
        <w:rPr>
          <w:rFonts w:ascii="Times New Roman" w:hAnsi="Times New Roman" w:cs="Times New Roman"/>
          <w:sz w:val="24"/>
          <w:szCs w:val="24"/>
        </w:rPr>
        <w:t xml:space="preserve"> and settling in or near cities and large towns where skilled jobs are increasingly located. </w:t>
      </w:r>
      <w:r>
        <w:rPr>
          <w:rFonts w:ascii="Times New Roman" w:hAnsi="Times New Roman" w:cs="Times New Roman"/>
          <w:sz w:val="24"/>
          <w:szCs w:val="24"/>
        </w:rPr>
        <w:t>Those not in higher education</w:t>
      </w:r>
      <w:r w:rsidRPr="00D4522E">
        <w:rPr>
          <w:rFonts w:ascii="Times New Roman" w:hAnsi="Times New Roman" w:cs="Times New Roman"/>
          <w:sz w:val="24"/>
          <w:szCs w:val="24"/>
        </w:rPr>
        <w:t xml:space="preserve"> face a similar dilemma as to whether to move to major towns or cities where jobs and business opportunities are clustered.</w:t>
      </w:r>
      <w:r>
        <w:rPr>
          <w:rFonts w:ascii="Times New Roman" w:hAnsi="Times New Roman" w:cs="Times New Roman"/>
          <w:sz w:val="24"/>
          <w:szCs w:val="24"/>
        </w:rPr>
        <w:t xml:space="preserve"> Economic geographers have long discussed the London and South East ‘escalator’, which sucks in young people and deposits their exhausted middle-aged remains in outlying regions. Cities also tend to offer greater access to both ‘highbrow’ and ‘emerging’</w:t>
      </w:r>
      <w:r w:rsidRPr="00D4522E">
        <w:rPr>
          <w:rFonts w:ascii="Times New Roman" w:hAnsi="Times New Roman" w:cs="Times New Roman"/>
          <w:sz w:val="24"/>
          <w:szCs w:val="24"/>
        </w:rPr>
        <w:t xml:space="preserve"> cultural capital</w:t>
      </w:r>
      <w:r>
        <w:rPr>
          <w:rFonts w:ascii="Times New Roman" w:hAnsi="Times New Roman" w:cs="Times New Roman"/>
          <w:sz w:val="24"/>
          <w:szCs w:val="24"/>
        </w:rPr>
        <w:t xml:space="preserve">’, exerting another pull factor on younger populations attracted to the bright lights, entertainment and culture. </w:t>
      </w:r>
      <w:r w:rsidRPr="00730614">
        <w:rPr>
          <w:rFonts w:ascii="Times New Roman" w:hAnsi="Times New Roman" w:cs="Times New Roman"/>
          <w:sz w:val="24"/>
          <w:szCs w:val="24"/>
        </w:rPr>
        <w:t xml:space="preserve">Crucially, </w:t>
      </w:r>
      <w:r>
        <w:rPr>
          <w:rFonts w:ascii="Times New Roman" w:hAnsi="Times New Roman" w:cs="Times New Roman"/>
          <w:sz w:val="24"/>
          <w:szCs w:val="24"/>
        </w:rPr>
        <w:t>e</w:t>
      </w:r>
      <w:r w:rsidRPr="00730614">
        <w:rPr>
          <w:rFonts w:ascii="Times New Roman" w:hAnsi="Times New Roman" w:cs="Times New Roman"/>
          <w:sz w:val="24"/>
          <w:szCs w:val="24"/>
        </w:rPr>
        <w:t>ducation is also an important predictor of political values, in particular growing social liberalism,</w:t>
      </w:r>
      <w:r w:rsidRPr="00730614">
        <w:rPr>
          <w:rStyle w:val="EndnoteReference"/>
          <w:rFonts w:ascii="Times New Roman" w:hAnsi="Times New Roman" w:cs="Times New Roman"/>
          <w:sz w:val="24"/>
          <w:szCs w:val="24"/>
        </w:rPr>
        <w:endnoteReference w:id="9"/>
      </w:r>
      <w:r w:rsidRPr="00730614">
        <w:rPr>
          <w:rFonts w:ascii="Times New Roman" w:hAnsi="Times New Roman" w:cs="Times New Roman"/>
          <w:sz w:val="24"/>
          <w:szCs w:val="24"/>
        </w:rPr>
        <w:t xml:space="preserve"> </w:t>
      </w:r>
      <w:r>
        <w:rPr>
          <w:rFonts w:ascii="Times New Roman" w:hAnsi="Times New Roman" w:cs="Times New Roman"/>
          <w:sz w:val="24"/>
          <w:szCs w:val="24"/>
        </w:rPr>
        <w:t xml:space="preserve">and thus this demographic trend </w:t>
      </w:r>
      <w:r w:rsidRPr="00730614">
        <w:rPr>
          <w:rFonts w:ascii="Times New Roman" w:hAnsi="Times New Roman" w:cs="Times New Roman"/>
          <w:sz w:val="24"/>
          <w:szCs w:val="24"/>
        </w:rPr>
        <w:t>contribut</w:t>
      </w:r>
      <w:r>
        <w:rPr>
          <w:rFonts w:ascii="Times New Roman" w:hAnsi="Times New Roman" w:cs="Times New Roman"/>
          <w:sz w:val="24"/>
          <w:szCs w:val="24"/>
        </w:rPr>
        <w:t>es</w:t>
      </w:r>
      <w:r w:rsidRPr="00730614">
        <w:rPr>
          <w:rFonts w:ascii="Times New Roman" w:hAnsi="Times New Roman" w:cs="Times New Roman"/>
          <w:sz w:val="24"/>
          <w:szCs w:val="24"/>
        </w:rPr>
        <w:t xml:space="preserve"> to divide</w:t>
      </w:r>
      <w:r>
        <w:rPr>
          <w:rFonts w:ascii="Times New Roman" w:hAnsi="Times New Roman" w:cs="Times New Roman"/>
          <w:sz w:val="24"/>
          <w:szCs w:val="24"/>
        </w:rPr>
        <w:t>s in the social outlooks of places as well as their demographics</w:t>
      </w:r>
      <w:r w:rsidRPr="00730614">
        <w:rPr>
          <w:rFonts w:ascii="Times New Roman" w:hAnsi="Times New Roman" w:cs="Times New Roman"/>
          <w:sz w:val="24"/>
          <w:szCs w:val="24"/>
        </w:rPr>
        <w:t>.</w:t>
      </w:r>
    </w:p>
    <w:p w14:paraId="3F057789" w14:textId="7E1417C9" w:rsidR="00DF6D80" w:rsidRPr="00E9156C" w:rsidRDefault="00DF6D80" w:rsidP="00FD56A3">
      <w:pPr>
        <w:pStyle w:val="ListParagraph"/>
        <w:numPr>
          <w:ilvl w:val="0"/>
          <w:numId w:val="7"/>
        </w:numPr>
        <w:spacing w:line="480" w:lineRule="auto"/>
        <w:rPr>
          <w:rFonts w:ascii="Times New Roman" w:hAnsi="Times New Roman" w:cs="Times New Roman"/>
          <w:sz w:val="24"/>
          <w:szCs w:val="24"/>
          <w:lang w:val="en-US"/>
        </w:rPr>
      </w:pPr>
      <w:r w:rsidRPr="008817B3">
        <w:rPr>
          <w:rFonts w:ascii="Times New Roman" w:hAnsi="Times New Roman" w:cs="Times New Roman"/>
          <w:i/>
          <w:sz w:val="24"/>
          <w:szCs w:val="24"/>
        </w:rPr>
        <w:t>Immigration</w:t>
      </w:r>
      <w:r>
        <w:rPr>
          <w:rFonts w:ascii="Times New Roman" w:hAnsi="Times New Roman" w:cs="Times New Roman"/>
          <w:i/>
          <w:sz w:val="24"/>
          <w:szCs w:val="24"/>
        </w:rPr>
        <w:t xml:space="preserve"> and diversity</w:t>
      </w:r>
      <w:r w:rsidRPr="008817B3">
        <w:rPr>
          <w:rFonts w:ascii="Times New Roman" w:hAnsi="Times New Roman" w:cs="Times New Roman"/>
          <w:i/>
          <w:sz w:val="24"/>
          <w:szCs w:val="24"/>
        </w:rPr>
        <w:t>:</w:t>
      </w:r>
      <w:r>
        <w:rPr>
          <w:rFonts w:ascii="Times New Roman" w:hAnsi="Times New Roman" w:cs="Times New Roman"/>
          <w:sz w:val="24"/>
          <w:szCs w:val="24"/>
        </w:rPr>
        <w:t xml:space="preserve"> </w:t>
      </w:r>
      <w:r w:rsidRPr="008817B3">
        <w:rPr>
          <w:rFonts w:ascii="Times New Roman" w:hAnsi="Times New Roman" w:cs="Times New Roman"/>
          <w:sz w:val="24"/>
          <w:szCs w:val="24"/>
        </w:rPr>
        <w:t>rising immigration</w:t>
      </w:r>
      <w:r>
        <w:rPr>
          <w:rFonts w:ascii="Times New Roman" w:hAnsi="Times New Roman" w:cs="Times New Roman"/>
          <w:sz w:val="24"/>
          <w:szCs w:val="24"/>
        </w:rPr>
        <w:t>, in particular since the 1990s,</w:t>
      </w:r>
      <w:r w:rsidRPr="008817B3">
        <w:rPr>
          <w:rFonts w:ascii="Times New Roman" w:hAnsi="Times New Roman" w:cs="Times New Roman"/>
          <w:sz w:val="24"/>
          <w:szCs w:val="24"/>
        </w:rPr>
        <w:t xml:space="preserve"> has seen an inflow of people</w:t>
      </w:r>
      <w:r>
        <w:rPr>
          <w:rFonts w:ascii="Times New Roman" w:hAnsi="Times New Roman" w:cs="Times New Roman"/>
          <w:sz w:val="24"/>
          <w:szCs w:val="24"/>
        </w:rPr>
        <w:t xml:space="preserve"> – heavily concentrated in cities –</w:t>
      </w:r>
      <w:r w:rsidRPr="008817B3">
        <w:rPr>
          <w:rFonts w:ascii="Times New Roman" w:hAnsi="Times New Roman" w:cs="Times New Roman"/>
          <w:sz w:val="24"/>
          <w:szCs w:val="24"/>
        </w:rPr>
        <w:t xml:space="preserve"> who</w:t>
      </w:r>
      <w:r>
        <w:rPr>
          <w:rFonts w:ascii="Times New Roman" w:hAnsi="Times New Roman" w:cs="Times New Roman"/>
          <w:sz w:val="24"/>
          <w:szCs w:val="24"/>
        </w:rPr>
        <w:t xml:space="preserve"> </w:t>
      </w:r>
      <w:r w:rsidRPr="008817B3">
        <w:rPr>
          <w:rFonts w:ascii="Times New Roman" w:hAnsi="Times New Roman" w:cs="Times New Roman"/>
          <w:sz w:val="24"/>
          <w:szCs w:val="24"/>
        </w:rPr>
        <w:t xml:space="preserve">are younger and more economically </w:t>
      </w:r>
      <w:r w:rsidRPr="00EE08CB">
        <w:rPr>
          <w:rFonts w:ascii="Times New Roman" w:hAnsi="Times New Roman" w:cs="Times New Roman"/>
          <w:sz w:val="24"/>
          <w:szCs w:val="24"/>
        </w:rPr>
        <w:t xml:space="preserve">active than average. </w:t>
      </w:r>
      <w:r>
        <w:rPr>
          <w:rFonts w:ascii="Times New Roman" w:hAnsi="Times New Roman" w:cs="Times New Roman"/>
          <w:sz w:val="24"/>
          <w:szCs w:val="24"/>
        </w:rPr>
        <w:t>I</w:t>
      </w:r>
      <w:r w:rsidRPr="00EE08CB">
        <w:rPr>
          <w:rFonts w:ascii="Times New Roman" w:hAnsi="Times New Roman" w:cs="Times New Roman"/>
          <w:sz w:val="24"/>
          <w:szCs w:val="24"/>
        </w:rPr>
        <w:t>mmigration on the scale experienced in recent decades has had transformative effects on the communities and places in different ways. It also has increasingly structured electoral politics.</w:t>
      </w:r>
      <w:r w:rsidRPr="00EE08CB">
        <w:rPr>
          <w:rStyle w:val="EndnoteReference"/>
          <w:rFonts w:ascii="Times New Roman" w:hAnsi="Times New Roman" w:cs="Times New Roman"/>
          <w:sz w:val="24"/>
          <w:szCs w:val="24"/>
        </w:rPr>
        <w:endnoteReference w:id="10"/>
      </w:r>
      <w:r w:rsidRPr="00EE08CB">
        <w:rPr>
          <w:rFonts w:ascii="Times New Roman" w:hAnsi="Times New Roman" w:cs="Times New Roman"/>
          <w:sz w:val="24"/>
          <w:szCs w:val="24"/>
        </w:rPr>
        <w:t xml:space="preserve"> </w:t>
      </w:r>
      <w:r>
        <w:rPr>
          <w:rFonts w:ascii="Times New Roman" w:hAnsi="Times New Roman" w:cs="Times New Roman"/>
          <w:sz w:val="24"/>
          <w:szCs w:val="24"/>
        </w:rPr>
        <w:t>At the same time, areas of low ethnic diversity have tended to see higher levels of opposition to immigration and social change</w:t>
      </w:r>
      <w:r w:rsidRPr="00FD56A3">
        <w:rPr>
          <w:rFonts w:ascii="Times New Roman" w:hAnsi="Times New Roman" w:cs="Times New Roman"/>
          <w:sz w:val="24"/>
          <w:szCs w:val="24"/>
        </w:rPr>
        <w:t xml:space="preserve">. </w:t>
      </w:r>
      <w:r w:rsidRPr="00E9156C">
        <w:rPr>
          <w:rFonts w:ascii="Times New Roman" w:hAnsi="Times New Roman" w:cs="Times New Roman"/>
          <w:sz w:val="24"/>
          <w:szCs w:val="24"/>
        </w:rPr>
        <w:t xml:space="preserve">Place provides the opportunity for regular engagement with others nearby and a process of social exchange encourages a search for shared ground and a common understanding. Cultural stereotypes come to define the understanding of place where people live. It defines who they are and what they represent. Other places and their populations become defined as different, alien and not to be trusted.   </w:t>
      </w:r>
      <w:r w:rsidRPr="00E9156C">
        <w:rPr>
          <w:rFonts w:ascii="Times New Roman" w:hAnsi="Times New Roman" w:cs="Times New Roman"/>
          <w:sz w:val="24"/>
          <w:szCs w:val="24"/>
        </w:rPr>
        <w:lastRenderedPageBreak/>
        <w:t>Politicians can play on and reinforce this felt sense of difference to bolster their support and so place-based identity becomes politically weaponised and a symbol to drive a more polarized politics</w:t>
      </w:r>
      <w:r w:rsidR="00A63E31">
        <w:rPr>
          <w:rFonts w:ascii="Times New Roman" w:hAnsi="Times New Roman" w:cs="Times New Roman"/>
          <w:sz w:val="24"/>
          <w:szCs w:val="24"/>
        </w:rPr>
        <w:t>.</w:t>
      </w:r>
    </w:p>
    <w:p w14:paraId="4FC79BB5" w14:textId="1648EB3E" w:rsidR="00DF6D80" w:rsidRPr="00E9156C" w:rsidRDefault="00DF6D80" w:rsidP="00E9156C">
      <w:pPr>
        <w:pStyle w:val="ListParagraph"/>
        <w:numPr>
          <w:ilvl w:val="0"/>
          <w:numId w:val="7"/>
        </w:numPr>
        <w:spacing w:after="0" w:line="480" w:lineRule="auto"/>
        <w:rPr>
          <w:rFonts w:ascii="Times New Roman" w:hAnsi="Times New Roman" w:cs="Times New Roman"/>
          <w:sz w:val="24"/>
          <w:szCs w:val="24"/>
        </w:rPr>
      </w:pPr>
      <w:r w:rsidRPr="00E9156C">
        <w:rPr>
          <w:rFonts w:ascii="Times New Roman" w:hAnsi="Times New Roman" w:cs="Times New Roman"/>
          <w:i/>
          <w:sz w:val="24"/>
          <w:szCs w:val="24"/>
        </w:rPr>
        <w:t xml:space="preserve">Changing class structures and social ecology: </w:t>
      </w:r>
      <w:r w:rsidRPr="00E9156C">
        <w:rPr>
          <w:rFonts w:ascii="Times New Roman" w:hAnsi="Times New Roman" w:cs="Times New Roman"/>
          <w:sz w:val="24"/>
          <w:szCs w:val="24"/>
        </w:rPr>
        <w:t>For many years, deindustrialisation has driven the shrinking of Britain’s traditional working class, and erosion of its political representation. The perceived loss of social status among the white working class,</w:t>
      </w:r>
      <w:r>
        <w:rPr>
          <w:rStyle w:val="EndnoteReference"/>
          <w:rFonts w:ascii="Times New Roman" w:hAnsi="Times New Roman" w:cs="Times New Roman"/>
          <w:sz w:val="24"/>
          <w:szCs w:val="24"/>
        </w:rPr>
        <w:endnoteReference w:id="11"/>
      </w:r>
      <w:r w:rsidRPr="00E9156C">
        <w:rPr>
          <w:rFonts w:ascii="Times New Roman" w:hAnsi="Times New Roman" w:cs="Times New Roman"/>
          <w:sz w:val="24"/>
          <w:szCs w:val="24"/>
        </w:rPr>
        <w:t xml:space="preserve"> most acutely felt in those places where communities were organised around large local industries/employers, is associated with support for the radical right. At the same time, the changing structure of economic activity has seen emergence of classes of ‘new service workers’ and others employed in precarious service industries (e.g. call centres, bar staff</w:t>
      </w:r>
      <w:r w:rsidR="00002C5B">
        <w:rPr>
          <w:rFonts w:ascii="Times New Roman" w:hAnsi="Times New Roman" w:cs="Times New Roman"/>
          <w:sz w:val="24"/>
          <w:szCs w:val="24"/>
        </w:rPr>
        <w:t>, fitness instructors</w:t>
      </w:r>
      <w:r w:rsidRPr="00E9156C">
        <w:rPr>
          <w:rFonts w:ascii="Times New Roman" w:hAnsi="Times New Roman" w:cs="Times New Roman"/>
          <w:sz w:val="24"/>
          <w:szCs w:val="24"/>
        </w:rPr>
        <w:t xml:space="preserve">) – with such jobs most concentrated in densely populated urban areas. Not only has the traditional working class declined, then, but the whole social class ecosystem has changed – as the old working class gradually dies out in the former manufacturing heartlands, being replaced by the new working class – the Uber drivers and call centre operators of today – most commonly located in the big cities. </w:t>
      </w:r>
    </w:p>
    <w:p w14:paraId="37AD5FE5" w14:textId="77777777" w:rsidR="00DF6D80" w:rsidRDefault="00DF6D80" w:rsidP="00730614">
      <w:pPr>
        <w:spacing w:after="0" w:line="480" w:lineRule="auto"/>
        <w:rPr>
          <w:rFonts w:ascii="Times New Roman" w:hAnsi="Times New Roman" w:cs="Times New Roman"/>
          <w:bCs/>
          <w:sz w:val="24"/>
          <w:szCs w:val="24"/>
        </w:rPr>
      </w:pPr>
    </w:p>
    <w:p w14:paraId="1144B8AC" w14:textId="77777777" w:rsidR="00DF6D80" w:rsidRDefault="00DF6D80" w:rsidP="00DF658B">
      <w:pPr>
        <w:spacing w:after="0" w:line="480" w:lineRule="auto"/>
        <w:rPr>
          <w:rFonts w:ascii="Times New Roman" w:hAnsi="Times New Roman" w:cs="Times New Roman"/>
          <w:sz w:val="24"/>
          <w:szCs w:val="24"/>
        </w:rPr>
      </w:pPr>
      <w:r>
        <w:rPr>
          <w:rFonts w:ascii="Times New Roman" w:hAnsi="Times New Roman" w:cs="Times New Roman"/>
          <w:bCs/>
          <w:sz w:val="24"/>
          <w:szCs w:val="24"/>
        </w:rPr>
        <w:t>In combination, these trends are gradually reshaping the geography of electoral politics – in transforming patterns of support for Labour and the Conservatives (as well as substantially impacting on spatial distribution of the Brexit vote). Figure 1 plots the Labour Party lead in terms of percentage vote share over the Conservatives for all parliamentary constituencies in England and Wales in the 1979 and 2017 general elections against the populat</w:t>
      </w:r>
      <w:r w:rsidR="00002C5B">
        <w:rPr>
          <w:rFonts w:ascii="Times New Roman" w:hAnsi="Times New Roman" w:cs="Times New Roman"/>
          <w:bCs/>
          <w:sz w:val="24"/>
          <w:szCs w:val="24"/>
        </w:rPr>
        <w:t xml:space="preserve">ion density of the constituency. </w:t>
      </w:r>
      <w:r>
        <w:rPr>
          <w:rFonts w:ascii="Times New Roman" w:hAnsi="Times New Roman" w:cs="Times New Roman"/>
          <w:bCs/>
          <w:sz w:val="24"/>
          <w:szCs w:val="24"/>
        </w:rPr>
        <w:t>This reveals that urban density has over this nearly forty-year period increasingly become associated with voting behaviour. In 1979, Labour did slightly worse (and the Conservatives slightly better) in ar</w:t>
      </w:r>
      <w:r w:rsidR="00002C5B">
        <w:rPr>
          <w:rFonts w:ascii="Times New Roman" w:hAnsi="Times New Roman" w:cs="Times New Roman"/>
          <w:bCs/>
          <w:sz w:val="24"/>
          <w:szCs w:val="24"/>
        </w:rPr>
        <w:t xml:space="preserve">eas with low population density – for instance, </w:t>
      </w:r>
      <w:r w:rsidR="00002C5B">
        <w:rPr>
          <w:rFonts w:ascii="Times New Roman" w:hAnsi="Times New Roman" w:cs="Times New Roman"/>
          <w:bCs/>
          <w:sz w:val="24"/>
          <w:szCs w:val="24"/>
        </w:rPr>
        <w:lastRenderedPageBreak/>
        <w:t>r</w:t>
      </w:r>
      <w:r>
        <w:rPr>
          <w:rFonts w:ascii="Times New Roman" w:hAnsi="Times New Roman" w:cs="Times New Roman"/>
          <w:bCs/>
          <w:sz w:val="24"/>
          <w:szCs w:val="24"/>
        </w:rPr>
        <w:t xml:space="preserve">ural areas and small towns, but electoral contests were more balanced at higher levels of density. By 2017, this pattern remained at low levels of urban density but Labour performed substantially better in areas with high population density, i.e. large towns and cities, as is indicated by the steeper slope of the line-of-best-fit. </w:t>
      </w:r>
      <w:r w:rsidR="00002C5B">
        <w:rPr>
          <w:rFonts w:ascii="Times New Roman" w:hAnsi="Times New Roman" w:cs="Times New Roman"/>
          <w:bCs/>
          <w:sz w:val="24"/>
          <w:szCs w:val="24"/>
        </w:rPr>
        <w:t xml:space="preserve">As population density rises by an </w:t>
      </w:r>
      <w:r>
        <w:rPr>
          <w:rFonts w:ascii="Times New Roman" w:hAnsi="Times New Roman" w:cs="Times New Roman"/>
          <w:bCs/>
          <w:sz w:val="24"/>
          <w:szCs w:val="24"/>
        </w:rPr>
        <w:t xml:space="preserve">additional person per hectare, </w:t>
      </w:r>
      <w:r w:rsidR="00002C5B">
        <w:rPr>
          <w:rFonts w:ascii="Times New Roman" w:hAnsi="Times New Roman" w:cs="Times New Roman"/>
          <w:bCs/>
          <w:sz w:val="24"/>
          <w:szCs w:val="24"/>
        </w:rPr>
        <w:t xml:space="preserve">so </w:t>
      </w:r>
      <w:r>
        <w:rPr>
          <w:rFonts w:ascii="Times New Roman" w:hAnsi="Times New Roman" w:cs="Times New Roman"/>
          <w:bCs/>
          <w:sz w:val="24"/>
          <w:szCs w:val="24"/>
        </w:rPr>
        <w:t>Labour’s lead over the Conservatives increased</w:t>
      </w:r>
      <w:r w:rsidR="00002C5B">
        <w:rPr>
          <w:rFonts w:ascii="Times New Roman" w:hAnsi="Times New Roman" w:cs="Times New Roman"/>
          <w:bCs/>
          <w:sz w:val="24"/>
          <w:szCs w:val="24"/>
        </w:rPr>
        <w:t xml:space="preserve"> by about one percentage point (</w:t>
      </w:r>
      <w:r>
        <w:rPr>
          <w:rFonts w:ascii="Times New Roman" w:hAnsi="Times New Roman" w:cs="Times New Roman"/>
          <w:bCs/>
          <w:sz w:val="24"/>
          <w:szCs w:val="24"/>
        </w:rPr>
        <w:t xml:space="preserve">up until those constituencies with about 60 people per hectare, at which point the average lead levels off at around 40 per cent). This provides us evidence of a clear geographical polarisation of voting behaviour – as places change, so too does their politics (and the particular mix of problems facing policymakers). </w:t>
      </w:r>
    </w:p>
    <w:p w14:paraId="146D6838" w14:textId="77777777" w:rsidR="00DF6D80" w:rsidRDefault="00DF6D80" w:rsidP="008F0355">
      <w:pPr>
        <w:spacing w:after="0" w:line="480" w:lineRule="auto"/>
        <w:rPr>
          <w:rFonts w:ascii="Times New Roman" w:hAnsi="Times New Roman" w:cs="Times New Roman"/>
          <w:sz w:val="24"/>
          <w:szCs w:val="24"/>
        </w:rPr>
      </w:pPr>
    </w:p>
    <w:p w14:paraId="4443D5A1" w14:textId="77777777" w:rsidR="00DF6D80" w:rsidRDefault="00DF6D80" w:rsidP="008F0355">
      <w:pPr>
        <w:spacing w:after="0"/>
        <w:rPr>
          <w:rFonts w:ascii="Times New Roman" w:hAnsi="Times New Roman" w:cs="Times New Roman"/>
          <w:b/>
          <w:sz w:val="24"/>
          <w:szCs w:val="24"/>
        </w:rPr>
      </w:pPr>
    </w:p>
    <w:p w14:paraId="79675E8C" w14:textId="77777777" w:rsidR="00DF6D80" w:rsidRDefault="00DF6D80">
      <w:pPr>
        <w:rPr>
          <w:rFonts w:ascii="Times New Roman" w:hAnsi="Times New Roman" w:cs="Times New Roman"/>
          <w:b/>
          <w:sz w:val="24"/>
          <w:szCs w:val="24"/>
        </w:rPr>
      </w:pPr>
      <w:r>
        <w:rPr>
          <w:rFonts w:ascii="Times New Roman" w:hAnsi="Times New Roman" w:cs="Times New Roman"/>
          <w:b/>
          <w:sz w:val="24"/>
          <w:szCs w:val="24"/>
        </w:rPr>
        <w:br w:type="page"/>
      </w:r>
    </w:p>
    <w:p w14:paraId="0DA311A1" w14:textId="77777777" w:rsidR="00DF6D80" w:rsidRPr="008F0355" w:rsidRDefault="00DF6D80" w:rsidP="008F0355">
      <w:pPr>
        <w:rPr>
          <w:rFonts w:ascii="Times New Roman" w:hAnsi="Times New Roman" w:cs="Times New Roman"/>
          <w:b/>
          <w:sz w:val="24"/>
          <w:szCs w:val="24"/>
        </w:rPr>
      </w:pPr>
      <w:r w:rsidRPr="00E43819">
        <w:rPr>
          <w:rFonts w:ascii="Times New Roman" w:hAnsi="Times New Roman" w:cs="Times New Roman"/>
          <w:b/>
          <w:sz w:val="24"/>
          <w:szCs w:val="24"/>
        </w:rPr>
        <w:lastRenderedPageBreak/>
        <w:t>Figure 1.</w:t>
      </w:r>
      <w:r>
        <w:rPr>
          <w:rFonts w:ascii="Times New Roman" w:hAnsi="Times New Roman" w:cs="Times New Roman"/>
          <w:sz w:val="24"/>
          <w:szCs w:val="24"/>
        </w:rPr>
        <w:t xml:space="preserve"> Urban density and election results, England and Wales, 1979 and 2017</w:t>
      </w:r>
    </w:p>
    <w:p w14:paraId="43E80F33" w14:textId="77777777" w:rsidR="00DF6D80" w:rsidRDefault="00DF6D80" w:rsidP="00872182">
      <w:pPr>
        <w:spacing w:line="480" w:lineRule="auto"/>
        <w:rPr>
          <w:rFonts w:ascii="Times New Roman" w:hAnsi="Times New Roman" w:cs="Times New Roman"/>
          <w:sz w:val="24"/>
          <w:szCs w:val="24"/>
        </w:rPr>
      </w:pPr>
      <w:r w:rsidRPr="00ED0A7C">
        <w:rPr>
          <w:rFonts w:ascii="Times New Roman" w:hAnsi="Times New Roman" w:cs="Times New Roman"/>
          <w:noProof/>
          <w:sz w:val="24"/>
          <w:szCs w:val="24"/>
          <w:lang w:eastAsia="en-GB"/>
        </w:rPr>
        <w:drawing>
          <wp:inline distT="0" distB="0" distL="0" distR="0" wp14:anchorId="74A751B1" wp14:editId="51F5F168">
            <wp:extent cx="5114260" cy="84398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661" cy="8471875"/>
                    </a:xfrm>
                    <a:prstGeom prst="rect">
                      <a:avLst/>
                    </a:prstGeom>
                    <a:noFill/>
                    <a:ln>
                      <a:noFill/>
                    </a:ln>
                  </pic:spPr>
                </pic:pic>
              </a:graphicData>
            </a:graphic>
          </wp:inline>
        </w:drawing>
      </w:r>
    </w:p>
    <w:p w14:paraId="389BFCD5" w14:textId="77777777" w:rsidR="00DF6D80" w:rsidRPr="009E37C4" w:rsidRDefault="00DF6D80" w:rsidP="00EB086C">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Part II. E</w:t>
      </w:r>
      <w:r w:rsidRPr="009E37C4">
        <w:rPr>
          <w:rFonts w:ascii="Times New Roman" w:hAnsi="Times New Roman" w:cs="Times New Roman"/>
          <w:b/>
          <w:sz w:val="24"/>
          <w:szCs w:val="24"/>
          <w:u w:val="single"/>
        </w:rPr>
        <w:t>conomic decline</w:t>
      </w:r>
      <w:r>
        <w:rPr>
          <w:rFonts w:ascii="Times New Roman" w:hAnsi="Times New Roman" w:cs="Times New Roman"/>
          <w:b/>
          <w:sz w:val="24"/>
          <w:szCs w:val="24"/>
          <w:u w:val="single"/>
        </w:rPr>
        <w:t xml:space="preserve">, </w:t>
      </w:r>
      <w:r w:rsidRPr="009E37C4">
        <w:rPr>
          <w:rFonts w:ascii="Times New Roman" w:hAnsi="Times New Roman" w:cs="Times New Roman"/>
          <w:b/>
          <w:sz w:val="24"/>
          <w:szCs w:val="24"/>
          <w:u w:val="single"/>
        </w:rPr>
        <w:t>cultur</w:t>
      </w:r>
      <w:r>
        <w:rPr>
          <w:rFonts w:ascii="Times New Roman" w:hAnsi="Times New Roman" w:cs="Times New Roman"/>
          <w:b/>
          <w:sz w:val="24"/>
          <w:szCs w:val="24"/>
          <w:u w:val="single"/>
        </w:rPr>
        <w:t>al</w:t>
      </w:r>
      <w:r w:rsidRPr="009E37C4">
        <w:rPr>
          <w:rFonts w:ascii="Times New Roman" w:hAnsi="Times New Roman" w:cs="Times New Roman"/>
          <w:b/>
          <w:sz w:val="24"/>
          <w:szCs w:val="24"/>
          <w:u w:val="single"/>
        </w:rPr>
        <w:t xml:space="preserve"> </w:t>
      </w:r>
      <w:r>
        <w:rPr>
          <w:rFonts w:ascii="Times New Roman" w:hAnsi="Times New Roman" w:cs="Times New Roman"/>
          <w:b/>
          <w:sz w:val="24"/>
          <w:szCs w:val="24"/>
          <w:u w:val="single"/>
        </w:rPr>
        <w:t>values and geographic polarisation</w:t>
      </w:r>
      <w:r w:rsidRPr="009E37C4">
        <w:rPr>
          <w:rFonts w:ascii="Times New Roman" w:hAnsi="Times New Roman" w:cs="Times New Roman"/>
          <w:b/>
          <w:sz w:val="24"/>
          <w:szCs w:val="24"/>
          <w:u w:val="single"/>
        </w:rPr>
        <w:t xml:space="preserve"> </w:t>
      </w:r>
    </w:p>
    <w:p w14:paraId="533F4108" w14:textId="011FB700" w:rsidR="00DF6D80" w:rsidRDefault="00DF6D80" w:rsidP="002A7DE9">
      <w:pPr>
        <w:spacing w:line="480" w:lineRule="auto"/>
        <w:rPr>
          <w:rFonts w:ascii="Times New Roman" w:hAnsi="Times New Roman" w:cs="Times New Roman"/>
          <w:sz w:val="24"/>
          <w:szCs w:val="24"/>
        </w:rPr>
      </w:pPr>
      <w:r>
        <w:rPr>
          <w:rFonts w:ascii="Times New Roman" w:hAnsi="Times New Roman" w:cs="Times New Roman"/>
          <w:sz w:val="24"/>
          <w:szCs w:val="24"/>
        </w:rPr>
        <w:t>So how does geographic polarisation lead to political difference? There has been substantial debate recently as to whether the rise of populism, and the Brexit vote, can be attributed to ‘cultural backlash’ (relating to anti-immigrant, racial resentment and authoritarian attitudes) or ‘economic insecurity’ (partly as a response to events of the global financial crisis and stagnation of the neoliberal growth model).</w:t>
      </w:r>
      <w:r>
        <w:rPr>
          <w:rStyle w:val="EndnoteReference"/>
          <w:rFonts w:ascii="Times New Roman" w:hAnsi="Times New Roman" w:cs="Times New Roman"/>
          <w:sz w:val="24"/>
          <w:szCs w:val="24"/>
        </w:rPr>
        <w:endnoteReference w:id="12"/>
      </w:r>
      <w:r w:rsidRPr="00EB086C">
        <w:rPr>
          <w:rFonts w:ascii="Times New Roman" w:hAnsi="Times New Roman" w:cs="Times New Roman"/>
          <w:sz w:val="24"/>
          <w:szCs w:val="24"/>
        </w:rPr>
        <w:t xml:space="preserve"> </w:t>
      </w:r>
      <w:r>
        <w:rPr>
          <w:rFonts w:ascii="Times New Roman" w:hAnsi="Times New Roman" w:cs="Times New Roman"/>
          <w:sz w:val="24"/>
          <w:szCs w:val="24"/>
        </w:rPr>
        <w:t xml:space="preserve">We consider this a false dichotomy, and believe that place allows us to better understand the intersection of economic change and cultural values. Our central argument is that </w:t>
      </w:r>
      <w:r w:rsidRPr="00574F9E">
        <w:rPr>
          <w:rFonts w:ascii="Times New Roman" w:hAnsi="Times New Roman" w:cs="Times New Roman"/>
          <w:sz w:val="24"/>
          <w:szCs w:val="24"/>
        </w:rPr>
        <w:t xml:space="preserve">places that have experienced relative decline </w:t>
      </w:r>
      <w:r>
        <w:rPr>
          <w:rFonts w:ascii="Times New Roman" w:hAnsi="Times New Roman" w:cs="Times New Roman"/>
          <w:sz w:val="24"/>
          <w:szCs w:val="24"/>
        </w:rPr>
        <w:t>have become more ‘closed’ on the ‘open-closed’, or ‘cosmopolitan-communitarian’, dimension. At the same time, places that have enjoyed relative growth have become more socially liberal. It is difficult to disentangle the precise mechanisms that lead to different political outlooks in different locations. The main candidates are the processes of demographic change (leading to changes in the sorts of people living in different places), self-selection (leading people to move to places where there are people who share their values) and neighbourhood effects and social contact (leading people to adopt the values of other people in their area).</w:t>
      </w:r>
    </w:p>
    <w:p w14:paraId="3CAEBEF3" w14:textId="06756FA9" w:rsidR="00DF6D80" w:rsidRDefault="00DF6D80" w:rsidP="001B3715">
      <w:pPr>
        <w:spacing w:line="480" w:lineRule="auto"/>
        <w:rPr>
          <w:rFonts w:ascii="Times New Roman" w:hAnsi="Times New Roman" w:cs="Times New Roman"/>
          <w:sz w:val="24"/>
          <w:szCs w:val="24"/>
        </w:rPr>
      </w:pPr>
      <w:r w:rsidRPr="002C3740">
        <w:rPr>
          <w:rFonts w:ascii="Times New Roman" w:hAnsi="Times New Roman" w:cs="Times New Roman"/>
          <w:sz w:val="24"/>
          <w:szCs w:val="24"/>
        </w:rPr>
        <w:t xml:space="preserve">If fundamental changes in the economic trajectory of places are behind this emerging divide in contemporary politics, then it should be possible to relate decline affecting </w:t>
      </w:r>
      <w:r>
        <w:rPr>
          <w:rFonts w:ascii="Times New Roman" w:hAnsi="Times New Roman" w:cs="Times New Roman"/>
          <w:sz w:val="24"/>
          <w:szCs w:val="24"/>
        </w:rPr>
        <w:t>places</w:t>
      </w:r>
      <w:r w:rsidRPr="002C3740">
        <w:rPr>
          <w:rFonts w:ascii="Times New Roman" w:hAnsi="Times New Roman" w:cs="Times New Roman"/>
          <w:sz w:val="24"/>
          <w:szCs w:val="24"/>
        </w:rPr>
        <w:t xml:space="preserve"> to voting </w:t>
      </w:r>
      <w:r>
        <w:rPr>
          <w:rFonts w:ascii="Times New Roman" w:hAnsi="Times New Roman" w:cs="Times New Roman"/>
          <w:sz w:val="24"/>
          <w:szCs w:val="24"/>
        </w:rPr>
        <w:t>behaviour</w:t>
      </w:r>
      <w:r w:rsidRPr="002C3740">
        <w:rPr>
          <w:rFonts w:ascii="Times New Roman" w:hAnsi="Times New Roman" w:cs="Times New Roman"/>
          <w:sz w:val="24"/>
          <w:szCs w:val="24"/>
        </w:rPr>
        <w:t>. To do this, we adapt a measure of relative decline</w:t>
      </w:r>
      <w:r>
        <w:rPr>
          <w:rFonts w:ascii="Times New Roman" w:hAnsi="Times New Roman" w:cs="Times New Roman"/>
          <w:sz w:val="24"/>
          <w:szCs w:val="24"/>
        </w:rPr>
        <w:t xml:space="preserve"> (and growth)</w:t>
      </w:r>
      <w:r w:rsidRPr="002C3740">
        <w:rPr>
          <w:rFonts w:ascii="Times New Roman" w:hAnsi="Times New Roman" w:cs="Times New Roman"/>
          <w:sz w:val="24"/>
          <w:szCs w:val="24"/>
        </w:rPr>
        <w:t xml:space="preserve"> developed</w:t>
      </w:r>
      <w:r>
        <w:rPr>
          <w:rFonts w:ascii="Times New Roman" w:hAnsi="Times New Roman" w:cs="Times New Roman"/>
          <w:sz w:val="24"/>
          <w:szCs w:val="24"/>
        </w:rPr>
        <w:t xml:space="preserve"> by Pike et al., which </w:t>
      </w:r>
      <w:r w:rsidRPr="002C3740">
        <w:rPr>
          <w:rFonts w:ascii="Times New Roman" w:hAnsi="Times New Roman" w:cs="Times New Roman"/>
          <w:sz w:val="24"/>
          <w:szCs w:val="24"/>
        </w:rPr>
        <w:t>uses indicators for a range of population and employment factors to determine the relative rate of decline of constituencies</w:t>
      </w:r>
      <w:r>
        <w:rPr>
          <w:rFonts w:ascii="Times New Roman" w:hAnsi="Times New Roman" w:cs="Times New Roman"/>
          <w:sz w:val="24"/>
          <w:szCs w:val="24"/>
        </w:rPr>
        <w:t xml:space="preserve"> in England and Wales</w:t>
      </w:r>
      <w:r w:rsidRPr="002C3740">
        <w:rPr>
          <w:rFonts w:ascii="Times New Roman" w:hAnsi="Times New Roman" w:cs="Times New Roman"/>
          <w:sz w:val="24"/>
          <w:szCs w:val="24"/>
        </w:rPr>
        <w:t xml:space="preserve"> compared to one another.</w:t>
      </w:r>
      <w:r>
        <w:rPr>
          <w:rStyle w:val="EndnoteReference"/>
          <w:rFonts w:ascii="Times New Roman" w:hAnsi="Times New Roman" w:cs="Times New Roman"/>
          <w:sz w:val="24"/>
          <w:szCs w:val="24"/>
        </w:rPr>
        <w:endnoteReference w:id="13"/>
      </w:r>
      <w:r w:rsidRPr="002C3740">
        <w:rPr>
          <w:rFonts w:ascii="Times New Roman" w:hAnsi="Times New Roman" w:cs="Times New Roman"/>
          <w:sz w:val="24"/>
          <w:szCs w:val="24"/>
        </w:rPr>
        <w:t xml:space="preserve"> These </w:t>
      </w:r>
      <w:r>
        <w:rPr>
          <w:rFonts w:ascii="Times New Roman" w:hAnsi="Times New Roman" w:cs="Times New Roman"/>
          <w:sz w:val="24"/>
          <w:szCs w:val="24"/>
        </w:rPr>
        <w:t>indicators are</w:t>
      </w:r>
      <w:r w:rsidRPr="002C3740">
        <w:rPr>
          <w:rFonts w:ascii="Times New Roman" w:hAnsi="Times New Roman" w:cs="Times New Roman"/>
          <w:sz w:val="24"/>
          <w:szCs w:val="24"/>
        </w:rPr>
        <w:t xml:space="preserve"> designed to capture the rate of population growth, economic activity and enterprise, the inflow of younger workers and students</w:t>
      </w:r>
      <w:r>
        <w:rPr>
          <w:rFonts w:ascii="Times New Roman" w:hAnsi="Times New Roman" w:cs="Times New Roman"/>
          <w:sz w:val="24"/>
          <w:szCs w:val="24"/>
        </w:rPr>
        <w:t>,</w:t>
      </w:r>
      <w:r w:rsidRPr="002C3740">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C3740">
        <w:rPr>
          <w:rFonts w:ascii="Times New Roman" w:hAnsi="Times New Roman" w:cs="Times New Roman"/>
          <w:sz w:val="24"/>
          <w:szCs w:val="24"/>
        </w:rPr>
        <w:t>level of education of the workforce – critical factors for success in the global economy.</w:t>
      </w:r>
      <w:r>
        <w:rPr>
          <w:rStyle w:val="EndnoteReference"/>
          <w:rFonts w:ascii="Times New Roman" w:hAnsi="Times New Roman" w:cs="Times New Roman"/>
          <w:sz w:val="24"/>
          <w:szCs w:val="24"/>
        </w:rPr>
        <w:endnoteReference w:id="14"/>
      </w:r>
      <w:r w:rsidRPr="002C3740">
        <w:rPr>
          <w:rFonts w:ascii="Times New Roman" w:hAnsi="Times New Roman" w:cs="Times New Roman"/>
          <w:sz w:val="24"/>
          <w:szCs w:val="24"/>
        </w:rPr>
        <w:t xml:space="preserve"> </w:t>
      </w:r>
      <w:r>
        <w:rPr>
          <w:rFonts w:ascii="Times New Roman" w:hAnsi="Times New Roman" w:cs="Times New Roman"/>
          <w:sz w:val="24"/>
          <w:szCs w:val="24"/>
        </w:rPr>
        <w:t>As such this measures</w:t>
      </w:r>
      <w:r w:rsidRPr="002C3740">
        <w:rPr>
          <w:rFonts w:ascii="Times New Roman" w:hAnsi="Times New Roman" w:cs="Times New Roman"/>
          <w:sz w:val="24"/>
          <w:szCs w:val="24"/>
        </w:rPr>
        <w:t xml:space="preserve"> the trajectory of </w:t>
      </w:r>
      <w:r>
        <w:rPr>
          <w:rFonts w:ascii="Times New Roman" w:hAnsi="Times New Roman" w:cs="Times New Roman"/>
          <w:sz w:val="24"/>
          <w:szCs w:val="24"/>
        </w:rPr>
        <w:t>particular places</w:t>
      </w:r>
      <w:r w:rsidRPr="002C3740">
        <w:rPr>
          <w:rFonts w:ascii="Times New Roman" w:hAnsi="Times New Roman" w:cs="Times New Roman"/>
          <w:sz w:val="24"/>
          <w:szCs w:val="24"/>
        </w:rPr>
        <w:t xml:space="preserve"> in terms of both human and economic capital.</w:t>
      </w:r>
    </w:p>
    <w:p w14:paraId="16E05176" w14:textId="77777777" w:rsidR="00DF6D80" w:rsidRDefault="00DF6D80" w:rsidP="00110033">
      <w:pPr>
        <w:spacing w:after="360" w:line="480" w:lineRule="auto"/>
        <w:rPr>
          <w:rFonts w:ascii="Times New Roman" w:hAnsi="Times New Roman" w:cs="Times New Roman"/>
          <w:sz w:val="24"/>
          <w:szCs w:val="24"/>
        </w:rPr>
      </w:pPr>
      <w:r>
        <w:rPr>
          <w:rFonts w:ascii="Times New Roman" w:hAnsi="Times New Roman" w:cs="Times New Roman"/>
          <w:sz w:val="24"/>
          <w:szCs w:val="24"/>
        </w:rPr>
        <w:lastRenderedPageBreak/>
        <w:t>In Figure 2 we plot this measure against change in the Labour and Conservative vote share between 2005 and 2017 (parliamentary boundaries were revised in 2010, and we have the notional results for 2005 but not before, meaning our analysis cannot go further back in time). It reveals a striking pattern where Labour has tended to make gains in areas subject to least decline and experience losses in areas of most decline. The reverse is observed for the Conservatives – who tend to do better in places that have experienced relative decline in recent years. While there is plenty of noi</w:t>
      </w:r>
      <w:r w:rsidR="00002C5B">
        <w:rPr>
          <w:rFonts w:ascii="Times New Roman" w:hAnsi="Times New Roman" w:cs="Times New Roman"/>
          <w:sz w:val="24"/>
          <w:szCs w:val="24"/>
        </w:rPr>
        <w:t xml:space="preserve">se around the trend, the findings </w:t>
      </w:r>
      <w:r>
        <w:rPr>
          <w:rFonts w:ascii="Times New Roman" w:hAnsi="Times New Roman" w:cs="Times New Roman"/>
          <w:sz w:val="24"/>
          <w:szCs w:val="24"/>
        </w:rPr>
        <w:t>suggest that geographical polarisation is being influenced by the relative demographic and economic trajectory of different places.</w:t>
      </w:r>
    </w:p>
    <w:p w14:paraId="36A1E5E6" w14:textId="77777777" w:rsidR="00DF6D80" w:rsidRDefault="00DF6D80" w:rsidP="003B71E1">
      <w:pPr>
        <w:rPr>
          <w:rFonts w:ascii="Times New Roman" w:hAnsi="Times New Roman" w:cs="Times New Roman"/>
          <w:b/>
          <w:sz w:val="24"/>
          <w:szCs w:val="24"/>
        </w:rPr>
      </w:pPr>
    </w:p>
    <w:p w14:paraId="7BFD6DB6" w14:textId="77777777" w:rsidR="00DF6D80" w:rsidRPr="008F0355" w:rsidRDefault="00DF6D80" w:rsidP="003B71E1">
      <w:pPr>
        <w:rPr>
          <w:rFonts w:ascii="Times New Roman" w:hAnsi="Times New Roman" w:cs="Times New Roman"/>
          <w:b/>
          <w:sz w:val="24"/>
          <w:szCs w:val="24"/>
        </w:rPr>
      </w:pPr>
      <w:r w:rsidRPr="00E43819">
        <w:rPr>
          <w:rFonts w:ascii="Times New Roman" w:hAnsi="Times New Roman" w:cs="Times New Roman"/>
          <w:b/>
          <w:sz w:val="24"/>
          <w:szCs w:val="24"/>
        </w:rPr>
        <w:t xml:space="preserve">Figure </w:t>
      </w:r>
      <w:r>
        <w:rPr>
          <w:rFonts w:ascii="Times New Roman" w:hAnsi="Times New Roman" w:cs="Times New Roman"/>
          <w:b/>
          <w:sz w:val="24"/>
          <w:szCs w:val="24"/>
        </w:rPr>
        <w:t>2</w:t>
      </w:r>
      <w:r w:rsidRPr="00E43819">
        <w:rPr>
          <w:rFonts w:ascii="Times New Roman" w:hAnsi="Times New Roman" w:cs="Times New Roman"/>
          <w:b/>
          <w:sz w:val="24"/>
          <w:szCs w:val="24"/>
        </w:rPr>
        <w:t>.</w:t>
      </w:r>
      <w:r>
        <w:rPr>
          <w:rFonts w:ascii="Times New Roman" w:hAnsi="Times New Roman" w:cs="Times New Roman"/>
          <w:sz w:val="24"/>
          <w:szCs w:val="24"/>
        </w:rPr>
        <w:t xml:space="preserve"> Relative decline and Labour and Conservative vote, England and Wales, 2005 to 2017</w:t>
      </w:r>
    </w:p>
    <w:p w14:paraId="4466D20F" w14:textId="77777777" w:rsidR="00DF6D80" w:rsidRDefault="00DF6D80" w:rsidP="00872182">
      <w:pPr>
        <w:spacing w:line="480" w:lineRule="auto"/>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633AF13B" wp14:editId="67454517">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Q18_Fig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37955581" w14:textId="77777777" w:rsidR="00DF6D80" w:rsidRDefault="00DF6D80" w:rsidP="00110033">
      <w:pPr>
        <w:spacing w:after="360" w:line="480" w:lineRule="auto"/>
        <w:rPr>
          <w:rFonts w:ascii="Times New Roman" w:hAnsi="Times New Roman" w:cs="Times New Roman"/>
          <w:sz w:val="24"/>
          <w:szCs w:val="24"/>
        </w:rPr>
      </w:pPr>
      <w:r>
        <w:rPr>
          <w:rFonts w:ascii="Times New Roman" w:hAnsi="Times New Roman" w:cs="Times New Roman"/>
          <w:sz w:val="24"/>
          <w:szCs w:val="24"/>
        </w:rPr>
        <w:t xml:space="preserve">To what extent might decline also be associated with particular values or policy preferences? It is possible to consider the degree to which our measure of relative decline corresponds to </w:t>
      </w:r>
      <w:r>
        <w:rPr>
          <w:rFonts w:ascii="Times New Roman" w:hAnsi="Times New Roman" w:cs="Times New Roman"/>
          <w:sz w:val="24"/>
          <w:szCs w:val="24"/>
        </w:rPr>
        <w:lastRenderedPageBreak/>
        <w:t xml:space="preserve">the open-closed dimension. For this, we use estimates of </w:t>
      </w:r>
      <w:r w:rsidRPr="00510DBB">
        <w:rPr>
          <w:rFonts w:ascii="Times New Roman" w:hAnsi="Times New Roman" w:cs="Times New Roman"/>
          <w:sz w:val="24"/>
          <w:szCs w:val="24"/>
        </w:rPr>
        <w:t>constituency opinion</w:t>
      </w:r>
      <w:r>
        <w:rPr>
          <w:rFonts w:ascii="Times New Roman" w:hAnsi="Times New Roman" w:cs="Times New Roman"/>
          <w:sz w:val="24"/>
          <w:szCs w:val="24"/>
        </w:rPr>
        <w:t xml:space="preserve"> produced by Hanretty et al.</w:t>
      </w:r>
      <w:r w:rsidRPr="00510DBB">
        <w:rPr>
          <w:rFonts w:ascii="Times New Roman" w:hAnsi="Times New Roman" w:cs="Times New Roman"/>
          <w:sz w:val="24"/>
          <w:szCs w:val="24"/>
        </w:rPr>
        <w:t xml:space="preserve"> on</w:t>
      </w:r>
      <w:r>
        <w:rPr>
          <w:rFonts w:ascii="Times New Roman" w:hAnsi="Times New Roman" w:cs="Times New Roman"/>
          <w:sz w:val="24"/>
          <w:szCs w:val="24"/>
        </w:rPr>
        <w:t xml:space="preserve"> the issues of</w:t>
      </w:r>
      <w:r w:rsidRPr="00510DBB">
        <w:rPr>
          <w:rFonts w:ascii="Times New Roman" w:hAnsi="Times New Roman" w:cs="Times New Roman"/>
          <w:sz w:val="24"/>
          <w:szCs w:val="24"/>
        </w:rPr>
        <w:t xml:space="preserve"> immigration and same-sex marriage</w:t>
      </w:r>
      <w:r>
        <w:rPr>
          <w:rFonts w:ascii="Times New Roman" w:hAnsi="Times New Roman" w:cs="Times New Roman"/>
          <w:sz w:val="24"/>
          <w:szCs w:val="24"/>
        </w:rPr>
        <w:t xml:space="preserve"> using survey data from the British Election Study online panel in 2014</w:t>
      </w:r>
      <w:r>
        <w:rPr>
          <w:rStyle w:val="EndnoteReference"/>
          <w:rFonts w:ascii="Times New Roman" w:hAnsi="Times New Roman" w:cs="Times New Roman"/>
          <w:sz w:val="24"/>
          <w:szCs w:val="24"/>
        </w:rPr>
        <w:endnoteReference w:id="15"/>
      </w:r>
      <w:r w:rsidRPr="00510DBB">
        <w:rPr>
          <w:rFonts w:ascii="Times New Roman" w:hAnsi="Times New Roman" w:cs="Times New Roman"/>
          <w:sz w:val="24"/>
          <w:szCs w:val="24"/>
        </w:rPr>
        <w:t xml:space="preserve"> – </w:t>
      </w:r>
      <w:r>
        <w:rPr>
          <w:rFonts w:ascii="Times New Roman" w:hAnsi="Times New Roman" w:cs="Times New Roman"/>
          <w:sz w:val="24"/>
          <w:szCs w:val="24"/>
        </w:rPr>
        <w:t xml:space="preserve">which are standardised and </w:t>
      </w:r>
      <w:r w:rsidRPr="00510DBB">
        <w:rPr>
          <w:rFonts w:ascii="Times New Roman" w:hAnsi="Times New Roman" w:cs="Times New Roman"/>
          <w:sz w:val="24"/>
          <w:szCs w:val="24"/>
        </w:rPr>
        <w:t>combined to capture ‘open-closed’ dimension</w:t>
      </w:r>
      <w:r>
        <w:rPr>
          <w:rFonts w:ascii="Times New Roman" w:hAnsi="Times New Roman" w:cs="Times New Roman"/>
          <w:sz w:val="24"/>
          <w:szCs w:val="24"/>
        </w:rPr>
        <w:t xml:space="preserve"> (with higher values corresponding to more closed attitudes on these issues)</w:t>
      </w:r>
      <w:r w:rsidRPr="00510DBB">
        <w:rPr>
          <w:rFonts w:ascii="Times New Roman" w:hAnsi="Times New Roman" w:cs="Times New Roman"/>
          <w:sz w:val="24"/>
          <w:szCs w:val="24"/>
        </w:rPr>
        <w:t>.</w:t>
      </w:r>
      <w:r>
        <w:rPr>
          <w:rFonts w:ascii="Times New Roman" w:hAnsi="Times New Roman" w:cs="Times New Roman"/>
          <w:sz w:val="24"/>
          <w:szCs w:val="24"/>
        </w:rPr>
        <w:t xml:space="preserve"> Figure 3 plots how open or closed a given constituency is on these issues (on the y-axis) against the level of relative decline (on the x-axis). This again reveals a distinct pattern whereby areas that have experienced most decline are those that are most ‘closed’ (i.e. opposed to immigration and/or same-sex marriage) in their attitudes. Areas subject to least decline are most open (i.e. most socially liberal) on these issues. It seems, then, that the demographic and economic condition of places are linked to the particular cultural outlooks of their populations. (Although the observed relationship is correlational the temporal structure of our data makes it unlikely that open-closed attitudes would be a significant driver of decline over the preceding time period.) </w:t>
      </w:r>
    </w:p>
    <w:p w14:paraId="76FDF759" w14:textId="77777777" w:rsidR="00DF6D80" w:rsidRDefault="00DF6D80">
      <w:pPr>
        <w:rPr>
          <w:rFonts w:ascii="Times New Roman" w:hAnsi="Times New Roman" w:cs="Times New Roman"/>
          <w:b/>
          <w:sz w:val="24"/>
          <w:szCs w:val="24"/>
        </w:rPr>
      </w:pPr>
      <w:r>
        <w:rPr>
          <w:rFonts w:ascii="Times New Roman" w:hAnsi="Times New Roman" w:cs="Times New Roman"/>
          <w:b/>
          <w:sz w:val="24"/>
          <w:szCs w:val="24"/>
        </w:rPr>
        <w:br w:type="page"/>
      </w:r>
    </w:p>
    <w:p w14:paraId="08070819" w14:textId="77777777" w:rsidR="00DF6D80" w:rsidRPr="008F0355" w:rsidRDefault="00DF6D80" w:rsidP="00DF4B6A">
      <w:pPr>
        <w:rPr>
          <w:rFonts w:ascii="Times New Roman" w:hAnsi="Times New Roman" w:cs="Times New Roman"/>
          <w:b/>
          <w:sz w:val="24"/>
          <w:szCs w:val="24"/>
        </w:rPr>
      </w:pPr>
      <w:r w:rsidRPr="00E43819">
        <w:rPr>
          <w:rFonts w:ascii="Times New Roman" w:hAnsi="Times New Roman" w:cs="Times New Roman"/>
          <w:b/>
          <w:sz w:val="24"/>
          <w:szCs w:val="24"/>
        </w:rPr>
        <w:lastRenderedPageBreak/>
        <w:t xml:space="preserve">Figure </w:t>
      </w:r>
      <w:r>
        <w:rPr>
          <w:rFonts w:ascii="Times New Roman" w:hAnsi="Times New Roman" w:cs="Times New Roman"/>
          <w:b/>
          <w:sz w:val="24"/>
          <w:szCs w:val="24"/>
        </w:rPr>
        <w:t>3</w:t>
      </w:r>
      <w:r w:rsidRPr="00E43819">
        <w:rPr>
          <w:rFonts w:ascii="Times New Roman" w:hAnsi="Times New Roman" w:cs="Times New Roman"/>
          <w:b/>
          <w:sz w:val="24"/>
          <w:szCs w:val="24"/>
        </w:rPr>
        <w:t>.</w:t>
      </w:r>
      <w:r>
        <w:rPr>
          <w:rFonts w:ascii="Times New Roman" w:hAnsi="Times New Roman" w:cs="Times New Roman"/>
          <w:sz w:val="24"/>
          <w:szCs w:val="24"/>
        </w:rPr>
        <w:t xml:space="preserve"> Relative decline and open-</w:t>
      </w:r>
      <w:r w:rsidRPr="004C2B68">
        <w:rPr>
          <w:rFonts w:ascii="Times New Roman" w:hAnsi="Times New Roman" w:cs="Times New Roman"/>
          <w:sz w:val="24"/>
          <w:szCs w:val="24"/>
        </w:rPr>
        <w:t>closed opinions, England and Wales</w:t>
      </w:r>
    </w:p>
    <w:p w14:paraId="10CE56D1" w14:textId="77777777" w:rsidR="00DF6D80" w:rsidRDefault="00DF6D80" w:rsidP="009E0E59">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67786955" wp14:editId="116DC3E3">
            <wp:extent cx="5731510" cy="38207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Q18_Fig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56E53816" w14:textId="77777777" w:rsidR="00DF6D80" w:rsidRDefault="00DF6D80" w:rsidP="000241FD">
      <w:pPr>
        <w:spacing w:after="0" w:line="480" w:lineRule="auto"/>
        <w:rPr>
          <w:rFonts w:ascii="Times New Roman" w:hAnsi="Times New Roman" w:cs="Times New Roman"/>
          <w:b/>
          <w:sz w:val="24"/>
          <w:szCs w:val="24"/>
          <w:u w:val="single"/>
        </w:rPr>
      </w:pPr>
    </w:p>
    <w:p w14:paraId="32A58B9F" w14:textId="77777777" w:rsidR="00DF6D80" w:rsidRPr="009E37C4" w:rsidRDefault="00DF6D80" w:rsidP="00E870FF">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Part III. </w:t>
      </w:r>
      <w:r w:rsidRPr="009E37C4">
        <w:rPr>
          <w:rFonts w:ascii="Times New Roman" w:hAnsi="Times New Roman" w:cs="Times New Roman"/>
          <w:b/>
          <w:sz w:val="24"/>
          <w:szCs w:val="24"/>
          <w:u w:val="single"/>
        </w:rPr>
        <w:t xml:space="preserve">Implications for the future of </w:t>
      </w:r>
      <w:r>
        <w:rPr>
          <w:rFonts w:ascii="Times New Roman" w:hAnsi="Times New Roman" w:cs="Times New Roman"/>
          <w:b/>
          <w:sz w:val="24"/>
          <w:szCs w:val="24"/>
          <w:u w:val="single"/>
        </w:rPr>
        <w:t xml:space="preserve">British </w:t>
      </w:r>
      <w:r w:rsidRPr="009E37C4">
        <w:rPr>
          <w:rFonts w:ascii="Times New Roman" w:hAnsi="Times New Roman" w:cs="Times New Roman"/>
          <w:b/>
          <w:sz w:val="24"/>
          <w:szCs w:val="24"/>
          <w:u w:val="single"/>
        </w:rPr>
        <w:t xml:space="preserve">politics </w:t>
      </w:r>
    </w:p>
    <w:p w14:paraId="13EA0E42" w14:textId="332090A6" w:rsidR="00DF6D80" w:rsidRDefault="00DF6D80" w:rsidP="00A63E31">
      <w:pPr>
        <w:spacing w:line="480" w:lineRule="auto"/>
        <w:rPr>
          <w:rFonts w:ascii="Times New Roman" w:hAnsi="Times New Roman" w:cs="Times New Roman"/>
          <w:sz w:val="24"/>
          <w:szCs w:val="24"/>
        </w:rPr>
      </w:pPr>
      <w:r w:rsidRPr="00052C8F">
        <w:rPr>
          <w:rFonts w:ascii="Times New Roman" w:hAnsi="Times New Roman" w:cs="Times New Roman"/>
          <w:sz w:val="24"/>
          <w:szCs w:val="24"/>
        </w:rPr>
        <w:t>These processes – of demographic and economic change – present both political disruption (the ‘revenge of places that don’t matter’</w:t>
      </w:r>
      <w:r>
        <w:rPr>
          <w:rStyle w:val="EndnoteReference"/>
          <w:rFonts w:ascii="Times New Roman" w:hAnsi="Times New Roman" w:cs="Times New Roman"/>
          <w:sz w:val="24"/>
          <w:szCs w:val="24"/>
        </w:rPr>
        <w:endnoteReference w:id="16"/>
      </w:r>
      <w:r w:rsidRPr="00052C8F">
        <w:rPr>
          <w:rFonts w:ascii="Times New Roman" w:hAnsi="Times New Roman" w:cs="Times New Roman"/>
          <w:sz w:val="24"/>
          <w:szCs w:val="24"/>
        </w:rPr>
        <w:t>) and major problems in terms of public policy (</w:t>
      </w:r>
      <w:r>
        <w:rPr>
          <w:rFonts w:ascii="Times New Roman" w:hAnsi="Times New Roman" w:cs="Times New Roman"/>
          <w:sz w:val="24"/>
          <w:szCs w:val="24"/>
        </w:rPr>
        <w:t>designing and funding the right social and economic policies for locations that have both different needs and resources</w:t>
      </w:r>
      <w:r>
        <w:rPr>
          <w:rStyle w:val="EndnoteReference"/>
          <w:rFonts w:ascii="Times New Roman" w:hAnsi="Times New Roman" w:cs="Times New Roman"/>
          <w:sz w:val="24"/>
          <w:szCs w:val="24"/>
        </w:rPr>
        <w:endnoteReference w:id="17"/>
      </w:r>
      <w:r w:rsidRPr="00052C8F">
        <w:rPr>
          <w:rFonts w:ascii="Times New Roman" w:hAnsi="Times New Roman" w:cs="Times New Roman"/>
          <w:sz w:val="24"/>
          <w:szCs w:val="24"/>
        </w:rPr>
        <w:t>).</w:t>
      </w:r>
      <w:r>
        <w:rPr>
          <w:rFonts w:ascii="Times New Roman" w:hAnsi="Times New Roman" w:cs="Times New Roman"/>
          <w:sz w:val="24"/>
          <w:szCs w:val="24"/>
        </w:rPr>
        <w:t xml:space="preserve"> This schism between places forms a backdrop to post-Brexit politics over the next decade or so that the major parties will have to confront. Labour is struggling to sustain support in smaller towns while it piles up votes in metropolitan areas. The Conservatives on the other hand are losing in cities – among younger and more educated voters – and gaining in towns and rural areas. To build a broad electoral coalition, neither party can afford to ignore the places where they have been losing ground, nor wait for ‘demographic destiny’ to run its course. In short, our major national parties are facing tricky problems posed by this trend of geographical polarisation. How can they appeal across the </w:t>
      </w:r>
      <w:r>
        <w:rPr>
          <w:rFonts w:ascii="Times New Roman" w:hAnsi="Times New Roman" w:cs="Times New Roman"/>
          <w:sz w:val="24"/>
          <w:szCs w:val="24"/>
        </w:rPr>
        <w:lastRenderedPageBreak/>
        <w:t xml:space="preserve">divide to win votes? Can they design policy measures to deal with divergent issues faced in different locations? Should struggling places be written off, condemned to a process of inexorable decline, while a few lucky cities are selected as the engine of economic growth, or should the aim be a more equitable policy offer? Is it possible to craft political messages that speak to the distinctive local, regional and national identities of Britain’s towns and cities? The early indications are that the parties are struggling to meet the challenge both politically and in policy terms. </w:t>
      </w:r>
    </w:p>
    <w:p w14:paraId="1531B5FF" w14:textId="467630A3" w:rsidR="00DF6D80" w:rsidRDefault="00DF6D80" w:rsidP="00052C8F">
      <w:pPr>
        <w:spacing w:line="480" w:lineRule="auto"/>
        <w:rPr>
          <w:rFonts w:ascii="Times New Roman" w:hAnsi="Times New Roman" w:cs="Times New Roman"/>
          <w:sz w:val="24"/>
          <w:szCs w:val="24"/>
        </w:rPr>
      </w:pPr>
      <w:r>
        <w:rPr>
          <w:rFonts w:ascii="Times New Roman" w:hAnsi="Times New Roman" w:cs="Times New Roman"/>
          <w:sz w:val="24"/>
          <w:szCs w:val="24"/>
        </w:rPr>
        <w:t xml:space="preserve">To frame the political challenge, it is helpful to recognise that the shifting voting patterns are a tilting of the axis, not a complete realignment. Labour retains support in towns and likewise the Conservatives retain some electoral presence in cities. The rise of nationalism outside England has added new dimensions to Britain’s electoral arithmetic and in Scotland has resulted in distinct party politics – with the SNP landslide in 2015 breaking Labour’s long-held dominance of Scottish seats in Westminster. The drop in the vote share of other parties in England in the general election of 2017 marked a seeming return to the old days of two-party politics. However, a re-emergence of support for an alternative political force beyond the two main parties in England cannot be ruled out because of the continued persistence of strong negativity in public opinion towards mainstream parties and politics. Voters may yet be receptive to a “new” offering by challenger parties or breakaways – especially in the wake of any Brexit-related chaos or perceived backsliding on the referendum. Our focus in on the prospects of Labour and the Conservatives but they do not possess a guaranteed monopoly over the future of British politics. </w:t>
      </w:r>
    </w:p>
    <w:p w14:paraId="2F1FBE12" w14:textId="3F34C417" w:rsidR="00DF6D80" w:rsidRDefault="00DF6D80" w:rsidP="000F3714">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the two parties the dilemma is whether to adopt a minimalist or maximalist approach to electoral coalition building. Should a party look </w:t>
      </w:r>
      <w:r w:rsidRPr="00E870FF">
        <w:rPr>
          <w:rFonts w:ascii="Times New Roman" w:hAnsi="Times New Roman" w:cs="Times New Roman"/>
          <w:sz w:val="24"/>
          <w:szCs w:val="24"/>
        </w:rPr>
        <w:t xml:space="preserve">to </w:t>
      </w:r>
      <w:r>
        <w:rPr>
          <w:rFonts w:ascii="Times New Roman" w:hAnsi="Times New Roman" w:cs="Times New Roman"/>
          <w:sz w:val="24"/>
          <w:szCs w:val="24"/>
        </w:rPr>
        <w:t>consolidate its</w:t>
      </w:r>
      <w:r w:rsidRPr="00E870FF">
        <w:rPr>
          <w:rFonts w:ascii="Times New Roman" w:hAnsi="Times New Roman" w:cs="Times New Roman"/>
          <w:sz w:val="24"/>
          <w:szCs w:val="24"/>
        </w:rPr>
        <w:t xml:space="preserve"> </w:t>
      </w:r>
      <w:r>
        <w:rPr>
          <w:rFonts w:ascii="Times New Roman" w:hAnsi="Times New Roman" w:cs="Times New Roman"/>
          <w:sz w:val="24"/>
          <w:szCs w:val="24"/>
        </w:rPr>
        <w:t>current</w:t>
      </w:r>
      <w:r w:rsidRPr="00E870FF">
        <w:rPr>
          <w:rFonts w:ascii="Times New Roman" w:hAnsi="Times New Roman" w:cs="Times New Roman"/>
          <w:sz w:val="24"/>
          <w:szCs w:val="24"/>
        </w:rPr>
        <w:t xml:space="preserve"> vote and </w:t>
      </w:r>
      <w:r>
        <w:rPr>
          <w:rFonts w:ascii="Times New Roman" w:hAnsi="Times New Roman" w:cs="Times New Roman"/>
          <w:sz w:val="24"/>
          <w:szCs w:val="24"/>
        </w:rPr>
        <w:t xml:space="preserve">make just enough gains to win </w:t>
      </w:r>
      <w:r w:rsidRPr="00E870FF">
        <w:rPr>
          <w:rFonts w:ascii="Times New Roman" w:hAnsi="Times New Roman" w:cs="Times New Roman"/>
          <w:sz w:val="24"/>
          <w:szCs w:val="24"/>
        </w:rPr>
        <w:t xml:space="preserve">a </w:t>
      </w:r>
      <w:r>
        <w:rPr>
          <w:rFonts w:ascii="Times New Roman" w:hAnsi="Times New Roman" w:cs="Times New Roman"/>
          <w:sz w:val="24"/>
          <w:szCs w:val="24"/>
        </w:rPr>
        <w:t xml:space="preserve">parliamentary </w:t>
      </w:r>
      <w:r w:rsidRPr="00E870FF">
        <w:rPr>
          <w:rFonts w:ascii="Times New Roman" w:hAnsi="Times New Roman" w:cs="Times New Roman"/>
          <w:sz w:val="24"/>
          <w:szCs w:val="24"/>
        </w:rPr>
        <w:t xml:space="preserve">majority </w:t>
      </w:r>
      <w:r>
        <w:rPr>
          <w:rFonts w:ascii="Times New Roman" w:hAnsi="Times New Roman" w:cs="Times New Roman"/>
          <w:sz w:val="24"/>
          <w:szCs w:val="24"/>
        </w:rPr>
        <w:t>or should it seek</w:t>
      </w:r>
      <w:r w:rsidRPr="00E870FF">
        <w:rPr>
          <w:rFonts w:ascii="Times New Roman" w:hAnsi="Times New Roman" w:cs="Times New Roman"/>
          <w:sz w:val="24"/>
          <w:szCs w:val="24"/>
        </w:rPr>
        <w:t xml:space="preserve"> a radical </w:t>
      </w:r>
      <w:r>
        <w:rPr>
          <w:rFonts w:ascii="Times New Roman" w:hAnsi="Times New Roman" w:cs="Times New Roman"/>
          <w:sz w:val="24"/>
          <w:szCs w:val="24"/>
        </w:rPr>
        <w:t>transformation that</w:t>
      </w:r>
      <w:r w:rsidRPr="00E870FF">
        <w:rPr>
          <w:rFonts w:ascii="Times New Roman" w:hAnsi="Times New Roman" w:cs="Times New Roman"/>
          <w:sz w:val="24"/>
          <w:szCs w:val="24"/>
        </w:rPr>
        <w:t xml:space="preserve"> extend</w:t>
      </w:r>
      <w:r>
        <w:rPr>
          <w:rFonts w:ascii="Times New Roman" w:hAnsi="Times New Roman" w:cs="Times New Roman"/>
          <w:sz w:val="24"/>
          <w:szCs w:val="24"/>
        </w:rPr>
        <w:t>s</w:t>
      </w:r>
      <w:r w:rsidRPr="00E870FF">
        <w:rPr>
          <w:rFonts w:ascii="Times New Roman" w:hAnsi="Times New Roman" w:cs="Times New Roman"/>
          <w:sz w:val="24"/>
          <w:szCs w:val="24"/>
        </w:rPr>
        <w:t xml:space="preserve"> </w:t>
      </w:r>
      <w:r>
        <w:rPr>
          <w:rFonts w:ascii="Times New Roman" w:hAnsi="Times New Roman" w:cs="Times New Roman"/>
          <w:sz w:val="24"/>
          <w:szCs w:val="24"/>
        </w:rPr>
        <w:t>its</w:t>
      </w:r>
      <w:r w:rsidRPr="00E870FF">
        <w:rPr>
          <w:rFonts w:ascii="Times New Roman" w:hAnsi="Times New Roman" w:cs="Times New Roman"/>
          <w:sz w:val="24"/>
          <w:szCs w:val="24"/>
        </w:rPr>
        <w:t xml:space="preserve"> appeal </w:t>
      </w:r>
      <w:r>
        <w:rPr>
          <w:rFonts w:ascii="Times New Roman" w:hAnsi="Times New Roman" w:cs="Times New Roman"/>
          <w:sz w:val="24"/>
          <w:szCs w:val="24"/>
        </w:rPr>
        <w:t>outside its base or ‘core vote’</w:t>
      </w:r>
      <w:r w:rsidRPr="00E870FF">
        <w:rPr>
          <w:rFonts w:ascii="Times New Roman" w:hAnsi="Times New Roman" w:cs="Times New Roman"/>
          <w:sz w:val="24"/>
          <w:szCs w:val="24"/>
        </w:rPr>
        <w:t xml:space="preserve">. When parties are popular they are more able </w:t>
      </w:r>
      <w:r w:rsidRPr="00E870FF">
        <w:rPr>
          <w:rFonts w:ascii="Times New Roman" w:hAnsi="Times New Roman" w:cs="Times New Roman"/>
          <w:sz w:val="24"/>
          <w:szCs w:val="24"/>
        </w:rPr>
        <w:lastRenderedPageBreak/>
        <w:t>to reach outside their comfort zone.</w:t>
      </w:r>
      <w:r w:rsidRPr="00E870FF">
        <w:rPr>
          <w:rStyle w:val="EndnoteReference"/>
          <w:rFonts w:ascii="Times New Roman" w:hAnsi="Times New Roman" w:cs="Times New Roman"/>
          <w:sz w:val="24"/>
          <w:szCs w:val="24"/>
        </w:rPr>
        <w:endnoteReference w:id="18"/>
      </w:r>
      <w:r w:rsidRPr="00E870FF">
        <w:rPr>
          <w:rFonts w:ascii="Times New Roman" w:hAnsi="Times New Roman" w:cs="Times New Roman"/>
          <w:sz w:val="24"/>
          <w:szCs w:val="24"/>
        </w:rPr>
        <w:t xml:space="preserve"> At the Labour Party conference in 1999, Tony Blair declared </w:t>
      </w:r>
      <w:r>
        <w:rPr>
          <w:rFonts w:ascii="Times New Roman" w:hAnsi="Times New Roman" w:cs="Times New Roman"/>
          <w:sz w:val="24"/>
          <w:szCs w:val="24"/>
        </w:rPr>
        <w:t xml:space="preserve">‘the </w:t>
      </w:r>
      <w:r w:rsidRPr="00E870FF">
        <w:rPr>
          <w:rFonts w:ascii="Times New Roman" w:hAnsi="Times New Roman" w:cs="Times New Roman"/>
          <w:sz w:val="24"/>
          <w:szCs w:val="24"/>
        </w:rPr>
        <w:t xml:space="preserve">class war </w:t>
      </w:r>
      <w:r>
        <w:rPr>
          <w:rFonts w:ascii="Times New Roman" w:hAnsi="Times New Roman" w:cs="Times New Roman"/>
          <w:sz w:val="24"/>
          <w:szCs w:val="24"/>
        </w:rPr>
        <w:t>i</w:t>
      </w:r>
      <w:r w:rsidRPr="00E870FF">
        <w:rPr>
          <w:rFonts w:ascii="Times New Roman" w:hAnsi="Times New Roman" w:cs="Times New Roman"/>
          <w:sz w:val="24"/>
          <w:szCs w:val="24"/>
        </w:rPr>
        <w:t>s over</w:t>
      </w:r>
      <w:r>
        <w:rPr>
          <w:rFonts w:ascii="Times New Roman" w:hAnsi="Times New Roman" w:cs="Times New Roman"/>
          <w:sz w:val="24"/>
          <w:szCs w:val="24"/>
        </w:rPr>
        <w:t>’</w:t>
      </w:r>
      <w:r w:rsidRPr="00E870FF">
        <w:rPr>
          <w:rFonts w:ascii="Times New Roman" w:hAnsi="Times New Roman" w:cs="Times New Roman"/>
          <w:sz w:val="24"/>
          <w:szCs w:val="24"/>
        </w:rPr>
        <w:t>. That he was able to do so reflected the impregnable position of Labour</w:t>
      </w:r>
      <w:r>
        <w:rPr>
          <w:rFonts w:ascii="Times New Roman" w:hAnsi="Times New Roman" w:cs="Times New Roman"/>
          <w:sz w:val="24"/>
          <w:szCs w:val="24"/>
        </w:rPr>
        <w:t xml:space="preserve"> in the polls </w:t>
      </w:r>
      <w:r w:rsidRPr="00E870FF">
        <w:rPr>
          <w:rFonts w:ascii="Times New Roman" w:hAnsi="Times New Roman" w:cs="Times New Roman"/>
          <w:sz w:val="24"/>
          <w:szCs w:val="24"/>
        </w:rPr>
        <w:t>and also that the</w:t>
      </w:r>
      <w:r>
        <w:rPr>
          <w:rFonts w:ascii="Times New Roman" w:hAnsi="Times New Roman" w:cs="Times New Roman"/>
          <w:sz w:val="24"/>
          <w:szCs w:val="24"/>
        </w:rPr>
        <w:t xml:space="preserve"> social base of the</w:t>
      </w:r>
      <w:r w:rsidRPr="00E870FF">
        <w:rPr>
          <w:rFonts w:ascii="Times New Roman" w:hAnsi="Times New Roman" w:cs="Times New Roman"/>
          <w:sz w:val="24"/>
          <w:szCs w:val="24"/>
        </w:rPr>
        <w:t xml:space="preserve"> party’s electoral coalition was slowly changing, masked by the success of </w:t>
      </w:r>
      <w:r>
        <w:rPr>
          <w:rFonts w:ascii="Times New Roman" w:hAnsi="Times New Roman" w:cs="Times New Roman"/>
          <w:sz w:val="24"/>
          <w:szCs w:val="24"/>
        </w:rPr>
        <w:t>the New Labour</w:t>
      </w:r>
      <w:r w:rsidRPr="00E870FF">
        <w:rPr>
          <w:rFonts w:ascii="Times New Roman" w:hAnsi="Times New Roman" w:cs="Times New Roman"/>
          <w:sz w:val="24"/>
          <w:szCs w:val="24"/>
        </w:rPr>
        <w:t xml:space="preserve"> electoral machine. Neither party today is in a commanding position that would allow it to make such a claim, to steal the clothes of </w:t>
      </w:r>
      <w:r>
        <w:rPr>
          <w:rFonts w:ascii="Times New Roman" w:hAnsi="Times New Roman" w:cs="Times New Roman"/>
          <w:sz w:val="24"/>
          <w:szCs w:val="24"/>
        </w:rPr>
        <w:t>its</w:t>
      </w:r>
      <w:r w:rsidRPr="00E870FF">
        <w:rPr>
          <w:rFonts w:ascii="Times New Roman" w:hAnsi="Times New Roman" w:cs="Times New Roman"/>
          <w:sz w:val="24"/>
          <w:szCs w:val="24"/>
        </w:rPr>
        <w:t xml:space="preserve"> opponents without risk of alienating its core vote. </w:t>
      </w:r>
      <w:r>
        <w:rPr>
          <w:rFonts w:ascii="Times New Roman" w:hAnsi="Times New Roman" w:cs="Times New Roman"/>
          <w:sz w:val="24"/>
          <w:szCs w:val="24"/>
        </w:rPr>
        <w:t>Electoral r</w:t>
      </w:r>
      <w:r w:rsidRPr="00E870FF">
        <w:rPr>
          <w:rFonts w:ascii="Times New Roman" w:hAnsi="Times New Roman" w:cs="Times New Roman"/>
          <w:sz w:val="24"/>
          <w:szCs w:val="24"/>
        </w:rPr>
        <w:t>ealign</w:t>
      </w:r>
      <w:r>
        <w:rPr>
          <w:rFonts w:ascii="Times New Roman" w:hAnsi="Times New Roman" w:cs="Times New Roman"/>
          <w:sz w:val="24"/>
          <w:szCs w:val="24"/>
        </w:rPr>
        <w:t>ments</w:t>
      </w:r>
      <w:r w:rsidRPr="00E870FF">
        <w:rPr>
          <w:rFonts w:ascii="Times New Roman" w:hAnsi="Times New Roman" w:cs="Times New Roman"/>
          <w:sz w:val="24"/>
          <w:szCs w:val="24"/>
        </w:rPr>
        <w:t xml:space="preserve"> come with </w:t>
      </w:r>
      <w:r>
        <w:rPr>
          <w:rFonts w:ascii="Times New Roman" w:hAnsi="Times New Roman" w:cs="Times New Roman"/>
          <w:sz w:val="24"/>
          <w:szCs w:val="24"/>
        </w:rPr>
        <w:t xml:space="preserve">substantial risks and </w:t>
      </w:r>
      <w:r w:rsidRPr="00E870FF">
        <w:rPr>
          <w:rFonts w:ascii="Times New Roman" w:hAnsi="Times New Roman" w:cs="Times New Roman"/>
          <w:sz w:val="24"/>
          <w:szCs w:val="24"/>
        </w:rPr>
        <w:t>transition costs</w:t>
      </w:r>
      <w:r>
        <w:rPr>
          <w:rFonts w:ascii="Times New Roman" w:hAnsi="Times New Roman" w:cs="Times New Roman"/>
          <w:sz w:val="24"/>
          <w:szCs w:val="24"/>
        </w:rPr>
        <w:t xml:space="preserve"> for parties, not least as newer supporters tend to have weaker partisan attachments (the dramatic rise and fall of the Liberal Democrats between 2010 and 2015 serving as a good example of the potential fickleness of voters).</w:t>
      </w:r>
      <w:r w:rsidRPr="00E870FF">
        <w:rPr>
          <w:rFonts w:ascii="Times New Roman" w:hAnsi="Times New Roman" w:cs="Times New Roman"/>
          <w:sz w:val="24"/>
          <w:szCs w:val="24"/>
        </w:rPr>
        <w:t xml:space="preserve"> </w:t>
      </w:r>
    </w:p>
    <w:p w14:paraId="6FCB887C" w14:textId="66538F41" w:rsidR="00DF6D80" w:rsidRDefault="00DF6D80" w:rsidP="001916B7">
      <w:pPr>
        <w:spacing w:line="480" w:lineRule="auto"/>
        <w:rPr>
          <w:rFonts w:ascii="Times New Roman" w:hAnsi="Times New Roman" w:cs="Times New Roman"/>
          <w:sz w:val="24"/>
          <w:szCs w:val="24"/>
        </w:rPr>
      </w:pPr>
      <w:r>
        <w:rPr>
          <w:rFonts w:ascii="Times New Roman" w:hAnsi="Times New Roman" w:cs="Times New Roman"/>
          <w:sz w:val="24"/>
          <w:szCs w:val="24"/>
        </w:rPr>
        <w:t xml:space="preserve">A further complicating factor beyond the difficulties of securing a convincing parliamentary majority in light of the geographical polarisation of electoral politics is the unprecedented level of public disaffection and cynicism about politics and politicians in Britain. In </w:t>
      </w:r>
      <w:r w:rsidRPr="00E9156C">
        <w:rPr>
          <w:rFonts w:ascii="Times New Roman" w:hAnsi="Times New Roman" w:cs="Times New Roman"/>
          <w:i/>
          <w:sz w:val="24"/>
          <w:szCs w:val="24"/>
        </w:rPr>
        <w:t>The Good Politician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we use survey data and diaries from Mass Observation to show that negativity towards political elites and the practices of politics is more widespread and more intense that in any period since 1945. Brexit has further polarised the electorate through the emergence of new identitie</w:t>
      </w:r>
      <w:r w:rsidR="00002C5B">
        <w:rPr>
          <w:rFonts w:ascii="Times New Roman" w:hAnsi="Times New Roman" w:cs="Times New Roman"/>
          <w:sz w:val="24"/>
          <w:szCs w:val="24"/>
        </w:rPr>
        <w:t>s – of ‘Leavers’ and ‘Remainers’</w:t>
      </w:r>
      <w:r>
        <w:rPr>
          <w:rFonts w:ascii="Times New Roman" w:hAnsi="Times New Roman" w:cs="Times New Roman"/>
          <w:sz w:val="24"/>
          <w:szCs w:val="24"/>
        </w:rPr>
        <w:t xml:space="preserve">. Parties must therefore find a way to widen their electoral coalitions at a time when public trust is at an all-time low and a new cross-cutting cleavage means that attempts to win over some groups risk alienating others. </w:t>
      </w:r>
    </w:p>
    <w:p w14:paraId="6E3FF5FB" w14:textId="2EAB95D8" w:rsidR="00DF6D80" w:rsidRDefault="00DF6D80" w:rsidP="00052C8F">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the Conservatives, the rhetorical ambition of the May government – launched with May’s ‘burning injustices’ speech on the steps of Downing Street on 13 July 2016 – was to construct a maximalist coalition that reached out to Labour’s Brexit-voting heartlands (the ‘tanks on Labour’s lawn’ strategy). This maximalist agenda survived until the disastrous 2017 general election, where results in constituencies like Canterbury and Kensington &amp; Chelsea revealed the perils of this strategy; and even before then there had been U-turns on new policies like </w:t>
      </w:r>
      <w:r>
        <w:rPr>
          <w:rFonts w:ascii="Times New Roman" w:hAnsi="Times New Roman" w:cs="Times New Roman"/>
          <w:sz w:val="24"/>
          <w:szCs w:val="24"/>
        </w:rPr>
        <w:lastRenderedPageBreak/>
        <w:t xml:space="preserve">energy price caps and workers on company boards. Since then, the Conservatives have stuck to a more minimalist approach – with their attention dominated by Brexit and internal party wrangling over how hard or soft Brexit will be. Burnt by the experience of trying to appeal far beyond core supporters, the Conservatives will likely make token efforts to attract supporters from declining towns and may offer up occasional policies (such as relating to the environment) aimed at the social liberalism of city dwellers. Fundamentally, however, under May’s leadership the focus is on delivering a pragmatic Brexit, maintaining some semblance of party discipline, shoring up the party’s core vote and avoiding economic meltdown in the aftermath of the UK leaving the European Union. Only failure on one of these fronts, and a leadership change, is likely to open up the prospects of a more maximalist coalition strategy again. </w:t>
      </w:r>
    </w:p>
    <w:p w14:paraId="26CC7E9E" w14:textId="77777777" w:rsidR="00DF6D80" w:rsidRDefault="00DF6D80" w:rsidP="00052C8F">
      <w:pPr>
        <w:spacing w:line="480" w:lineRule="auto"/>
        <w:rPr>
          <w:rFonts w:ascii="Times New Roman" w:hAnsi="Times New Roman" w:cs="Times New Roman"/>
          <w:sz w:val="24"/>
          <w:szCs w:val="24"/>
        </w:rPr>
      </w:pPr>
      <w:r>
        <w:rPr>
          <w:rFonts w:ascii="Times New Roman" w:hAnsi="Times New Roman" w:cs="Times New Roman"/>
          <w:sz w:val="24"/>
          <w:szCs w:val="24"/>
        </w:rPr>
        <w:t>For Labour, the unexpectedly good result in the 2017 general election has also locked the party into a minimalist strategy as well. This continues to exploit Corbyn’s projected image of authenticity and economic populism (e.g. nationalisations, attacks on offshore tax</w:t>
      </w:r>
      <w:r w:rsidR="00002C5B">
        <w:rPr>
          <w:rFonts w:ascii="Times New Roman" w:hAnsi="Times New Roman" w:cs="Times New Roman"/>
          <w:sz w:val="24"/>
          <w:szCs w:val="24"/>
        </w:rPr>
        <w:t xml:space="preserve"> havens</w:t>
      </w:r>
      <w:r>
        <w:rPr>
          <w:rFonts w:ascii="Times New Roman" w:hAnsi="Times New Roman" w:cs="Times New Roman"/>
          <w:sz w:val="24"/>
          <w:szCs w:val="24"/>
        </w:rPr>
        <w:t xml:space="preserve">), combined with a critique of austerity, which has particular appeal to voters in cities. The party also has been helped by its association with a softer version of Brexit (although its position remains tortuously ambiguous). Again, it would appear that only a significant electoral failure and the election of a new party leader would create conditions ripe for a more maximalist strategy that was able to recover losses in places that have drifted away from Labour. </w:t>
      </w:r>
    </w:p>
    <w:p w14:paraId="0E22448D" w14:textId="3C1C210F" w:rsidR="00255A08" w:rsidRDefault="00DF6D80" w:rsidP="00A63E31">
      <w:pPr>
        <w:spacing w:line="480" w:lineRule="auto"/>
        <w:rPr>
          <w:rFonts w:ascii="Times New Roman" w:hAnsi="Times New Roman" w:cs="Times New Roman"/>
          <w:sz w:val="24"/>
          <w:szCs w:val="24"/>
        </w:rPr>
      </w:pPr>
      <w:r>
        <w:rPr>
          <w:rFonts w:ascii="Times New Roman" w:hAnsi="Times New Roman" w:cs="Times New Roman"/>
          <w:sz w:val="24"/>
          <w:szCs w:val="24"/>
        </w:rPr>
        <w:t xml:space="preserve">A major problem in developing a more maximalist strategy is that neither of the parties appears comfortable in developing policy agendas that resonate with different parts of the country or speaks a language that reconciles identity politics and social liberalism. In many ways this is not surprising given the high degree of centralisation of Britain’s political system. Yet if our analysis is correct, and profound economic and social forces are generating </w:t>
      </w:r>
      <w:r>
        <w:rPr>
          <w:rFonts w:ascii="Times New Roman" w:hAnsi="Times New Roman" w:cs="Times New Roman"/>
          <w:sz w:val="24"/>
          <w:szCs w:val="24"/>
        </w:rPr>
        <w:lastRenderedPageBreak/>
        <w:t xml:space="preserve">divergent conditions in different geographical locations, then a differentiated policy response is required with a politics to match. Different parts of the country face distinct sets of policy problems. Areas that have enjoyed relative growth tend to face demands associated with that, such as in terms of housing costs, congestion, pollution and lack of educational and other infrastructure. For areas that have experienced relative decline, the issue is how to develop innovative responses that manage to exploit a new niche for economic dynamism, but at the same time meet the health and social care needs of an ageing and relatively unhealthy population. Economic, planning, housing and social needs interventions need to be tuned to the circumstances faced in different locations but, despite recent devolution initiatives, our current system of governance is ill-equipped to deal with that prospect. Austerity measures since 2010 </w:t>
      </w:r>
      <w:r w:rsidR="00A33F69">
        <w:rPr>
          <w:rFonts w:ascii="Times New Roman" w:hAnsi="Times New Roman" w:cs="Times New Roman"/>
          <w:sz w:val="24"/>
          <w:szCs w:val="24"/>
        </w:rPr>
        <w:t>have greatly undermined</w:t>
      </w:r>
      <w:r w:rsidR="00916817">
        <w:rPr>
          <w:rFonts w:ascii="Times New Roman" w:hAnsi="Times New Roman" w:cs="Times New Roman"/>
          <w:sz w:val="24"/>
          <w:szCs w:val="24"/>
        </w:rPr>
        <w:t xml:space="preserve"> capacity of</w:t>
      </w:r>
      <w:r w:rsidR="00A33F69">
        <w:rPr>
          <w:rFonts w:ascii="Times New Roman" w:hAnsi="Times New Roman" w:cs="Times New Roman"/>
          <w:sz w:val="24"/>
          <w:szCs w:val="24"/>
        </w:rPr>
        <w:t xml:space="preserve"> local government across the board</w:t>
      </w:r>
      <w:r w:rsidR="00E560C9">
        <w:rPr>
          <w:rFonts w:ascii="Times New Roman" w:hAnsi="Times New Roman" w:cs="Times New Roman"/>
          <w:sz w:val="24"/>
          <w:szCs w:val="24"/>
        </w:rPr>
        <w:t xml:space="preserve"> and cuts are continuing to impact</w:t>
      </w:r>
      <w:r w:rsidR="00A33F69">
        <w:rPr>
          <w:rFonts w:ascii="Times New Roman" w:hAnsi="Times New Roman" w:cs="Times New Roman"/>
          <w:sz w:val="24"/>
          <w:szCs w:val="24"/>
        </w:rPr>
        <w:t xml:space="preserve">. Failure to reform local government finance has </w:t>
      </w:r>
      <w:r w:rsidR="00D77B4D">
        <w:rPr>
          <w:rFonts w:ascii="Times New Roman" w:hAnsi="Times New Roman" w:cs="Times New Roman"/>
          <w:sz w:val="24"/>
          <w:szCs w:val="24"/>
        </w:rPr>
        <w:t>left</w:t>
      </w:r>
      <w:r w:rsidR="00A33F69">
        <w:rPr>
          <w:rFonts w:ascii="Times New Roman" w:hAnsi="Times New Roman" w:cs="Times New Roman"/>
          <w:sz w:val="24"/>
          <w:szCs w:val="24"/>
        </w:rPr>
        <w:t xml:space="preserve"> a local tax</w:t>
      </w:r>
      <w:r w:rsidR="00916817">
        <w:rPr>
          <w:rFonts w:ascii="Times New Roman" w:hAnsi="Times New Roman" w:cs="Times New Roman"/>
          <w:sz w:val="24"/>
          <w:szCs w:val="24"/>
        </w:rPr>
        <w:t>ation</w:t>
      </w:r>
      <w:r w:rsidR="00A33F69">
        <w:rPr>
          <w:rFonts w:ascii="Times New Roman" w:hAnsi="Times New Roman" w:cs="Times New Roman"/>
          <w:sz w:val="24"/>
          <w:szCs w:val="24"/>
        </w:rPr>
        <w:t xml:space="preserve"> system that is not progressive and not robust enough to garner the resources required in areas of </w:t>
      </w:r>
      <w:r w:rsidR="00916817">
        <w:rPr>
          <w:rFonts w:ascii="Times New Roman" w:hAnsi="Times New Roman" w:cs="Times New Roman"/>
          <w:sz w:val="24"/>
          <w:szCs w:val="24"/>
        </w:rPr>
        <w:t xml:space="preserve">either </w:t>
      </w:r>
      <w:r w:rsidR="00A33F69">
        <w:rPr>
          <w:rFonts w:ascii="Times New Roman" w:hAnsi="Times New Roman" w:cs="Times New Roman"/>
          <w:sz w:val="24"/>
          <w:szCs w:val="24"/>
        </w:rPr>
        <w:t xml:space="preserve">growth or decline. </w:t>
      </w:r>
      <w:r w:rsidR="00E157D9">
        <w:rPr>
          <w:rFonts w:ascii="Times New Roman" w:hAnsi="Times New Roman" w:cs="Times New Roman"/>
          <w:sz w:val="24"/>
          <w:szCs w:val="24"/>
        </w:rPr>
        <w:t>Yet if anything</w:t>
      </w:r>
      <w:r w:rsidR="000D69CF">
        <w:rPr>
          <w:rFonts w:ascii="Times New Roman" w:hAnsi="Times New Roman" w:cs="Times New Roman"/>
          <w:sz w:val="24"/>
          <w:szCs w:val="24"/>
        </w:rPr>
        <w:t>,</w:t>
      </w:r>
      <w:r w:rsidR="00E157D9">
        <w:rPr>
          <w:rFonts w:ascii="Times New Roman" w:hAnsi="Times New Roman" w:cs="Times New Roman"/>
          <w:sz w:val="24"/>
          <w:szCs w:val="24"/>
        </w:rPr>
        <w:t xml:space="preserve"> what appetite there was for devolution and decentralisation has weakened with the departure of Osborne from the Conservative government and the rise of a Corbyn</w:t>
      </w:r>
      <w:r w:rsidR="0022162B">
        <w:rPr>
          <w:rFonts w:ascii="Times New Roman" w:hAnsi="Times New Roman" w:cs="Times New Roman"/>
          <w:sz w:val="24"/>
          <w:szCs w:val="24"/>
        </w:rPr>
        <w:t>-led</w:t>
      </w:r>
      <w:r w:rsidR="00E157D9">
        <w:rPr>
          <w:rFonts w:ascii="Times New Roman" w:hAnsi="Times New Roman" w:cs="Times New Roman"/>
          <w:sz w:val="24"/>
          <w:szCs w:val="24"/>
        </w:rPr>
        <w:t xml:space="preserve"> Labour policy platform focused more on rekindling</w:t>
      </w:r>
      <w:r w:rsidR="007477B4">
        <w:rPr>
          <w:rFonts w:ascii="Times New Roman" w:hAnsi="Times New Roman" w:cs="Times New Roman"/>
          <w:sz w:val="24"/>
          <w:szCs w:val="24"/>
        </w:rPr>
        <w:t xml:space="preserve"> state direction of the economy</w:t>
      </w:r>
      <w:r w:rsidR="00E157D9">
        <w:rPr>
          <w:rFonts w:ascii="Times New Roman" w:hAnsi="Times New Roman" w:cs="Times New Roman"/>
          <w:sz w:val="24"/>
          <w:szCs w:val="24"/>
        </w:rPr>
        <w:t xml:space="preserve">.  </w:t>
      </w:r>
    </w:p>
    <w:p w14:paraId="53AC7DD5" w14:textId="77777777" w:rsidR="00402D97" w:rsidRDefault="00A33F69" w:rsidP="00F3354C">
      <w:pPr>
        <w:spacing w:line="480" w:lineRule="auto"/>
        <w:rPr>
          <w:rFonts w:ascii="Times New Roman" w:hAnsi="Times New Roman" w:cs="Times New Roman"/>
          <w:sz w:val="24"/>
          <w:szCs w:val="24"/>
        </w:rPr>
      </w:pPr>
      <w:r>
        <w:rPr>
          <w:rFonts w:ascii="Times New Roman" w:hAnsi="Times New Roman" w:cs="Times New Roman"/>
          <w:sz w:val="24"/>
          <w:szCs w:val="24"/>
        </w:rPr>
        <w:t>Our main political parties are stuck in minimalist positions, focused on shoring up their core vote</w:t>
      </w:r>
      <w:r w:rsidR="00C60401">
        <w:rPr>
          <w:rFonts w:ascii="Times New Roman" w:hAnsi="Times New Roman" w:cs="Times New Roman"/>
          <w:sz w:val="24"/>
          <w:szCs w:val="24"/>
        </w:rPr>
        <w:t xml:space="preserve"> and managing internal party conflicts, unable to articulate a unifying vision in terms of policy or identity</w:t>
      </w:r>
      <w:r>
        <w:rPr>
          <w:rFonts w:ascii="Times New Roman" w:hAnsi="Times New Roman" w:cs="Times New Roman"/>
          <w:sz w:val="24"/>
          <w:szCs w:val="24"/>
        </w:rPr>
        <w:t xml:space="preserve">. Yet our analysis of the </w:t>
      </w:r>
      <w:r w:rsidR="00C60401">
        <w:rPr>
          <w:rFonts w:ascii="Times New Roman" w:hAnsi="Times New Roman" w:cs="Times New Roman"/>
          <w:sz w:val="24"/>
          <w:szCs w:val="24"/>
        </w:rPr>
        <w:t xml:space="preserve">spatial </w:t>
      </w:r>
      <w:r>
        <w:rPr>
          <w:rFonts w:ascii="Times New Roman" w:hAnsi="Times New Roman" w:cs="Times New Roman"/>
          <w:sz w:val="24"/>
          <w:szCs w:val="24"/>
        </w:rPr>
        <w:t>political economy of</w:t>
      </w:r>
      <w:r w:rsidR="00C60401">
        <w:rPr>
          <w:rFonts w:ascii="Times New Roman" w:hAnsi="Times New Roman" w:cs="Times New Roman"/>
          <w:sz w:val="24"/>
          <w:szCs w:val="24"/>
        </w:rPr>
        <w:t xml:space="preserve"> 21</w:t>
      </w:r>
      <w:r w:rsidR="00C60401" w:rsidRPr="00E9156C">
        <w:rPr>
          <w:rFonts w:ascii="Times New Roman" w:hAnsi="Times New Roman" w:cs="Times New Roman"/>
          <w:sz w:val="24"/>
          <w:szCs w:val="24"/>
          <w:vertAlign w:val="superscript"/>
        </w:rPr>
        <w:t>st</w:t>
      </w:r>
      <w:r w:rsidR="00C60401">
        <w:rPr>
          <w:rFonts w:ascii="Times New Roman" w:hAnsi="Times New Roman" w:cs="Times New Roman"/>
          <w:sz w:val="24"/>
          <w:szCs w:val="24"/>
        </w:rPr>
        <w:t xml:space="preserve"> Century</w:t>
      </w:r>
      <w:r>
        <w:rPr>
          <w:rFonts w:ascii="Times New Roman" w:hAnsi="Times New Roman" w:cs="Times New Roman"/>
          <w:sz w:val="24"/>
          <w:szCs w:val="24"/>
        </w:rPr>
        <w:t xml:space="preserve"> Britain lends support to the idea that what is needed is the vision and leadership to deliver a more maximalist position</w:t>
      </w:r>
      <w:r w:rsidR="00E5572A">
        <w:rPr>
          <w:rFonts w:ascii="Times New Roman" w:hAnsi="Times New Roman" w:cs="Times New Roman"/>
          <w:sz w:val="24"/>
          <w:szCs w:val="24"/>
        </w:rPr>
        <w:t xml:space="preserve"> </w:t>
      </w:r>
      <w:r w:rsidR="00C60401">
        <w:rPr>
          <w:rFonts w:ascii="Times New Roman" w:hAnsi="Times New Roman" w:cs="Times New Roman"/>
          <w:sz w:val="24"/>
          <w:szCs w:val="24"/>
        </w:rPr>
        <w:t>that offers</w:t>
      </w:r>
      <w:r>
        <w:rPr>
          <w:rFonts w:ascii="Times New Roman" w:hAnsi="Times New Roman" w:cs="Times New Roman"/>
          <w:sz w:val="24"/>
          <w:szCs w:val="24"/>
        </w:rPr>
        <w:t xml:space="preserve"> a very different type of governance and policy dynamic.</w:t>
      </w:r>
      <w:r w:rsidR="00C60401">
        <w:rPr>
          <w:rFonts w:ascii="Times New Roman" w:hAnsi="Times New Roman" w:cs="Times New Roman"/>
          <w:sz w:val="24"/>
          <w:szCs w:val="24"/>
        </w:rPr>
        <w:t xml:space="preserve"> In the present context – of a politics that is divided, parties and leaders</w:t>
      </w:r>
      <w:r w:rsidR="002945D3">
        <w:rPr>
          <w:rFonts w:ascii="Times New Roman" w:hAnsi="Times New Roman" w:cs="Times New Roman"/>
          <w:sz w:val="24"/>
          <w:szCs w:val="24"/>
        </w:rPr>
        <w:t>hips</w:t>
      </w:r>
      <w:r w:rsidR="00C60401">
        <w:rPr>
          <w:rFonts w:ascii="Times New Roman" w:hAnsi="Times New Roman" w:cs="Times New Roman"/>
          <w:sz w:val="24"/>
          <w:szCs w:val="24"/>
        </w:rPr>
        <w:t xml:space="preserve"> that are becalmed, a state that is under strain, and an electorate that is discontented –</w:t>
      </w:r>
      <w:r>
        <w:rPr>
          <w:rFonts w:ascii="Times New Roman" w:hAnsi="Times New Roman" w:cs="Times New Roman"/>
          <w:sz w:val="24"/>
          <w:szCs w:val="24"/>
        </w:rPr>
        <w:t xml:space="preserve"> </w:t>
      </w:r>
      <w:r w:rsidR="00C60401">
        <w:rPr>
          <w:rFonts w:ascii="Times New Roman" w:hAnsi="Times New Roman" w:cs="Times New Roman"/>
          <w:sz w:val="24"/>
          <w:szCs w:val="24"/>
        </w:rPr>
        <w:t>s</w:t>
      </w:r>
      <w:r w:rsidR="00E5572A">
        <w:rPr>
          <w:rFonts w:ascii="Times New Roman" w:hAnsi="Times New Roman" w:cs="Times New Roman"/>
          <w:sz w:val="24"/>
          <w:szCs w:val="24"/>
        </w:rPr>
        <w:t xml:space="preserve">uch an outcome </w:t>
      </w:r>
      <w:r w:rsidR="002945D3">
        <w:rPr>
          <w:rFonts w:ascii="Times New Roman" w:hAnsi="Times New Roman" w:cs="Times New Roman"/>
          <w:sz w:val="24"/>
          <w:szCs w:val="24"/>
        </w:rPr>
        <w:t xml:space="preserve">seems </w:t>
      </w:r>
      <w:r w:rsidR="00E5572A">
        <w:rPr>
          <w:rFonts w:ascii="Times New Roman" w:hAnsi="Times New Roman" w:cs="Times New Roman"/>
          <w:sz w:val="24"/>
          <w:szCs w:val="24"/>
        </w:rPr>
        <w:t xml:space="preserve">unlikely but not impossible. The geographical polarisation which now lies at the heart of </w:t>
      </w:r>
      <w:r w:rsidR="00E5572A">
        <w:rPr>
          <w:rFonts w:ascii="Times New Roman" w:hAnsi="Times New Roman" w:cs="Times New Roman"/>
          <w:sz w:val="24"/>
          <w:szCs w:val="24"/>
        </w:rPr>
        <w:lastRenderedPageBreak/>
        <w:t>British politics present</w:t>
      </w:r>
      <w:r w:rsidR="00C60401">
        <w:rPr>
          <w:rFonts w:ascii="Times New Roman" w:hAnsi="Times New Roman" w:cs="Times New Roman"/>
          <w:sz w:val="24"/>
          <w:szCs w:val="24"/>
        </w:rPr>
        <w:t>s</w:t>
      </w:r>
      <w:r w:rsidR="00E5572A">
        <w:rPr>
          <w:rFonts w:ascii="Times New Roman" w:hAnsi="Times New Roman" w:cs="Times New Roman"/>
          <w:sz w:val="24"/>
          <w:szCs w:val="24"/>
        </w:rPr>
        <w:t xml:space="preserve"> opportunities as well as challenges</w:t>
      </w:r>
      <w:r w:rsidR="002945D3">
        <w:rPr>
          <w:rFonts w:ascii="Times New Roman" w:hAnsi="Times New Roman" w:cs="Times New Roman"/>
          <w:sz w:val="24"/>
          <w:szCs w:val="24"/>
        </w:rPr>
        <w:t>. These will be reaped by the party that is best able to offer hope for places of relative decline and at the same time can articulate a political message that is inclusive in terms of identity – bridging the divergent outlooks of the Two Englands.</w:t>
      </w:r>
    </w:p>
    <w:p w14:paraId="1B643F74" w14:textId="77777777" w:rsidR="00C63EE2" w:rsidRDefault="0022162B" w:rsidP="0067684C">
      <w:pPr>
        <w:spacing w:line="480" w:lineRule="auto"/>
        <w:rPr>
          <w:rFonts w:ascii="Times New Roman" w:hAnsi="Times New Roman" w:cs="Times New Roman"/>
          <w:sz w:val="24"/>
          <w:szCs w:val="24"/>
        </w:rPr>
      </w:pPr>
      <w:r>
        <w:rPr>
          <w:rFonts w:ascii="Times New Roman" w:hAnsi="Times New Roman" w:cs="Times New Roman"/>
          <w:sz w:val="24"/>
          <w:szCs w:val="24"/>
        </w:rPr>
        <w:t xml:space="preserve">As the moment of Brexit Day in 2019 approaches, we are faced with a situation where – </w:t>
      </w:r>
      <w:r w:rsidR="00270E61">
        <w:rPr>
          <w:rFonts w:ascii="Times New Roman" w:hAnsi="Times New Roman" w:cs="Times New Roman"/>
          <w:sz w:val="24"/>
          <w:szCs w:val="24"/>
        </w:rPr>
        <w:t>no matter the outcome of the final negotiations</w:t>
      </w:r>
      <w:r>
        <w:rPr>
          <w:rFonts w:ascii="Times New Roman" w:hAnsi="Times New Roman" w:cs="Times New Roman"/>
          <w:sz w:val="24"/>
          <w:szCs w:val="24"/>
        </w:rPr>
        <w:t xml:space="preserve"> – </w:t>
      </w:r>
      <w:r w:rsidR="00BF30F6">
        <w:rPr>
          <w:rFonts w:ascii="Times New Roman" w:hAnsi="Times New Roman" w:cs="Times New Roman"/>
          <w:sz w:val="24"/>
          <w:szCs w:val="24"/>
        </w:rPr>
        <w:t xml:space="preserve">there is no straightforward path for either of </w:t>
      </w:r>
      <w:r w:rsidR="00270E61">
        <w:rPr>
          <w:rFonts w:ascii="Times New Roman" w:hAnsi="Times New Roman" w:cs="Times New Roman"/>
          <w:sz w:val="24"/>
          <w:szCs w:val="24"/>
        </w:rPr>
        <w:t>the two main parties</w:t>
      </w:r>
      <w:r>
        <w:rPr>
          <w:rFonts w:ascii="Times New Roman" w:hAnsi="Times New Roman" w:cs="Times New Roman"/>
          <w:sz w:val="24"/>
          <w:szCs w:val="24"/>
        </w:rPr>
        <w:t xml:space="preserve"> in Westminster </w:t>
      </w:r>
      <w:r w:rsidR="00BF30F6">
        <w:rPr>
          <w:rFonts w:ascii="Times New Roman" w:hAnsi="Times New Roman" w:cs="Times New Roman"/>
          <w:sz w:val="24"/>
          <w:szCs w:val="24"/>
        </w:rPr>
        <w:t>to</w:t>
      </w:r>
      <w:r w:rsidR="0067684C">
        <w:rPr>
          <w:rFonts w:ascii="Times New Roman" w:hAnsi="Times New Roman" w:cs="Times New Roman"/>
          <w:sz w:val="24"/>
          <w:szCs w:val="24"/>
        </w:rPr>
        <w:t xml:space="preserve"> secur</w:t>
      </w:r>
      <w:r w:rsidR="00BF30F6">
        <w:rPr>
          <w:rFonts w:ascii="Times New Roman" w:hAnsi="Times New Roman" w:cs="Times New Roman"/>
          <w:sz w:val="24"/>
          <w:szCs w:val="24"/>
        </w:rPr>
        <w:t>e</w:t>
      </w:r>
      <w:r w:rsidR="0067684C">
        <w:rPr>
          <w:rFonts w:ascii="Times New Roman" w:hAnsi="Times New Roman" w:cs="Times New Roman"/>
          <w:sz w:val="24"/>
          <w:szCs w:val="24"/>
        </w:rPr>
        <w:t xml:space="preserve"> </w:t>
      </w:r>
      <w:r w:rsidR="00270E61">
        <w:rPr>
          <w:rFonts w:ascii="Times New Roman" w:hAnsi="Times New Roman" w:cs="Times New Roman"/>
          <w:sz w:val="24"/>
          <w:szCs w:val="24"/>
        </w:rPr>
        <w:t xml:space="preserve">a </w:t>
      </w:r>
      <w:r w:rsidR="0067684C">
        <w:rPr>
          <w:rFonts w:ascii="Times New Roman" w:hAnsi="Times New Roman" w:cs="Times New Roman"/>
          <w:sz w:val="24"/>
          <w:szCs w:val="24"/>
        </w:rPr>
        <w:t>large</w:t>
      </w:r>
      <w:r w:rsidR="00BF30F6">
        <w:rPr>
          <w:rFonts w:ascii="Times New Roman" w:hAnsi="Times New Roman" w:cs="Times New Roman"/>
          <w:sz w:val="24"/>
          <w:szCs w:val="24"/>
        </w:rPr>
        <w:t xml:space="preserve"> parliamentary</w:t>
      </w:r>
      <w:r w:rsidR="00270E61">
        <w:rPr>
          <w:rFonts w:ascii="Times New Roman" w:hAnsi="Times New Roman" w:cs="Times New Roman"/>
          <w:sz w:val="24"/>
          <w:szCs w:val="24"/>
        </w:rPr>
        <w:t xml:space="preserve"> majority</w:t>
      </w:r>
      <w:r w:rsidR="00E157D9">
        <w:rPr>
          <w:rFonts w:ascii="Times New Roman" w:hAnsi="Times New Roman" w:cs="Times New Roman"/>
          <w:sz w:val="24"/>
          <w:szCs w:val="24"/>
        </w:rPr>
        <w:t xml:space="preserve"> from a divided and disenchanted electorate</w:t>
      </w:r>
      <w:r w:rsidR="0067684C">
        <w:rPr>
          <w:rFonts w:ascii="Times New Roman" w:hAnsi="Times New Roman" w:cs="Times New Roman"/>
          <w:sz w:val="24"/>
          <w:szCs w:val="24"/>
        </w:rPr>
        <w:t>.</w:t>
      </w:r>
      <w:r w:rsidR="00BF30F6">
        <w:rPr>
          <w:rFonts w:ascii="Times New Roman" w:hAnsi="Times New Roman" w:cs="Times New Roman"/>
          <w:sz w:val="24"/>
          <w:szCs w:val="24"/>
        </w:rPr>
        <w:t xml:space="preserve"> That is even before any disappointment felt by voters regarding the precise form and delivery of Brexit.</w:t>
      </w:r>
      <w:r w:rsidR="0067684C">
        <w:rPr>
          <w:rFonts w:ascii="Times New Roman" w:hAnsi="Times New Roman" w:cs="Times New Roman"/>
          <w:sz w:val="24"/>
          <w:szCs w:val="24"/>
        </w:rPr>
        <w:t xml:space="preserve"> The parties are in an even more invidious position when it comes to the task of </w:t>
      </w:r>
      <w:r w:rsidR="00270E61">
        <w:rPr>
          <w:rFonts w:ascii="Times New Roman" w:hAnsi="Times New Roman" w:cs="Times New Roman"/>
          <w:sz w:val="24"/>
          <w:szCs w:val="24"/>
        </w:rPr>
        <w:t xml:space="preserve">designing policy responses </w:t>
      </w:r>
      <w:r w:rsidR="00BF30F6">
        <w:rPr>
          <w:rFonts w:ascii="Times New Roman" w:hAnsi="Times New Roman" w:cs="Times New Roman"/>
          <w:sz w:val="24"/>
          <w:szCs w:val="24"/>
        </w:rPr>
        <w:t xml:space="preserve">that address </w:t>
      </w:r>
      <w:r w:rsidR="00270E61">
        <w:rPr>
          <w:rFonts w:ascii="Times New Roman" w:hAnsi="Times New Roman" w:cs="Times New Roman"/>
          <w:sz w:val="24"/>
          <w:szCs w:val="24"/>
        </w:rPr>
        <w:t xml:space="preserve">the </w:t>
      </w:r>
      <w:r w:rsidR="00BF30F6">
        <w:rPr>
          <w:rFonts w:ascii="Times New Roman" w:hAnsi="Times New Roman" w:cs="Times New Roman"/>
          <w:sz w:val="24"/>
          <w:szCs w:val="24"/>
        </w:rPr>
        <w:t>disparate</w:t>
      </w:r>
      <w:r w:rsidR="00E157D9">
        <w:rPr>
          <w:rFonts w:ascii="Times New Roman" w:hAnsi="Times New Roman" w:cs="Times New Roman"/>
          <w:sz w:val="24"/>
          <w:szCs w:val="24"/>
        </w:rPr>
        <w:t xml:space="preserve"> social and economic challenges </w:t>
      </w:r>
      <w:r w:rsidR="00BF30F6">
        <w:rPr>
          <w:rFonts w:ascii="Times New Roman" w:hAnsi="Times New Roman" w:cs="Times New Roman"/>
          <w:sz w:val="24"/>
          <w:szCs w:val="24"/>
        </w:rPr>
        <w:t>confronting</w:t>
      </w:r>
      <w:r w:rsidR="00E157D9">
        <w:rPr>
          <w:rFonts w:ascii="Times New Roman" w:hAnsi="Times New Roman" w:cs="Times New Roman"/>
          <w:sz w:val="24"/>
          <w:szCs w:val="24"/>
        </w:rPr>
        <w:t xml:space="preserve"> different parts of </w:t>
      </w:r>
      <w:r w:rsidR="00BF30F6">
        <w:rPr>
          <w:rFonts w:ascii="Times New Roman" w:hAnsi="Times New Roman" w:cs="Times New Roman"/>
          <w:sz w:val="24"/>
          <w:szCs w:val="24"/>
        </w:rPr>
        <w:t>the country</w:t>
      </w:r>
      <w:r w:rsidR="00E157D9">
        <w:rPr>
          <w:rFonts w:ascii="Times New Roman" w:hAnsi="Times New Roman" w:cs="Times New Roman"/>
          <w:sz w:val="24"/>
          <w:szCs w:val="24"/>
        </w:rPr>
        <w:t xml:space="preserve">. </w:t>
      </w:r>
    </w:p>
    <w:p w14:paraId="6FE30E45" w14:textId="77777777" w:rsidR="00943100" w:rsidRDefault="00943100" w:rsidP="0067684C">
      <w:pPr>
        <w:spacing w:line="480" w:lineRule="auto"/>
        <w:rPr>
          <w:rFonts w:ascii="Times New Roman" w:hAnsi="Times New Roman" w:cs="Times New Roman"/>
          <w:sz w:val="24"/>
          <w:szCs w:val="24"/>
        </w:rPr>
      </w:pPr>
      <w:r w:rsidRPr="00943100">
        <w:rPr>
          <w:rFonts w:ascii="Times New Roman" w:hAnsi="Times New Roman" w:cs="Times New Roman"/>
          <w:sz w:val="24"/>
          <w:szCs w:val="24"/>
        </w:rPr>
        <w:t xml:space="preserve">If we are correct about the new dynamics driving British politics, it will eventually reach a breaking point: based on their actions since 23rd June 2016, both the Conservatives and Labour are struggling to reach a position on Brexit that is viable either in terms of satisfying their supporters or in terms of securing a deal with the EU. At the moment, both party leaderships are engaged in dangerous fantasies of the sunlit uplands that await for British politics after Brexit. On Brexit, neither party is being straight with their supporters. The Conservatives remain in thrall to their Eurosceptic wing, not facing up to the compromises that need to be made, while Labour is offering the meekest of opposition on Brexit, despite the majority of their voters supporting Remain. Neither party seems able to tackle the pressing </w:t>
      </w:r>
      <w:r>
        <w:rPr>
          <w:rFonts w:ascii="Times New Roman" w:hAnsi="Times New Roman" w:cs="Times New Roman"/>
          <w:sz w:val="24"/>
          <w:szCs w:val="24"/>
        </w:rPr>
        <w:t>challenges</w:t>
      </w:r>
      <w:r w:rsidRPr="00943100">
        <w:rPr>
          <w:rFonts w:ascii="Times New Roman" w:hAnsi="Times New Roman" w:cs="Times New Roman"/>
          <w:sz w:val="24"/>
          <w:szCs w:val="24"/>
        </w:rPr>
        <w:t xml:space="preserve"> facing the country, instead offering a sad mix of infighting and cynical posturing. Given the tide of change in electoral politics we identify, it may take time for the parties to adjust their strategies, but time may be running out for a political class who appear so dramatically out of touch.</w:t>
      </w:r>
    </w:p>
    <w:sectPr w:rsidR="00943100">
      <w:endnotePr>
        <w:numFmt w:val="decimal"/>
      </w:endnotePr>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5BBF7" w16cid:durableId="1F6032AA"/>
  <w16cid:commentId w16cid:paraId="2358EA2B" w16cid:durableId="1F6032AB"/>
  <w16cid:commentId w16cid:paraId="251C3BC7" w16cid:durableId="1F6032AC"/>
  <w16cid:commentId w16cid:paraId="56C77C70" w16cid:durableId="1F60344F"/>
  <w16cid:commentId w16cid:paraId="472E180F" w16cid:durableId="1F6032AD"/>
  <w16cid:commentId w16cid:paraId="4E5DDE53" w16cid:durableId="1F6032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BF63E" w14:textId="77777777" w:rsidR="007B64EC" w:rsidRDefault="007B64EC" w:rsidP="00FF3553">
      <w:pPr>
        <w:spacing w:after="0" w:line="240" w:lineRule="auto"/>
      </w:pPr>
      <w:r>
        <w:separator/>
      </w:r>
    </w:p>
  </w:endnote>
  <w:endnote w:type="continuationSeparator" w:id="0">
    <w:p w14:paraId="1859622B" w14:textId="77777777" w:rsidR="007B64EC" w:rsidRDefault="007B64EC" w:rsidP="00FF3553">
      <w:pPr>
        <w:spacing w:after="0" w:line="240" w:lineRule="auto"/>
      </w:pPr>
      <w:r>
        <w:continuationSeparator/>
      </w:r>
    </w:p>
  </w:endnote>
  <w:endnote w:id="1">
    <w:p w14:paraId="77E629D6"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W. Jennings and G. Stoker, ‘The Bifurcation of Politics: Two Englands’,</w:t>
      </w:r>
      <w:r w:rsidRPr="00C050A4">
        <w:rPr>
          <w:rFonts w:ascii="Times New Roman" w:hAnsi="Times New Roman" w:cs="Times New Roman"/>
          <w:i/>
        </w:rPr>
        <w:t xml:space="preserve"> Political Quarterly</w:t>
      </w:r>
      <w:r w:rsidRPr="00C050A4">
        <w:rPr>
          <w:rFonts w:ascii="Times New Roman" w:hAnsi="Times New Roman" w:cs="Times New Roman"/>
        </w:rPr>
        <w:t xml:space="preserve">, vol. 87, no, 3, 2016, pp. 372-82; W. Jennings and G. Stoker, ‘Tilting towards the cosmopolitan axis? Political change in England and the 2017 general election’, </w:t>
      </w:r>
      <w:r w:rsidRPr="00C050A4">
        <w:rPr>
          <w:rFonts w:ascii="Times New Roman" w:hAnsi="Times New Roman" w:cs="Times New Roman"/>
          <w:i/>
        </w:rPr>
        <w:t>Political Quarterly</w:t>
      </w:r>
      <w:r w:rsidRPr="00C050A4">
        <w:rPr>
          <w:rFonts w:ascii="Times New Roman" w:hAnsi="Times New Roman" w:cs="Times New Roman"/>
        </w:rPr>
        <w:t xml:space="preserve">, vol. 88, no. 3, 2017, pp. 359-369; W. Jennings, A. Bua, R. Laurence and W. Brett. </w:t>
      </w:r>
      <w:r w:rsidRPr="00C050A4">
        <w:rPr>
          <w:rFonts w:ascii="Times New Roman" w:hAnsi="Times New Roman" w:cs="Times New Roman"/>
          <w:i/>
        </w:rPr>
        <w:t>Cities and Towns: the 2017 General Election and the Social Divisions of Place</w:t>
      </w:r>
      <w:r w:rsidRPr="00C050A4">
        <w:rPr>
          <w:rFonts w:ascii="Times New Roman" w:hAnsi="Times New Roman" w:cs="Times New Roman"/>
        </w:rPr>
        <w:t>. London: New Economics Foundation, 2017.</w:t>
      </w:r>
    </w:p>
  </w:endnote>
  <w:endnote w:id="2">
    <w:p w14:paraId="539B41DE" w14:textId="07FBA391"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E.g. A. Rodríguez-Pose, ‘The revenge of the places that don’t matter (and what to do about it)’, </w:t>
      </w:r>
      <w:r w:rsidRPr="00C050A4">
        <w:rPr>
          <w:rFonts w:ascii="Times New Roman" w:hAnsi="Times New Roman" w:cs="Times New Roman"/>
          <w:i/>
        </w:rPr>
        <w:t>Cambridge Journal of Regions, Economy and Society</w:t>
      </w:r>
      <w:r w:rsidRPr="00C050A4">
        <w:rPr>
          <w:rFonts w:ascii="Times New Roman" w:hAnsi="Times New Roman" w:cs="Times New Roman"/>
        </w:rPr>
        <w:t>, vol. 11, no. 1, 2018, pp. 189-209.</w:t>
      </w:r>
    </w:p>
  </w:endnote>
  <w:endnote w:id="3">
    <w:p w14:paraId="063AC5E8"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Jennings and Stoker, ‘The Bifurcation of Politics’, ‘Tilting towards the cosmopolitan axis?’.</w:t>
      </w:r>
    </w:p>
  </w:endnote>
  <w:endnote w:id="4">
    <w:p w14:paraId="49DB89D2"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S.B. Hobolt, ‘Brexit and the 2017 UK General Election’, </w:t>
      </w:r>
      <w:r w:rsidRPr="00C050A4">
        <w:rPr>
          <w:rFonts w:ascii="Times New Roman" w:hAnsi="Times New Roman" w:cs="Times New Roman"/>
          <w:i/>
        </w:rPr>
        <w:t>JCMS: Journal of Common Market Studies</w:t>
      </w:r>
      <w:r w:rsidRPr="00C050A4">
        <w:rPr>
          <w:rFonts w:ascii="Times New Roman" w:hAnsi="Times New Roman" w:cs="Times New Roman"/>
        </w:rPr>
        <w:t>, 2018.</w:t>
      </w:r>
    </w:p>
  </w:endnote>
  <w:endnote w:id="5">
    <w:p w14:paraId="0643193B"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P.R. Krugman, </w:t>
      </w:r>
      <w:r w:rsidRPr="00C050A4">
        <w:rPr>
          <w:rFonts w:ascii="Times New Roman" w:hAnsi="Times New Roman" w:cs="Times New Roman"/>
          <w:i/>
        </w:rPr>
        <w:t>Geography and Trade</w:t>
      </w:r>
      <w:r w:rsidRPr="00C050A4">
        <w:rPr>
          <w:rFonts w:ascii="Times New Roman" w:hAnsi="Times New Roman" w:cs="Times New Roman"/>
        </w:rPr>
        <w:t>, 1991, Boston: MIT Press.</w:t>
      </w:r>
    </w:p>
  </w:endnote>
  <w:endnote w:id="6">
    <w:p w14:paraId="572B9B0A"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J. Cliffe, ‘England’s cosmopolitan future: Clacton versus Cambridge’, </w:t>
      </w:r>
      <w:r w:rsidRPr="00C050A4">
        <w:rPr>
          <w:rFonts w:ascii="Times New Roman" w:hAnsi="Times New Roman" w:cs="Times New Roman"/>
          <w:i/>
        </w:rPr>
        <w:t>The Economist</w:t>
      </w:r>
      <w:r w:rsidRPr="00C050A4">
        <w:rPr>
          <w:rFonts w:ascii="Times New Roman" w:hAnsi="Times New Roman" w:cs="Times New Roman"/>
        </w:rPr>
        <w:t>, September 6</w:t>
      </w:r>
      <w:r w:rsidRPr="00C050A4">
        <w:rPr>
          <w:rFonts w:ascii="Times New Roman" w:hAnsi="Times New Roman" w:cs="Times New Roman"/>
          <w:vertAlign w:val="superscript"/>
        </w:rPr>
        <w:t>th</w:t>
      </w:r>
      <w:r w:rsidRPr="00C050A4">
        <w:rPr>
          <w:rFonts w:ascii="Times New Roman" w:hAnsi="Times New Roman" w:cs="Times New Roman"/>
        </w:rPr>
        <w:t>, 2014.</w:t>
      </w:r>
    </w:p>
  </w:endnote>
  <w:endnote w:id="7">
    <w:p w14:paraId="3EE7A7B9"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C. Martinez-Fernandez, I. Audirac, S. Fol, and E. Cunningham-Sabot, ‘Shrinking Cities: Urban Challenges of Globalization’, </w:t>
      </w:r>
      <w:r w:rsidRPr="00C050A4">
        <w:rPr>
          <w:rFonts w:ascii="Times New Roman" w:hAnsi="Times New Roman" w:cs="Times New Roman"/>
          <w:i/>
        </w:rPr>
        <w:t>International Journal of Urban and Regional Research,</w:t>
      </w:r>
      <w:r w:rsidRPr="00C050A4">
        <w:rPr>
          <w:rFonts w:ascii="Times New Roman" w:hAnsi="Times New Roman" w:cs="Times New Roman"/>
        </w:rPr>
        <w:t xml:space="preserve"> vol. 36, no. 2, 2012, pp.213-225.</w:t>
      </w:r>
    </w:p>
  </w:endnote>
  <w:endnote w:id="8">
    <w:p w14:paraId="581A3CEC"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E. Moretti, </w:t>
      </w:r>
      <w:r w:rsidRPr="00C050A4">
        <w:rPr>
          <w:rFonts w:ascii="Times New Roman" w:hAnsi="Times New Roman" w:cs="Times New Roman"/>
          <w:i/>
          <w:iCs/>
        </w:rPr>
        <w:t>The New Geography of Jobs</w:t>
      </w:r>
      <w:r w:rsidRPr="00C050A4">
        <w:rPr>
          <w:rFonts w:ascii="Times New Roman" w:hAnsi="Times New Roman" w:cs="Times New Roman"/>
        </w:rPr>
        <w:t>, London, 2012.</w:t>
      </w:r>
    </w:p>
  </w:endnote>
  <w:endnote w:id="9">
    <w:p w14:paraId="11951ECC"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P. Surridge, ‘Education and Liberalism: Pursuing the Link’, </w:t>
      </w:r>
      <w:r w:rsidRPr="00C050A4">
        <w:rPr>
          <w:rFonts w:ascii="Times New Roman" w:hAnsi="Times New Roman" w:cs="Times New Roman"/>
          <w:i/>
        </w:rPr>
        <w:t>Oxford Review of Education,</w:t>
      </w:r>
      <w:r w:rsidRPr="00C050A4">
        <w:rPr>
          <w:rFonts w:ascii="Times New Roman" w:hAnsi="Times New Roman" w:cs="Times New Roman"/>
        </w:rPr>
        <w:t xml:space="preserve"> vol. 42, no. 2, 2016, pp. 146-164.</w:t>
      </w:r>
    </w:p>
  </w:endnote>
  <w:endnote w:id="10">
    <w:p w14:paraId="20CB3793" w14:textId="0D163640"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A.F.Heath, S.D.Fisher, G. Rosenblatt, D.Sanders, and M.Sobolewska, </w:t>
      </w:r>
      <w:r w:rsidRPr="00C050A4">
        <w:rPr>
          <w:rFonts w:ascii="Times New Roman" w:hAnsi="Times New Roman" w:cs="Times New Roman"/>
          <w:i/>
        </w:rPr>
        <w:t>The Political Integration of Ethnic Minorities in Britain</w:t>
      </w:r>
      <w:r w:rsidRPr="00C050A4">
        <w:rPr>
          <w:rFonts w:ascii="Times New Roman" w:hAnsi="Times New Roman" w:cs="Times New Roman"/>
        </w:rPr>
        <w:t>, Oxford, 2013.</w:t>
      </w:r>
    </w:p>
  </w:endnote>
  <w:endnote w:id="11">
    <w:p w14:paraId="388665F9" w14:textId="77777777" w:rsidR="00DF6D80" w:rsidRPr="00E9156C" w:rsidRDefault="00DF6D80" w:rsidP="00DF6D80">
      <w:pPr>
        <w:pStyle w:val="EndnoteText"/>
        <w:spacing w:after="120"/>
        <w:rPr>
          <w:rFonts w:ascii="Times New Roman" w:hAnsi="Times New Roman" w:cs="Times New Roman"/>
        </w:rPr>
      </w:pPr>
      <w:r w:rsidRPr="00E9156C">
        <w:rPr>
          <w:rStyle w:val="EndnoteReference"/>
          <w:rFonts w:ascii="Times New Roman" w:hAnsi="Times New Roman" w:cs="Times New Roman"/>
        </w:rPr>
        <w:endnoteRef/>
      </w:r>
      <w:r w:rsidRPr="00E9156C">
        <w:rPr>
          <w:rFonts w:ascii="Times New Roman" w:hAnsi="Times New Roman" w:cs="Times New Roman"/>
        </w:rPr>
        <w:t xml:space="preserve"> J. Gest, </w:t>
      </w:r>
      <w:r w:rsidRPr="00E9156C">
        <w:rPr>
          <w:rFonts w:ascii="Times New Roman" w:hAnsi="Times New Roman" w:cs="Times New Roman"/>
          <w:i/>
        </w:rPr>
        <w:t>The New Minority White Working Class Politics in an Age of Immigration and Inequality</w:t>
      </w:r>
      <w:r w:rsidRPr="00E9156C">
        <w:rPr>
          <w:rFonts w:ascii="Times New Roman" w:hAnsi="Times New Roman" w:cs="Times New Roman"/>
        </w:rPr>
        <w:t>, 201</w:t>
      </w:r>
      <w:r>
        <w:rPr>
          <w:rFonts w:ascii="Times New Roman" w:hAnsi="Times New Roman" w:cs="Times New Roman"/>
        </w:rPr>
        <w:t>6</w:t>
      </w:r>
      <w:r w:rsidRPr="00E9156C">
        <w:rPr>
          <w:rFonts w:ascii="Times New Roman" w:hAnsi="Times New Roman" w:cs="Times New Roman"/>
        </w:rPr>
        <w:t>, Oxford: Oxford University Press.</w:t>
      </w:r>
    </w:p>
  </w:endnote>
  <w:endnote w:id="12">
    <w:p w14:paraId="1702D933"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R. Inglehart and P. Norris, ‘Trump and the populist authoritarian parties: the silent revolution in reverse’, </w:t>
      </w:r>
      <w:r w:rsidRPr="00E9156C">
        <w:rPr>
          <w:rFonts w:ascii="Times New Roman" w:hAnsi="Times New Roman" w:cs="Times New Roman"/>
          <w:i/>
        </w:rPr>
        <w:t>Perspectives on Politics</w:t>
      </w:r>
      <w:r w:rsidRPr="00C050A4">
        <w:rPr>
          <w:rFonts w:ascii="Times New Roman" w:hAnsi="Times New Roman" w:cs="Times New Roman"/>
        </w:rPr>
        <w:t>, vol. 15, no. 2, 2017, pp. 443-454.</w:t>
      </w:r>
    </w:p>
  </w:endnote>
  <w:endnote w:id="13">
    <w:p w14:paraId="0CFA429C"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A. Pike, D. MacKinnon, M. Coombes, T. Champion, D. Bradley, A. Cumbers, L. Robson and C. Wymer, </w:t>
      </w:r>
      <w:r w:rsidRPr="00C050A4">
        <w:rPr>
          <w:rFonts w:ascii="Times New Roman" w:hAnsi="Times New Roman" w:cs="Times New Roman"/>
          <w:i/>
        </w:rPr>
        <w:t>Uneven growth: tackling city decline</w:t>
      </w:r>
      <w:r w:rsidRPr="00C050A4">
        <w:rPr>
          <w:rFonts w:ascii="Times New Roman" w:hAnsi="Times New Roman" w:cs="Times New Roman"/>
        </w:rPr>
        <w:t>, 2016, York: Joseph Rowntree Foundation.</w:t>
      </w:r>
    </w:p>
  </w:endnote>
  <w:endnote w:id="14">
    <w:p w14:paraId="77DA1E67" w14:textId="77777777" w:rsidR="00DF6D80" w:rsidRPr="00C050A4" w:rsidRDefault="00DF6D80" w:rsidP="00DF6D80">
      <w:pPr>
        <w:spacing w:after="120" w:line="240" w:lineRule="auto"/>
        <w:rPr>
          <w:rFonts w:ascii="Times New Roman" w:hAnsi="Times New Roman" w:cs="Times New Roman"/>
          <w:sz w:val="20"/>
          <w:szCs w:val="20"/>
        </w:rPr>
      </w:pPr>
      <w:r w:rsidRPr="00C050A4">
        <w:rPr>
          <w:rStyle w:val="EndnoteReference"/>
          <w:rFonts w:ascii="Times New Roman" w:hAnsi="Times New Roman" w:cs="Times New Roman"/>
          <w:sz w:val="20"/>
          <w:szCs w:val="20"/>
        </w:rPr>
        <w:endnoteRef/>
      </w:r>
      <w:r w:rsidRPr="00C050A4">
        <w:rPr>
          <w:rFonts w:ascii="Times New Roman" w:hAnsi="Times New Roman" w:cs="Times New Roman"/>
          <w:sz w:val="20"/>
          <w:szCs w:val="20"/>
        </w:rPr>
        <w:t xml:space="preserve"> To construct this measure values for each of the following indicators are first standardised (i.e. rescaled by subtracting the mean (</w:t>
      </w:r>
      <m:oMath>
        <m:r>
          <m:rPr>
            <m:sty m:val="p"/>
          </m:rPr>
          <w:rPr>
            <w:rFonts w:ascii="Cambria Math" w:hAnsi="Cambria Math" w:cs="Times New Roman"/>
            <w:sz w:val="20"/>
            <w:szCs w:val="20"/>
          </w:rPr>
          <m:t>μ</m:t>
        </m:r>
      </m:oMath>
      <w:r w:rsidRPr="00C050A4">
        <w:rPr>
          <w:rFonts w:ascii="Times New Roman" w:hAnsi="Times New Roman" w:cs="Times New Roman"/>
          <w:sz w:val="20"/>
          <w:szCs w:val="20"/>
        </w:rPr>
        <w:t>) from the observed value (</w:t>
      </w:r>
      <m:oMath>
        <m:r>
          <m:rPr>
            <m:sty m:val="p"/>
          </m:rPr>
          <w:rPr>
            <w:rFonts w:ascii="Cambria Math" w:hAnsi="Cambria Math" w:cs="Times New Roman"/>
            <w:sz w:val="20"/>
            <w:szCs w:val="20"/>
          </w:rPr>
          <m:t>x</m:t>
        </m:r>
      </m:oMath>
      <w:r w:rsidRPr="00C050A4">
        <w:rPr>
          <w:rFonts w:ascii="Times New Roman" w:hAnsi="Times New Roman" w:cs="Times New Roman"/>
          <w:sz w:val="20"/>
          <w:szCs w:val="20"/>
        </w:rPr>
        <w:t>) and dividing by the standard deviation (</w:t>
      </w:r>
      <m:oMath>
        <m:r>
          <m:rPr>
            <m:sty m:val="p"/>
          </m:rPr>
          <w:rPr>
            <w:rFonts w:ascii="Cambria Math" w:hAnsi="Cambria Math" w:cs="Times New Roman"/>
            <w:sz w:val="20"/>
            <w:szCs w:val="20"/>
          </w:rPr>
          <m:t>σ</m:t>
        </m:r>
      </m:oMath>
      <w:r w:rsidRPr="00C050A4">
        <w:rPr>
          <w:rFonts w:ascii="Times New Roman" w:hAnsi="Times New Roman" w:cs="Times New Roman"/>
          <w:sz w:val="20"/>
          <w:szCs w:val="20"/>
        </w:rPr>
        <w:t xml:space="preserve">): </w:t>
      </w:r>
      <m:oMath>
        <m:r>
          <w:rPr>
            <w:rFonts w:ascii="Cambria Math" w:hAnsi="Cambria Math" w:cs="Times New Roman"/>
            <w:sz w:val="20"/>
            <w:szCs w:val="20"/>
          </w:rPr>
          <m:t>z</m:t>
        </m:r>
        <m:r>
          <m:rPr>
            <m:sty m:val="p"/>
          </m:rPr>
          <w:rPr>
            <w:rFonts w:ascii="Cambria Math" w:hAnsi="Cambria Math" w:cs="Times New Roman"/>
            <w:sz w:val="20"/>
            <w:szCs w:val="20"/>
          </w:rPr>
          <m:t>=</m:t>
        </m:r>
        <m:f>
          <m:fPr>
            <m:ctrlPr>
              <w:rPr>
                <w:rFonts w:ascii="Cambria Math" w:hAnsi="Cambria Math" w:cs="Times New Roman"/>
                <w:iCs/>
                <w:sz w:val="20"/>
                <w:szCs w:val="20"/>
              </w:rPr>
            </m:ctrlPr>
          </m:fPr>
          <m:num>
            <m:r>
              <m:rPr>
                <m:sty m:val="p"/>
              </m:rPr>
              <w:rPr>
                <w:rFonts w:ascii="Cambria Math" w:hAnsi="Cambria Math" w:cs="Times New Roman"/>
                <w:sz w:val="20"/>
                <w:szCs w:val="20"/>
              </w:rPr>
              <m:t>(x-μ)</m:t>
            </m:r>
          </m:num>
          <m:den>
            <m:r>
              <m:rPr>
                <m:sty m:val="p"/>
              </m:rPr>
              <w:rPr>
                <w:rFonts w:ascii="Cambria Math" w:hAnsi="Cambria Math" w:cs="Times New Roman"/>
                <w:sz w:val="20"/>
                <w:szCs w:val="20"/>
              </w:rPr>
              <m:t>σ</m:t>
            </m:r>
          </m:den>
        </m:f>
      </m:oMath>
      <w:r w:rsidRPr="00C050A4">
        <w:rPr>
          <w:rFonts w:ascii="Times New Roman" w:eastAsiaTheme="minorEastAsia" w:hAnsi="Times New Roman" w:cs="Times New Roman"/>
          <w:iCs/>
          <w:sz w:val="20"/>
          <w:szCs w:val="20"/>
        </w:rPr>
        <w:t xml:space="preserve"> </w:t>
      </w:r>
      <w:r w:rsidRPr="00C050A4">
        <w:rPr>
          <w:rFonts w:ascii="Times New Roman" w:eastAsiaTheme="minorEastAsia" w:hAnsi="Times New Roman" w:cs="Times New Roman"/>
          <w:sz w:val="20"/>
          <w:szCs w:val="20"/>
        </w:rPr>
        <w:t>)</w:t>
      </w:r>
      <w:r w:rsidRPr="00C050A4">
        <w:rPr>
          <w:rFonts w:ascii="Times New Roman" w:hAnsi="Times New Roman" w:cs="Times New Roman"/>
          <w:sz w:val="20"/>
          <w:szCs w:val="20"/>
        </w:rPr>
        <w:t xml:space="preserve"> across all 573 parliamentary constituencies in England and Wales: </w:t>
      </w:r>
    </w:p>
    <w:p w14:paraId="05CD5D6B" w14:textId="77777777" w:rsidR="00DF6D80" w:rsidRPr="00C050A4" w:rsidRDefault="00DF6D80" w:rsidP="00DF6D80">
      <w:pPr>
        <w:pStyle w:val="ListParagraph"/>
        <w:numPr>
          <w:ilvl w:val="0"/>
          <w:numId w:val="10"/>
        </w:numPr>
        <w:spacing w:after="120" w:line="240" w:lineRule="auto"/>
        <w:rPr>
          <w:rFonts w:ascii="Times New Roman" w:hAnsi="Times New Roman" w:cs="Times New Roman"/>
          <w:sz w:val="20"/>
          <w:szCs w:val="20"/>
        </w:rPr>
      </w:pPr>
      <w:r w:rsidRPr="00C050A4">
        <w:rPr>
          <w:rFonts w:ascii="Times New Roman" w:hAnsi="Times New Roman" w:cs="Times New Roman"/>
          <w:sz w:val="20"/>
          <w:szCs w:val="20"/>
        </w:rPr>
        <w:t xml:space="preserve">Change in the rate of economic activity (%), 2001 to 2011. </w:t>
      </w:r>
    </w:p>
    <w:p w14:paraId="3285790F" w14:textId="77777777" w:rsidR="00DF6D80" w:rsidRPr="00C050A4" w:rsidRDefault="00DF6D80" w:rsidP="00DF6D80">
      <w:pPr>
        <w:pStyle w:val="ListParagraph"/>
        <w:numPr>
          <w:ilvl w:val="0"/>
          <w:numId w:val="10"/>
        </w:numPr>
        <w:spacing w:after="120" w:line="240" w:lineRule="auto"/>
        <w:rPr>
          <w:rFonts w:ascii="Times New Roman" w:hAnsi="Times New Roman" w:cs="Times New Roman"/>
          <w:sz w:val="20"/>
          <w:szCs w:val="20"/>
        </w:rPr>
      </w:pPr>
      <w:r w:rsidRPr="00C050A4">
        <w:rPr>
          <w:rFonts w:ascii="Times New Roman" w:hAnsi="Times New Roman" w:cs="Times New Roman"/>
          <w:sz w:val="20"/>
          <w:szCs w:val="20"/>
        </w:rPr>
        <w:t xml:space="preserve">Change in the number of businesses (all firms), 2010 to 2016. </w:t>
      </w:r>
    </w:p>
    <w:p w14:paraId="45820E37" w14:textId="77777777" w:rsidR="00DF6D80" w:rsidRPr="00C050A4" w:rsidRDefault="00DF6D80" w:rsidP="00DF6D80">
      <w:pPr>
        <w:pStyle w:val="ListParagraph"/>
        <w:numPr>
          <w:ilvl w:val="0"/>
          <w:numId w:val="10"/>
        </w:numPr>
        <w:spacing w:after="120" w:line="240" w:lineRule="auto"/>
        <w:rPr>
          <w:rFonts w:ascii="Times New Roman" w:hAnsi="Times New Roman" w:cs="Times New Roman"/>
          <w:sz w:val="20"/>
          <w:szCs w:val="20"/>
        </w:rPr>
      </w:pPr>
      <w:r w:rsidRPr="00C050A4">
        <w:rPr>
          <w:rFonts w:ascii="Times New Roman" w:hAnsi="Times New Roman" w:cs="Times New Roman"/>
          <w:sz w:val="20"/>
          <w:szCs w:val="20"/>
        </w:rPr>
        <w:t xml:space="preserve">Change in the number of jobs, 2009 to 2015. </w:t>
      </w:r>
    </w:p>
    <w:p w14:paraId="29681EB0" w14:textId="77777777" w:rsidR="00DF6D80" w:rsidRPr="00C050A4" w:rsidRDefault="00DF6D80" w:rsidP="00DF6D80">
      <w:pPr>
        <w:pStyle w:val="ListParagraph"/>
        <w:numPr>
          <w:ilvl w:val="0"/>
          <w:numId w:val="10"/>
        </w:numPr>
        <w:spacing w:after="120" w:line="240" w:lineRule="auto"/>
        <w:rPr>
          <w:rFonts w:ascii="Times New Roman" w:hAnsi="Times New Roman" w:cs="Times New Roman"/>
          <w:sz w:val="20"/>
          <w:szCs w:val="20"/>
        </w:rPr>
      </w:pPr>
      <w:r w:rsidRPr="00C050A4">
        <w:rPr>
          <w:rFonts w:ascii="Times New Roman" w:hAnsi="Times New Roman" w:cs="Times New Roman"/>
          <w:sz w:val="20"/>
          <w:szCs w:val="20"/>
        </w:rPr>
        <w:t xml:space="preserve">Change in total population, 2001 to 2011. </w:t>
      </w:r>
    </w:p>
    <w:p w14:paraId="1A6DFD16" w14:textId="77777777" w:rsidR="00DF6D80" w:rsidRPr="00C050A4" w:rsidRDefault="00DF6D80" w:rsidP="00DF6D80">
      <w:pPr>
        <w:pStyle w:val="ListParagraph"/>
        <w:numPr>
          <w:ilvl w:val="0"/>
          <w:numId w:val="10"/>
        </w:numPr>
        <w:spacing w:after="120" w:line="240" w:lineRule="auto"/>
        <w:rPr>
          <w:rFonts w:ascii="Times New Roman" w:hAnsi="Times New Roman" w:cs="Times New Roman"/>
          <w:sz w:val="20"/>
          <w:szCs w:val="20"/>
        </w:rPr>
      </w:pPr>
      <w:r w:rsidRPr="00C050A4">
        <w:rPr>
          <w:rFonts w:ascii="Times New Roman" w:hAnsi="Times New Roman" w:cs="Times New Roman"/>
          <w:sz w:val="20"/>
          <w:szCs w:val="20"/>
        </w:rPr>
        <w:t>Change in net inward migration of 15–19 year olds, 2001 to 2011.</w:t>
      </w:r>
    </w:p>
    <w:p w14:paraId="089302D9" w14:textId="77777777" w:rsidR="00DF6D80" w:rsidRPr="00C050A4" w:rsidRDefault="00DF6D80" w:rsidP="00DF6D80">
      <w:pPr>
        <w:pStyle w:val="EndnoteText"/>
        <w:numPr>
          <w:ilvl w:val="0"/>
          <w:numId w:val="10"/>
        </w:numPr>
        <w:spacing w:after="120"/>
        <w:rPr>
          <w:rFonts w:ascii="Times New Roman" w:hAnsi="Times New Roman" w:cs="Times New Roman"/>
        </w:rPr>
      </w:pPr>
      <w:r w:rsidRPr="00C050A4">
        <w:rPr>
          <w:rFonts w:ascii="Times New Roman" w:hAnsi="Times New Roman" w:cs="Times New Roman"/>
        </w:rPr>
        <w:t>Change in proportion of population with a degree, 2001 to 2011.</w:t>
      </w:r>
    </w:p>
    <w:p w14:paraId="0AE0E7BF" w14:textId="77777777" w:rsidR="00DF6D80" w:rsidRPr="00C050A4" w:rsidRDefault="00DF6D80" w:rsidP="00DF6D80">
      <w:pPr>
        <w:pStyle w:val="EndnoteText"/>
        <w:spacing w:after="120"/>
        <w:rPr>
          <w:rFonts w:ascii="Times New Roman" w:hAnsi="Times New Roman" w:cs="Times New Roman"/>
        </w:rPr>
      </w:pPr>
      <w:r w:rsidRPr="00C050A4">
        <w:rPr>
          <w:rFonts w:ascii="Times New Roman" w:hAnsi="Times New Roman" w:cs="Times New Roman"/>
        </w:rPr>
        <w:t xml:space="preserve">The final index takes </w:t>
      </w:r>
      <w:r>
        <w:rPr>
          <w:rFonts w:ascii="Times New Roman" w:hAnsi="Times New Roman" w:cs="Times New Roman"/>
        </w:rPr>
        <w:t xml:space="preserve">the </w:t>
      </w:r>
      <w:r w:rsidRPr="00C050A4">
        <w:rPr>
          <w:rFonts w:ascii="Times New Roman" w:hAnsi="Times New Roman" w:cs="Times New Roman"/>
        </w:rPr>
        <w:t xml:space="preserve">average of the six standardised indicators for each constituency and is then inverted so that higher values indicate greater decline. (Pike et al.’s original measure uses ranks of the constituencies on each of the indicators, whereas we standardise the indicators to provide a more fine-grained measure of relative decline.) </w:t>
      </w:r>
    </w:p>
  </w:endnote>
  <w:endnote w:id="15">
    <w:p w14:paraId="0A7FCD52" w14:textId="77777777" w:rsidR="00DF6D80" w:rsidRPr="00C050A4" w:rsidRDefault="00DF6D80" w:rsidP="00DF6D80">
      <w:pPr>
        <w:pStyle w:val="EndnoteText"/>
        <w:spacing w:after="120"/>
        <w:rPr>
          <w:rFonts w:ascii="Times New Roman" w:hAnsi="Times New Roman" w:cs="Times New Roman"/>
        </w:rPr>
      </w:pPr>
      <w:r w:rsidRPr="003315A2">
        <w:rPr>
          <w:rStyle w:val="EndnoteReference"/>
          <w:rFonts w:ascii="Times New Roman" w:hAnsi="Times New Roman" w:cs="Times New Roman"/>
        </w:rPr>
        <w:endnoteRef/>
      </w:r>
      <w:r w:rsidRPr="003315A2">
        <w:rPr>
          <w:rFonts w:ascii="Times New Roman" w:hAnsi="Times New Roman" w:cs="Times New Roman"/>
        </w:rPr>
        <w:t xml:space="preserve"> C. Hanretty, B. Lauderdale, and N. Vivyan, ‘Dyadic Representation in a Westminster System.’ </w:t>
      </w:r>
      <w:r w:rsidRPr="003315A2">
        <w:rPr>
          <w:rFonts w:ascii="Times New Roman" w:hAnsi="Times New Roman" w:cs="Times New Roman"/>
          <w:i/>
        </w:rPr>
        <w:t>Legislative Studies Quarterly</w:t>
      </w:r>
      <w:r w:rsidRPr="003315A2">
        <w:rPr>
          <w:rFonts w:ascii="Times New Roman" w:hAnsi="Times New Roman" w:cs="Times New Roman"/>
        </w:rPr>
        <w:t>, vol. 42, no. 2, 2017, pp. 235-267.</w:t>
      </w:r>
    </w:p>
  </w:endnote>
  <w:endnote w:id="16">
    <w:p w14:paraId="63F4828D" w14:textId="77777777" w:rsidR="00DF6D80" w:rsidRPr="00E9156C" w:rsidRDefault="00DF6D80" w:rsidP="00DF6D80">
      <w:pPr>
        <w:pStyle w:val="EndnoteText"/>
        <w:spacing w:after="120"/>
        <w:rPr>
          <w:rFonts w:ascii="Times New Roman" w:hAnsi="Times New Roman" w:cs="Times New Roman"/>
        </w:rPr>
      </w:pPr>
      <w:r w:rsidRPr="00E9156C">
        <w:rPr>
          <w:rStyle w:val="EndnoteReference"/>
          <w:rFonts w:ascii="Times New Roman" w:hAnsi="Times New Roman" w:cs="Times New Roman"/>
        </w:rPr>
        <w:endnoteRef/>
      </w:r>
      <w:r w:rsidRPr="00E9156C">
        <w:rPr>
          <w:rFonts w:ascii="Times New Roman" w:hAnsi="Times New Roman" w:cs="Times New Roman"/>
        </w:rPr>
        <w:t xml:space="preserve"> </w:t>
      </w:r>
      <w:r w:rsidRPr="00A4530B">
        <w:rPr>
          <w:rFonts w:ascii="Times New Roman" w:hAnsi="Times New Roman" w:cs="Times New Roman"/>
        </w:rPr>
        <w:t>Rodríguez-Pose, ‘The revenge of the places that don’t matter (and what to do about it)’.</w:t>
      </w:r>
    </w:p>
  </w:endnote>
  <w:endnote w:id="17">
    <w:p w14:paraId="36414B2B" w14:textId="77777777" w:rsidR="00DF6D80" w:rsidRPr="00E9156C" w:rsidRDefault="00DF6D80" w:rsidP="00DF6D80">
      <w:pPr>
        <w:pStyle w:val="EndnoteText"/>
        <w:spacing w:after="120"/>
        <w:rPr>
          <w:rFonts w:ascii="Times New Roman" w:hAnsi="Times New Roman" w:cs="Times New Roman"/>
        </w:rPr>
      </w:pPr>
      <w:r w:rsidRPr="00E9156C">
        <w:rPr>
          <w:rStyle w:val="EndnoteReference"/>
          <w:rFonts w:ascii="Times New Roman" w:hAnsi="Times New Roman" w:cs="Times New Roman"/>
        </w:rPr>
        <w:endnoteRef/>
      </w:r>
      <w:r w:rsidRPr="00E9156C">
        <w:rPr>
          <w:rFonts w:ascii="Times New Roman" w:hAnsi="Times New Roman" w:cs="Times New Roman"/>
        </w:rPr>
        <w:t xml:space="preserve"> W. Jennings, A. Lent and G. Stoker, </w:t>
      </w:r>
      <w:r w:rsidRPr="00E9156C">
        <w:rPr>
          <w:rFonts w:ascii="Times New Roman" w:hAnsi="Times New Roman" w:cs="Times New Roman"/>
          <w:i/>
        </w:rPr>
        <w:t>Place-based Policymaking After Brexit</w:t>
      </w:r>
      <w:r w:rsidRPr="00E9156C">
        <w:rPr>
          <w:rFonts w:ascii="Times New Roman" w:hAnsi="Times New Roman" w:cs="Times New Roman"/>
        </w:rPr>
        <w:t>, 2017, London: New Local Government Network.</w:t>
      </w:r>
    </w:p>
  </w:endnote>
  <w:endnote w:id="18">
    <w:p w14:paraId="0CDB0A8B" w14:textId="77777777" w:rsidR="00DF6D80" w:rsidRPr="00C050A4" w:rsidRDefault="00DF6D80" w:rsidP="00DF6D80">
      <w:pPr>
        <w:pStyle w:val="EndnoteText"/>
        <w:spacing w:after="120"/>
        <w:rPr>
          <w:rFonts w:ascii="Times New Roman" w:hAnsi="Times New Roman" w:cs="Times New Roman"/>
        </w:rPr>
      </w:pPr>
      <w:r w:rsidRPr="00C050A4">
        <w:rPr>
          <w:rStyle w:val="EndnoteReference"/>
          <w:rFonts w:ascii="Times New Roman" w:hAnsi="Times New Roman" w:cs="Times New Roman"/>
        </w:rPr>
        <w:endnoteRef/>
      </w:r>
      <w:r w:rsidRPr="00C050A4">
        <w:rPr>
          <w:rFonts w:ascii="Times New Roman" w:hAnsi="Times New Roman" w:cs="Times New Roman"/>
        </w:rPr>
        <w:t xml:space="preserve"> </w:t>
      </w:r>
      <w:r>
        <w:rPr>
          <w:rFonts w:ascii="Times New Roman" w:hAnsi="Times New Roman" w:cs="Times New Roman"/>
        </w:rPr>
        <w:t xml:space="preserve">J. </w:t>
      </w:r>
      <w:r w:rsidRPr="00E870FF">
        <w:rPr>
          <w:rFonts w:ascii="Times New Roman" w:hAnsi="Times New Roman" w:cs="Times New Roman"/>
        </w:rPr>
        <w:t>Green</w:t>
      </w:r>
      <w:r>
        <w:rPr>
          <w:rFonts w:ascii="Times New Roman" w:hAnsi="Times New Roman" w:cs="Times New Roman"/>
        </w:rPr>
        <w:t xml:space="preserve"> and W.</w:t>
      </w:r>
      <w:r w:rsidRPr="00E870FF">
        <w:rPr>
          <w:rFonts w:ascii="Times New Roman" w:hAnsi="Times New Roman" w:cs="Times New Roman"/>
        </w:rPr>
        <w:t xml:space="preserve"> Jennings, </w:t>
      </w:r>
      <w:r>
        <w:rPr>
          <w:rFonts w:ascii="Times New Roman" w:hAnsi="Times New Roman" w:cs="Times New Roman"/>
        </w:rPr>
        <w:t>‘</w:t>
      </w:r>
      <w:r w:rsidRPr="00E870FF">
        <w:rPr>
          <w:rFonts w:ascii="Times New Roman" w:hAnsi="Times New Roman" w:cs="Times New Roman"/>
        </w:rPr>
        <w:t>Party Reputations and Policy Priorities: How Issue Ownership Shapes Executive and Legislative Agendas</w:t>
      </w:r>
      <w:r>
        <w:rPr>
          <w:rFonts w:ascii="Times New Roman" w:hAnsi="Times New Roman" w:cs="Times New Roman"/>
        </w:rPr>
        <w:t>’,</w:t>
      </w:r>
      <w:r w:rsidRPr="00E870FF">
        <w:rPr>
          <w:rFonts w:ascii="Times New Roman" w:hAnsi="Times New Roman" w:cs="Times New Roman"/>
        </w:rPr>
        <w:t xml:space="preserve"> </w:t>
      </w:r>
      <w:r w:rsidRPr="00E870FF">
        <w:rPr>
          <w:rFonts w:ascii="Times New Roman" w:hAnsi="Times New Roman" w:cs="Times New Roman"/>
          <w:i/>
        </w:rPr>
        <w:t>British Journal of Political Science</w:t>
      </w:r>
      <w:r w:rsidRPr="00E870FF">
        <w:rPr>
          <w:rFonts w:ascii="Times New Roman" w:hAnsi="Times New Roman" w:cs="Times New Roman"/>
        </w:rPr>
        <w:t>,</w:t>
      </w:r>
      <w:r>
        <w:rPr>
          <w:rFonts w:ascii="Times New Roman" w:hAnsi="Times New Roman" w:cs="Times New Roman"/>
        </w:rPr>
        <w:t xml:space="preserve"> 2017,</w:t>
      </w:r>
      <w:r w:rsidRPr="00E870FF">
        <w:rPr>
          <w:rFonts w:ascii="Times New Roman" w:hAnsi="Times New Roman" w:cs="Times New Roman"/>
        </w:rPr>
        <w:t xml:space="preserve"> </w:t>
      </w:r>
      <w:r>
        <w:rPr>
          <w:rFonts w:ascii="Times New Roman" w:hAnsi="Times New Roman" w:cs="Times New Roman"/>
        </w:rPr>
        <w:t>pp.</w:t>
      </w:r>
      <w:r w:rsidRPr="00E870FF">
        <w:rPr>
          <w:rFonts w:ascii="Times New Roman" w:hAnsi="Times New Roman" w:cs="Times New Roman"/>
        </w:rPr>
        <w:t>1-24.</w:t>
      </w:r>
      <w:r>
        <w:rPr>
          <w:rFonts w:ascii="Times New Roman" w:hAnsi="Times New Roman" w:cs="Times New Roman"/>
        </w:rPr>
        <w:t xml:space="preserve"> </w:t>
      </w:r>
      <w:r w:rsidRPr="00E870FF">
        <w:rPr>
          <w:rFonts w:ascii="Times New Roman" w:hAnsi="Times New Roman" w:cs="Times New Roman"/>
        </w:rPr>
        <w:t>doi:10.1017/S0007123416000636</w:t>
      </w:r>
    </w:p>
  </w:endnote>
  <w:endnote w:id="19">
    <w:p w14:paraId="4A302FAB" w14:textId="77777777" w:rsidR="00DF6D80" w:rsidRPr="00902A0B" w:rsidRDefault="00DF6D80" w:rsidP="00DF6D80">
      <w:pPr>
        <w:pStyle w:val="EndnoteText"/>
        <w:spacing w:after="120"/>
        <w:rPr>
          <w:rFonts w:ascii="Times New Roman" w:hAnsi="Times New Roman" w:cs="Times New Roman"/>
        </w:rPr>
      </w:pPr>
      <w:r w:rsidRPr="00902A0B">
        <w:rPr>
          <w:rStyle w:val="EndnoteReference"/>
          <w:rFonts w:ascii="Times New Roman" w:hAnsi="Times New Roman" w:cs="Times New Roman"/>
        </w:rPr>
        <w:endnoteRef/>
      </w:r>
      <w:r w:rsidRPr="00902A0B">
        <w:rPr>
          <w:rFonts w:ascii="Times New Roman" w:hAnsi="Times New Roman" w:cs="Times New Roman"/>
        </w:rPr>
        <w:t xml:space="preserve"> N. Clarke, W. Jennings, J. Moss and G. Stoker, </w:t>
      </w:r>
      <w:r w:rsidRPr="00902A0B">
        <w:rPr>
          <w:rFonts w:ascii="Times New Roman" w:hAnsi="Times New Roman" w:cs="Times New Roman"/>
          <w:i/>
        </w:rPr>
        <w:t>The Good Politician: Folk Theories, Political Interaction, and the Rise of Anti-Politics</w:t>
      </w:r>
      <w:r w:rsidRPr="00902A0B">
        <w:rPr>
          <w:rFonts w:ascii="Times New Roman" w:hAnsi="Times New Roman" w:cs="Times New Roman"/>
        </w:rPr>
        <w:t>, 2018, Cambridge: Cambridge University Press.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AFD4F" w14:textId="77777777" w:rsidR="007B64EC" w:rsidRDefault="007B64EC" w:rsidP="00FF3553">
      <w:pPr>
        <w:spacing w:after="0" w:line="240" w:lineRule="auto"/>
      </w:pPr>
      <w:r>
        <w:separator/>
      </w:r>
    </w:p>
  </w:footnote>
  <w:footnote w:type="continuationSeparator" w:id="0">
    <w:p w14:paraId="6E21F6AF" w14:textId="77777777" w:rsidR="007B64EC" w:rsidRDefault="007B64EC" w:rsidP="00FF3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1CB4"/>
    <w:multiLevelType w:val="hybridMultilevel"/>
    <w:tmpl w:val="DA44E1DE"/>
    <w:lvl w:ilvl="0" w:tplc="B176A980">
      <w:start w:val="1"/>
      <w:numFmt w:val="decimal"/>
      <w:lvlText w:val="%1."/>
      <w:lvlJc w:val="left"/>
      <w:pPr>
        <w:ind w:left="1440" w:hanging="360"/>
      </w:pPr>
      <w:rPr>
        <w:rFonts w:ascii="Times New Roman" w:hAnsi="Times New Roman" w:cs="Times New Roman"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A40CB9"/>
    <w:multiLevelType w:val="hybridMultilevel"/>
    <w:tmpl w:val="9D74F73E"/>
    <w:lvl w:ilvl="0" w:tplc="94FAA842">
      <w:start w:val="1"/>
      <w:numFmt w:val="bullet"/>
      <w:lvlText w:val="•"/>
      <w:lvlJc w:val="left"/>
      <w:pPr>
        <w:tabs>
          <w:tab w:val="num" w:pos="720"/>
        </w:tabs>
        <w:ind w:left="720" w:hanging="360"/>
      </w:pPr>
      <w:rPr>
        <w:rFonts w:ascii="Arial" w:hAnsi="Arial" w:hint="default"/>
      </w:rPr>
    </w:lvl>
    <w:lvl w:ilvl="1" w:tplc="7B0E4230" w:tentative="1">
      <w:start w:val="1"/>
      <w:numFmt w:val="bullet"/>
      <w:lvlText w:val="•"/>
      <w:lvlJc w:val="left"/>
      <w:pPr>
        <w:tabs>
          <w:tab w:val="num" w:pos="1440"/>
        </w:tabs>
        <w:ind w:left="1440" w:hanging="360"/>
      </w:pPr>
      <w:rPr>
        <w:rFonts w:ascii="Arial" w:hAnsi="Arial" w:hint="default"/>
      </w:rPr>
    </w:lvl>
    <w:lvl w:ilvl="2" w:tplc="A28C718A" w:tentative="1">
      <w:start w:val="1"/>
      <w:numFmt w:val="bullet"/>
      <w:lvlText w:val="•"/>
      <w:lvlJc w:val="left"/>
      <w:pPr>
        <w:tabs>
          <w:tab w:val="num" w:pos="2160"/>
        </w:tabs>
        <w:ind w:left="2160" w:hanging="360"/>
      </w:pPr>
      <w:rPr>
        <w:rFonts w:ascii="Arial" w:hAnsi="Arial" w:hint="default"/>
      </w:rPr>
    </w:lvl>
    <w:lvl w:ilvl="3" w:tplc="4B3CD44C" w:tentative="1">
      <w:start w:val="1"/>
      <w:numFmt w:val="bullet"/>
      <w:lvlText w:val="•"/>
      <w:lvlJc w:val="left"/>
      <w:pPr>
        <w:tabs>
          <w:tab w:val="num" w:pos="2880"/>
        </w:tabs>
        <w:ind w:left="2880" w:hanging="360"/>
      </w:pPr>
      <w:rPr>
        <w:rFonts w:ascii="Arial" w:hAnsi="Arial" w:hint="default"/>
      </w:rPr>
    </w:lvl>
    <w:lvl w:ilvl="4" w:tplc="16FADCE2" w:tentative="1">
      <w:start w:val="1"/>
      <w:numFmt w:val="bullet"/>
      <w:lvlText w:val="•"/>
      <w:lvlJc w:val="left"/>
      <w:pPr>
        <w:tabs>
          <w:tab w:val="num" w:pos="3600"/>
        </w:tabs>
        <w:ind w:left="3600" w:hanging="360"/>
      </w:pPr>
      <w:rPr>
        <w:rFonts w:ascii="Arial" w:hAnsi="Arial" w:hint="default"/>
      </w:rPr>
    </w:lvl>
    <w:lvl w:ilvl="5" w:tplc="4A341950" w:tentative="1">
      <w:start w:val="1"/>
      <w:numFmt w:val="bullet"/>
      <w:lvlText w:val="•"/>
      <w:lvlJc w:val="left"/>
      <w:pPr>
        <w:tabs>
          <w:tab w:val="num" w:pos="4320"/>
        </w:tabs>
        <w:ind w:left="4320" w:hanging="360"/>
      </w:pPr>
      <w:rPr>
        <w:rFonts w:ascii="Arial" w:hAnsi="Arial" w:hint="default"/>
      </w:rPr>
    </w:lvl>
    <w:lvl w:ilvl="6" w:tplc="8C58A0B4" w:tentative="1">
      <w:start w:val="1"/>
      <w:numFmt w:val="bullet"/>
      <w:lvlText w:val="•"/>
      <w:lvlJc w:val="left"/>
      <w:pPr>
        <w:tabs>
          <w:tab w:val="num" w:pos="5040"/>
        </w:tabs>
        <w:ind w:left="5040" w:hanging="360"/>
      </w:pPr>
      <w:rPr>
        <w:rFonts w:ascii="Arial" w:hAnsi="Arial" w:hint="default"/>
      </w:rPr>
    </w:lvl>
    <w:lvl w:ilvl="7" w:tplc="B6E4CFE6" w:tentative="1">
      <w:start w:val="1"/>
      <w:numFmt w:val="bullet"/>
      <w:lvlText w:val="•"/>
      <w:lvlJc w:val="left"/>
      <w:pPr>
        <w:tabs>
          <w:tab w:val="num" w:pos="5760"/>
        </w:tabs>
        <w:ind w:left="5760" w:hanging="360"/>
      </w:pPr>
      <w:rPr>
        <w:rFonts w:ascii="Arial" w:hAnsi="Arial" w:hint="default"/>
      </w:rPr>
    </w:lvl>
    <w:lvl w:ilvl="8" w:tplc="5CCED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131AE9"/>
    <w:multiLevelType w:val="hybridMultilevel"/>
    <w:tmpl w:val="07802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3E0FFB"/>
    <w:multiLevelType w:val="hybridMultilevel"/>
    <w:tmpl w:val="D16CB2D8"/>
    <w:lvl w:ilvl="0" w:tplc="B176A980">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5233C"/>
    <w:multiLevelType w:val="hybridMultilevel"/>
    <w:tmpl w:val="D57813DA"/>
    <w:lvl w:ilvl="0" w:tplc="F2FEA346">
      <w:start w:val="1"/>
      <w:numFmt w:val="bullet"/>
      <w:lvlText w:val="•"/>
      <w:lvlJc w:val="left"/>
      <w:pPr>
        <w:tabs>
          <w:tab w:val="num" w:pos="720"/>
        </w:tabs>
        <w:ind w:left="720" w:hanging="360"/>
      </w:pPr>
      <w:rPr>
        <w:rFonts w:ascii="Arial" w:hAnsi="Arial" w:hint="default"/>
      </w:rPr>
    </w:lvl>
    <w:lvl w:ilvl="1" w:tplc="3E0EE9FA" w:tentative="1">
      <w:start w:val="1"/>
      <w:numFmt w:val="bullet"/>
      <w:lvlText w:val="•"/>
      <w:lvlJc w:val="left"/>
      <w:pPr>
        <w:tabs>
          <w:tab w:val="num" w:pos="1440"/>
        </w:tabs>
        <w:ind w:left="1440" w:hanging="360"/>
      </w:pPr>
      <w:rPr>
        <w:rFonts w:ascii="Arial" w:hAnsi="Arial" w:hint="default"/>
      </w:rPr>
    </w:lvl>
    <w:lvl w:ilvl="2" w:tplc="DA687454" w:tentative="1">
      <w:start w:val="1"/>
      <w:numFmt w:val="bullet"/>
      <w:lvlText w:val="•"/>
      <w:lvlJc w:val="left"/>
      <w:pPr>
        <w:tabs>
          <w:tab w:val="num" w:pos="2160"/>
        </w:tabs>
        <w:ind w:left="2160" w:hanging="360"/>
      </w:pPr>
      <w:rPr>
        <w:rFonts w:ascii="Arial" w:hAnsi="Arial" w:hint="default"/>
      </w:rPr>
    </w:lvl>
    <w:lvl w:ilvl="3" w:tplc="2ECA767E" w:tentative="1">
      <w:start w:val="1"/>
      <w:numFmt w:val="bullet"/>
      <w:lvlText w:val="•"/>
      <w:lvlJc w:val="left"/>
      <w:pPr>
        <w:tabs>
          <w:tab w:val="num" w:pos="2880"/>
        </w:tabs>
        <w:ind w:left="2880" w:hanging="360"/>
      </w:pPr>
      <w:rPr>
        <w:rFonts w:ascii="Arial" w:hAnsi="Arial" w:hint="default"/>
      </w:rPr>
    </w:lvl>
    <w:lvl w:ilvl="4" w:tplc="231E929E" w:tentative="1">
      <w:start w:val="1"/>
      <w:numFmt w:val="bullet"/>
      <w:lvlText w:val="•"/>
      <w:lvlJc w:val="left"/>
      <w:pPr>
        <w:tabs>
          <w:tab w:val="num" w:pos="3600"/>
        </w:tabs>
        <w:ind w:left="3600" w:hanging="360"/>
      </w:pPr>
      <w:rPr>
        <w:rFonts w:ascii="Arial" w:hAnsi="Arial" w:hint="default"/>
      </w:rPr>
    </w:lvl>
    <w:lvl w:ilvl="5" w:tplc="4DCAD29A" w:tentative="1">
      <w:start w:val="1"/>
      <w:numFmt w:val="bullet"/>
      <w:lvlText w:val="•"/>
      <w:lvlJc w:val="left"/>
      <w:pPr>
        <w:tabs>
          <w:tab w:val="num" w:pos="4320"/>
        </w:tabs>
        <w:ind w:left="4320" w:hanging="360"/>
      </w:pPr>
      <w:rPr>
        <w:rFonts w:ascii="Arial" w:hAnsi="Arial" w:hint="default"/>
      </w:rPr>
    </w:lvl>
    <w:lvl w:ilvl="6" w:tplc="E8AE18FA" w:tentative="1">
      <w:start w:val="1"/>
      <w:numFmt w:val="bullet"/>
      <w:lvlText w:val="•"/>
      <w:lvlJc w:val="left"/>
      <w:pPr>
        <w:tabs>
          <w:tab w:val="num" w:pos="5040"/>
        </w:tabs>
        <w:ind w:left="5040" w:hanging="360"/>
      </w:pPr>
      <w:rPr>
        <w:rFonts w:ascii="Arial" w:hAnsi="Arial" w:hint="default"/>
      </w:rPr>
    </w:lvl>
    <w:lvl w:ilvl="7" w:tplc="6CE06EE4" w:tentative="1">
      <w:start w:val="1"/>
      <w:numFmt w:val="bullet"/>
      <w:lvlText w:val="•"/>
      <w:lvlJc w:val="left"/>
      <w:pPr>
        <w:tabs>
          <w:tab w:val="num" w:pos="5760"/>
        </w:tabs>
        <w:ind w:left="5760" w:hanging="360"/>
      </w:pPr>
      <w:rPr>
        <w:rFonts w:ascii="Arial" w:hAnsi="Arial" w:hint="default"/>
      </w:rPr>
    </w:lvl>
    <w:lvl w:ilvl="8" w:tplc="ADDC7F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F97D07"/>
    <w:multiLevelType w:val="hybridMultilevel"/>
    <w:tmpl w:val="7D80FF7E"/>
    <w:lvl w:ilvl="0" w:tplc="07F6D210">
      <w:start w:val="1"/>
      <w:numFmt w:val="bullet"/>
      <w:lvlText w:val="•"/>
      <w:lvlJc w:val="left"/>
      <w:pPr>
        <w:tabs>
          <w:tab w:val="num" w:pos="720"/>
        </w:tabs>
        <w:ind w:left="720" w:hanging="360"/>
      </w:pPr>
      <w:rPr>
        <w:rFonts w:ascii="Arial" w:hAnsi="Arial" w:hint="default"/>
      </w:rPr>
    </w:lvl>
    <w:lvl w:ilvl="1" w:tplc="66F2C090">
      <w:start w:val="309"/>
      <w:numFmt w:val="bullet"/>
      <w:lvlText w:val="•"/>
      <w:lvlJc w:val="left"/>
      <w:pPr>
        <w:tabs>
          <w:tab w:val="num" w:pos="1440"/>
        </w:tabs>
        <w:ind w:left="1440" w:hanging="360"/>
      </w:pPr>
      <w:rPr>
        <w:rFonts w:ascii="Arial" w:hAnsi="Arial" w:hint="default"/>
      </w:rPr>
    </w:lvl>
    <w:lvl w:ilvl="2" w:tplc="D188F842" w:tentative="1">
      <w:start w:val="1"/>
      <w:numFmt w:val="bullet"/>
      <w:lvlText w:val="•"/>
      <w:lvlJc w:val="left"/>
      <w:pPr>
        <w:tabs>
          <w:tab w:val="num" w:pos="2160"/>
        </w:tabs>
        <w:ind w:left="2160" w:hanging="360"/>
      </w:pPr>
      <w:rPr>
        <w:rFonts w:ascii="Arial" w:hAnsi="Arial" w:hint="default"/>
      </w:rPr>
    </w:lvl>
    <w:lvl w:ilvl="3" w:tplc="8A30EC0C" w:tentative="1">
      <w:start w:val="1"/>
      <w:numFmt w:val="bullet"/>
      <w:lvlText w:val="•"/>
      <w:lvlJc w:val="left"/>
      <w:pPr>
        <w:tabs>
          <w:tab w:val="num" w:pos="2880"/>
        </w:tabs>
        <w:ind w:left="2880" w:hanging="360"/>
      </w:pPr>
      <w:rPr>
        <w:rFonts w:ascii="Arial" w:hAnsi="Arial" w:hint="default"/>
      </w:rPr>
    </w:lvl>
    <w:lvl w:ilvl="4" w:tplc="1E24C51C" w:tentative="1">
      <w:start w:val="1"/>
      <w:numFmt w:val="bullet"/>
      <w:lvlText w:val="•"/>
      <w:lvlJc w:val="left"/>
      <w:pPr>
        <w:tabs>
          <w:tab w:val="num" w:pos="3600"/>
        </w:tabs>
        <w:ind w:left="3600" w:hanging="360"/>
      </w:pPr>
      <w:rPr>
        <w:rFonts w:ascii="Arial" w:hAnsi="Arial" w:hint="default"/>
      </w:rPr>
    </w:lvl>
    <w:lvl w:ilvl="5" w:tplc="41D26E08" w:tentative="1">
      <w:start w:val="1"/>
      <w:numFmt w:val="bullet"/>
      <w:lvlText w:val="•"/>
      <w:lvlJc w:val="left"/>
      <w:pPr>
        <w:tabs>
          <w:tab w:val="num" w:pos="4320"/>
        </w:tabs>
        <w:ind w:left="4320" w:hanging="360"/>
      </w:pPr>
      <w:rPr>
        <w:rFonts w:ascii="Arial" w:hAnsi="Arial" w:hint="default"/>
      </w:rPr>
    </w:lvl>
    <w:lvl w:ilvl="6" w:tplc="A1720646" w:tentative="1">
      <w:start w:val="1"/>
      <w:numFmt w:val="bullet"/>
      <w:lvlText w:val="•"/>
      <w:lvlJc w:val="left"/>
      <w:pPr>
        <w:tabs>
          <w:tab w:val="num" w:pos="5040"/>
        </w:tabs>
        <w:ind w:left="5040" w:hanging="360"/>
      </w:pPr>
      <w:rPr>
        <w:rFonts w:ascii="Arial" w:hAnsi="Arial" w:hint="default"/>
      </w:rPr>
    </w:lvl>
    <w:lvl w:ilvl="7" w:tplc="19DED126" w:tentative="1">
      <w:start w:val="1"/>
      <w:numFmt w:val="bullet"/>
      <w:lvlText w:val="•"/>
      <w:lvlJc w:val="left"/>
      <w:pPr>
        <w:tabs>
          <w:tab w:val="num" w:pos="5760"/>
        </w:tabs>
        <w:ind w:left="5760" w:hanging="360"/>
      </w:pPr>
      <w:rPr>
        <w:rFonts w:ascii="Arial" w:hAnsi="Arial" w:hint="default"/>
      </w:rPr>
    </w:lvl>
    <w:lvl w:ilvl="8" w:tplc="2A66F8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F461DF"/>
    <w:multiLevelType w:val="hybridMultilevel"/>
    <w:tmpl w:val="E850036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32B7252"/>
    <w:multiLevelType w:val="hybridMultilevel"/>
    <w:tmpl w:val="26668890"/>
    <w:lvl w:ilvl="0" w:tplc="6AACE85C">
      <w:start w:val="1"/>
      <w:numFmt w:val="bullet"/>
      <w:lvlText w:val="•"/>
      <w:lvlJc w:val="left"/>
      <w:pPr>
        <w:tabs>
          <w:tab w:val="num" w:pos="720"/>
        </w:tabs>
        <w:ind w:left="720" w:hanging="360"/>
      </w:pPr>
      <w:rPr>
        <w:rFonts w:ascii="Arial" w:hAnsi="Arial" w:hint="default"/>
      </w:rPr>
    </w:lvl>
    <w:lvl w:ilvl="1" w:tplc="B7FE1466">
      <w:start w:val="121"/>
      <w:numFmt w:val="bullet"/>
      <w:lvlText w:val="•"/>
      <w:lvlJc w:val="left"/>
      <w:pPr>
        <w:tabs>
          <w:tab w:val="num" w:pos="1440"/>
        </w:tabs>
        <w:ind w:left="1440" w:hanging="360"/>
      </w:pPr>
      <w:rPr>
        <w:rFonts w:ascii="Arial" w:hAnsi="Arial" w:hint="default"/>
      </w:rPr>
    </w:lvl>
    <w:lvl w:ilvl="2" w:tplc="D1DA24FC" w:tentative="1">
      <w:start w:val="1"/>
      <w:numFmt w:val="bullet"/>
      <w:lvlText w:val="•"/>
      <w:lvlJc w:val="left"/>
      <w:pPr>
        <w:tabs>
          <w:tab w:val="num" w:pos="2160"/>
        </w:tabs>
        <w:ind w:left="2160" w:hanging="360"/>
      </w:pPr>
      <w:rPr>
        <w:rFonts w:ascii="Arial" w:hAnsi="Arial" w:hint="default"/>
      </w:rPr>
    </w:lvl>
    <w:lvl w:ilvl="3" w:tplc="42A052A8" w:tentative="1">
      <w:start w:val="1"/>
      <w:numFmt w:val="bullet"/>
      <w:lvlText w:val="•"/>
      <w:lvlJc w:val="left"/>
      <w:pPr>
        <w:tabs>
          <w:tab w:val="num" w:pos="2880"/>
        </w:tabs>
        <w:ind w:left="2880" w:hanging="360"/>
      </w:pPr>
      <w:rPr>
        <w:rFonts w:ascii="Arial" w:hAnsi="Arial" w:hint="default"/>
      </w:rPr>
    </w:lvl>
    <w:lvl w:ilvl="4" w:tplc="81D432C6" w:tentative="1">
      <w:start w:val="1"/>
      <w:numFmt w:val="bullet"/>
      <w:lvlText w:val="•"/>
      <w:lvlJc w:val="left"/>
      <w:pPr>
        <w:tabs>
          <w:tab w:val="num" w:pos="3600"/>
        </w:tabs>
        <w:ind w:left="3600" w:hanging="360"/>
      </w:pPr>
      <w:rPr>
        <w:rFonts w:ascii="Arial" w:hAnsi="Arial" w:hint="default"/>
      </w:rPr>
    </w:lvl>
    <w:lvl w:ilvl="5" w:tplc="66CC3F6A" w:tentative="1">
      <w:start w:val="1"/>
      <w:numFmt w:val="bullet"/>
      <w:lvlText w:val="•"/>
      <w:lvlJc w:val="left"/>
      <w:pPr>
        <w:tabs>
          <w:tab w:val="num" w:pos="4320"/>
        </w:tabs>
        <w:ind w:left="4320" w:hanging="360"/>
      </w:pPr>
      <w:rPr>
        <w:rFonts w:ascii="Arial" w:hAnsi="Arial" w:hint="default"/>
      </w:rPr>
    </w:lvl>
    <w:lvl w:ilvl="6" w:tplc="228EFCCC" w:tentative="1">
      <w:start w:val="1"/>
      <w:numFmt w:val="bullet"/>
      <w:lvlText w:val="•"/>
      <w:lvlJc w:val="left"/>
      <w:pPr>
        <w:tabs>
          <w:tab w:val="num" w:pos="5040"/>
        </w:tabs>
        <w:ind w:left="5040" w:hanging="360"/>
      </w:pPr>
      <w:rPr>
        <w:rFonts w:ascii="Arial" w:hAnsi="Arial" w:hint="default"/>
      </w:rPr>
    </w:lvl>
    <w:lvl w:ilvl="7" w:tplc="B9301852" w:tentative="1">
      <w:start w:val="1"/>
      <w:numFmt w:val="bullet"/>
      <w:lvlText w:val="•"/>
      <w:lvlJc w:val="left"/>
      <w:pPr>
        <w:tabs>
          <w:tab w:val="num" w:pos="5760"/>
        </w:tabs>
        <w:ind w:left="5760" w:hanging="360"/>
      </w:pPr>
      <w:rPr>
        <w:rFonts w:ascii="Arial" w:hAnsi="Arial" w:hint="default"/>
      </w:rPr>
    </w:lvl>
    <w:lvl w:ilvl="8" w:tplc="6EA669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BD0527"/>
    <w:multiLevelType w:val="hybridMultilevel"/>
    <w:tmpl w:val="B050A36A"/>
    <w:lvl w:ilvl="0" w:tplc="CC160778">
      <w:start w:val="1"/>
      <w:numFmt w:val="bullet"/>
      <w:lvlText w:val="•"/>
      <w:lvlJc w:val="left"/>
      <w:pPr>
        <w:tabs>
          <w:tab w:val="num" w:pos="720"/>
        </w:tabs>
        <w:ind w:left="720" w:hanging="360"/>
      </w:pPr>
      <w:rPr>
        <w:rFonts w:ascii="Arial" w:hAnsi="Arial" w:hint="default"/>
      </w:rPr>
    </w:lvl>
    <w:lvl w:ilvl="1" w:tplc="C3229800" w:tentative="1">
      <w:start w:val="1"/>
      <w:numFmt w:val="bullet"/>
      <w:lvlText w:val="•"/>
      <w:lvlJc w:val="left"/>
      <w:pPr>
        <w:tabs>
          <w:tab w:val="num" w:pos="1440"/>
        </w:tabs>
        <w:ind w:left="1440" w:hanging="360"/>
      </w:pPr>
      <w:rPr>
        <w:rFonts w:ascii="Arial" w:hAnsi="Arial" w:hint="default"/>
      </w:rPr>
    </w:lvl>
    <w:lvl w:ilvl="2" w:tplc="A31A95D6" w:tentative="1">
      <w:start w:val="1"/>
      <w:numFmt w:val="bullet"/>
      <w:lvlText w:val="•"/>
      <w:lvlJc w:val="left"/>
      <w:pPr>
        <w:tabs>
          <w:tab w:val="num" w:pos="2160"/>
        </w:tabs>
        <w:ind w:left="2160" w:hanging="360"/>
      </w:pPr>
      <w:rPr>
        <w:rFonts w:ascii="Arial" w:hAnsi="Arial" w:hint="default"/>
      </w:rPr>
    </w:lvl>
    <w:lvl w:ilvl="3" w:tplc="E16CA11E" w:tentative="1">
      <w:start w:val="1"/>
      <w:numFmt w:val="bullet"/>
      <w:lvlText w:val="•"/>
      <w:lvlJc w:val="left"/>
      <w:pPr>
        <w:tabs>
          <w:tab w:val="num" w:pos="2880"/>
        </w:tabs>
        <w:ind w:left="2880" w:hanging="360"/>
      </w:pPr>
      <w:rPr>
        <w:rFonts w:ascii="Arial" w:hAnsi="Arial" w:hint="default"/>
      </w:rPr>
    </w:lvl>
    <w:lvl w:ilvl="4" w:tplc="883CD33A" w:tentative="1">
      <w:start w:val="1"/>
      <w:numFmt w:val="bullet"/>
      <w:lvlText w:val="•"/>
      <w:lvlJc w:val="left"/>
      <w:pPr>
        <w:tabs>
          <w:tab w:val="num" w:pos="3600"/>
        </w:tabs>
        <w:ind w:left="3600" w:hanging="360"/>
      </w:pPr>
      <w:rPr>
        <w:rFonts w:ascii="Arial" w:hAnsi="Arial" w:hint="default"/>
      </w:rPr>
    </w:lvl>
    <w:lvl w:ilvl="5" w:tplc="CDFCD6A4" w:tentative="1">
      <w:start w:val="1"/>
      <w:numFmt w:val="bullet"/>
      <w:lvlText w:val="•"/>
      <w:lvlJc w:val="left"/>
      <w:pPr>
        <w:tabs>
          <w:tab w:val="num" w:pos="4320"/>
        </w:tabs>
        <w:ind w:left="4320" w:hanging="360"/>
      </w:pPr>
      <w:rPr>
        <w:rFonts w:ascii="Arial" w:hAnsi="Arial" w:hint="default"/>
      </w:rPr>
    </w:lvl>
    <w:lvl w:ilvl="6" w:tplc="E27C2C94" w:tentative="1">
      <w:start w:val="1"/>
      <w:numFmt w:val="bullet"/>
      <w:lvlText w:val="•"/>
      <w:lvlJc w:val="left"/>
      <w:pPr>
        <w:tabs>
          <w:tab w:val="num" w:pos="5040"/>
        </w:tabs>
        <w:ind w:left="5040" w:hanging="360"/>
      </w:pPr>
      <w:rPr>
        <w:rFonts w:ascii="Arial" w:hAnsi="Arial" w:hint="default"/>
      </w:rPr>
    </w:lvl>
    <w:lvl w:ilvl="7" w:tplc="74045DC8" w:tentative="1">
      <w:start w:val="1"/>
      <w:numFmt w:val="bullet"/>
      <w:lvlText w:val="•"/>
      <w:lvlJc w:val="left"/>
      <w:pPr>
        <w:tabs>
          <w:tab w:val="num" w:pos="5760"/>
        </w:tabs>
        <w:ind w:left="5760" w:hanging="360"/>
      </w:pPr>
      <w:rPr>
        <w:rFonts w:ascii="Arial" w:hAnsi="Arial" w:hint="default"/>
      </w:rPr>
    </w:lvl>
    <w:lvl w:ilvl="8" w:tplc="15025B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4D017D"/>
    <w:multiLevelType w:val="hybridMultilevel"/>
    <w:tmpl w:val="677A306E"/>
    <w:lvl w:ilvl="0" w:tplc="53C2BB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
  </w:num>
  <w:num w:numId="3">
    <w:abstractNumId w:val="7"/>
  </w:num>
  <w:num w:numId="4">
    <w:abstractNumId w:val="4"/>
  </w:num>
  <w:num w:numId="5">
    <w:abstractNumId w:val="1"/>
  </w:num>
  <w:num w:numId="6">
    <w:abstractNumId w:val="8"/>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87"/>
    <w:rsid w:val="000026E3"/>
    <w:rsid w:val="00002C5B"/>
    <w:rsid w:val="00011462"/>
    <w:rsid w:val="000241FD"/>
    <w:rsid w:val="00040762"/>
    <w:rsid w:val="00043180"/>
    <w:rsid w:val="00044497"/>
    <w:rsid w:val="00052C8F"/>
    <w:rsid w:val="00060FFB"/>
    <w:rsid w:val="00064460"/>
    <w:rsid w:val="00065D49"/>
    <w:rsid w:val="00096217"/>
    <w:rsid w:val="000A20B3"/>
    <w:rsid w:val="000C75EC"/>
    <w:rsid w:val="000D0EF5"/>
    <w:rsid w:val="000D395C"/>
    <w:rsid w:val="000D3A42"/>
    <w:rsid w:val="000D69CF"/>
    <w:rsid w:val="000F326D"/>
    <w:rsid w:val="000F3714"/>
    <w:rsid w:val="001042A5"/>
    <w:rsid w:val="00110033"/>
    <w:rsid w:val="00115702"/>
    <w:rsid w:val="00120132"/>
    <w:rsid w:val="0012170E"/>
    <w:rsid w:val="00140176"/>
    <w:rsid w:val="001437CC"/>
    <w:rsid w:val="0016774A"/>
    <w:rsid w:val="00176EDE"/>
    <w:rsid w:val="001824E4"/>
    <w:rsid w:val="001916B7"/>
    <w:rsid w:val="00195034"/>
    <w:rsid w:val="0019728E"/>
    <w:rsid w:val="001B3715"/>
    <w:rsid w:val="001B3DE0"/>
    <w:rsid w:val="001F5137"/>
    <w:rsid w:val="00211685"/>
    <w:rsid w:val="002213A1"/>
    <w:rsid w:val="0022162B"/>
    <w:rsid w:val="002277B6"/>
    <w:rsid w:val="002307FB"/>
    <w:rsid w:val="00230CF6"/>
    <w:rsid w:val="0023317F"/>
    <w:rsid w:val="002400ED"/>
    <w:rsid w:val="00255A08"/>
    <w:rsid w:val="00267080"/>
    <w:rsid w:val="00270E61"/>
    <w:rsid w:val="00273350"/>
    <w:rsid w:val="00274EB0"/>
    <w:rsid w:val="002807A7"/>
    <w:rsid w:val="00286701"/>
    <w:rsid w:val="00293380"/>
    <w:rsid w:val="002945D3"/>
    <w:rsid w:val="002A3931"/>
    <w:rsid w:val="002A5BAF"/>
    <w:rsid w:val="002A7DE9"/>
    <w:rsid w:val="002C3740"/>
    <w:rsid w:val="002D0C09"/>
    <w:rsid w:val="002D20E6"/>
    <w:rsid w:val="002D460E"/>
    <w:rsid w:val="002E1330"/>
    <w:rsid w:val="002F30C7"/>
    <w:rsid w:val="003315A2"/>
    <w:rsid w:val="003349D3"/>
    <w:rsid w:val="003547A1"/>
    <w:rsid w:val="003569A5"/>
    <w:rsid w:val="003579EC"/>
    <w:rsid w:val="00362AC1"/>
    <w:rsid w:val="00363420"/>
    <w:rsid w:val="00366222"/>
    <w:rsid w:val="00367A0F"/>
    <w:rsid w:val="003800A9"/>
    <w:rsid w:val="00396AAC"/>
    <w:rsid w:val="003A5FD3"/>
    <w:rsid w:val="003B71E1"/>
    <w:rsid w:val="003E0BCA"/>
    <w:rsid w:val="00402D97"/>
    <w:rsid w:val="00405E81"/>
    <w:rsid w:val="00414CA8"/>
    <w:rsid w:val="00442E06"/>
    <w:rsid w:val="004670C0"/>
    <w:rsid w:val="00475614"/>
    <w:rsid w:val="00477E0E"/>
    <w:rsid w:val="00483207"/>
    <w:rsid w:val="00484A89"/>
    <w:rsid w:val="00486383"/>
    <w:rsid w:val="00496D39"/>
    <w:rsid w:val="004974C2"/>
    <w:rsid w:val="004B1C6C"/>
    <w:rsid w:val="004C2B68"/>
    <w:rsid w:val="004F00E6"/>
    <w:rsid w:val="00510DBB"/>
    <w:rsid w:val="00516274"/>
    <w:rsid w:val="00516A07"/>
    <w:rsid w:val="00522D10"/>
    <w:rsid w:val="00554905"/>
    <w:rsid w:val="00574F9E"/>
    <w:rsid w:val="00575660"/>
    <w:rsid w:val="0058065F"/>
    <w:rsid w:val="005840B3"/>
    <w:rsid w:val="00585C4B"/>
    <w:rsid w:val="006017C9"/>
    <w:rsid w:val="00616C64"/>
    <w:rsid w:val="00626587"/>
    <w:rsid w:val="006330D3"/>
    <w:rsid w:val="006451AE"/>
    <w:rsid w:val="0064727C"/>
    <w:rsid w:val="0065703B"/>
    <w:rsid w:val="0067684C"/>
    <w:rsid w:val="006775A2"/>
    <w:rsid w:val="0069418A"/>
    <w:rsid w:val="006A6E40"/>
    <w:rsid w:val="006B1FD9"/>
    <w:rsid w:val="006B5B60"/>
    <w:rsid w:val="006D076F"/>
    <w:rsid w:val="006D5EFE"/>
    <w:rsid w:val="006E277D"/>
    <w:rsid w:val="006E2F67"/>
    <w:rsid w:val="006E4AC1"/>
    <w:rsid w:val="006E4E69"/>
    <w:rsid w:val="0071283C"/>
    <w:rsid w:val="007227FD"/>
    <w:rsid w:val="00730614"/>
    <w:rsid w:val="007328AD"/>
    <w:rsid w:val="007477B4"/>
    <w:rsid w:val="00757A9A"/>
    <w:rsid w:val="00777751"/>
    <w:rsid w:val="00793B0E"/>
    <w:rsid w:val="007A2B16"/>
    <w:rsid w:val="007B0259"/>
    <w:rsid w:val="007B64EC"/>
    <w:rsid w:val="007E0652"/>
    <w:rsid w:val="00816EE9"/>
    <w:rsid w:val="00826242"/>
    <w:rsid w:val="0083182E"/>
    <w:rsid w:val="008346C9"/>
    <w:rsid w:val="008613B0"/>
    <w:rsid w:val="00872182"/>
    <w:rsid w:val="00874C2F"/>
    <w:rsid w:val="008817B3"/>
    <w:rsid w:val="00886E58"/>
    <w:rsid w:val="008A39AB"/>
    <w:rsid w:val="008A737B"/>
    <w:rsid w:val="008B2E7D"/>
    <w:rsid w:val="008C1DAE"/>
    <w:rsid w:val="008C258C"/>
    <w:rsid w:val="008D623A"/>
    <w:rsid w:val="008F0355"/>
    <w:rsid w:val="00900160"/>
    <w:rsid w:val="009022F4"/>
    <w:rsid w:val="00902A0B"/>
    <w:rsid w:val="00905FE7"/>
    <w:rsid w:val="00905FEE"/>
    <w:rsid w:val="00907B70"/>
    <w:rsid w:val="00916817"/>
    <w:rsid w:val="009233E4"/>
    <w:rsid w:val="009417A2"/>
    <w:rsid w:val="00943100"/>
    <w:rsid w:val="00954D64"/>
    <w:rsid w:val="00963D94"/>
    <w:rsid w:val="00975800"/>
    <w:rsid w:val="00980EA0"/>
    <w:rsid w:val="009B2114"/>
    <w:rsid w:val="009B39AB"/>
    <w:rsid w:val="009C534E"/>
    <w:rsid w:val="009D1B8C"/>
    <w:rsid w:val="009D61CC"/>
    <w:rsid w:val="009E0E59"/>
    <w:rsid w:val="009E319E"/>
    <w:rsid w:val="009E37C4"/>
    <w:rsid w:val="00A12CF3"/>
    <w:rsid w:val="00A13F8D"/>
    <w:rsid w:val="00A33F69"/>
    <w:rsid w:val="00A42A39"/>
    <w:rsid w:val="00A4530B"/>
    <w:rsid w:val="00A524F2"/>
    <w:rsid w:val="00A5713E"/>
    <w:rsid w:val="00A63E31"/>
    <w:rsid w:val="00A77493"/>
    <w:rsid w:val="00A82384"/>
    <w:rsid w:val="00A8648B"/>
    <w:rsid w:val="00AA6EB2"/>
    <w:rsid w:val="00AD3940"/>
    <w:rsid w:val="00B06017"/>
    <w:rsid w:val="00B20D69"/>
    <w:rsid w:val="00B21064"/>
    <w:rsid w:val="00B319FA"/>
    <w:rsid w:val="00B36E23"/>
    <w:rsid w:val="00B4590C"/>
    <w:rsid w:val="00B56C40"/>
    <w:rsid w:val="00B61D9E"/>
    <w:rsid w:val="00B61F4B"/>
    <w:rsid w:val="00B64BB3"/>
    <w:rsid w:val="00B82552"/>
    <w:rsid w:val="00B8277C"/>
    <w:rsid w:val="00BC49CD"/>
    <w:rsid w:val="00BD0E29"/>
    <w:rsid w:val="00BE46A1"/>
    <w:rsid w:val="00BF30F6"/>
    <w:rsid w:val="00BF696D"/>
    <w:rsid w:val="00C029E4"/>
    <w:rsid w:val="00C050A4"/>
    <w:rsid w:val="00C14B6E"/>
    <w:rsid w:val="00C234BF"/>
    <w:rsid w:val="00C23DB7"/>
    <w:rsid w:val="00C2603A"/>
    <w:rsid w:val="00C55CAC"/>
    <w:rsid w:val="00C60401"/>
    <w:rsid w:val="00C610E3"/>
    <w:rsid w:val="00C63EE2"/>
    <w:rsid w:val="00C87CE7"/>
    <w:rsid w:val="00CB2057"/>
    <w:rsid w:val="00CC7336"/>
    <w:rsid w:val="00CD29BD"/>
    <w:rsid w:val="00D354CB"/>
    <w:rsid w:val="00D4522E"/>
    <w:rsid w:val="00D5597C"/>
    <w:rsid w:val="00D62CE2"/>
    <w:rsid w:val="00D65853"/>
    <w:rsid w:val="00D6760A"/>
    <w:rsid w:val="00D7167D"/>
    <w:rsid w:val="00D77B4D"/>
    <w:rsid w:val="00DA3DC6"/>
    <w:rsid w:val="00DB0753"/>
    <w:rsid w:val="00DB6584"/>
    <w:rsid w:val="00DD3804"/>
    <w:rsid w:val="00DE404B"/>
    <w:rsid w:val="00DE73F0"/>
    <w:rsid w:val="00DF4B6A"/>
    <w:rsid w:val="00DF658B"/>
    <w:rsid w:val="00DF6D80"/>
    <w:rsid w:val="00E0607B"/>
    <w:rsid w:val="00E06314"/>
    <w:rsid w:val="00E12A44"/>
    <w:rsid w:val="00E15713"/>
    <w:rsid w:val="00E157D9"/>
    <w:rsid w:val="00E2222A"/>
    <w:rsid w:val="00E27F1B"/>
    <w:rsid w:val="00E3019B"/>
    <w:rsid w:val="00E43819"/>
    <w:rsid w:val="00E5303D"/>
    <w:rsid w:val="00E54071"/>
    <w:rsid w:val="00E5572A"/>
    <w:rsid w:val="00E560C9"/>
    <w:rsid w:val="00E67ECA"/>
    <w:rsid w:val="00E72AED"/>
    <w:rsid w:val="00E76A60"/>
    <w:rsid w:val="00E870FF"/>
    <w:rsid w:val="00E9156C"/>
    <w:rsid w:val="00E93A95"/>
    <w:rsid w:val="00EB086C"/>
    <w:rsid w:val="00EB403F"/>
    <w:rsid w:val="00EB5A31"/>
    <w:rsid w:val="00EC056D"/>
    <w:rsid w:val="00ED0A7C"/>
    <w:rsid w:val="00ED1FA2"/>
    <w:rsid w:val="00ED6718"/>
    <w:rsid w:val="00EE08CB"/>
    <w:rsid w:val="00EE15AD"/>
    <w:rsid w:val="00EE7F16"/>
    <w:rsid w:val="00EF1602"/>
    <w:rsid w:val="00EF2870"/>
    <w:rsid w:val="00EF50B8"/>
    <w:rsid w:val="00F02C2C"/>
    <w:rsid w:val="00F13D37"/>
    <w:rsid w:val="00F3354C"/>
    <w:rsid w:val="00F43242"/>
    <w:rsid w:val="00F44086"/>
    <w:rsid w:val="00F547CA"/>
    <w:rsid w:val="00F62444"/>
    <w:rsid w:val="00F70AEF"/>
    <w:rsid w:val="00F74E3B"/>
    <w:rsid w:val="00F76C85"/>
    <w:rsid w:val="00F76FEF"/>
    <w:rsid w:val="00FB3EB5"/>
    <w:rsid w:val="00FC20EB"/>
    <w:rsid w:val="00FC4443"/>
    <w:rsid w:val="00FD5426"/>
    <w:rsid w:val="00FD56A3"/>
    <w:rsid w:val="00FE3E99"/>
    <w:rsid w:val="00FE4AA2"/>
    <w:rsid w:val="00FE5282"/>
    <w:rsid w:val="00FE6D4D"/>
    <w:rsid w:val="00FF21E5"/>
    <w:rsid w:val="00FF3553"/>
    <w:rsid w:val="00FF73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A9D5"/>
  <w15:docId w15:val="{CCF9F207-23C7-406A-9B14-4B1C2286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132"/>
    <w:pPr>
      <w:ind w:left="720"/>
      <w:contextualSpacing/>
    </w:pPr>
  </w:style>
  <w:style w:type="character" w:styleId="Hyperlink">
    <w:name w:val="Hyperlink"/>
    <w:basedOn w:val="DefaultParagraphFont"/>
    <w:uiPriority w:val="99"/>
    <w:unhideWhenUsed/>
    <w:rsid w:val="008C1DAE"/>
    <w:rPr>
      <w:color w:val="0000FF"/>
      <w:u w:val="single"/>
    </w:rPr>
  </w:style>
  <w:style w:type="character" w:styleId="CommentReference">
    <w:name w:val="annotation reference"/>
    <w:basedOn w:val="DefaultParagraphFont"/>
    <w:uiPriority w:val="99"/>
    <w:semiHidden/>
    <w:unhideWhenUsed/>
    <w:rsid w:val="008A737B"/>
    <w:rPr>
      <w:sz w:val="16"/>
      <w:szCs w:val="16"/>
    </w:rPr>
  </w:style>
  <w:style w:type="paragraph" w:styleId="CommentText">
    <w:name w:val="annotation text"/>
    <w:basedOn w:val="Normal"/>
    <w:link w:val="CommentTextChar"/>
    <w:uiPriority w:val="99"/>
    <w:semiHidden/>
    <w:unhideWhenUsed/>
    <w:rsid w:val="008A737B"/>
    <w:pPr>
      <w:spacing w:line="240" w:lineRule="auto"/>
    </w:pPr>
    <w:rPr>
      <w:sz w:val="20"/>
      <w:szCs w:val="20"/>
    </w:rPr>
  </w:style>
  <w:style w:type="character" w:customStyle="1" w:styleId="CommentTextChar">
    <w:name w:val="Comment Text Char"/>
    <w:basedOn w:val="DefaultParagraphFont"/>
    <w:link w:val="CommentText"/>
    <w:uiPriority w:val="99"/>
    <w:semiHidden/>
    <w:rsid w:val="008A737B"/>
    <w:rPr>
      <w:sz w:val="20"/>
      <w:szCs w:val="20"/>
    </w:rPr>
  </w:style>
  <w:style w:type="paragraph" w:styleId="CommentSubject">
    <w:name w:val="annotation subject"/>
    <w:basedOn w:val="CommentText"/>
    <w:next w:val="CommentText"/>
    <w:link w:val="CommentSubjectChar"/>
    <w:uiPriority w:val="99"/>
    <w:semiHidden/>
    <w:unhideWhenUsed/>
    <w:rsid w:val="008A737B"/>
    <w:rPr>
      <w:b/>
      <w:bCs/>
    </w:rPr>
  </w:style>
  <w:style w:type="character" w:customStyle="1" w:styleId="CommentSubjectChar">
    <w:name w:val="Comment Subject Char"/>
    <w:basedOn w:val="CommentTextChar"/>
    <w:link w:val="CommentSubject"/>
    <w:uiPriority w:val="99"/>
    <w:semiHidden/>
    <w:rsid w:val="008A737B"/>
    <w:rPr>
      <w:b/>
      <w:bCs/>
      <w:sz w:val="20"/>
      <w:szCs w:val="20"/>
    </w:rPr>
  </w:style>
  <w:style w:type="paragraph" w:styleId="BalloonText">
    <w:name w:val="Balloon Text"/>
    <w:basedOn w:val="Normal"/>
    <w:link w:val="BalloonTextChar"/>
    <w:uiPriority w:val="99"/>
    <w:semiHidden/>
    <w:unhideWhenUsed/>
    <w:rsid w:val="008A7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37B"/>
    <w:rPr>
      <w:rFonts w:ascii="Segoe UI" w:hAnsi="Segoe UI" w:cs="Segoe UI"/>
      <w:sz w:val="18"/>
      <w:szCs w:val="18"/>
    </w:rPr>
  </w:style>
  <w:style w:type="paragraph" w:styleId="FootnoteText">
    <w:name w:val="footnote text"/>
    <w:basedOn w:val="Normal"/>
    <w:link w:val="FootnoteTextChar"/>
    <w:uiPriority w:val="99"/>
    <w:semiHidden/>
    <w:unhideWhenUsed/>
    <w:rsid w:val="00FF3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553"/>
    <w:rPr>
      <w:sz w:val="20"/>
      <w:szCs w:val="20"/>
    </w:rPr>
  </w:style>
  <w:style w:type="character" w:styleId="FootnoteReference">
    <w:name w:val="footnote reference"/>
    <w:basedOn w:val="DefaultParagraphFont"/>
    <w:uiPriority w:val="99"/>
    <w:semiHidden/>
    <w:unhideWhenUsed/>
    <w:rsid w:val="00FF3553"/>
    <w:rPr>
      <w:vertAlign w:val="superscript"/>
    </w:rPr>
  </w:style>
  <w:style w:type="character" w:styleId="FollowedHyperlink">
    <w:name w:val="FollowedHyperlink"/>
    <w:basedOn w:val="DefaultParagraphFont"/>
    <w:uiPriority w:val="99"/>
    <w:semiHidden/>
    <w:unhideWhenUsed/>
    <w:rsid w:val="00EF2870"/>
    <w:rPr>
      <w:color w:val="954F72" w:themeColor="followedHyperlink"/>
      <w:u w:val="single"/>
    </w:rPr>
  </w:style>
  <w:style w:type="paragraph" w:customStyle="1" w:styleId="Body">
    <w:name w:val="Body"/>
    <w:rsid w:val="00044497"/>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EndnoteText">
    <w:name w:val="endnote text"/>
    <w:basedOn w:val="Normal"/>
    <w:link w:val="EndnoteTextChar"/>
    <w:uiPriority w:val="99"/>
    <w:semiHidden/>
    <w:unhideWhenUsed/>
    <w:rsid w:val="00B20D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D69"/>
    <w:rPr>
      <w:sz w:val="20"/>
      <w:szCs w:val="20"/>
    </w:rPr>
  </w:style>
  <w:style w:type="character" w:styleId="EndnoteReference">
    <w:name w:val="endnote reference"/>
    <w:basedOn w:val="DefaultParagraphFont"/>
    <w:uiPriority w:val="99"/>
    <w:semiHidden/>
    <w:unhideWhenUsed/>
    <w:rsid w:val="00B20D69"/>
    <w:rPr>
      <w:vertAlign w:val="superscript"/>
    </w:rPr>
  </w:style>
  <w:style w:type="paragraph" w:styleId="NormalWeb">
    <w:name w:val="Normal (Web)"/>
    <w:basedOn w:val="Normal"/>
    <w:uiPriority w:val="99"/>
    <w:semiHidden/>
    <w:unhideWhenUsed/>
    <w:rsid w:val="003315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8277C"/>
    <w:pPr>
      <w:spacing w:after="0" w:line="240" w:lineRule="auto"/>
    </w:pPr>
  </w:style>
  <w:style w:type="paragraph" w:styleId="Header">
    <w:name w:val="header"/>
    <w:basedOn w:val="Normal"/>
    <w:link w:val="HeaderChar"/>
    <w:uiPriority w:val="99"/>
    <w:unhideWhenUsed/>
    <w:rsid w:val="00FE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D4D"/>
  </w:style>
  <w:style w:type="paragraph" w:styleId="Footer">
    <w:name w:val="footer"/>
    <w:basedOn w:val="Normal"/>
    <w:link w:val="FooterChar"/>
    <w:uiPriority w:val="99"/>
    <w:unhideWhenUsed/>
    <w:rsid w:val="00FE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07455">
      <w:bodyDiv w:val="1"/>
      <w:marLeft w:val="0"/>
      <w:marRight w:val="0"/>
      <w:marTop w:val="0"/>
      <w:marBottom w:val="0"/>
      <w:divBdr>
        <w:top w:val="none" w:sz="0" w:space="0" w:color="auto"/>
        <w:left w:val="none" w:sz="0" w:space="0" w:color="auto"/>
        <w:bottom w:val="none" w:sz="0" w:space="0" w:color="auto"/>
        <w:right w:val="none" w:sz="0" w:space="0" w:color="auto"/>
      </w:divBdr>
      <w:divsChild>
        <w:div w:id="1860463889">
          <w:marLeft w:val="360"/>
          <w:marRight w:val="0"/>
          <w:marTop w:val="200"/>
          <w:marBottom w:val="0"/>
          <w:divBdr>
            <w:top w:val="none" w:sz="0" w:space="0" w:color="auto"/>
            <w:left w:val="none" w:sz="0" w:space="0" w:color="auto"/>
            <w:bottom w:val="none" w:sz="0" w:space="0" w:color="auto"/>
            <w:right w:val="none" w:sz="0" w:space="0" w:color="auto"/>
          </w:divBdr>
        </w:div>
        <w:div w:id="2001422127">
          <w:marLeft w:val="360"/>
          <w:marRight w:val="0"/>
          <w:marTop w:val="200"/>
          <w:marBottom w:val="0"/>
          <w:divBdr>
            <w:top w:val="none" w:sz="0" w:space="0" w:color="auto"/>
            <w:left w:val="none" w:sz="0" w:space="0" w:color="auto"/>
            <w:bottom w:val="none" w:sz="0" w:space="0" w:color="auto"/>
            <w:right w:val="none" w:sz="0" w:space="0" w:color="auto"/>
          </w:divBdr>
        </w:div>
        <w:div w:id="2073505462">
          <w:marLeft w:val="360"/>
          <w:marRight w:val="0"/>
          <w:marTop w:val="200"/>
          <w:marBottom w:val="0"/>
          <w:divBdr>
            <w:top w:val="none" w:sz="0" w:space="0" w:color="auto"/>
            <w:left w:val="none" w:sz="0" w:space="0" w:color="auto"/>
            <w:bottom w:val="none" w:sz="0" w:space="0" w:color="auto"/>
            <w:right w:val="none" w:sz="0" w:space="0" w:color="auto"/>
          </w:divBdr>
        </w:div>
        <w:div w:id="894127083">
          <w:marLeft w:val="360"/>
          <w:marRight w:val="0"/>
          <w:marTop w:val="200"/>
          <w:marBottom w:val="0"/>
          <w:divBdr>
            <w:top w:val="none" w:sz="0" w:space="0" w:color="auto"/>
            <w:left w:val="none" w:sz="0" w:space="0" w:color="auto"/>
            <w:bottom w:val="none" w:sz="0" w:space="0" w:color="auto"/>
            <w:right w:val="none" w:sz="0" w:space="0" w:color="auto"/>
          </w:divBdr>
        </w:div>
      </w:divsChild>
    </w:div>
    <w:div w:id="419374272">
      <w:bodyDiv w:val="1"/>
      <w:marLeft w:val="0"/>
      <w:marRight w:val="0"/>
      <w:marTop w:val="0"/>
      <w:marBottom w:val="0"/>
      <w:divBdr>
        <w:top w:val="none" w:sz="0" w:space="0" w:color="auto"/>
        <w:left w:val="none" w:sz="0" w:space="0" w:color="auto"/>
        <w:bottom w:val="none" w:sz="0" w:space="0" w:color="auto"/>
        <w:right w:val="none" w:sz="0" w:space="0" w:color="auto"/>
      </w:divBdr>
    </w:div>
    <w:div w:id="1045983526">
      <w:bodyDiv w:val="1"/>
      <w:marLeft w:val="0"/>
      <w:marRight w:val="0"/>
      <w:marTop w:val="0"/>
      <w:marBottom w:val="0"/>
      <w:divBdr>
        <w:top w:val="none" w:sz="0" w:space="0" w:color="auto"/>
        <w:left w:val="none" w:sz="0" w:space="0" w:color="auto"/>
        <w:bottom w:val="none" w:sz="0" w:space="0" w:color="auto"/>
        <w:right w:val="none" w:sz="0" w:space="0" w:color="auto"/>
      </w:divBdr>
      <w:divsChild>
        <w:div w:id="1796174139">
          <w:marLeft w:val="360"/>
          <w:marRight w:val="0"/>
          <w:marTop w:val="200"/>
          <w:marBottom w:val="0"/>
          <w:divBdr>
            <w:top w:val="none" w:sz="0" w:space="0" w:color="auto"/>
            <w:left w:val="none" w:sz="0" w:space="0" w:color="auto"/>
            <w:bottom w:val="none" w:sz="0" w:space="0" w:color="auto"/>
            <w:right w:val="none" w:sz="0" w:space="0" w:color="auto"/>
          </w:divBdr>
        </w:div>
        <w:div w:id="1808930110">
          <w:marLeft w:val="360"/>
          <w:marRight w:val="0"/>
          <w:marTop w:val="200"/>
          <w:marBottom w:val="0"/>
          <w:divBdr>
            <w:top w:val="none" w:sz="0" w:space="0" w:color="auto"/>
            <w:left w:val="none" w:sz="0" w:space="0" w:color="auto"/>
            <w:bottom w:val="none" w:sz="0" w:space="0" w:color="auto"/>
            <w:right w:val="none" w:sz="0" w:space="0" w:color="auto"/>
          </w:divBdr>
        </w:div>
        <w:div w:id="770668513">
          <w:marLeft w:val="1080"/>
          <w:marRight w:val="0"/>
          <w:marTop w:val="100"/>
          <w:marBottom w:val="0"/>
          <w:divBdr>
            <w:top w:val="none" w:sz="0" w:space="0" w:color="auto"/>
            <w:left w:val="none" w:sz="0" w:space="0" w:color="auto"/>
            <w:bottom w:val="none" w:sz="0" w:space="0" w:color="auto"/>
            <w:right w:val="none" w:sz="0" w:space="0" w:color="auto"/>
          </w:divBdr>
        </w:div>
        <w:div w:id="299768225">
          <w:marLeft w:val="1080"/>
          <w:marRight w:val="0"/>
          <w:marTop w:val="100"/>
          <w:marBottom w:val="0"/>
          <w:divBdr>
            <w:top w:val="none" w:sz="0" w:space="0" w:color="auto"/>
            <w:left w:val="none" w:sz="0" w:space="0" w:color="auto"/>
            <w:bottom w:val="none" w:sz="0" w:space="0" w:color="auto"/>
            <w:right w:val="none" w:sz="0" w:space="0" w:color="auto"/>
          </w:divBdr>
        </w:div>
        <w:div w:id="45371515">
          <w:marLeft w:val="1080"/>
          <w:marRight w:val="0"/>
          <w:marTop w:val="100"/>
          <w:marBottom w:val="0"/>
          <w:divBdr>
            <w:top w:val="none" w:sz="0" w:space="0" w:color="auto"/>
            <w:left w:val="none" w:sz="0" w:space="0" w:color="auto"/>
            <w:bottom w:val="none" w:sz="0" w:space="0" w:color="auto"/>
            <w:right w:val="none" w:sz="0" w:space="0" w:color="auto"/>
          </w:divBdr>
        </w:div>
        <w:div w:id="1130826509">
          <w:marLeft w:val="1080"/>
          <w:marRight w:val="0"/>
          <w:marTop w:val="100"/>
          <w:marBottom w:val="0"/>
          <w:divBdr>
            <w:top w:val="none" w:sz="0" w:space="0" w:color="auto"/>
            <w:left w:val="none" w:sz="0" w:space="0" w:color="auto"/>
            <w:bottom w:val="none" w:sz="0" w:space="0" w:color="auto"/>
            <w:right w:val="none" w:sz="0" w:space="0" w:color="auto"/>
          </w:divBdr>
        </w:div>
        <w:div w:id="1306548971">
          <w:marLeft w:val="1080"/>
          <w:marRight w:val="0"/>
          <w:marTop w:val="100"/>
          <w:marBottom w:val="0"/>
          <w:divBdr>
            <w:top w:val="none" w:sz="0" w:space="0" w:color="auto"/>
            <w:left w:val="none" w:sz="0" w:space="0" w:color="auto"/>
            <w:bottom w:val="none" w:sz="0" w:space="0" w:color="auto"/>
            <w:right w:val="none" w:sz="0" w:space="0" w:color="auto"/>
          </w:divBdr>
        </w:div>
        <w:div w:id="1506895904">
          <w:marLeft w:val="1080"/>
          <w:marRight w:val="0"/>
          <w:marTop w:val="100"/>
          <w:marBottom w:val="0"/>
          <w:divBdr>
            <w:top w:val="none" w:sz="0" w:space="0" w:color="auto"/>
            <w:left w:val="none" w:sz="0" w:space="0" w:color="auto"/>
            <w:bottom w:val="none" w:sz="0" w:space="0" w:color="auto"/>
            <w:right w:val="none" w:sz="0" w:space="0" w:color="auto"/>
          </w:divBdr>
        </w:div>
      </w:divsChild>
    </w:div>
    <w:div w:id="1118911210">
      <w:bodyDiv w:val="1"/>
      <w:marLeft w:val="0"/>
      <w:marRight w:val="0"/>
      <w:marTop w:val="0"/>
      <w:marBottom w:val="0"/>
      <w:divBdr>
        <w:top w:val="none" w:sz="0" w:space="0" w:color="auto"/>
        <w:left w:val="none" w:sz="0" w:space="0" w:color="auto"/>
        <w:bottom w:val="none" w:sz="0" w:space="0" w:color="auto"/>
        <w:right w:val="none" w:sz="0" w:space="0" w:color="auto"/>
      </w:divBdr>
      <w:divsChild>
        <w:div w:id="2087071295">
          <w:marLeft w:val="360"/>
          <w:marRight w:val="0"/>
          <w:marTop w:val="200"/>
          <w:marBottom w:val="0"/>
          <w:divBdr>
            <w:top w:val="none" w:sz="0" w:space="0" w:color="auto"/>
            <w:left w:val="none" w:sz="0" w:space="0" w:color="auto"/>
            <w:bottom w:val="none" w:sz="0" w:space="0" w:color="auto"/>
            <w:right w:val="none" w:sz="0" w:space="0" w:color="auto"/>
          </w:divBdr>
        </w:div>
        <w:div w:id="1526210399">
          <w:marLeft w:val="360"/>
          <w:marRight w:val="0"/>
          <w:marTop w:val="200"/>
          <w:marBottom w:val="0"/>
          <w:divBdr>
            <w:top w:val="none" w:sz="0" w:space="0" w:color="auto"/>
            <w:left w:val="none" w:sz="0" w:space="0" w:color="auto"/>
            <w:bottom w:val="none" w:sz="0" w:space="0" w:color="auto"/>
            <w:right w:val="none" w:sz="0" w:space="0" w:color="auto"/>
          </w:divBdr>
        </w:div>
        <w:div w:id="491877565">
          <w:marLeft w:val="1080"/>
          <w:marRight w:val="0"/>
          <w:marTop w:val="100"/>
          <w:marBottom w:val="0"/>
          <w:divBdr>
            <w:top w:val="none" w:sz="0" w:space="0" w:color="auto"/>
            <w:left w:val="none" w:sz="0" w:space="0" w:color="auto"/>
            <w:bottom w:val="none" w:sz="0" w:space="0" w:color="auto"/>
            <w:right w:val="none" w:sz="0" w:space="0" w:color="auto"/>
          </w:divBdr>
        </w:div>
        <w:div w:id="1722827961">
          <w:marLeft w:val="1080"/>
          <w:marRight w:val="0"/>
          <w:marTop w:val="100"/>
          <w:marBottom w:val="0"/>
          <w:divBdr>
            <w:top w:val="none" w:sz="0" w:space="0" w:color="auto"/>
            <w:left w:val="none" w:sz="0" w:space="0" w:color="auto"/>
            <w:bottom w:val="none" w:sz="0" w:space="0" w:color="auto"/>
            <w:right w:val="none" w:sz="0" w:space="0" w:color="auto"/>
          </w:divBdr>
        </w:div>
        <w:div w:id="1933396159">
          <w:marLeft w:val="1080"/>
          <w:marRight w:val="0"/>
          <w:marTop w:val="100"/>
          <w:marBottom w:val="0"/>
          <w:divBdr>
            <w:top w:val="none" w:sz="0" w:space="0" w:color="auto"/>
            <w:left w:val="none" w:sz="0" w:space="0" w:color="auto"/>
            <w:bottom w:val="none" w:sz="0" w:space="0" w:color="auto"/>
            <w:right w:val="none" w:sz="0" w:space="0" w:color="auto"/>
          </w:divBdr>
        </w:div>
        <w:div w:id="393697491">
          <w:marLeft w:val="1080"/>
          <w:marRight w:val="0"/>
          <w:marTop w:val="100"/>
          <w:marBottom w:val="0"/>
          <w:divBdr>
            <w:top w:val="none" w:sz="0" w:space="0" w:color="auto"/>
            <w:left w:val="none" w:sz="0" w:space="0" w:color="auto"/>
            <w:bottom w:val="none" w:sz="0" w:space="0" w:color="auto"/>
            <w:right w:val="none" w:sz="0" w:space="0" w:color="auto"/>
          </w:divBdr>
        </w:div>
      </w:divsChild>
    </w:div>
    <w:div w:id="1307591960">
      <w:bodyDiv w:val="1"/>
      <w:marLeft w:val="0"/>
      <w:marRight w:val="0"/>
      <w:marTop w:val="0"/>
      <w:marBottom w:val="0"/>
      <w:divBdr>
        <w:top w:val="none" w:sz="0" w:space="0" w:color="auto"/>
        <w:left w:val="none" w:sz="0" w:space="0" w:color="auto"/>
        <w:bottom w:val="none" w:sz="0" w:space="0" w:color="auto"/>
        <w:right w:val="none" w:sz="0" w:space="0" w:color="auto"/>
      </w:divBdr>
      <w:divsChild>
        <w:div w:id="2127121374">
          <w:marLeft w:val="360"/>
          <w:marRight w:val="0"/>
          <w:marTop w:val="200"/>
          <w:marBottom w:val="0"/>
          <w:divBdr>
            <w:top w:val="none" w:sz="0" w:space="0" w:color="auto"/>
            <w:left w:val="none" w:sz="0" w:space="0" w:color="auto"/>
            <w:bottom w:val="none" w:sz="0" w:space="0" w:color="auto"/>
            <w:right w:val="none" w:sz="0" w:space="0" w:color="auto"/>
          </w:divBdr>
        </w:div>
        <w:div w:id="1663776140">
          <w:marLeft w:val="360"/>
          <w:marRight w:val="0"/>
          <w:marTop w:val="200"/>
          <w:marBottom w:val="0"/>
          <w:divBdr>
            <w:top w:val="none" w:sz="0" w:space="0" w:color="auto"/>
            <w:left w:val="none" w:sz="0" w:space="0" w:color="auto"/>
            <w:bottom w:val="none" w:sz="0" w:space="0" w:color="auto"/>
            <w:right w:val="none" w:sz="0" w:space="0" w:color="auto"/>
          </w:divBdr>
        </w:div>
      </w:divsChild>
    </w:div>
    <w:div w:id="1391616301">
      <w:bodyDiv w:val="1"/>
      <w:marLeft w:val="0"/>
      <w:marRight w:val="0"/>
      <w:marTop w:val="0"/>
      <w:marBottom w:val="0"/>
      <w:divBdr>
        <w:top w:val="none" w:sz="0" w:space="0" w:color="auto"/>
        <w:left w:val="none" w:sz="0" w:space="0" w:color="auto"/>
        <w:bottom w:val="none" w:sz="0" w:space="0" w:color="auto"/>
        <w:right w:val="none" w:sz="0" w:space="0" w:color="auto"/>
      </w:divBdr>
    </w:div>
    <w:div w:id="1561598780">
      <w:bodyDiv w:val="1"/>
      <w:marLeft w:val="0"/>
      <w:marRight w:val="0"/>
      <w:marTop w:val="0"/>
      <w:marBottom w:val="0"/>
      <w:divBdr>
        <w:top w:val="none" w:sz="0" w:space="0" w:color="auto"/>
        <w:left w:val="none" w:sz="0" w:space="0" w:color="auto"/>
        <w:bottom w:val="none" w:sz="0" w:space="0" w:color="auto"/>
        <w:right w:val="none" w:sz="0" w:space="0" w:color="auto"/>
      </w:divBdr>
    </w:div>
    <w:div w:id="1587691214">
      <w:bodyDiv w:val="1"/>
      <w:marLeft w:val="0"/>
      <w:marRight w:val="0"/>
      <w:marTop w:val="0"/>
      <w:marBottom w:val="0"/>
      <w:divBdr>
        <w:top w:val="none" w:sz="0" w:space="0" w:color="auto"/>
        <w:left w:val="none" w:sz="0" w:space="0" w:color="auto"/>
        <w:bottom w:val="none" w:sz="0" w:space="0" w:color="auto"/>
        <w:right w:val="none" w:sz="0" w:space="0" w:color="auto"/>
      </w:divBdr>
      <w:divsChild>
        <w:div w:id="881600294">
          <w:marLeft w:val="360"/>
          <w:marRight w:val="0"/>
          <w:marTop w:val="200"/>
          <w:marBottom w:val="0"/>
          <w:divBdr>
            <w:top w:val="none" w:sz="0" w:space="0" w:color="auto"/>
            <w:left w:val="none" w:sz="0" w:space="0" w:color="auto"/>
            <w:bottom w:val="none" w:sz="0" w:space="0" w:color="auto"/>
            <w:right w:val="none" w:sz="0" w:space="0" w:color="auto"/>
          </w:divBdr>
        </w:div>
        <w:div w:id="1668897523">
          <w:marLeft w:val="360"/>
          <w:marRight w:val="0"/>
          <w:marTop w:val="200"/>
          <w:marBottom w:val="0"/>
          <w:divBdr>
            <w:top w:val="none" w:sz="0" w:space="0" w:color="auto"/>
            <w:left w:val="none" w:sz="0" w:space="0" w:color="auto"/>
            <w:bottom w:val="none" w:sz="0" w:space="0" w:color="auto"/>
            <w:right w:val="none" w:sz="0" w:space="0" w:color="auto"/>
          </w:divBdr>
        </w:div>
        <w:div w:id="1743061546">
          <w:marLeft w:val="360"/>
          <w:marRight w:val="0"/>
          <w:marTop w:val="200"/>
          <w:marBottom w:val="0"/>
          <w:divBdr>
            <w:top w:val="none" w:sz="0" w:space="0" w:color="auto"/>
            <w:left w:val="none" w:sz="0" w:space="0" w:color="auto"/>
            <w:bottom w:val="none" w:sz="0" w:space="0" w:color="auto"/>
            <w:right w:val="none" w:sz="0" w:space="0" w:color="auto"/>
          </w:divBdr>
        </w:div>
        <w:div w:id="569777707">
          <w:marLeft w:val="360"/>
          <w:marRight w:val="0"/>
          <w:marTop w:val="200"/>
          <w:marBottom w:val="0"/>
          <w:divBdr>
            <w:top w:val="none" w:sz="0" w:space="0" w:color="auto"/>
            <w:left w:val="none" w:sz="0" w:space="0" w:color="auto"/>
            <w:bottom w:val="none" w:sz="0" w:space="0" w:color="auto"/>
            <w:right w:val="none" w:sz="0" w:space="0" w:color="auto"/>
          </w:divBdr>
        </w:div>
      </w:divsChild>
    </w:div>
    <w:div w:id="1597252395">
      <w:bodyDiv w:val="1"/>
      <w:marLeft w:val="0"/>
      <w:marRight w:val="0"/>
      <w:marTop w:val="0"/>
      <w:marBottom w:val="0"/>
      <w:divBdr>
        <w:top w:val="none" w:sz="0" w:space="0" w:color="auto"/>
        <w:left w:val="none" w:sz="0" w:space="0" w:color="auto"/>
        <w:bottom w:val="none" w:sz="0" w:space="0" w:color="auto"/>
        <w:right w:val="none" w:sz="0" w:space="0" w:color="auto"/>
      </w:divBdr>
    </w:div>
    <w:div w:id="1831170826">
      <w:bodyDiv w:val="1"/>
      <w:marLeft w:val="0"/>
      <w:marRight w:val="0"/>
      <w:marTop w:val="0"/>
      <w:marBottom w:val="0"/>
      <w:divBdr>
        <w:top w:val="none" w:sz="0" w:space="0" w:color="auto"/>
        <w:left w:val="none" w:sz="0" w:space="0" w:color="auto"/>
        <w:bottom w:val="none" w:sz="0" w:space="0" w:color="auto"/>
        <w:right w:val="none" w:sz="0" w:space="0" w:color="auto"/>
      </w:divBdr>
    </w:div>
    <w:div w:id="1986813866">
      <w:bodyDiv w:val="1"/>
      <w:marLeft w:val="0"/>
      <w:marRight w:val="0"/>
      <w:marTop w:val="0"/>
      <w:marBottom w:val="0"/>
      <w:divBdr>
        <w:top w:val="none" w:sz="0" w:space="0" w:color="auto"/>
        <w:left w:val="none" w:sz="0" w:space="0" w:color="auto"/>
        <w:bottom w:val="none" w:sz="0" w:space="0" w:color="auto"/>
        <w:right w:val="none" w:sz="0" w:space="0" w:color="auto"/>
      </w:divBdr>
      <w:divsChild>
        <w:div w:id="1721243905">
          <w:marLeft w:val="360"/>
          <w:marRight w:val="0"/>
          <w:marTop w:val="200"/>
          <w:marBottom w:val="0"/>
          <w:divBdr>
            <w:top w:val="none" w:sz="0" w:space="0" w:color="auto"/>
            <w:left w:val="none" w:sz="0" w:space="0" w:color="auto"/>
            <w:bottom w:val="none" w:sz="0" w:space="0" w:color="auto"/>
            <w:right w:val="none" w:sz="0" w:space="0" w:color="auto"/>
          </w:divBdr>
        </w:div>
        <w:div w:id="1288851218">
          <w:marLeft w:val="360"/>
          <w:marRight w:val="0"/>
          <w:marTop w:val="200"/>
          <w:marBottom w:val="0"/>
          <w:divBdr>
            <w:top w:val="none" w:sz="0" w:space="0" w:color="auto"/>
            <w:left w:val="none" w:sz="0" w:space="0" w:color="auto"/>
            <w:bottom w:val="none" w:sz="0" w:space="0" w:color="auto"/>
            <w:right w:val="none" w:sz="0" w:space="0" w:color="auto"/>
          </w:divBdr>
        </w:div>
        <w:div w:id="6716131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0973-2567-4BE5-BC86-F1BACEC3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Stoker</dc:creator>
  <cp:lastModifiedBy>Will</cp:lastModifiedBy>
  <cp:revision>4</cp:revision>
  <cp:lastPrinted>2018-09-24T09:04:00Z</cp:lastPrinted>
  <dcterms:created xsi:type="dcterms:W3CDTF">2018-10-04T11:19:00Z</dcterms:created>
  <dcterms:modified xsi:type="dcterms:W3CDTF">2018-11-04T23:05:00Z</dcterms:modified>
</cp:coreProperties>
</file>