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D7CD7" w14:textId="57224FC8" w:rsidR="007A1B5B" w:rsidRPr="00F8240E" w:rsidRDefault="000E702B" w:rsidP="004943B5">
      <w:pPr>
        <w:spacing w:line="480" w:lineRule="auto"/>
        <w:jc w:val="both"/>
        <w:rPr>
          <w:rFonts w:ascii="Times New Roman" w:hAnsi="Times New Roman" w:cs="Times New Roman"/>
          <w:sz w:val="24"/>
          <w:szCs w:val="24"/>
        </w:rPr>
      </w:pPr>
      <w:bookmarkStart w:id="0" w:name="_GoBack"/>
      <w:bookmarkEnd w:id="0"/>
      <w:r w:rsidRPr="00F8240E">
        <w:rPr>
          <w:rFonts w:ascii="Times New Roman" w:hAnsi="Times New Roman" w:cs="Times New Roman"/>
          <w:sz w:val="24"/>
          <w:szCs w:val="24"/>
        </w:rPr>
        <w:t xml:space="preserve">The retrenchment of public pension provision in the liberal world </w:t>
      </w:r>
      <w:r w:rsidR="00046B92" w:rsidRPr="00F8240E">
        <w:rPr>
          <w:rFonts w:ascii="Times New Roman" w:hAnsi="Times New Roman" w:cs="Times New Roman"/>
          <w:sz w:val="24"/>
          <w:szCs w:val="24"/>
        </w:rPr>
        <w:t xml:space="preserve">of welfare </w:t>
      </w:r>
      <w:r w:rsidRPr="00F8240E">
        <w:rPr>
          <w:rFonts w:ascii="Times New Roman" w:hAnsi="Times New Roman" w:cs="Times New Roman"/>
          <w:sz w:val="24"/>
          <w:szCs w:val="24"/>
        </w:rPr>
        <w:t xml:space="preserve">during the age of austerity - and its </w:t>
      </w:r>
      <w:r w:rsidR="00701D73" w:rsidRPr="00F8240E">
        <w:rPr>
          <w:rFonts w:ascii="Times New Roman" w:hAnsi="Times New Roman" w:cs="Times New Roman"/>
          <w:sz w:val="24"/>
          <w:szCs w:val="24"/>
        </w:rPr>
        <w:t xml:space="preserve">unexpected </w:t>
      </w:r>
      <w:r w:rsidRPr="00F8240E">
        <w:rPr>
          <w:rFonts w:ascii="Times New Roman" w:hAnsi="Times New Roman" w:cs="Times New Roman"/>
          <w:sz w:val="24"/>
          <w:szCs w:val="24"/>
        </w:rPr>
        <w:t>reversal, 19</w:t>
      </w:r>
      <w:r w:rsidR="004759C4" w:rsidRPr="00F8240E">
        <w:rPr>
          <w:rFonts w:ascii="Times New Roman" w:hAnsi="Times New Roman" w:cs="Times New Roman"/>
          <w:sz w:val="24"/>
          <w:szCs w:val="24"/>
        </w:rPr>
        <w:t>80</w:t>
      </w:r>
      <w:r w:rsidRPr="00F8240E">
        <w:rPr>
          <w:rFonts w:ascii="Times New Roman" w:hAnsi="Times New Roman" w:cs="Times New Roman"/>
          <w:sz w:val="24"/>
          <w:szCs w:val="24"/>
        </w:rPr>
        <w:t>-2017</w:t>
      </w:r>
    </w:p>
    <w:p w14:paraId="2F231B61" w14:textId="77777777" w:rsidR="000E702B" w:rsidRPr="00F8240E" w:rsidRDefault="000E702B" w:rsidP="004943B5">
      <w:pPr>
        <w:spacing w:line="480" w:lineRule="auto"/>
        <w:jc w:val="both"/>
        <w:rPr>
          <w:rFonts w:ascii="Times New Roman" w:hAnsi="Times New Roman" w:cs="Times New Roman"/>
          <w:sz w:val="24"/>
          <w:szCs w:val="24"/>
        </w:rPr>
      </w:pPr>
    </w:p>
    <w:p w14:paraId="19DDD275" w14:textId="2279A106" w:rsidR="000E702B" w:rsidRPr="00F8240E" w:rsidRDefault="000E702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Abstract</w:t>
      </w:r>
    </w:p>
    <w:p w14:paraId="694EA09D" w14:textId="620944F0" w:rsidR="0091532C" w:rsidRPr="00F8240E" w:rsidRDefault="0091532C" w:rsidP="002833CA">
      <w:pPr>
        <w:spacing w:after="160"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Pension system adaption during the </w:t>
      </w:r>
      <w:r w:rsidR="00190568" w:rsidRPr="00F8240E">
        <w:rPr>
          <w:rFonts w:ascii="Times New Roman" w:hAnsi="Times New Roman" w:cs="Times New Roman"/>
          <w:sz w:val="24"/>
          <w:szCs w:val="24"/>
        </w:rPr>
        <w:t>“</w:t>
      </w:r>
      <w:r w:rsidRPr="00F8240E">
        <w:rPr>
          <w:rFonts w:ascii="Times New Roman" w:hAnsi="Times New Roman" w:cs="Times New Roman"/>
          <w:sz w:val="24"/>
          <w:szCs w:val="24"/>
        </w:rPr>
        <w:t>age of austerity</w:t>
      </w:r>
      <w:r w:rsidR="00190568" w:rsidRPr="00F8240E">
        <w:rPr>
          <w:rFonts w:ascii="Times New Roman" w:hAnsi="Times New Roman" w:cs="Times New Roman"/>
          <w:sz w:val="24"/>
          <w:szCs w:val="24"/>
        </w:rPr>
        <w:t>”</w:t>
      </w:r>
      <w:r w:rsidRPr="00F8240E">
        <w:rPr>
          <w:rFonts w:ascii="Times New Roman" w:hAnsi="Times New Roman" w:cs="Times New Roman"/>
          <w:sz w:val="24"/>
          <w:szCs w:val="24"/>
        </w:rPr>
        <w:t xml:space="preserve"> since 1980 is expected to vary between industrialized countries broadly </w:t>
      </w:r>
      <w:r w:rsidR="00C90EAC" w:rsidRPr="00F8240E">
        <w:rPr>
          <w:rFonts w:ascii="Times New Roman" w:hAnsi="Times New Roman" w:cs="Times New Roman"/>
          <w:sz w:val="24"/>
          <w:szCs w:val="24"/>
        </w:rPr>
        <w:t>in line</w:t>
      </w:r>
      <w:r w:rsidRPr="00F8240E">
        <w:rPr>
          <w:rFonts w:ascii="Times New Roman" w:hAnsi="Times New Roman" w:cs="Times New Roman"/>
          <w:sz w:val="24"/>
          <w:szCs w:val="24"/>
        </w:rPr>
        <w:t xml:space="preserve"> with their membership of conservative, liberal or social democratic worlds of welfare. Empirical testing on the liberal world focuses on the later period and differs in its conclusions. This paper is based on a systematic study of the scale, nature and trajectory of change in six liberal pension systems between 1980 and 2017 using expenditure, economic, demographic and </w:t>
      </w:r>
      <w:r w:rsidR="00015E6E" w:rsidRPr="00F8240E">
        <w:rPr>
          <w:rFonts w:ascii="Times New Roman" w:hAnsi="Times New Roman" w:cs="Times New Roman"/>
          <w:sz w:val="24"/>
          <w:szCs w:val="24"/>
        </w:rPr>
        <w:t>social rights</w:t>
      </w:r>
      <w:r w:rsidRPr="00F8240E">
        <w:rPr>
          <w:rFonts w:ascii="Times New Roman" w:hAnsi="Times New Roman" w:cs="Times New Roman"/>
          <w:sz w:val="24"/>
          <w:szCs w:val="24"/>
        </w:rPr>
        <w:t xml:space="preserve"> data. This data is analysed using a framework developed through critical engagement with Pierson’s three </w:t>
      </w:r>
      <w:r w:rsidR="001858FB" w:rsidRPr="00F8240E">
        <w:rPr>
          <w:rFonts w:ascii="Times New Roman" w:hAnsi="Times New Roman" w:cs="Times New Roman"/>
          <w:sz w:val="24"/>
          <w:szCs w:val="24"/>
        </w:rPr>
        <w:t xml:space="preserve">welfare state </w:t>
      </w:r>
      <w:r w:rsidRPr="00F8240E">
        <w:rPr>
          <w:rFonts w:ascii="Times New Roman" w:hAnsi="Times New Roman" w:cs="Times New Roman"/>
          <w:sz w:val="24"/>
          <w:szCs w:val="24"/>
        </w:rPr>
        <w:t xml:space="preserve">change criteria and the welfare state </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dependent variable problem</w:t>
      </w:r>
      <w:r w:rsidR="00CB30A7" w:rsidRPr="00F8240E">
        <w:rPr>
          <w:rFonts w:ascii="Times New Roman" w:hAnsi="Times New Roman" w:cs="Times New Roman"/>
          <w:sz w:val="24"/>
          <w:szCs w:val="24"/>
        </w:rPr>
        <w:t>”</w:t>
      </w:r>
      <w:r w:rsidR="00940B40" w:rsidRPr="00F8240E">
        <w:rPr>
          <w:rFonts w:ascii="Times New Roman" w:hAnsi="Times New Roman" w:cs="Times New Roman"/>
          <w:sz w:val="24"/>
          <w:szCs w:val="24"/>
        </w:rPr>
        <w:t>.</w:t>
      </w:r>
      <w:r w:rsidRPr="00F8240E">
        <w:rPr>
          <w:rFonts w:ascii="Times New Roman" w:hAnsi="Times New Roman" w:cs="Times New Roman"/>
          <w:sz w:val="24"/>
          <w:szCs w:val="24"/>
        </w:rPr>
        <w:t xml:space="preserve"> The paper finds a significant retrenchment of public pension provision in most liberal welfare states after 1980, but largely </w:t>
      </w:r>
      <w:r w:rsidR="00940B40" w:rsidRPr="00F8240E">
        <w:rPr>
          <w:rFonts w:ascii="Times New Roman" w:hAnsi="Times New Roman" w:cs="Times New Roman"/>
          <w:sz w:val="24"/>
          <w:szCs w:val="24"/>
        </w:rPr>
        <w:t>during</w:t>
      </w:r>
      <w:r w:rsidRPr="00F8240E">
        <w:rPr>
          <w:rFonts w:ascii="Times New Roman" w:hAnsi="Times New Roman" w:cs="Times New Roman"/>
          <w:sz w:val="24"/>
          <w:szCs w:val="24"/>
        </w:rPr>
        <w:t xml:space="preserve"> the first half of the period. </w:t>
      </w:r>
      <w:r w:rsidR="00940B40" w:rsidRPr="00F8240E">
        <w:rPr>
          <w:rFonts w:ascii="Times New Roman" w:hAnsi="Times New Roman" w:cs="Times New Roman"/>
          <w:sz w:val="24"/>
          <w:szCs w:val="24"/>
        </w:rPr>
        <w:t>This</w:t>
      </w:r>
      <w:r w:rsidRPr="00F8240E">
        <w:rPr>
          <w:rFonts w:ascii="Times New Roman" w:hAnsi="Times New Roman" w:cs="Times New Roman"/>
          <w:sz w:val="24"/>
          <w:szCs w:val="24"/>
        </w:rPr>
        <w:t xml:space="preserve"> has been partly reversed in most countries since the mid-1990s, though the scale of this reversal varies between countries. Th</w:t>
      </w:r>
      <w:r w:rsidR="00940B40" w:rsidRPr="00F8240E">
        <w:rPr>
          <w:rFonts w:ascii="Times New Roman" w:hAnsi="Times New Roman" w:cs="Times New Roman"/>
          <w:sz w:val="24"/>
          <w:szCs w:val="24"/>
        </w:rPr>
        <w:t>e</w:t>
      </w:r>
      <w:r w:rsidRPr="00F8240E">
        <w:rPr>
          <w:rFonts w:ascii="Times New Roman" w:hAnsi="Times New Roman" w:cs="Times New Roman"/>
          <w:sz w:val="24"/>
          <w:szCs w:val="24"/>
        </w:rPr>
        <w:t xml:space="preserve"> recent rise </w:t>
      </w:r>
      <w:r w:rsidR="00940B40" w:rsidRPr="00F8240E">
        <w:rPr>
          <w:rFonts w:ascii="Times New Roman" w:hAnsi="Times New Roman" w:cs="Times New Roman"/>
          <w:sz w:val="24"/>
          <w:szCs w:val="24"/>
        </w:rPr>
        <w:t xml:space="preserve">of the state in liberal systems </w:t>
      </w:r>
      <w:r w:rsidRPr="00F8240E">
        <w:rPr>
          <w:rFonts w:ascii="Times New Roman" w:hAnsi="Times New Roman" w:cs="Times New Roman"/>
          <w:sz w:val="24"/>
          <w:szCs w:val="24"/>
        </w:rPr>
        <w:t>has been noted by some commentators</w:t>
      </w:r>
      <w:r w:rsidR="00354D27"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354D27" w:rsidRPr="00F8240E">
        <w:rPr>
          <w:rFonts w:ascii="Times New Roman" w:hAnsi="Times New Roman" w:cs="Times New Roman"/>
          <w:sz w:val="24"/>
          <w:szCs w:val="24"/>
        </w:rPr>
        <w:t>b</w:t>
      </w:r>
      <w:r w:rsidRPr="00F8240E">
        <w:rPr>
          <w:rFonts w:ascii="Times New Roman" w:hAnsi="Times New Roman" w:cs="Times New Roman"/>
          <w:sz w:val="24"/>
          <w:szCs w:val="24"/>
        </w:rPr>
        <w:t xml:space="preserve">ut to be properly </w:t>
      </w:r>
      <w:r w:rsidR="00940B40" w:rsidRPr="00F8240E">
        <w:rPr>
          <w:rFonts w:ascii="Times New Roman" w:hAnsi="Times New Roman" w:cs="Times New Roman"/>
          <w:sz w:val="24"/>
          <w:szCs w:val="24"/>
        </w:rPr>
        <w:t xml:space="preserve">understood, the paper argues, </w:t>
      </w:r>
      <w:r w:rsidRPr="00F8240E">
        <w:rPr>
          <w:rFonts w:ascii="Times New Roman" w:hAnsi="Times New Roman" w:cs="Times New Roman"/>
          <w:sz w:val="24"/>
          <w:szCs w:val="24"/>
        </w:rPr>
        <w:t>it must be considered in the context of the significant retrenchment which preceded it.</w:t>
      </w:r>
      <w:r w:rsidR="002833CA" w:rsidRPr="00F8240E">
        <w:rPr>
          <w:rFonts w:ascii="Times New Roman" w:hAnsi="Times New Roman" w:cs="Times New Roman"/>
          <w:sz w:val="24"/>
          <w:szCs w:val="24"/>
        </w:rPr>
        <w:t xml:space="preserve"> There is scope </w:t>
      </w:r>
      <w:r w:rsidR="00621E1F" w:rsidRPr="00F8240E">
        <w:rPr>
          <w:rFonts w:ascii="Times New Roman" w:hAnsi="Times New Roman" w:cs="Times New Roman"/>
          <w:sz w:val="24"/>
          <w:szCs w:val="24"/>
        </w:rPr>
        <w:t xml:space="preserve">especially </w:t>
      </w:r>
      <w:r w:rsidR="002833CA" w:rsidRPr="00F8240E">
        <w:rPr>
          <w:rFonts w:ascii="Times New Roman" w:hAnsi="Times New Roman" w:cs="Times New Roman"/>
          <w:sz w:val="24"/>
          <w:szCs w:val="24"/>
        </w:rPr>
        <w:t>for research on the broader social context of recent reforms, particularly how middle-income groups were affected by retrenchment and how recent reforms have mitigated this.</w:t>
      </w:r>
    </w:p>
    <w:p w14:paraId="380C0862" w14:textId="5F3AAEBE" w:rsidR="000E702B" w:rsidRPr="00F8240E" w:rsidRDefault="000E702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Keywords: </w:t>
      </w:r>
      <w:r w:rsidR="0091532C" w:rsidRPr="00F8240E">
        <w:rPr>
          <w:rFonts w:ascii="Times New Roman" w:hAnsi="Times New Roman" w:cs="Times New Roman"/>
          <w:sz w:val="24"/>
          <w:szCs w:val="24"/>
        </w:rPr>
        <w:t>liberal pension systems; regime theory, retrenchment</w:t>
      </w:r>
    </w:p>
    <w:p w14:paraId="0BA6EE90" w14:textId="06E13843" w:rsidR="00597CE7" w:rsidRPr="00F8240E" w:rsidRDefault="00597CE7" w:rsidP="004943B5">
      <w:pPr>
        <w:spacing w:line="480" w:lineRule="auto"/>
        <w:jc w:val="both"/>
        <w:rPr>
          <w:rFonts w:ascii="Times New Roman" w:hAnsi="Times New Roman" w:cs="Times New Roman"/>
          <w:sz w:val="24"/>
          <w:szCs w:val="24"/>
        </w:rPr>
      </w:pPr>
    </w:p>
    <w:p w14:paraId="09381538" w14:textId="77777777" w:rsidR="002833CA" w:rsidRPr="00F8240E" w:rsidRDefault="002833CA" w:rsidP="004943B5">
      <w:pPr>
        <w:spacing w:line="480" w:lineRule="auto"/>
        <w:jc w:val="both"/>
        <w:rPr>
          <w:rFonts w:ascii="Times New Roman" w:hAnsi="Times New Roman" w:cs="Times New Roman"/>
          <w:sz w:val="24"/>
          <w:szCs w:val="24"/>
        </w:rPr>
      </w:pPr>
    </w:p>
    <w:p w14:paraId="7A9D4ABB" w14:textId="6B1C65D7" w:rsidR="0091532C" w:rsidRPr="00F8240E" w:rsidRDefault="00940B4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1.INTRODUCTION</w:t>
      </w:r>
    </w:p>
    <w:p w14:paraId="162B0B84" w14:textId="2731FA55" w:rsidR="007A1B5B" w:rsidRPr="00F8240E" w:rsidRDefault="007A1B5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Most comparative research on welfare state adaption suggests existing </w:t>
      </w:r>
      <w:r w:rsidR="00CF4E42" w:rsidRPr="00F8240E">
        <w:rPr>
          <w:rFonts w:ascii="Times New Roman" w:hAnsi="Times New Roman" w:cs="Times New Roman"/>
          <w:sz w:val="24"/>
          <w:szCs w:val="24"/>
        </w:rPr>
        <w:t xml:space="preserve">policy </w:t>
      </w:r>
      <w:r w:rsidRPr="00F8240E">
        <w:rPr>
          <w:rFonts w:ascii="Times New Roman" w:hAnsi="Times New Roman" w:cs="Times New Roman"/>
          <w:sz w:val="24"/>
          <w:szCs w:val="24"/>
        </w:rPr>
        <w:t>institution</w:t>
      </w:r>
      <w:r w:rsidR="00CF4E42" w:rsidRPr="00F8240E">
        <w:rPr>
          <w:rFonts w:ascii="Times New Roman" w:hAnsi="Times New Roman" w:cs="Times New Roman"/>
          <w:sz w:val="24"/>
          <w:szCs w:val="24"/>
        </w:rPr>
        <w:t>s</w:t>
      </w:r>
      <w:r w:rsidRPr="00F8240E">
        <w:rPr>
          <w:rFonts w:ascii="Times New Roman" w:hAnsi="Times New Roman" w:cs="Times New Roman"/>
          <w:sz w:val="24"/>
          <w:szCs w:val="24"/>
        </w:rPr>
        <w:t xml:space="preserve"> will determine to a significant extent reform path</w:t>
      </w:r>
      <w:r w:rsidR="00CF4E42" w:rsidRPr="00F8240E">
        <w:rPr>
          <w:rFonts w:ascii="Times New Roman" w:hAnsi="Times New Roman" w:cs="Times New Roman"/>
          <w:sz w:val="24"/>
          <w:szCs w:val="24"/>
        </w:rPr>
        <w:t>s</w:t>
      </w:r>
      <w:r w:rsidRPr="00F8240E">
        <w:rPr>
          <w:rFonts w:ascii="Times New Roman" w:hAnsi="Times New Roman" w:cs="Times New Roman"/>
          <w:sz w:val="24"/>
          <w:szCs w:val="24"/>
        </w:rPr>
        <w:t xml:space="preserve"> in the face of structural challenges ie population </w:t>
      </w:r>
      <w:r w:rsidRPr="00F8240E">
        <w:rPr>
          <w:rFonts w:ascii="Times New Roman" w:hAnsi="Times New Roman" w:cs="Times New Roman"/>
          <w:sz w:val="24"/>
          <w:szCs w:val="24"/>
        </w:rPr>
        <w:lastRenderedPageBreak/>
        <w:t xml:space="preserve">ageing, </w:t>
      </w:r>
      <w:r w:rsidR="00770B82" w:rsidRPr="00F8240E">
        <w:rPr>
          <w:rFonts w:ascii="Times New Roman" w:hAnsi="Times New Roman" w:cs="Times New Roman"/>
          <w:sz w:val="24"/>
          <w:szCs w:val="24"/>
        </w:rPr>
        <w:t>labor</w:t>
      </w:r>
      <w:r w:rsidRPr="00F8240E">
        <w:rPr>
          <w:rFonts w:ascii="Times New Roman" w:hAnsi="Times New Roman" w:cs="Times New Roman"/>
          <w:sz w:val="24"/>
          <w:szCs w:val="24"/>
        </w:rPr>
        <w:t xml:space="preserve"> market change and economic globalisation. The starting point for much of this research </w:t>
      </w:r>
      <w:r w:rsidR="00940B40" w:rsidRPr="00F8240E">
        <w:rPr>
          <w:rFonts w:ascii="Times New Roman" w:hAnsi="Times New Roman" w:cs="Times New Roman"/>
          <w:sz w:val="24"/>
          <w:szCs w:val="24"/>
        </w:rPr>
        <w:t>is</w:t>
      </w:r>
      <w:r w:rsidRPr="00F8240E">
        <w:rPr>
          <w:rFonts w:ascii="Times New Roman" w:hAnsi="Times New Roman" w:cs="Times New Roman"/>
          <w:sz w:val="24"/>
          <w:szCs w:val="24"/>
        </w:rPr>
        <w:t xml:space="preserve"> regime theory which classifies national welfare provision based on dominant features and shared sets of underlying principles</w:t>
      </w:r>
      <w:r w:rsidR="00705C57" w:rsidRPr="00F8240E">
        <w:rPr>
          <w:rFonts w:ascii="Times New Roman" w:hAnsi="Times New Roman" w:cs="Times New Roman"/>
          <w:sz w:val="24"/>
          <w:szCs w:val="24"/>
        </w:rPr>
        <w:t xml:space="preserve"> (</w:t>
      </w:r>
      <w:r w:rsidR="00E56F96" w:rsidRPr="00F8240E">
        <w:rPr>
          <w:rFonts w:ascii="Times New Roman" w:hAnsi="Times New Roman" w:cs="Times New Roman"/>
          <w:sz w:val="24"/>
          <w:szCs w:val="24"/>
        </w:rPr>
        <w:t xml:space="preserve">eg </w:t>
      </w:r>
      <w:r w:rsidR="00705C57" w:rsidRPr="00F8240E">
        <w:rPr>
          <w:rFonts w:ascii="Times New Roman" w:hAnsi="Times New Roman" w:cs="Times New Roman"/>
          <w:sz w:val="24"/>
          <w:szCs w:val="24"/>
        </w:rPr>
        <w:t>Esping-Andersen</w:t>
      </w:r>
      <w:r w:rsidR="006F6EBE" w:rsidRPr="00F8240E">
        <w:rPr>
          <w:rFonts w:ascii="Times New Roman" w:hAnsi="Times New Roman" w:cs="Times New Roman"/>
          <w:sz w:val="24"/>
          <w:szCs w:val="24"/>
        </w:rPr>
        <w:t>,</w:t>
      </w:r>
      <w:r w:rsidR="00705C57" w:rsidRPr="00F8240E">
        <w:rPr>
          <w:rFonts w:ascii="Times New Roman" w:hAnsi="Times New Roman" w:cs="Times New Roman"/>
          <w:sz w:val="24"/>
          <w:szCs w:val="24"/>
        </w:rPr>
        <w:t xml:space="preserve"> 1990; Pierson</w:t>
      </w:r>
      <w:r w:rsidR="006F6EBE" w:rsidRPr="00F8240E">
        <w:rPr>
          <w:rFonts w:ascii="Times New Roman" w:hAnsi="Times New Roman" w:cs="Times New Roman"/>
          <w:sz w:val="24"/>
          <w:szCs w:val="24"/>
        </w:rPr>
        <w:t>,</w:t>
      </w:r>
      <w:r w:rsidR="00705C57" w:rsidRPr="00F8240E">
        <w:rPr>
          <w:rFonts w:ascii="Times New Roman" w:hAnsi="Times New Roman" w:cs="Times New Roman"/>
          <w:sz w:val="24"/>
          <w:szCs w:val="24"/>
        </w:rPr>
        <w:t xml:space="preserve"> 2001)</w:t>
      </w:r>
      <w:r w:rsidRPr="00F8240E">
        <w:rPr>
          <w:rFonts w:ascii="Times New Roman" w:hAnsi="Times New Roman" w:cs="Times New Roman"/>
          <w:sz w:val="24"/>
          <w:szCs w:val="24"/>
        </w:rPr>
        <w:t xml:space="preserve">. </w:t>
      </w:r>
      <w:r w:rsidR="00CF4E42" w:rsidRPr="00F8240E">
        <w:rPr>
          <w:rFonts w:ascii="Times New Roman" w:hAnsi="Times New Roman" w:cs="Times New Roman"/>
          <w:sz w:val="24"/>
          <w:szCs w:val="24"/>
        </w:rPr>
        <w:t>P</w:t>
      </w:r>
      <w:r w:rsidR="00705C57" w:rsidRPr="00F8240E">
        <w:rPr>
          <w:rFonts w:ascii="Times New Roman" w:hAnsi="Times New Roman" w:cs="Times New Roman"/>
          <w:sz w:val="24"/>
          <w:szCs w:val="24"/>
        </w:rPr>
        <w:t>olicy</w:t>
      </w:r>
      <w:r w:rsidRPr="00F8240E">
        <w:rPr>
          <w:rFonts w:ascii="Times New Roman" w:hAnsi="Times New Roman" w:cs="Times New Roman"/>
          <w:sz w:val="24"/>
          <w:szCs w:val="24"/>
        </w:rPr>
        <w:t xml:space="preserve"> developments </w:t>
      </w:r>
      <w:r w:rsidR="00705C57" w:rsidRPr="00F8240E">
        <w:rPr>
          <w:rFonts w:ascii="Times New Roman" w:hAnsi="Times New Roman" w:cs="Times New Roman"/>
          <w:sz w:val="24"/>
          <w:szCs w:val="24"/>
        </w:rPr>
        <w:t xml:space="preserve">in the </w:t>
      </w:r>
      <w:bookmarkStart w:id="1" w:name="_Hlk512174576"/>
      <w:r w:rsidR="00CB30A7" w:rsidRPr="00F8240E">
        <w:rPr>
          <w:rFonts w:ascii="Times New Roman" w:hAnsi="Times New Roman" w:cs="Times New Roman"/>
          <w:sz w:val="24"/>
          <w:szCs w:val="24"/>
        </w:rPr>
        <w:t>“</w:t>
      </w:r>
      <w:r w:rsidR="00705C57" w:rsidRPr="00F8240E">
        <w:rPr>
          <w:rFonts w:ascii="Times New Roman" w:hAnsi="Times New Roman" w:cs="Times New Roman"/>
          <w:sz w:val="24"/>
          <w:szCs w:val="24"/>
        </w:rPr>
        <w:t>age of austerity</w:t>
      </w:r>
      <w:r w:rsidR="00CB30A7" w:rsidRPr="00F8240E">
        <w:rPr>
          <w:rFonts w:ascii="Times New Roman" w:hAnsi="Times New Roman" w:cs="Times New Roman"/>
          <w:sz w:val="24"/>
          <w:szCs w:val="24"/>
        </w:rPr>
        <w:t>”</w:t>
      </w:r>
      <w:r w:rsidR="00E56F96" w:rsidRPr="00F8240E">
        <w:rPr>
          <w:rFonts w:ascii="Times New Roman" w:hAnsi="Times New Roman" w:cs="Times New Roman"/>
          <w:sz w:val="24"/>
          <w:szCs w:val="24"/>
        </w:rPr>
        <w:t xml:space="preserve"> are </w:t>
      </w:r>
      <w:r w:rsidR="00CF4E42" w:rsidRPr="00F8240E">
        <w:rPr>
          <w:rFonts w:ascii="Times New Roman" w:hAnsi="Times New Roman" w:cs="Times New Roman"/>
          <w:sz w:val="24"/>
          <w:szCs w:val="24"/>
        </w:rPr>
        <w:t xml:space="preserve">thus </w:t>
      </w:r>
      <w:r w:rsidR="00E56F96" w:rsidRPr="00F8240E">
        <w:rPr>
          <w:rFonts w:ascii="Times New Roman" w:hAnsi="Times New Roman" w:cs="Times New Roman"/>
          <w:sz w:val="24"/>
          <w:szCs w:val="24"/>
        </w:rPr>
        <w:t xml:space="preserve">expected to vary between countries </w:t>
      </w:r>
      <w:r w:rsidRPr="00F8240E">
        <w:rPr>
          <w:rFonts w:ascii="Times New Roman" w:hAnsi="Times New Roman" w:cs="Times New Roman"/>
          <w:sz w:val="24"/>
          <w:szCs w:val="24"/>
        </w:rPr>
        <w:t xml:space="preserve">in a way broadly consistent </w:t>
      </w:r>
      <w:bookmarkStart w:id="2" w:name="_Hlk512174658"/>
      <w:bookmarkEnd w:id="1"/>
      <w:r w:rsidRPr="00F8240E">
        <w:rPr>
          <w:rFonts w:ascii="Times New Roman" w:hAnsi="Times New Roman" w:cs="Times New Roman"/>
          <w:sz w:val="24"/>
          <w:szCs w:val="24"/>
        </w:rPr>
        <w:t xml:space="preserve">with their membership of conservative, liberal or social democratic worlds. </w:t>
      </w:r>
      <w:bookmarkEnd w:id="2"/>
    </w:p>
    <w:p w14:paraId="0C657E67" w14:textId="110694D0" w:rsidR="007A1B5B" w:rsidRPr="00F8240E" w:rsidRDefault="00E56F96" w:rsidP="00040D4B">
      <w:pPr>
        <w:autoSpaceDE w:val="0"/>
        <w:autoSpaceDN w:val="0"/>
        <w:adjustRightInd w:val="0"/>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On</w:t>
      </w:r>
      <w:r w:rsidR="007A1B5B" w:rsidRPr="00F8240E">
        <w:rPr>
          <w:rFonts w:ascii="Times New Roman" w:hAnsi="Times New Roman" w:cs="Times New Roman"/>
          <w:sz w:val="24"/>
          <w:szCs w:val="24"/>
        </w:rPr>
        <w:t xml:space="preserve"> pension policy, this framework ha</w:t>
      </w:r>
      <w:r w:rsidR="00065064" w:rsidRPr="00F8240E">
        <w:rPr>
          <w:rFonts w:ascii="Times New Roman" w:hAnsi="Times New Roman" w:cs="Times New Roman"/>
          <w:sz w:val="24"/>
          <w:szCs w:val="24"/>
        </w:rPr>
        <w:t>s</w:t>
      </w:r>
      <w:r w:rsidR="007A1B5B" w:rsidRPr="00F8240E">
        <w:rPr>
          <w:rFonts w:ascii="Times New Roman" w:hAnsi="Times New Roman" w:cs="Times New Roman"/>
          <w:sz w:val="24"/>
          <w:szCs w:val="24"/>
        </w:rPr>
        <w:t xml:space="preserve"> been debated in recent years mainly in relation to large </w:t>
      </w:r>
      <w:r w:rsidR="00705C57" w:rsidRPr="00F8240E">
        <w:rPr>
          <w:rFonts w:ascii="Times New Roman" w:hAnsi="Times New Roman" w:cs="Times New Roman"/>
          <w:sz w:val="24"/>
          <w:szCs w:val="24"/>
        </w:rPr>
        <w:t xml:space="preserve">conservative and social democratic </w:t>
      </w:r>
      <w:r w:rsidR="007A1B5B" w:rsidRPr="00F8240E">
        <w:rPr>
          <w:rFonts w:ascii="Times New Roman" w:hAnsi="Times New Roman" w:cs="Times New Roman"/>
          <w:sz w:val="24"/>
          <w:szCs w:val="24"/>
        </w:rPr>
        <w:t xml:space="preserve">public pension systems </w:t>
      </w:r>
      <w:r w:rsidR="00705C57" w:rsidRPr="00F8240E">
        <w:rPr>
          <w:rFonts w:ascii="Times New Roman" w:hAnsi="Times New Roman" w:cs="Times New Roman"/>
          <w:sz w:val="24"/>
          <w:szCs w:val="24"/>
        </w:rPr>
        <w:t>of</w:t>
      </w:r>
      <w:r w:rsidR="007A1B5B" w:rsidRPr="00F8240E">
        <w:rPr>
          <w:rFonts w:ascii="Times New Roman" w:hAnsi="Times New Roman" w:cs="Times New Roman"/>
          <w:sz w:val="24"/>
          <w:szCs w:val="24"/>
        </w:rPr>
        <w:t xml:space="preserve"> continental Europe (eg Häusermann</w:t>
      </w:r>
      <w:r w:rsidR="006F6EBE" w:rsidRPr="00F8240E">
        <w:rPr>
          <w:rFonts w:ascii="Times New Roman" w:hAnsi="Times New Roman" w:cs="Times New Roman"/>
          <w:sz w:val="24"/>
          <w:szCs w:val="24"/>
        </w:rPr>
        <w:t>,</w:t>
      </w:r>
      <w:r w:rsidR="007A1B5B" w:rsidRPr="00F8240E">
        <w:rPr>
          <w:rFonts w:ascii="Times New Roman" w:hAnsi="Times New Roman" w:cs="Times New Roman"/>
          <w:sz w:val="24"/>
          <w:szCs w:val="24"/>
        </w:rPr>
        <w:t xml:space="preserve"> 2010; Pailer</w:t>
      </w:r>
      <w:r w:rsidR="006F6EBE" w:rsidRPr="00F8240E">
        <w:rPr>
          <w:rFonts w:ascii="Times New Roman" w:hAnsi="Times New Roman" w:cs="Times New Roman"/>
          <w:sz w:val="24"/>
          <w:szCs w:val="24"/>
        </w:rPr>
        <w:t>,</w:t>
      </w:r>
      <w:r w:rsidR="007A1B5B" w:rsidRPr="00F8240E">
        <w:rPr>
          <w:rFonts w:ascii="Times New Roman" w:hAnsi="Times New Roman" w:cs="Times New Roman"/>
          <w:sz w:val="24"/>
          <w:szCs w:val="24"/>
        </w:rPr>
        <w:t xml:space="preserve"> 2011). Here </w:t>
      </w:r>
      <w:r w:rsidR="00705C57" w:rsidRPr="00F8240E">
        <w:rPr>
          <w:rFonts w:ascii="Times New Roman" w:hAnsi="Times New Roman" w:cs="Times New Roman"/>
          <w:sz w:val="24"/>
          <w:szCs w:val="24"/>
        </w:rPr>
        <w:t xml:space="preserve">significant </w:t>
      </w:r>
      <w:r w:rsidR="007A1B5B" w:rsidRPr="00F8240E">
        <w:rPr>
          <w:rFonts w:ascii="Times New Roman" w:hAnsi="Times New Roman" w:cs="Times New Roman"/>
          <w:sz w:val="24"/>
          <w:szCs w:val="24"/>
        </w:rPr>
        <w:t>political resistance</w:t>
      </w:r>
      <w:r w:rsidRPr="00F8240E">
        <w:rPr>
          <w:rFonts w:ascii="Times New Roman" w:hAnsi="Times New Roman" w:cs="Times New Roman"/>
          <w:sz w:val="24"/>
          <w:szCs w:val="24"/>
        </w:rPr>
        <w:t xml:space="preserve"> to retrenchment</w:t>
      </w:r>
      <w:r w:rsidR="007A1B5B" w:rsidRPr="00F8240E">
        <w:rPr>
          <w:rFonts w:ascii="Times New Roman" w:hAnsi="Times New Roman" w:cs="Times New Roman"/>
          <w:sz w:val="24"/>
          <w:szCs w:val="24"/>
        </w:rPr>
        <w:t xml:space="preserve"> was expected because broadly encompassing public pension</w:t>
      </w:r>
      <w:r w:rsidR="00CF4E42" w:rsidRPr="00F8240E">
        <w:rPr>
          <w:rFonts w:ascii="Times New Roman" w:hAnsi="Times New Roman" w:cs="Times New Roman"/>
          <w:sz w:val="24"/>
          <w:szCs w:val="24"/>
        </w:rPr>
        <w:t>s</w:t>
      </w:r>
      <w:r w:rsidR="007A1B5B" w:rsidRPr="00F8240E">
        <w:rPr>
          <w:rFonts w:ascii="Times New Roman" w:hAnsi="Times New Roman" w:cs="Times New Roman"/>
          <w:sz w:val="24"/>
          <w:szCs w:val="24"/>
        </w:rPr>
        <w:t xml:space="preserve"> would ensure cross-class </w:t>
      </w:r>
      <w:r w:rsidR="00705C57" w:rsidRPr="00F8240E">
        <w:rPr>
          <w:rFonts w:ascii="Times New Roman" w:hAnsi="Times New Roman" w:cs="Times New Roman"/>
          <w:sz w:val="24"/>
          <w:szCs w:val="24"/>
        </w:rPr>
        <w:t>opposition</w:t>
      </w:r>
      <w:r w:rsidR="007A1B5B" w:rsidRPr="00F8240E">
        <w:rPr>
          <w:rFonts w:ascii="Times New Roman" w:hAnsi="Times New Roman" w:cs="Times New Roman"/>
          <w:sz w:val="24"/>
          <w:szCs w:val="24"/>
        </w:rPr>
        <w:t xml:space="preserve"> (Esping-Andersen</w:t>
      </w:r>
      <w:r w:rsidR="006F6EBE" w:rsidRPr="00F8240E">
        <w:rPr>
          <w:rFonts w:ascii="Times New Roman" w:hAnsi="Times New Roman" w:cs="Times New Roman"/>
          <w:sz w:val="24"/>
          <w:szCs w:val="24"/>
        </w:rPr>
        <w:t>,</w:t>
      </w:r>
      <w:r w:rsidR="007A1B5B" w:rsidRPr="00F8240E">
        <w:rPr>
          <w:rFonts w:ascii="Times New Roman" w:hAnsi="Times New Roman" w:cs="Times New Roman"/>
          <w:sz w:val="24"/>
          <w:szCs w:val="24"/>
        </w:rPr>
        <w:t xml:space="preserve"> 1990). To these obstacles, Pierson added opposition </w:t>
      </w:r>
      <w:r w:rsidR="00705C57" w:rsidRPr="00F8240E">
        <w:rPr>
          <w:rFonts w:ascii="Times New Roman" w:hAnsi="Times New Roman" w:cs="Times New Roman"/>
          <w:sz w:val="24"/>
          <w:szCs w:val="24"/>
        </w:rPr>
        <w:t>from</w:t>
      </w:r>
      <w:r w:rsidR="007A1B5B" w:rsidRPr="00F8240E">
        <w:rPr>
          <w:rFonts w:ascii="Times New Roman" w:hAnsi="Times New Roman" w:cs="Times New Roman"/>
          <w:sz w:val="24"/>
          <w:szCs w:val="24"/>
        </w:rPr>
        <w:t xml:space="preserve"> existing recipients of </w:t>
      </w:r>
      <w:r w:rsidRPr="00F8240E">
        <w:rPr>
          <w:rFonts w:ascii="Times New Roman" w:hAnsi="Times New Roman" w:cs="Times New Roman"/>
          <w:sz w:val="24"/>
          <w:szCs w:val="24"/>
        </w:rPr>
        <w:t>public</w:t>
      </w:r>
      <w:r w:rsidR="007A1B5B" w:rsidRPr="00F8240E">
        <w:rPr>
          <w:rFonts w:ascii="Times New Roman" w:hAnsi="Times New Roman" w:cs="Times New Roman"/>
          <w:sz w:val="24"/>
          <w:szCs w:val="24"/>
        </w:rPr>
        <w:t xml:space="preserve"> provision (</w:t>
      </w:r>
      <w:r w:rsidR="00CB30A7" w:rsidRPr="00F8240E">
        <w:rPr>
          <w:rFonts w:ascii="Times New Roman" w:hAnsi="Times New Roman" w:cs="Times New Roman"/>
          <w:sz w:val="24"/>
          <w:szCs w:val="24"/>
        </w:rPr>
        <w:t>“</w:t>
      </w:r>
      <w:r w:rsidR="007A1B5B" w:rsidRPr="00F8240E">
        <w:rPr>
          <w:rFonts w:ascii="Times New Roman" w:hAnsi="Times New Roman" w:cs="Times New Roman"/>
          <w:sz w:val="24"/>
          <w:szCs w:val="24"/>
        </w:rPr>
        <w:t>welfare constituencies</w:t>
      </w:r>
      <w:r w:rsidR="00CB30A7" w:rsidRPr="00F8240E">
        <w:rPr>
          <w:rFonts w:ascii="Times New Roman" w:hAnsi="Times New Roman" w:cs="Times New Roman"/>
          <w:sz w:val="24"/>
          <w:szCs w:val="24"/>
        </w:rPr>
        <w:t>”</w:t>
      </w:r>
      <w:r w:rsidR="007A1B5B" w:rsidRPr="00F8240E">
        <w:rPr>
          <w:rFonts w:ascii="Times New Roman" w:hAnsi="Times New Roman" w:cs="Times New Roman"/>
          <w:sz w:val="24"/>
          <w:szCs w:val="24"/>
        </w:rPr>
        <w:t>) and path dependen</w:t>
      </w:r>
      <w:r w:rsidR="00705C57" w:rsidRPr="00F8240E">
        <w:rPr>
          <w:rFonts w:ascii="Times New Roman" w:hAnsi="Times New Roman" w:cs="Times New Roman"/>
          <w:sz w:val="24"/>
          <w:szCs w:val="24"/>
        </w:rPr>
        <w:t>cies</w:t>
      </w:r>
      <w:r w:rsidR="007A1B5B" w:rsidRPr="00F8240E">
        <w:rPr>
          <w:rFonts w:ascii="Times New Roman" w:hAnsi="Times New Roman" w:cs="Times New Roman"/>
          <w:sz w:val="24"/>
          <w:szCs w:val="24"/>
        </w:rPr>
        <w:t xml:space="preserve">, generated by existing policy </w:t>
      </w:r>
      <w:r w:rsidR="00C14463" w:rsidRPr="00F8240E">
        <w:rPr>
          <w:rFonts w:ascii="Times New Roman" w:hAnsi="Times New Roman" w:cs="Times New Roman"/>
          <w:sz w:val="24"/>
          <w:szCs w:val="24"/>
        </w:rPr>
        <w:t xml:space="preserve">and </w:t>
      </w:r>
      <w:r w:rsidRPr="00F8240E">
        <w:rPr>
          <w:rFonts w:ascii="Times New Roman" w:hAnsi="Times New Roman" w:cs="Times New Roman"/>
          <w:sz w:val="24"/>
          <w:szCs w:val="24"/>
        </w:rPr>
        <w:t>associated</w:t>
      </w:r>
      <w:r w:rsidR="00C14463" w:rsidRPr="00F8240E">
        <w:rPr>
          <w:rFonts w:ascii="Times New Roman" w:hAnsi="Times New Roman" w:cs="Times New Roman"/>
          <w:sz w:val="24"/>
          <w:szCs w:val="24"/>
        </w:rPr>
        <w:t xml:space="preserve"> networks </w:t>
      </w:r>
      <w:r w:rsidR="007A1B5B" w:rsidRPr="00F8240E">
        <w:rPr>
          <w:rFonts w:ascii="Times New Roman" w:hAnsi="Times New Roman" w:cs="Times New Roman"/>
          <w:sz w:val="24"/>
          <w:szCs w:val="24"/>
        </w:rPr>
        <w:t>(</w:t>
      </w:r>
      <w:bookmarkStart w:id="3" w:name="_Hlk511550421"/>
      <w:r w:rsidR="007A1B5B" w:rsidRPr="00F8240E">
        <w:rPr>
          <w:rFonts w:ascii="Times New Roman" w:hAnsi="Times New Roman" w:cs="Times New Roman"/>
          <w:sz w:val="24"/>
          <w:szCs w:val="24"/>
        </w:rPr>
        <w:t>2001</w:t>
      </w:r>
      <w:bookmarkEnd w:id="3"/>
      <w:r w:rsidR="007A1B5B" w:rsidRPr="00F8240E">
        <w:rPr>
          <w:rFonts w:ascii="Times New Roman" w:hAnsi="Times New Roman" w:cs="Times New Roman"/>
          <w:sz w:val="24"/>
          <w:szCs w:val="24"/>
        </w:rPr>
        <w:t>). Recent work has show</w:t>
      </w:r>
      <w:r w:rsidR="00705C57" w:rsidRPr="00F8240E">
        <w:rPr>
          <w:rFonts w:ascii="Times New Roman" w:hAnsi="Times New Roman" w:cs="Times New Roman"/>
          <w:sz w:val="24"/>
          <w:szCs w:val="24"/>
        </w:rPr>
        <w:t>n</w:t>
      </w:r>
      <w:r w:rsidR="007A1B5B"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significant </w:t>
      </w:r>
      <w:r w:rsidR="007A1B5B" w:rsidRPr="00F8240E">
        <w:rPr>
          <w:rFonts w:ascii="Times New Roman" w:hAnsi="Times New Roman" w:cs="Times New Roman"/>
          <w:sz w:val="24"/>
          <w:szCs w:val="24"/>
        </w:rPr>
        <w:t xml:space="preserve">change is possible </w:t>
      </w:r>
      <w:r w:rsidR="00CF4E42" w:rsidRPr="00F8240E">
        <w:rPr>
          <w:rFonts w:ascii="Times New Roman" w:hAnsi="Times New Roman" w:cs="Times New Roman"/>
          <w:sz w:val="24"/>
          <w:szCs w:val="24"/>
        </w:rPr>
        <w:t>despite these obstacles</w:t>
      </w:r>
      <w:r w:rsidR="00040D4B" w:rsidRPr="00F8240E">
        <w:rPr>
          <w:rFonts w:ascii="Times New Roman" w:hAnsi="Times New Roman" w:cs="Times New Roman"/>
          <w:sz w:val="24"/>
          <w:szCs w:val="24"/>
        </w:rPr>
        <w:t xml:space="preserve">, generally characterising reforms as dualizing ie </w:t>
      </w:r>
      <w:r w:rsidR="00040D4B" w:rsidRPr="00F8240E">
        <w:rPr>
          <w:rFonts w:ascii="TimesNewRomanPSMT" w:hAnsi="TimesNewRomanPSMT" w:cs="TimesNewRomanPSMT"/>
          <w:sz w:val="24"/>
          <w:szCs w:val="24"/>
        </w:rPr>
        <w:t>leading to varying provision for different categories of recipients</w:t>
      </w:r>
      <w:r w:rsidR="00CF4E42" w:rsidRPr="00F8240E">
        <w:rPr>
          <w:rFonts w:ascii="Times New Roman" w:hAnsi="Times New Roman" w:cs="Times New Roman"/>
          <w:sz w:val="24"/>
          <w:szCs w:val="24"/>
        </w:rPr>
        <w:t xml:space="preserve"> </w:t>
      </w:r>
      <w:r w:rsidR="007A1B5B" w:rsidRPr="00F8240E">
        <w:rPr>
          <w:rFonts w:ascii="Times New Roman" w:hAnsi="Times New Roman" w:cs="Times New Roman"/>
          <w:sz w:val="24"/>
          <w:szCs w:val="24"/>
        </w:rPr>
        <w:t xml:space="preserve">(eg </w:t>
      </w:r>
      <w:r w:rsidR="00E124B4" w:rsidRPr="00F8240E">
        <w:rPr>
          <w:rFonts w:ascii="Times New Roman" w:hAnsi="Times New Roman" w:cs="Times New Roman"/>
          <w:sz w:val="24"/>
          <w:szCs w:val="24"/>
        </w:rPr>
        <w:t>Palier, 2011</w:t>
      </w:r>
      <w:r w:rsidR="00040D4B" w:rsidRPr="00F8240E">
        <w:rPr>
          <w:rFonts w:ascii="Times New Roman" w:hAnsi="Times New Roman" w:cs="Times New Roman"/>
          <w:sz w:val="24"/>
          <w:szCs w:val="24"/>
        </w:rPr>
        <w:t>; Emmenegger et al., 2012</w:t>
      </w:r>
      <w:r w:rsidR="00E124B4" w:rsidRPr="00F8240E">
        <w:rPr>
          <w:rFonts w:ascii="Times New Roman" w:hAnsi="Times New Roman" w:cs="Times New Roman"/>
          <w:sz w:val="24"/>
          <w:szCs w:val="24"/>
        </w:rPr>
        <w:t>)</w:t>
      </w:r>
      <w:r w:rsidR="00040D4B" w:rsidRPr="00F8240E">
        <w:rPr>
          <w:rFonts w:ascii="Times New Roman" w:hAnsi="Times New Roman" w:cs="Times New Roman"/>
          <w:sz w:val="24"/>
          <w:szCs w:val="24"/>
        </w:rPr>
        <w:t xml:space="preserve">. </w:t>
      </w:r>
    </w:p>
    <w:p w14:paraId="4FDF96EA" w14:textId="4C5F3550" w:rsidR="00346E62" w:rsidRPr="00F8240E" w:rsidRDefault="007A1B5B" w:rsidP="004943B5">
      <w:pPr>
        <w:spacing w:line="480" w:lineRule="auto"/>
        <w:jc w:val="both"/>
        <w:rPr>
          <w:rFonts w:ascii="Times New Roman" w:hAnsi="Times New Roman" w:cs="Times New Roman"/>
          <w:sz w:val="24"/>
          <w:szCs w:val="24"/>
        </w:rPr>
      </w:pPr>
      <w:r w:rsidRPr="00F8240E">
        <w:rPr>
          <w:rFonts w:ascii="Times New Roman" w:eastAsiaTheme="minorEastAsia" w:hAnsi="Times New Roman" w:cs="Times New Roman"/>
          <w:color w:val="000000" w:themeColor="text1"/>
          <w:kern w:val="24"/>
          <w:sz w:val="24"/>
          <w:szCs w:val="24"/>
          <w:lang w:eastAsia="en-GB"/>
        </w:rPr>
        <w:t xml:space="preserve">Far less attention has been given to the liberal pensions world. </w:t>
      </w:r>
      <w:r w:rsidR="00346E62" w:rsidRPr="00F8240E">
        <w:rPr>
          <w:rFonts w:ascii="Times New Roman" w:eastAsiaTheme="minorEastAsia" w:hAnsi="Times New Roman" w:cs="Times New Roman"/>
          <w:color w:val="000000" w:themeColor="text1"/>
          <w:kern w:val="24"/>
          <w:sz w:val="24"/>
          <w:szCs w:val="24"/>
          <w:lang w:eastAsia="en-GB"/>
        </w:rPr>
        <w:t>Here, regime theory expected greater vulnerability to retrenchment</w:t>
      </w:r>
      <w:r w:rsidR="00E56F96" w:rsidRPr="00F8240E">
        <w:rPr>
          <w:rFonts w:ascii="Times New Roman" w:eastAsiaTheme="minorEastAsia" w:hAnsi="Times New Roman" w:cs="Times New Roman"/>
          <w:color w:val="000000" w:themeColor="text1"/>
          <w:kern w:val="24"/>
          <w:sz w:val="24"/>
          <w:szCs w:val="24"/>
          <w:lang w:eastAsia="en-GB"/>
        </w:rPr>
        <w:t>: l</w:t>
      </w:r>
      <w:r w:rsidR="00346E62" w:rsidRPr="00F8240E">
        <w:rPr>
          <w:rFonts w:ascii="Times New Roman" w:eastAsiaTheme="minorEastAsia" w:hAnsi="Times New Roman" w:cs="Times New Roman"/>
          <w:color w:val="000000" w:themeColor="text1"/>
          <w:kern w:val="24"/>
          <w:sz w:val="24"/>
          <w:szCs w:val="24"/>
          <w:lang w:eastAsia="en-GB"/>
        </w:rPr>
        <w:t xml:space="preserve">iberal systems were less encompassing, founded on weak working-class power resources and had little cross-class support; they depended on </w:t>
      </w:r>
      <w:r w:rsidR="00CB30A7" w:rsidRPr="00F8240E">
        <w:rPr>
          <w:rFonts w:ascii="Times New Roman" w:eastAsiaTheme="minorEastAsia" w:hAnsi="Times New Roman" w:cs="Times New Roman"/>
          <w:color w:val="000000" w:themeColor="text1"/>
          <w:kern w:val="24"/>
          <w:sz w:val="24"/>
          <w:szCs w:val="24"/>
          <w:lang w:eastAsia="en-GB"/>
        </w:rPr>
        <w:t>“</w:t>
      </w:r>
      <w:r w:rsidR="00346E62" w:rsidRPr="00F8240E">
        <w:rPr>
          <w:rFonts w:ascii="Times New Roman" w:eastAsiaTheme="minorEastAsia" w:hAnsi="Times New Roman" w:cs="Times New Roman"/>
          <w:color w:val="000000" w:themeColor="text1"/>
          <w:kern w:val="24"/>
          <w:sz w:val="24"/>
          <w:szCs w:val="24"/>
        </w:rPr>
        <w:t>the loyalties of a numerically weak, and often politically residual, social stratum</w:t>
      </w:r>
      <w:r w:rsidR="00CB30A7" w:rsidRPr="00F8240E">
        <w:rPr>
          <w:rFonts w:ascii="Times New Roman" w:eastAsiaTheme="minorEastAsia" w:hAnsi="Times New Roman" w:cs="Times New Roman"/>
          <w:color w:val="000000" w:themeColor="text1"/>
          <w:kern w:val="24"/>
          <w:sz w:val="24"/>
          <w:szCs w:val="24"/>
        </w:rPr>
        <w:t>”</w:t>
      </w:r>
      <w:r w:rsidR="00346E62" w:rsidRPr="00F8240E">
        <w:rPr>
          <w:rFonts w:ascii="Times New Roman" w:eastAsiaTheme="minorEastAsia" w:hAnsi="Times New Roman" w:cs="Times New Roman"/>
          <w:color w:val="000000" w:themeColor="text1"/>
          <w:kern w:val="24"/>
          <w:sz w:val="24"/>
          <w:szCs w:val="24"/>
        </w:rPr>
        <w:t xml:space="preserve"> (</w:t>
      </w:r>
      <w:r w:rsidR="00346E62" w:rsidRPr="00F8240E">
        <w:rPr>
          <w:rFonts w:ascii="Times New Roman" w:eastAsiaTheme="minorEastAsia" w:hAnsi="Times New Roman" w:cs="Times New Roman"/>
          <w:color w:val="000000" w:themeColor="text1"/>
          <w:kern w:val="24"/>
          <w:sz w:val="24"/>
          <w:szCs w:val="24"/>
          <w:lang w:eastAsia="en-GB"/>
        </w:rPr>
        <w:t xml:space="preserve">Esping-Andersen, </w:t>
      </w:r>
      <w:r w:rsidR="00346E62" w:rsidRPr="00F8240E">
        <w:rPr>
          <w:rFonts w:ascii="Times New Roman" w:eastAsiaTheme="minorEastAsia" w:hAnsi="Times New Roman" w:cs="Times New Roman"/>
          <w:color w:val="000000" w:themeColor="text1"/>
          <w:kern w:val="24"/>
          <w:sz w:val="24"/>
          <w:szCs w:val="24"/>
        </w:rPr>
        <w:t>1990: 33; also Korpi/Palme</w:t>
      </w:r>
      <w:r w:rsidR="00770B82" w:rsidRPr="00F8240E">
        <w:rPr>
          <w:rFonts w:ascii="Times New Roman" w:eastAsiaTheme="minorEastAsia" w:hAnsi="Times New Roman" w:cs="Times New Roman"/>
          <w:color w:val="000000" w:themeColor="text1"/>
          <w:kern w:val="24"/>
          <w:sz w:val="24"/>
          <w:szCs w:val="24"/>
        </w:rPr>
        <w:t>,</w:t>
      </w:r>
      <w:r w:rsidR="00346E62" w:rsidRPr="00F8240E">
        <w:rPr>
          <w:rFonts w:ascii="Times New Roman" w:eastAsiaTheme="minorEastAsia" w:hAnsi="Times New Roman" w:cs="Times New Roman"/>
          <w:color w:val="000000" w:themeColor="text1"/>
          <w:kern w:val="24"/>
          <w:sz w:val="24"/>
          <w:szCs w:val="24"/>
        </w:rPr>
        <w:t xml:space="preserve"> 2003: 426)</w:t>
      </w:r>
      <w:r w:rsidR="00346E62" w:rsidRPr="00F8240E">
        <w:rPr>
          <w:rFonts w:ascii="Times New Roman" w:eastAsiaTheme="minorEastAsia" w:hAnsi="Times New Roman" w:cs="Times New Roman"/>
          <w:color w:val="000000" w:themeColor="text1"/>
          <w:kern w:val="24"/>
          <w:sz w:val="24"/>
          <w:szCs w:val="24"/>
          <w:lang w:eastAsia="en-GB"/>
        </w:rPr>
        <w:t xml:space="preserve">. </w:t>
      </w:r>
      <w:r w:rsidR="00346E62" w:rsidRPr="00F8240E">
        <w:rPr>
          <w:rFonts w:ascii="Times New Roman" w:hAnsi="Times New Roman" w:cs="Times New Roman"/>
          <w:sz w:val="24"/>
          <w:szCs w:val="24"/>
        </w:rPr>
        <w:t xml:space="preserve">Pierson </w:t>
      </w:r>
      <w:r w:rsidR="0041160E" w:rsidRPr="00F8240E">
        <w:rPr>
          <w:rFonts w:ascii="Times New Roman" w:hAnsi="Times New Roman" w:cs="Times New Roman"/>
          <w:sz w:val="24"/>
          <w:szCs w:val="24"/>
        </w:rPr>
        <w:t>concurred</w:t>
      </w:r>
      <w:r w:rsidR="00346E62" w:rsidRPr="00F8240E">
        <w:rPr>
          <w:rFonts w:ascii="Times New Roman" w:hAnsi="Times New Roman" w:cs="Times New Roman"/>
          <w:sz w:val="24"/>
          <w:szCs w:val="24"/>
        </w:rPr>
        <w:t>, having initially emphas</w:t>
      </w:r>
      <w:r w:rsidR="00770B82" w:rsidRPr="00F8240E">
        <w:rPr>
          <w:rFonts w:ascii="Times New Roman" w:hAnsi="Times New Roman" w:cs="Times New Roman"/>
          <w:sz w:val="24"/>
          <w:szCs w:val="24"/>
        </w:rPr>
        <w:t>ize</w:t>
      </w:r>
      <w:r w:rsidR="00346E62" w:rsidRPr="00F8240E">
        <w:rPr>
          <w:rFonts w:ascii="Times New Roman" w:hAnsi="Times New Roman" w:cs="Times New Roman"/>
          <w:sz w:val="24"/>
          <w:szCs w:val="24"/>
        </w:rPr>
        <w:t xml:space="preserve">d the obstacles to retrenchment generated by welfare </w:t>
      </w:r>
      <w:r w:rsidR="0041160E" w:rsidRPr="00F8240E">
        <w:rPr>
          <w:rFonts w:ascii="Times New Roman" w:hAnsi="Times New Roman" w:cs="Times New Roman"/>
          <w:sz w:val="24"/>
          <w:szCs w:val="24"/>
        </w:rPr>
        <w:t>constituencies</w:t>
      </w:r>
      <w:r w:rsidR="00346E62" w:rsidRPr="00F8240E">
        <w:rPr>
          <w:rFonts w:ascii="Times New Roman" w:hAnsi="Times New Roman" w:cs="Times New Roman"/>
          <w:sz w:val="24"/>
          <w:szCs w:val="24"/>
        </w:rPr>
        <w:t xml:space="preserve"> and policy legacies. In liberal welfare systems these obstacles were smaller</w:t>
      </w:r>
      <w:r w:rsidR="0041160E" w:rsidRPr="00F8240E">
        <w:rPr>
          <w:rFonts w:ascii="Times New Roman" w:hAnsi="Times New Roman" w:cs="Times New Roman"/>
          <w:sz w:val="24"/>
          <w:szCs w:val="24"/>
        </w:rPr>
        <w:t xml:space="preserve">: </w:t>
      </w:r>
      <w:r w:rsidR="00346E62" w:rsidRPr="00F8240E">
        <w:rPr>
          <w:rFonts w:ascii="Times New Roman" w:eastAsiaTheme="minorEastAsia" w:hAnsi="Times New Roman" w:cs="Times New Roman"/>
          <w:color w:val="000000" w:themeColor="text1"/>
          <w:kern w:val="24"/>
          <w:sz w:val="24"/>
          <w:szCs w:val="24"/>
        </w:rPr>
        <w:t xml:space="preserve">means-testing and the </w:t>
      </w:r>
      <w:r w:rsidR="00190568" w:rsidRPr="00F8240E">
        <w:rPr>
          <w:rFonts w:ascii="Times New Roman" w:eastAsiaTheme="minorEastAsia" w:hAnsi="Times New Roman" w:cs="Times New Roman"/>
          <w:color w:val="000000" w:themeColor="text1"/>
          <w:kern w:val="24"/>
          <w:sz w:val="24"/>
          <w:szCs w:val="24"/>
        </w:rPr>
        <w:t>“</w:t>
      </w:r>
      <w:r w:rsidR="00346E62" w:rsidRPr="00F8240E">
        <w:rPr>
          <w:rFonts w:ascii="Times New Roman" w:eastAsiaTheme="minorEastAsia" w:hAnsi="Times New Roman" w:cs="Times New Roman"/>
          <w:color w:val="000000" w:themeColor="text1"/>
          <w:kern w:val="24"/>
          <w:sz w:val="24"/>
          <w:szCs w:val="24"/>
        </w:rPr>
        <w:t>institutionalization</w:t>
      </w:r>
      <w:r w:rsidR="00190568" w:rsidRPr="00F8240E">
        <w:rPr>
          <w:rFonts w:ascii="Times New Roman" w:eastAsiaTheme="minorEastAsia" w:hAnsi="Times New Roman" w:cs="Times New Roman"/>
          <w:color w:val="000000" w:themeColor="text1"/>
          <w:kern w:val="24"/>
          <w:sz w:val="24"/>
          <w:szCs w:val="24"/>
        </w:rPr>
        <w:t>”</w:t>
      </w:r>
      <w:r w:rsidR="00346E62" w:rsidRPr="00F8240E">
        <w:rPr>
          <w:rFonts w:ascii="Times New Roman" w:eastAsiaTheme="minorEastAsia" w:hAnsi="Times New Roman" w:cs="Times New Roman"/>
          <w:color w:val="000000" w:themeColor="text1"/>
          <w:kern w:val="24"/>
          <w:sz w:val="24"/>
          <w:szCs w:val="24"/>
        </w:rPr>
        <w:t xml:space="preserve"> of market provision weaken</w:t>
      </w:r>
      <w:r w:rsidR="0041160E" w:rsidRPr="00F8240E">
        <w:rPr>
          <w:rFonts w:ascii="Times New Roman" w:eastAsiaTheme="minorEastAsia" w:hAnsi="Times New Roman" w:cs="Times New Roman"/>
          <w:color w:val="000000" w:themeColor="text1"/>
          <w:kern w:val="24"/>
          <w:sz w:val="24"/>
          <w:szCs w:val="24"/>
        </w:rPr>
        <w:t>ed</w:t>
      </w:r>
      <w:r w:rsidR="00346E62" w:rsidRPr="00F8240E">
        <w:rPr>
          <w:rFonts w:ascii="Times New Roman" w:eastAsiaTheme="minorEastAsia" w:hAnsi="Times New Roman" w:cs="Times New Roman"/>
          <w:color w:val="000000" w:themeColor="text1"/>
          <w:kern w:val="24"/>
          <w:sz w:val="24"/>
          <w:szCs w:val="24"/>
        </w:rPr>
        <w:t xml:space="preserve"> </w:t>
      </w:r>
      <w:r w:rsidR="0041160E" w:rsidRPr="00F8240E">
        <w:rPr>
          <w:rFonts w:ascii="Times New Roman" w:eastAsiaTheme="minorEastAsia" w:hAnsi="Times New Roman" w:cs="Times New Roman"/>
          <w:color w:val="000000" w:themeColor="text1"/>
          <w:kern w:val="24"/>
          <w:sz w:val="24"/>
          <w:szCs w:val="24"/>
        </w:rPr>
        <w:t>the former</w:t>
      </w:r>
      <w:r w:rsidR="00346E62" w:rsidRPr="00F8240E">
        <w:rPr>
          <w:rFonts w:ascii="Times New Roman" w:eastAsiaTheme="minorEastAsia" w:hAnsi="Times New Roman" w:cs="Times New Roman"/>
          <w:color w:val="000000" w:themeColor="text1"/>
          <w:kern w:val="24"/>
          <w:sz w:val="24"/>
          <w:szCs w:val="24"/>
        </w:rPr>
        <w:t xml:space="preserve">, crucially reducing </w:t>
      </w:r>
      <w:r w:rsidR="00CB30A7" w:rsidRPr="00F8240E">
        <w:rPr>
          <w:rFonts w:ascii="Times New Roman" w:eastAsiaTheme="minorEastAsia" w:hAnsi="Times New Roman" w:cs="Times New Roman"/>
          <w:color w:val="000000" w:themeColor="text1"/>
          <w:kern w:val="24"/>
          <w:sz w:val="24"/>
          <w:szCs w:val="24"/>
          <w:lang w:eastAsia="en-GB"/>
        </w:rPr>
        <w:t>“</w:t>
      </w:r>
      <w:r w:rsidR="00346E62" w:rsidRPr="00F8240E">
        <w:rPr>
          <w:rFonts w:ascii="Times New Roman" w:eastAsiaTheme="minorEastAsia" w:hAnsi="Times New Roman" w:cs="Times New Roman"/>
          <w:color w:val="000000" w:themeColor="text1"/>
          <w:kern w:val="24"/>
          <w:sz w:val="24"/>
          <w:szCs w:val="24"/>
          <w:lang w:eastAsia="en-GB"/>
        </w:rPr>
        <w:t>pivotal voters … attachments to social provision</w:t>
      </w:r>
      <w:r w:rsidR="00CB30A7" w:rsidRPr="00F8240E">
        <w:rPr>
          <w:rFonts w:ascii="Times New Roman" w:eastAsiaTheme="minorEastAsia" w:hAnsi="Times New Roman" w:cs="Times New Roman"/>
          <w:color w:val="000000" w:themeColor="text1"/>
          <w:kern w:val="24"/>
          <w:sz w:val="24"/>
          <w:szCs w:val="24"/>
          <w:lang w:eastAsia="en-GB"/>
        </w:rPr>
        <w:t>”</w:t>
      </w:r>
      <w:r w:rsidR="00DA564A" w:rsidRPr="00F8240E">
        <w:rPr>
          <w:rFonts w:ascii="Times New Roman" w:eastAsiaTheme="minorEastAsia" w:hAnsi="Times New Roman" w:cs="Times New Roman"/>
          <w:color w:val="000000" w:themeColor="text1"/>
          <w:kern w:val="24"/>
          <w:sz w:val="24"/>
          <w:szCs w:val="24"/>
          <w:lang w:eastAsia="en-GB"/>
        </w:rPr>
        <w:t xml:space="preserve"> </w:t>
      </w:r>
      <w:r w:rsidR="00346E62" w:rsidRPr="00F8240E">
        <w:rPr>
          <w:rFonts w:ascii="Times New Roman" w:eastAsiaTheme="minorEastAsia" w:hAnsi="Times New Roman" w:cs="Times New Roman"/>
          <w:color w:val="000000" w:themeColor="text1"/>
          <w:kern w:val="24"/>
          <w:sz w:val="24"/>
          <w:szCs w:val="24"/>
          <w:lang w:eastAsia="en-GB"/>
        </w:rPr>
        <w:t>(Pierson</w:t>
      </w:r>
      <w:r w:rsidR="00770B82" w:rsidRPr="00F8240E">
        <w:rPr>
          <w:rFonts w:ascii="Times New Roman" w:eastAsiaTheme="minorEastAsia" w:hAnsi="Times New Roman" w:cs="Times New Roman"/>
          <w:color w:val="000000" w:themeColor="text1"/>
          <w:kern w:val="24"/>
          <w:sz w:val="24"/>
          <w:szCs w:val="24"/>
          <w:lang w:eastAsia="en-GB"/>
        </w:rPr>
        <w:t>,</w:t>
      </w:r>
      <w:r w:rsidR="00346E62" w:rsidRPr="00F8240E">
        <w:rPr>
          <w:rFonts w:ascii="Times New Roman" w:eastAsiaTheme="minorEastAsia" w:hAnsi="Times New Roman" w:cs="Times New Roman"/>
          <w:color w:val="000000" w:themeColor="text1"/>
          <w:kern w:val="24"/>
          <w:sz w:val="24"/>
          <w:szCs w:val="24"/>
          <w:lang w:eastAsia="en-GB"/>
        </w:rPr>
        <w:t xml:space="preserve"> 2001: 434). Policy legacies were also </w:t>
      </w:r>
      <w:r w:rsidR="00346E62" w:rsidRPr="00F8240E">
        <w:rPr>
          <w:rFonts w:ascii="Times New Roman" w:eastAsiaTheme="minorEastAsia" w:hAnsi="Times New Roman" w:cs="Times New Roman"/>
          <w:color w:val="000000" w:themeColor="text1"/>
          <w:kern w:val="24"/>
          <w:sz w:val="24"/>
          <w:szCs w:val="24"/>
          <w:lang w:eastAsia="en-GB"/>
        </w:rPr>
        <w:lastRenderedPageBreak/>
        <w:t xml:space="preserve">weaker because systems </w:t>
      </w:r>
      <w:r w:rsidR="00CF4E42" w:rsidRPr="00F8240E">
        <w:rPr>
          <w:rFonts w:ascii="Times New Roman" w:eastAsiaTheme="minorEastAsia" w:hAnsi="Times New Roman" w:cs="Times New Roman"/>
          <w:color w:val="000000" w:themeColor="text1"/>
          <w:kern w:val="24"/>
          <w:sz w:val="24"/>
          <w:szCs w:val="24"/>
          <w:lang w:eastAsia="en-GB"/>
        </w:rPr>
        <w:t>with significant</w:t>
      </w:r>
      <w:r w:rsidR="00346E62" w:rsidRPr="00F8240E">
        <w:rPr>
          <w:rFonts w:ascii="Times New Roman" w:eastAsiaTheme="minorEastAsia" w:hAnsi="Times New Roman" w:cs="Times New Roman"/>
          <w:color w:val="000000" w:themeColor="text1"/>
          <w:kern w:val="24"/>
          <w:sz w:val="24"/>
          <w:szCs w:val="24"/>
          <w:lang w:eastAsia="en-GB"/>
        </w:rPr>
        <w:t xml:space="preserve"> non-state provision </w:t>
      </w:r>
      <w:r w:rsidR="00CF4E42" w:rsidRPr="00F8240E">
        <w:rPr>
          <w:rFonts w:ascii="Times New Roman" w:eastAsiaTheme="minorEastAsia" w:hAnsi="Times New Roman" w:cs="Times New Roman"/>
          <w:color w:val="000000" w:themeColor="text1"/>
          <w:kern w:val="24"/>
          <w:sz w:val="24"/>
          <w:szCs w:val="24"/>
          <w:lang w:eastAsia="en-GB"/>
        </w:rPr>
        <w:t>included</w:t>
      </w:r>
      <w:r w:rsidR="00346E62" w:rsidRPr="00F8240E">
        <w:rPr>
          <w:rFonts w:ascii="Times New Roman" w:eastAsiaTheme="minorEastAsia" w:hAnsi="Times New Roman" w:cs="Times New Roman"/>
          <w:color w:val="000000" w:themeColor="text1"/>
          <w:kern w:val="24"/>
          <w:sz w:val="24"/>
          <w:szCs w:val="24"/>
          <w:lang w:eastAsia="en-GB"/>
        </w:rPr>
        <w:t xml:space="preserve"> powerful market-related</w:t>
      </w:r>
      <w:r w:rsidR="00C14463" w:rsidRPr="00F8240E">
        <w:rPr>
          <w:rFonts w:ascii="Times New Roman" w:eastAsiaTheme="minorEastAsia" w:hAnsi="Times New Roman" w:cs="Times New Roman"/>
          <w:color w:val="000000" w:themeColor="text1"/>
          <w:kern w:val="24"/>
          <w:sz w:val="24"/>
          <w:szCs w:val="24"/>
          <w:lang w:eastAsia="en-GB"/>
        </w:rPr>
        <w:t xml:space="preserve"> networks</w:t>
      </w:r>
      <w:r w:rsidR="00346E62" w:rsidRPr="00F8240E">
        <w:rPr>
          <w:rFonts w:ascii="Times New Roman" w:eastAsiaTheme="minorEastAsia" w:hAnsi="Times New Roman" w:cs="Times New Roman"/>
          <w:color w:val="000000" w:themeColor="text1"/>
          <w:kern w:val="24"/>
          <w:sz w:val="24"/>
          <w:szCs w:val="24"/>
          <w:lang w:eastAsia="en-GB"/>
        </w:rPr>
        <w:t xml:space="preserve"> (ie commercial providers and employers) prepared to sanction retrenchment.</w:t>
      </w:r>
    </w:p>
    <w:p w14:paraId="65CB4842" w14:textId="3AB7C27E" w:rsidR="005758D0" w:rsidRPr="00F8240E" w:rsidRDefault="0006506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Research</w:t>
      </w:r>
      <w:r w:rsidR="005758D0" w:rsidRPr="00F8240E">
        <w:rPr>
          <w:rFonts w:ascii="Times New Roman" w:hAnsi="Times New Roman" w:cs="Times New Roman"/>
          <w:sz w:val="24"/>
          <w:szCs w:val="24"/>
        </w:rPr>
        <w:t xml:space="preserve"> test</w:t>
      </w:r>
      <w:r w:rsidRPr="00F8240E">
        <w:rPr>
          <w:rFonts w:ascii="Times New Roman" w:hAnsi="Times New Roman" w:cs="Times New Roman"/>
          <w:sz w:val="24"/>
          <w:szCs w:val="24"/>
        </w:rPr>
        <w:t>ing</w:t>
      </w:r>
      <w:r w:rsidR="005758D0" w:rsidRPr="00F8240E">
        <w:rPr>
          <w:rFonts w:ascii="Times New Roman" w:hAnsi="Times New Roman" w:cs="Times New Roman"/>
          <w:sz w:val="24"/>
          <w:szCs w:val="24"/>
        </w:rPr>
        <w:t xml:space="preserve"> these </w:t>
      </w:r>
      <w:bookmarkStart w:id="4" w:name="_Hlk516234696"/>
      <w:r w:rsidR="005758D0" w:rsidRPr="00F8240E">
        <w:rPr>
          <w:rFonts w:ascii="Times New Roman" w:hAnsi="Times New Roman" w:cs="Times New Roman"/>
          <w:sz w:val="24"/>
          <w:szCs w:val="24"/>
        </w:rPr>
        <w:t>predictions</w:t>
      </w:r>
      <w:r w:rsidR="001140A1" w:rsidRPr="00F8240E">
        <w:rPr>
          <w:rFonts w:ascii="Times New Roman" w:hAnsi="Times New Roman" w:cs="Times New Roman"/>
          <w:sz w:val="24"/>
          <w:szCs w:val="24"/>
        </w:rPr>
        <w:t xml:space="preserve"> </w:t>
      </w:r>
      <w:r w:rsidR="00AF6AB4" w:rsidRPr="00F8240E">
        <w:rPr>
          <w:rFonts w:ascii="Times New Roman" w:hAnsi="Times New Roman" w:cs="Times New Roman"/>
          <w:sz w:val="24"/>
          <w:szCs w:val="24"/>
        </w:rPr>
        <w:t>focusse</w:t>
      </w:r>
      <w:r w:rsidR="001140A1" w:rsidRPr="00F8240E">
        <w:rPr>
          <w:rFonts w:ascii="Times New Roman" w:hAnsi="Times New Roman" w:cs="Times New Roman"/>
          <w:sz w:val="24"/>
          <w:szCs w:val="24"/>
        </w:rPr>
        <w:t>s</w:t>
      </w:r>
      <w:r w:rsidR="00AF6AB4" w:rsidRPr="00F8240E">
        <w:rPr>
          <w:rFonts w:ascii="Times New Roman" w:hAnsi="Times New Roman" w:cs="Times New Roman"/>
          <w:sz w:val="24"/>
          <w:szCs w:val="24"/>
        </w:rPr>
        <w:t xml:space="preserve"> </w:t>
      </w:r>
      <w:r w:rsidR="0041160E" w:rsidRPr="00F8240E">
        <w:rPr>
          <w:rFonts w:ascii="Times New Roman" w:hAnsi="Times New Roman" w:cs="Times New Roman"/>
          <w:sz w:val="24"/>
          <w:szCs w:val="24"/>
        </w:rPr>
        <w:t xml:space="preserve">on </w:t>
      </w:r>
      <w:r w:rsidR="004943B5" w:rsidRPr="00F8240E">
        <w:rPr>
          <w:rFonts w:ascii="Times New Roman" w:hAnsi="Times New Roman" w:cs="Times New Roman"/>
          <w:sz w:val="24"/>
          <w:szCs w:val="24"/>
        </w:rPr>
        <w:t>the</w:t>
      </w:r>
      <w:r w:rsidR="00316FF4" w:rsidRPr="00F8240E">
        <w:rPr>
          <w:rFonts w:ascii="Times New Roman" w:hAnsi="Times New Roman" w:cs="Times New Roman"/>
          <w:sz w:val="24"/>
          <w:szCs w:val="24"/>
        </w:rPr>
        <w:t xml:space="preserve"> period</w:t>
      </w:r>
      <w:r w:rsidR="00AF6AB4" w:rsidRPr="00F8240E">
        <w:rPr>
          <w:rFonts w:ascii="Times New Roman" w:hAnsi="Times New Roman" w:cs="Times New Roman"/>
          <w:sz w:val="24"/>
          <w:szCs w:val="24"/>
        </w:rPr>
        <w:t xml:space="preserve"> since 2000</w:t>
      </w:r>
      <w:r w:rsidR="00DA564A" w:rsidRPr="00F8240E">
        <w:rPr>
          <w:rFonts w:ascii="Times New Roman" w:hAnsi="Times New Roman" w:cs="Times New Roman"/>
          <w:sz w:val="24"/>
          <w:szCs w:val="24"/>
        </w:rPr>
        <w:t xml:space="preserve"> and</w:t>
      </w:r>
      <w:r w:rsidR="001140A1" w:rsidRPr="00F8240E">
        <w:rPr>
          <w:rFonts w:ascii="Times New Roman" w:hAnsi="Times New Roman" w:cs="Times New Roman"/>
          <w:sz w:val="24"/>
          <w:szCs w:val="24"/>
        </w:rPr>
        <w:t xml:space="preserve"> has</w:t>
      </w:r>
      <w:r w:rsidR="00DA564A" w:rsidRPr="00F8240E">
        <w:rPr>
          <w:rFonts w:ascii="Times New Roman" w:hAnsi="Times New Roman" w:cs="Times New Roman"/>
          <w:sz w:val="24"/>
          <w:szCs w:val="24"/>
        </w:rPr>
        <w:t xml:space="preserve"> </w:t>
      </w:r>
      <w:r w:rsidR="005758D0" w:rsidRPr="00F8240E">
        <w:rPr>
          <w:rFonts w:ascii="Times New Roman" w:hAnsi="Times New Roman" w:cs="Times New Roman"/>
          <w:sz w:val="24"/>
          <w:szCs w:val="24"/>
        </w:rPr>
        <w:t xml:space="preserve">reached different conclusions. Asyan and Beaujot’s five country study (2009) </w:t>
      </w:r>
      <w:r w:rsidR="00DA564A" w:rsidRPr="00F8240E">
        <w:rPr>
          <w:rFonts w:ascii="Times New Roman" w:hAnsi="Times New Roman" w:cs="Times New Roman"/>
          <w:sz w:val="24"/>
          <w:szCs w:val="24"/>
        </w:rPr>
        <w:t>finds</w:t>
      </w:r>
      <w:r w:rsidR="005758D0" w:rsidRPr="00F8240E">
        <w:rPr>
          <w:rFonts w:ascii="Times New Roman" w:hAnsi="Times New Roman" w:cs="Times New Roman"/>
          <w:sz w:val="24"/>
          <w:szCs w:val="24"/>
        </w:rPr>
        <w:t xml:space="preserve"> developments </w:t>
      </w:r>
      <w:r w:rsidR="009839B4" w:rsidRPr="00F8240E">
        <w:rPr>
          <w:rFonts w:ascii="Times New Roman" w:hAnsi="Times New Roman" w:cs="Times New Roman"/>
          <w:sz w:val="24"/>
          <w:szCs w:val="24"/>
        </w:rPr>
        <w:t>everywhere</w:t>
      </w:r>
      <w:r w:rsidR="005758D0" w:rsidRPr="00F8240E">
        <w:rPr>
          <w:rFonts w:ascii="Times New Roman" w:hAnsi="Times New Roman" w:cs="Times New Roman"/>
          <w:sz w:val="24"/>
          <w:szCs w:val="24"/>
        </w:rPr>
        <w:t xml:space="preserve"> consistent with the </w:t>
      </w:r>
      <w:r w:rsidR="00CB30A7" w:rsidRPr="00F8240E">
        <w:rPr>
          <w:rFonts w:ascii="Times New Roman" w:hAnsi="Times New Roman" w:cs="Times New Roman"/>
          <w:sz w:val="24"/>
          <w:szCs w:val="24"/>
        </w:rPr>
        <w:t>“</w:t>
      </w:r>
      <w:r w:rsidR="005758D0" w:rsidRPr="00F8240E">
        <w:rPr>
          <w:rFonts w:ascii="Times New Roman" w:hAnsi="Times New Roman" w:cs="Times New Roman"/>
          <w:sz w:val="24"/>
          <w:szCs w:val="24"/>
        </w:rPr>
        <w:t>liberal path</w:t>
      </w:r>
      <w:r w:rsidR="00CB30A7" w:rsidRPr="00F8240E">
        <w:rPr>
          <w:rFonts w:ascii="Times New Roman" w:hAnsi="Times New Roman" w:cs="Times New Roman"/>
          <w:sz w:val="24"/>
          <w:szCs w:val="24"/>
        </w:rPr>
        <w:t>”</w:t>
      </w:r>
      <w:r w:rsidR="005758D0" w:rsidRPr="00F8240E">
        <w:rPr>
          <w:rFonts w:ascii="Times New Roman" w:hAnsi="Times New Roman" w:cs="Times New Roman"/>
          <w:sz w:val="24"/>
          <w:szCs w:val="24"/>
        </w:rPr>
        <w:t>. Using Pierson’s three welfare state change</w:t>
      </w:r>
      <w:r w:rsidR="009839B4" w:rsidRPr="00F8240E">
        <w:rPr>
          <w:rFonts w:ascii="Times New Roman" w:hAnsi="Times New Roman" w:cs="Times New Roman"/>
          <w:sz w:val="24"/>
          <w:szCs w:val="24"/>
        </w:rPr>
        <w:t xml:space="preserve"> categories</w:t>
      </w:r>
      <w:r w:rsidR="005758D0" w:rsidRPr="00F8240E">
        <w:rPr>
          <w:rFonts w:ascii="Times New Roman" w:hAnsi="Times New Roman" w:cs="Times New Roman"/>
          <w:sz w:val="24"/>
          <w:szCs w:val="24"/>
        </w:rPr>
        <w:t xml:space="preserve"> – cost containment, re-commodification and re-calibration (see below) </w:t>
      </w:r>
      <w:r w:rsidR="001140A1" w:rsidRPr="00F8240E">
        <w:rPr>
          <w:rFonts w:ascii="Times New Roman" w:hAnsi="Times New Roman" w:cs="Times New Roman"/>
          <w:sz w:val="24"/>
          <w:szCs w:val="24"/>
        </w:rPr>
        <w:t>–</w:t>
      </w:r>
      <w:r w:rsidR="005758D0" w:rsidRPr="00F8240E">
        <w:rPr>
          <w:rFonts w:ascii="Times New Roman" w:hAnsi="Times New Roman" w:cs="Times New Roman"/>
          <w:sz w:val="24"/>
          <w:szCs w:val="24"/>
        </w:rPr>
        <w:t xml:space="preserve"> the</w:t>
      </w:r>
      <w:r w:rsidR="001140A1" w:rsidRPr="00F8240E">
        <w:rPr>
          <w:rFonts w:ascii="Times New Roman" w:hAnsi="Times New Roman" w:cs="Times New Roman"/>
          <w:sz w:val="24"/>
          <w:szCs w:val="24"/>
        </w:rPr>
        <w:t xml:space="preserve"> authors </w:t>
      </w:r>
      <w:r w:rsidR="005758D0" w:rsidRPr="00F8240E">
        <w:rPr>
          <w:rFonts w:ascii="Times New Roman" w:hAnsi="Times New Roman" w:cs="Times New Roman"/>
          <w:sz w:val="24"/>
          <w:szCs w:val="24"/>
        </w:rPr>
        <w:t>argue all countries have focussed on the first two (</w:t>
      </w:r>
      <w:r w:rsidR="00CF4E42" w:rsidRPr="00F8240E">
        <w:rPr>
          <w:rFonts w:ascii="Times New Roman" w:hAnsi="Times New Roman" w:cs="Times New Roman"/>
          <w:sz w:val="24"/>
          <w:szCs w:val="24"/>
        </w:rPr>
        <w:t xml:space="preserve">2009: </w:t>
      </w:r>
      <w:r w:rsidR="005758D0" w:rsidRPr="00F8240E">
        <w:rPr>
          <w:rFonts w:ascii="Times New Roman" w:hAnsi="Times New Roman" w:cs="Times New Roman"/>
          <w:sz w:val="24"/>
          <w:szCs w:val="24"/>
        </w:rPr>
        <w:t xml:space="preserve">711). </w:t>
      </w:r>
      <w:r w:rsidR="00CB30A7" w:rsidRPr="00F8240E">
        <w:rPr>
          <w:rFonts w:ascii="Times New Roman" w:hAnsi="Times New Roman" w:cs="Times New Roman"/>
          <w:sz w:val="24"/>
          <w:szCs w:val="24"/>
        </w:rPr>
        <w:t>“</w:t>
      </w:r>
      <w:r w:rsidR="005758D0" w:rsidRPr="00F8240E">
        <w:rPr>
          <w:rFonts w:ascii="Times New Roman" w:hAnsi="Times New Roman" w:cs="Times New Roman"/>
          <w:sz w:val="24"/>
          <w:szCs w:val="24"/>
        </w:rPr>
        <w:t>Social transfers</w:t>
      </w:r>
      <w:r w:rsidR="00CB30A7" w:rsidRPr="00F8240E">
        <w:rPr>
          <w:rFonts w:ascii="Times New Roman" w:hAnsi="Times New Roman" w:cs="Times New Roman"/>
          <w:sz w:val="24"/>
          <w:szCs w:val="24"/>
        </w:rPr>
        <w:t>”</w:t>
      </w:r>
      <w:r w:rsidR="005758D0" w:rsidRPr="00F8240E">
        <w:rPr>
          <w:rFonts w:ascii="Times New Roman" w:hAnsi="Times New Roman" w:cs="Times New Roman"/>
          <w:sz w:val="24"/>
          <w:szCs w:val="24"/>
        </w:rPr>
        <w:t xml:space="preserve"> have been reduced and/or targeted, state pension ages have risen, and private saving has been encouraged. Lain et al</w:t>
      </w:r>
      <w:r w:rsidR="005758D0" w:rsidRPr="00F8240E">
        <w:rPr>
          <w:rFonts w:ascii="Times New Roman" w:hAnsi="Times New Roman" w:cs="Times New Roman"/>
          <w:i/>
          <w:sz w:val="24"/>
          <w:szCs w:val="24"/>
        </w:rPr>
        <w:t xml:space="preserve"> </w:t>
      </w:r>
      <w:r w:rsidR="005758D0" w:rsidRPr="00F8240E">
        <w:rPr>
          <w:rFonts w:ascii="Times New Roman" w:hAnsi="Times New Roman" w:cs="Times New Roman"/>
          <w:sz w:val="24"/>
          <w:szCs w:val="24"/>
        </w:rPr>
        <w:t xml:space="preserve">(2013) disagree. </w:t>
      </w:r>
      <w:r w:rsidR="009839B4" w:rsidRPr="00F8240E">
        <w:rPr>
          <w:rFonts w:ascii="Times New Roman" w:hAnsi="Times New Roman" w:cs="Times New Roman"/>
          <w:sz w:val="24"/>
          <w:szCs w:val="24"/>
        </w:rPr>
        <w:t>T</w:t>
      </w:r>
      <w:r w:rsidR="005758D0" w:rsidRPr="00F8240E">
        <w:rPr>
          <w:rFonts w:ascii="Times New Roman" w:hAnsi="Times New Roman" w:cs="Times New Roman"/>
          <w:sz w:val="24"/>
          <w:szCs w:val="24"/>
        </w:rPr>
        <w:t xml:space="preserve">hey </w:t>
      </w:r>
      <w:r w:rsidR="009839B4" w:rsidRPr="00F8240E">
        <w:rPr>
          <w:rFonts w:ascii="Times New Roman" w:hAnsi="Times New Roman" w:cs="Times New Roman"/>
          <w:sz w:val="24"/>
          <w:szCs w:val="24"/>
        </w:rPr>
        <w:t>find</w:t>
      </w:r>
      <w:r w:rsidR="005758D0" w:rsidRPr="00F8240E">
        <w:rPr>
          <w:rFonts w:ascii="Times New Roman" w:hAnsi="Times New Roman" w:cs="Times New Roman"/>
          <w:sz w:val="24"/>
          <w:szCs w:val="24"/>
        </w:rPr>
        <w:t xml:space="preserve"> little evidence of re-commodification</w:t>
      </w:r>
      <w:r w:rsidR="00946CFD" w:rsidRPr="00F8240E">
        <w:rPr>
          <w:rFonts w:ascii="Times New Roman" w:hAnsi="Times New Roman" w:cs="Times New Roman"/>
          <w:sz w:val="24"/>
          <w:szCs w:val="24"/>
        </w:rPr>
        <w:t xml:space="preserve"> </w:t>
      </w:r>
      <w:r w:rsidR="005758D0" w:rsidRPr="00F8240E">
        <w:rPr>
          <w:rFonts w:ascii="Times New Roman" w:hAnsi="Times New Roman" w:cs="Times New Roman"/>
          <w:sz w:val="24"/>
          <w:szCs w:val="24"/>
        </w:rPr>
        <w:t>in three of their four countries (Canada, New Zealand and the UK) and</w:t>
      </w:r>
      <w:r w:rsidR="009839B4" w:rsidRPr="00F8240E">
        <w:rPr>
          <w:rFonts w:ascii="Times New Roman" w:hAnsi="Times New Roman" w:cs="Times New Roman"/>
          <w:sz w:val="24"/>
          <w:szCs w:val="24"/>
        </w:rPr>
        <w:t xml:space="preserve"> </w:t>
      </w:r>
      <w:r w:rsidR="001140A1" w:rsidRPr="00F8240E">
        <w:rPr>
          <w:rFonts w:ascii="Times New Roman" w:hAnsi="Times New Roman" w:cs="Times New Roman"/>
          <w:sz w:val="24"/>
          <w:szCs w:val="24"/>
        </w:rPr>
        <w:t xml:space="preserve">that </w:t>
      </w:r>
      <w:r w:rsidR="009839B4" w:rsidRPr="00F8240E">
        <w:rPr>
          <w:rFonts w:ascii="Times New Roman" w:hAnsi="Times New Roman" w:cs="Times New Roman"/>
          <w:sz w:val="24"/>
          <w:szCs w:val="24"/>
        </w:rPr>
        <w:t>such</w:t>
      </w:r>
      <w:r w:rsidR="005758D0" w:rsidRPr="00F8240E">
        <w:rPr>
          <w:rFonts w:ascii="Times New Roman" w:hAnsi="Times New Roman" w:cs="Times New Roman"/>
          <w:sz w:val="24"/>
          <w:szCs w:val="24"/>
        </w:rPr>
        <w:t xml:space="preserve"> efforts in the USA focussed only on the poorest. Private saving has increased, but not as a </w:t>
      </w:r>
      <w:r w:rsidR="009839B4" w:rsidRPr="00F8240E">
        <w:rPr>
          <w:rFonts w:ascii="Times New Roman" w:hAnsi="Times New Roman" w:cs="Times New Roman"/>
          <w:sz w:val="24"/>
          <w:szCs w:val="24"/>
        </w:rPr>
        <w:t>substitute</w:t>
      </w:r>
      <w:r w:rsidR="005758D0" w:rsidRPr="00F8240E">
        <w:rPr>
          <w:rFonts w:ascii="Times New Roman" w:hAnsi="Times New Roman" w:cs="Times New Roman"/>
          <w:sz w:val="24"/>
          <w:szCs w:val="24"/>
        </w:rPr>
        <w:t xml:space="preserve"> for public provision. </w:t>
      </w:r>
      <w:r w:rsidR="009839B4" w:rsidRPr="00F8240E">
        <w:rPr>
          <w:rFonts w:ascii="Times New Roman" w:hAnsi="Times New Roman" w:cs="Times New Roman"/>
          <w:sz w:val="24"/>
          <w:szCs w:val="24"/>
        </w:rPr>
        <w:t>W</w:t>
      </w:r>
      <w:r w:rsidR="007D0598" w:rsidRPr="00F8240E">
        <w:rPr>
          <w:rFonts w:ascii="Times New Roman" w:hAnsi="Times New Roman" w:cs="Times New Roman"/>
          <w:sz w:val="24"/>
          <w:szCs w:val="24"/>
        </w:rPr>
        <w:t>here</w:t>
      </w:r>
      <w:r w:rsidR="009839B4" w:rsidRPr="00F8240E">
        <w:rPr>
          <w:rFonts w:ascii="Times New Roman" w:hAnsi="Times New Roman" w:cs="Times New Roman"/>
          <w:sz w:val="24"/>
          <w:szCs w:val="24"/>
        </w:rPr>
        <w:t xml:space="preserve"> systems were more consistent with the liberal ideal type</w:t>
      </w:r>
      <w:r w:rsidR="007D0598" w:rsidRPr="00F8240E">
        <w:rPr>
          <w:rFonts w:ascii="Times New Roman" w:hAnsi="Times New Roman" w:cs="Times New Roman"/>
          <w:sz w:val="24"/>
          <w:szCs w:val="24"/>
        </w:rPr>
        <w:t xml:space="preserve"> retrenchment has </w:t>
      </w:r>
      <w:r w:rsidR="009839B4" w:rsidRPr="00F8240E">
        <w:rPr>
          <w:rFonts w:ascii="Times New Roman" w:hAnsi="Times New Roman" w:cs="Times New Roman"/>
          <w:sz w:val="24"/>
          <w:szCs w:val="24"/>
        </w:rPr>
        <w:t xml:space="preserve">generally </w:t>
      </w:r>
      <w:r w:rsidR="007D0598" w:rsidRPr="00F8240E">
        <w:rPr>
          <w:rFonts w:ascii="Times New Roman" w:hAnsi="Times New Roman" w:cs="Times New Roman"/>
          <w:sz w:val="24"/>
          <w:szCs w:val="24"/>
        </w:rPr>
        <w:t>been greater (</w:t>
      </w:r>
      <w:r w:rsidR="00CF4E42" w:rsidRPr="00F8240E">
        <w:rPr>
          <w:rFonts w:ascii="Times New Roman" w:hAnsi="Times New Roman" w:cs="Times New Roman"/>
          <w:sz w:val="24"/>
          <w:szCs w:val="24"/>
        </w:rPr>
        <w:t>Lain et al,</w:t>
      </w:r>
      <w:r w:rsidR="00CF4E42" w:rsidRPr="00F8240E">
        <w:rPr>
          <w:rFonts w:ascii="Times New Roman" w:hAnsi="Times New Roman" w:cs="Times New Roman"/>
          <w:i/>
          <w:sz w:val="24"/>
          <w:szCs w:val="24"/>
        </w:rPr>
        <w:t xml:space="preserve"> </w:t>
      </w:r>
      <w:r w:rsidR="00CF4E42" w:rsidRPr="00F8240E">
        <w:rPr>
          <w:rFonts w:ascii="Times New Roman" w:hAnsi="Times New Roman" w:cs="Times New Roman"/>
          <w:sz w:val="24"/>
          <w:szCs w:val="24"/>
        </w:rPr>
        <w:t>2013</w:t>
      </w:r>
      <w:r w:rsidR="007D0598" w:rsidRPr="00F8240E">
        <w:rPr>
          <w:rFonts w:ascii="Times New Roman" w:hAnsi="Times New Roman" w:cs="Times New Roman"/>
          <w:sz w:val="24"/>
          <w:szCs w:val="24"/>
        </w:rPr>
        <w:t xml:space="preserve">). </w:t>
      </w:r>
    </w:p>
    <w:p w14:paraId="429FEA76" w14:textId="33A43DAD" w:rsidR="005758D0" w:rsidRPr="00F8240E" w:rsidRDefault="005758D0" w:rsidP="004943B5">
      <w:pPr>
        <w:spacing w:line="480" w:lineRule="auto"/>
        <w:jc w:val="both"/>
        <w:rPr>
          <w:rFonts w:ascii="Times New Roman" w:hAnsi="Times New Roman" w:cs="Times New Roman"/>
          <w:sz w:val="24"/>
          <w:szCs w:val="24"/>
        </w:rPr>
      </w:pPr>
      <w:bookmarkStart w:id="5" w:name="_Hlk512174808"/>
      <w:r w:rsidRPr="00F8240E">
        <w:rPr>
          <w:rFonts w:ascii="Times New Roman" w:hAnsi="Times New Roman" w:cs="Times New Roman"/>
          <w:sz w:val="24"/>
          <w:szCs w:val="24"/>
        </w:rPr>
        <w:t xml:space="preserve">These differences are </w:t>
      </w:r>
      <w:r w:rsidR="001140A1" w:rsidRPr="00F8240E">
        <w:rPr>
          <w:rFonts w:ascii="Times New Roman" w:hAnsi="Times New Roman" w:cs="Times New Roman"/>
          <w:sz w:val="24"/>
          <w:szCs w:val="24"/>
        </w:rPr>
        <w:t>caused in part by</w:t>
      </w:r>
      <w:r w:rsidRPr="00F8240E">
        <w:rPr>
          <w:rFonts w:ascii="Times New Roman" w:hAnsi="Times New Roman" w:cs="Times New Roman"/>
          <w:sz w:val="24"/>
          <w:szCs w:val="24"/>
        </w:rPr>
        <w:t xml:space="preserve"> the different criteria and data used to </w:t>
      </w:r>
      <w:r w:rsidR="00AF6AB4" w:rsidRPr="00F8240E">
        <w:rPr>
          <w:rFonts w:ascii="Times New Roman" w:hAnsi="Times New Roman" w:cs="Times New Roman"/>
          <w:sz w:val="24"/>
          <w:szCs w:val="24"/>
        </w:rPr>
        <w:t>measure</w:t>
      </w:r>
      <w:r w:rsidRPr="00F8240E">
        <w:rPr>
          <w:rFonts w:ascii="Times New Roman" w:hAnsi="Times New Roman" w:cs="Times New Roman"/>
          <w:sz w:val="24"/>
          <w:szCs w:val="24"/>
        </w:rPr>
        <w:t xml:space="preserve"> retrenchment</w:t>
      </w:r>
      <w:bookmarkEnd w:id="5"/>
      <w:r w:rsidRPr="00F8240E">
        <w:rPr>
          <w:rFonts w:ascii="Times New Roman" w:hAnsi="Times New Roman" w:cs="Times New Roman"/>
          <w:sz w:val="24"/>
          <w:szCs w:val="24"/>
        </w:rPr>
        <w:t xml:space="preserve">, </w:t>
      </w:r>
      <w:r w:rsidR="00EC383D" w:rsidRPr="00F8240E">
        <w:rPr>
          <w:rFonts w:ascii="Times New Roman" w:hAnsi="Times New Roman" w:cs="Times New Roman"/>
          <w:sz w:val="24"/>
          <w:szCs w:val="24"/>
        </w:rPr>
        <w:t xml:space="preserve">the </w:t>
      </w:r>
      <w:r w:rsidR="00CB30A7" w:rsidRPr="00F8240E">
        <w:rPr>
          <w:rFonts w:ascii="Times New Roman" w:hAnsi="Times New Roman" w:cs="Times New Roman"/>
          <w:sz w:val="24"/>
          <w:szCs w:val="24"/>
        </w:rPr>
        <w:t>“</w:t>
      </w:r>
      <w:r w:rsidR="00EC383D" w:rsidRPr="00F8240E">
        <w:rPr>
          <w:rFonts w:ascii="Times New Roman" w:hAnsi="Times New Roman" w:cs="Times New Roman"/>
          <w:sz w:val="24"/>
          <w:szCs w:val="24"/>
        </w:rPr>
        <w:t>dependent variable problem</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 xml:space="preserve"> that has plagued </w:t>
      </w:r>
      <w:r w:rsidR="009839B4" w:rsidRPr="00F8240E">
        <w:rPr>
          <w:rFonts w:ascii="Times New Roman" w:hAnsi="Times New Roman" w:cs="Times New Roman"/>
          <w:sz w:val="24"/>
          <w:szCs w:val="24"/>
        </w:rPr>
        <w:t>research</w:t>
      </w:r>
      <w:r w:rsidRPr="00F8240E">
        <w:rPr>
          <w:rFonts w:ascii="Times New Roman" w:hAnsi="Times New Roman" w:cs="Times New Roman"/>
          <w:sz w:val="24"/>
          <w:szCs w:val="24"/>
        </w:rPr>
        <w:t xml:space="preserve"> on welfare state change (</w:t>
      </w:r>
      <w:r w:rsidR="00C14463" w:rsidRPr="00F8240E">
        <w:rPr>
          <w:rFonts w:ascii="Times New Roman" w:eastAsiaTheme="minorEastAsia" w:hAnsi="Times New Roman" w:cs="Times New Roman"/>
          <w:color w:val="000000" w:themeColor="text1"/>
          <w:kern w:val="24"/>
          <w:sz w:val="24"/>
          <w:szCs w:val="24"/>
          <w:lang w:eastAsia="en-GB"/>
        </w:rPr>
        <w:t xml:space="preserve">Clasen </w:t>
      </w:r>
      <w:r w:rsidR="00065064" w:rsidRPr="00F8240E">
        <w:rPr>
          <w:rFonts w:ascii="Times New Roman" w:eastAsiaTheme="minorEastAsia" w:hAnsi="Times New Roman" w:cs="Times New Roman"/>
          <w:color w:val="000000" w:themeColor="text1"/>
          <w:kern w:val="24"/>
          <w:sz w:val="24"/>
          <w:szCs w:val="24"/>
          <w:lang w:eastAsia="en-GB"/>
        </w:rPr>
        <w:t>&amp;</w:t>
      </w:r>
      <w:r w:rsidR="00C14463" w:rsidRPr="00F8240E">
        <w:rPr>
          <w:rFonts w:ascii="Times New Roman" w:eastAsiaTheme="minorEastAsia" w:hAnsi="Times New Roman" w:cs="Times New Roman"/>
          <w:color w:val="000000" w:themeColor="text1"/>
          <w:kern w:val="24"/>
          <w:sz w:val="24"/>
          <w:szCs w:val="24"/>
          <w:lang w:eastAsia="en-GB"/>
        </w:rPr>
        <w:t xml:space="preserve"> Siegel</w:t>
      </w:r>
      <w:r w:rsidR="00770B82" w:rsidRPr="00F8240E">
        <w:rPr>
          <w:rFonts w:ascii="Times New Roman" w:eastAsiaTheme="minorEastAsia" w:hAnsi="Times New Roman" w:cs="Times New Roman"/>
          <w:color w:val="000000" w:themeColor="text1"/>
          <w:kern w:val="24"/>
          <w:sz w:val="24"/>
          <w:szCs w:val="24"/>
          <w:lang w:eastAsia="en-GB"/>
        </w:rPr>
        <w:t>,</w:t>
      </w:r>
      <w:r w:rsidR="00C14463" w:rsidRPr="00F8240E">
        <w:rPr>
          <w:rFonts w:ascii="Times New Roman" w:eastAsiaTheme="minorEastAsia" w:hAnsi="Times New Roman" w:cs="Times New Roman"/>
          <w:color w:val="000000" w:themeColor="text1"/>
          <w:kern w:val="24"/>
          <w:sz w:val="24"/>
          <w:szCs w:val="24"/>
          <w:lang w:eastAsia="en-GB"/>
        </w:rPr>
        <w:t xml:space="preserve"> 2007</w:t>
      </w:r>
      <w:r w:rsidRPr="00F8240E">
        <w:rPr>
          <w:rFonts w:ascii="Times New Roman" w:hAnsi="Times New Roman" w:cs="Times New Roman"/>
          <w:sz w:val="24"/>
          <w:szCs w:val="24"/>
        </w:rPr>
        <w:t xml:space="preserve">). </w:t>
      </w:r>
      <w:r w:rsidR="00AF6AB4" w:rsidRPr="00F8240E">
        <w:rPr>
          <w:rFonts w:ascii="Times New Roman" w:hAnsi="Times New Roman" w:cs="Times New Roman"/>
          <w:sz w:val="24"/>
          <w:szCs w:val="24"/>
        </w:rPr>
        <w:t>Neither study fully engages with this problem nor do</w:t>
      </w:r>
      <w:r w:rsidR="00065064" w:rsidRPr="00F8240E">
        <w:rPr>
          <w:rFonts w:ascii="Times New Roman" w:hAnsi="Times New Roman" w:cs="Times New Roman"/>
          <w:sz w:val="24"/>
          <w:szCs w:val="24"/>
        </w:rPr>
        <w:t>es either</w:t>
      </w:r>
      <w:r w:rsidR="00AF6AB4" w:rsidRPr="00F8240E">
        <w:rPr>
          <w:rFonts w:ascii="Times New Roman" w:hAnsi="Times New Roman" w:cs="Times New Roman"/>
          <w:sz w:val="24"/>
          <w:szCs w:val="24"/>
        </w:rPr>
        <w:t xml:space="preserve"> use much data beyond </w:t>
      </w:r>
      <w:r w:rsidRPr="00F8240E">
        <w:rPr>
          <w:rFonts w:ascii="Times New Roman" w:hAnsi="Times New Roman" w:cs="Times New Roman"/>
          <w:sz w:val="24"/>
          <w:szCs w:val="24"/>
        </w:rPr>
        <w:t>descriptions of policy developments in the countries they study</w:t>
      </w:r>
      <w:r w:rsidR="00AF6AB4" w:rsidRPr="00F8240E">
        <w:rPr>
          <w:rFonts w:ascii="Times New Roman" w:hAnsi="Times New Roman" w:cs="Times New Roman"/>
          <w:sz w:val="24"/>
          <w:szCs w:val="24"/>
        </w:rPr>
        <w:t xml:space="preserve">. </w:t>
      </w:r>
    </w:p>
    <w:p w14:paraId="0BF28C95" w14:textId="6868C89E" w:rsidR="005758D0" w:rsidRPr="00F8240E" w:rsidRDefault="005758D0" w:rsidP="004943B5">
      <w:pPr>
        <w:spacing w:line="480" w:lineRule="auto"/>
        <w:jc w:val="both"/>
        <w:rPr>
          <w:rFonts w:ascii="Times New Roman" w:hAnsi="Times New Roman" w:cs="Times New Roman"/>
          <w:sz w:val="24"/>
          <w:szCs w:val="24"/>
        </w:rPr>
      </w:pPr>
      <w:bookmarkStart w:id="6" w:name="_Hlk516233934"/>
      <w:bookmarkEnd w:id="4"/>
      <w:r w:rsidRPr="00F8240E">
        <w:rPr>
          <w:rFonts w:ascii="Times New Roman" w:hAnsi="Times New Roman" w:cs="Times New Roman"/>
          <w:sz w:val="24"/>
          <w:szCs w:val="24"/>
        </w:rPr>
        <w:t xml:space="preserve">The contribution of this paper is founded on </w:t>
      </w:r>
      <w:bookmarkStart w:id="7" w:name="_Hlk512174894"/>
      <w:r w:rsidRPr="00F8240E">
        <w:rPr>
          <w:rFonts w:ascii="Times New Roman" w:hAnsi="Times New Roman" w:cs="Times New Roman"/>
          <w:sz w:val="24"/>
          <w:szCs w:val="24"/>
        </w:rPr>
        <w:t xml:space="preserve">a systematic study of the scale, nature and trajectory of change in </w:t>
      </w:r>
      <w:r w:rsidR="005F48E3" w:rsidRPr="00F8240E">
        <w:rPr>
          <w:rFonts w:ascii="Times New Roman" w:hAnsi="Times New Roman" w:cs="Times New Roman"/>
          <w:sz w:val="24"/>
          <w:szCs w:val="24"/>
        </w:rPr>
        <w:t xml:space="preserve">six </w:t>
      </w:r>
      <w:r w:rsidRPr="00F8240E">
        <w:rPr>
          <w:rFonts w:ascii="Times New Roman" w:hAnsi="Times New Roman" w:cs="Times New Roman"/>
          <w:sz w:val="24"/>
          <w:szCs w:val="24"/>
        </w:rPr>
        <w:t>liberal pension systems between 19</w:t>
      </w:r>
      <w:r w:rsidR="009839B4" w:rsidRPr="00F8240E">
        <w:rPr>
          <w:rFonts w:ascii="Times New Roman" w:hAnsi="Times New Roman" w:cs="Times New Roman"/>
          <w:sz w:val="24"/>
          <w:szCs w:val="24"/>
        </w:rPr>
        <w:t>80</w:t>
      </w:r>
      <w:r w:rsidRPr="00F8240E">
        <w:rPr>
          <w:rFonts w:ascii="Times New Roman" w:hAnsi="Times New Roman" w:cs="Times New Roman"/>
          <w:sz w:val="24"/>
          <w:szCs w:val="24"/>
        </w:rPr>
        <w:t xml:space="preserve"> and 2017 using expenditure, economic, demographic and </w:t>
      </w:r>
      <w:r w:rsidR="00015E6E" w:rsidRPr="00F8240E">
        <w:rPr>
          <w:rFonts w:ascii="Times New Roman" w:hAnsi="Times New Roman" w:cs="Times New Roman"/>
          <w:sz w:val="24"/>
          <w:szCs w:val="24"/>
        </w:rPr>
        <w:t xml:space="preserve">social rights </w:t>
      </w:r>
      <w:r w:rsidRPr="00F8240E">
        <w:rPr>
          <w:rFonts w:ascii="Times New Roman" w:hAnsi="Times New Roman" w:cs="Times New Roman"/>
          <w:sz w:val="24"/>
          <w:szCs w:val="24"/>
        </w:rPr>
        <w:t xml:space="preserve">data. </w:t>
      </w:r>
      <w:r w:rsidR="00EE67DF" w:rsidRPr="00F8240E">
        <w:rPr>
          <w:rFonts w:ascii="Times New Roman" w:hAnsi="Times New Roman" w:cs="Times New Roman"/>
          <w:sz w:val="24"/>
          <w:szCs w:val="24"/>
        </w:rPr>
        <w:t xml:space="preserve">A starting date of 1980 has been chosen </w:t>
      </w:r>
      <w:r w:rsidR="003B11E7" w:rsidRPr="00F8240E">
        <w:rPr>
          <w:rFonts w:ascii="Times New Roman" w:hAnsi="Times New Roman" w:cs="Times New Roman"/>
          <w:sz w:val="24"/>
          <w:szCs w:val="24"/>
        </w:rPr>
        <w:t>based on</w:t>
      </w:r>
      <w:r w:rsidR="00486947" w:rsidRPr="00F8240E">
        <w:rPr>
          <w:rFonts w:ascii="Times New Roman" w:hAnsi="Times New Roman" w:cs="Times New Roman"/>
          <w:sz w:val="24"/>
          <w:szCs w:val="24"/>
        </w:rPr>
        <w:t xml:space="preserve"> the coming to power around this time in </w:t>
      </w:r>
      <w:r w:rsidR="003B11E7" w:rsidRPr="00F8240E">
        <w:rPr>
          <w:rFonts w:ascii="Times New Roman" w:hAnsi="Times New Roman" w:cs="Times New Roman"/>
          <w:sz w:val="24"/>
          <w:szCs w:val="24"/>
        </w:rPr>
        <w:t>most</w:t>
      </w:r>
      <w:r w:rsidR="00486947" w:rsidRPr="00F8240E">
        <w:rPr>
          <w:rFonts w:ascii="Times New Roman" w:hAnsi="Times New Roman" w:cs="Times New Roman"/>
          <w:sz w:val="24"/>
          <w:szCs w:val="24"/>
        </w:rPr>
        <w:t xml:space="preserve"> of the six cases of governments avowedly committed to liberalisation after the economic slow-down of the 1970s (see below). </w:t>
      </w:r>
      <w:r w:rsidRPr="00F8240E">
        <w:rPr>
          <w:rFonts w:ascii="Times New Roman" w:hAnsi="Times New Roman" w:cs="Times New Roman"/>
          <w:sz w:val="24"/>
          <w:szCs w:val="24"/>
        </w:rPr>
        <w:t>Th</w:t>
      </w:r>
      <w:r w:rsidR="00486947" w:rsidRPr="00F8240E">
        <w:rPr>
          <w:rFonts w:ascii="Times New Roman" w:hAnsi="Times New Roman" w:cs="Times New Roman"/>
          <w:sz w:val="24"/>
          <w:szCs w:val="24"/>
        </w:rPr>
        <w:t>e</w:t>
      </w:r>
      <w:r w:rsidRPr="00F8240E">
        <w:rPr>
          <w:rFonts w:ascii="Times New Roman" w:hAnsi="Times New Roman" w:cs="Times New Roman"/>
          <w:sz w:val="24"/>
          <w:szCs w:val="24"/>
        </w:rPr>
        <w:t xml:space="preserve"> data</w:t>
      </w:r>
      <w:r w:rsidR="00486947" w:rsidRPr="00F8240E">
        <w:rPr>
          <w:rFonts w:ascii="Times New Roman" w:hAnsi="Times New Roman" w:cs="Times New Roman"/>
          <w:sz w:val="24"/>
          <w:szCs w:val="24"/>
        </w:rPr>
        <w:t xml:space="preserve"> collected</w:t>
      </w:r>
      <w:r w:rsidRPr="00F8240E">
        <w:rPr>
          <w:rFonts w:ascii="Times New Roman" w:hAnsi="Times New Roman" w:cs="Times New Roman"/>
          <w:sz w:val="24"/>
          <w:szCs w:val="24"/>
        </w:rPr>
        <w:t xml:space="preserve"> is analysed </w:t>
      </w:r>
      <w:r w:rsidR="00AF6AB4" w:rsidRPr="00F8240E">
        <w:rPr>
          <w:rFonts w:ascii="Times New Roman" w:hAnsi="Times New Roman" w:cs="Times New Roman"/>
          <w:sz w:val="24"/>
          <w:szCs w:val="24"/>
        </w:rPr>
        <w:t>using</w:t>
      </w:r>
      <w:r w:rsidRPr="00F8240E">
        <w:rPr>
          <w:rFonts w:ascii="Times New Roman" w:hAnsi="Times New Roman" w:cs="Times New Roman"/>
          <w:sz w:val="24"/>
          <w:szCs w:val="24"/>
        </w:rPr>
        <w:t xml:space="preserve"> a clearly specified framework developed through critical engagement with Pierson’s three </w:t>
      </w:r>
      <w:r w:rsidR="001140A1" w:rsidRPr="00F8240E">
        <w:rPr>
          <w:rFonts w:ascii="Times New Roman" w:hAnsi="Times New Roman" w:cs="Times New Roman"/>
          <w:sz w:val="24"/>
          <w:szCs w:val="24"/>
        </w:rPr>
        <w:t xml:space="preserve">change criteria </w:t>
      </w:r>
      <w:r w:rsidR="00AF6AB4" w:rsidRPr="00F8240E">
        <w:rPr>
          <w:rFonts w:ascii="Times New Roman" w:hAnsi="Times New Roman" w:cs="Times New Roman"/>
          <w:sz w:val="24"/>
          <w:szCs w:val="24"/>
        </w:rPr>
        <w:t xml:space="preserve">and the welfare state </w:t>
      </w:r>
      <w:r w:rsidR="00CB30A7" w:rsidRPr="00F8240E">
        <w:rPr>
          <w:rFonts w:ascii="Times New Roman" w:hAnsi="Times New Roman" w:cs="Times New Roman"/>
          <w:sz w:val="24"/>
          <w:szCs w:val="24"/>
        </w:rPr>
        <w:t>“</w:t>
      </w:r>
      <w:r w:rsidR="00AF6AB4" w:rsidRPr="00F8240E">
        <w:rPr>
          <w:rFonts w:ascii="Times New Roman" w:hAnsi="Times New Roman" w:cs="Times New Roman"/>
          <w:sz w:val="24"/>
          <w:szCs w:val="24"/>
        </w:rPr>
        <w:t>dependent variable problem</w:t>
      </w:r>
      <w:r w:rsidR="00CB30A7" w:rsidRPr="00F8240E">
        <w:rPr>
          <w:rFonts w:ascii="Times New Roman" w:hAnsi="Times New Roman" w:cs="Times New Roman"/>
          <w:sz w:val="24"/>
          <w:szCs w:val="24"/>
        </w:rPr>
        <w:t>”</w:t>
      </w:r>
      <w:r w:rsidR="00CF4E42" w:rsidRPr="00F8240E">
        <w:rPr>
          <w:rFonts w:ascii="Times New Roman" w:hAnsi="Times New Roman" w:cs="Times New Roman"/>
          <w:sz w:val="24"/>
          <w:szCs w:val="24"/>
        </w:rPr>
        <w:t xml:space="preserve"> (</w:t>
      </w:r>
      <w:r w:rsidR="00CF4E42" w:rsidRPr="00F8240E">
        <w:rPr>
          <w:rFonts w:ascii="Times New Roman" w:eastAsiaTheme="minorEastAsia" w:hAnsi="Times New Roman" w:cs="Times New Roman"/>
          <w:color w:val="000000" w:themeColor="text1"/>
          <w:kern w:val="24"/>
          <w:sz w:val="24"/>
          <w:szCs w:val="24"/>
          <w:lang w:eastAsia="en-GB"/>
        </w:rPr>
        <w:t xml:space="preserve">Clasen </w:t>
      </w:r>
      <w:r w:rsidR="00065064" w:rsidRPr="00F8240E">
        <w:rPr>
          <w:rFonts w:ascii="Times New Roman" w:eastAsiaTheme="minorEastAsia" w:hAnsi="Times New Roman" w:cs="Times New Roman"/>
          <w:color w:val="000000" w:themeColor="text1"/>
          <w:kern w:val="24"/>
          <w:sz w:val="24"/>
          <w:szCs w:val="24"/>
          <w:lang w:eastAsia="en-GB"/>
        </w:rPr>
        <w:t>&amp;</w:t>
      </w:r>
      <w:r w:rsidR="00CF4E42" w:rsidRPr="00F8240E">
        <w:rPr>
          <w:rFonts w:ascii="Times New Roman" w:eastAsiaTheme="minorEastAsia" w:hAnsi="Times New Roman" w:cs="Times New Roman"/>
          <w:color w:val="000000" w:themeColor="text1"/>
          <w:kern w:val="24"/>
          <w:sz w:val="24"/>
          <w:szCs w:val="24"/>
          <w:lang w:eastAsia="en-GB"/>
        </w:rPr>
        <w:t xml:space="preserve"> Siegel</w:t>
      </w:r>
      <w:r w:rsidR="00770B82" w:rsidRPr="00F8240E">
        <w:rPr>
          <w:rFonts w:ascii="Times New Roman" w:eastAsiaTheme="minorEastAsia" w:hAnsi="Times New Roman" w:cs="Times New Roman"/>
          <w:color w:val="000000" w:themeColor="text1"/>
          <w:kern w:val="24"/>
          <w:sz w:val="24"/>
          <w:szCs w:val="24"/>
          <w:lang w:eastAsia="en-GB"/>
        </w:rPr>
        <w:t>,</w:t>
      </w:r>
      <w:r w:rsidR="00CF4E42" w:rsidRPr="00F8240E">
        <w:rPr>
          <w:rFonts w:ascii="Times New Roman" w:eastAsiaTheme="minorEastAsia" w:hAnsi="Times New Roman" w:cs="Times New Roman"/>
          <w:color w:val="000000" w:themeColor="text1"/>
          <w:kern w:val="24"/>
          <w:sz w:val="24"/>
          <w:szCs w:val="24"/>
          <w:lang w:eastAsia="en-GB"/>
        </w:rPr>
        <w:t xml:space="preserve"> 2007</w:t>
      </w:r>
      <w:r w:rsidR="00CF4E42" w:rsidRPr="00F8240E">
        <w:rPr>
          <w:rFonts w:ascii="Times New Roman" w:hAnsi="Times New Roman" w:cs="Times New Roman"/>
          <w:sz w:val="24"/>
          <w:szCs w:val="24"/>
        </w:rPr>
        <w:t>)</w:t>
      </w:r>
      <w:bookmarkEnd w:id="7"/>
      <w:r w:rsidR="00CF4E42"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5F48E3" w:rsidRPr="00F8240E">
        <w:rPr>
          <w:rFonts w:ascii="Times New Roman" w:hAnsi="Times New Roman" w:cs="Times New Roman"/>
          <w:i/>
          <w:sz w:val="24"/>
          <w:szCs w:val="24"/>
        </w:rPr>
        <w:t>C</w:t>
      </w:r>
      <w:r w:rsidRPr="00F8240E">
        <w:rPr>
          <w:rFonts w:ascii="Times New Roman" w:hAnsi="Times New Roman" w:cs="Times New Roman"/>
          <w:i/>
          <w:sz w:val="24"/>
          <w:szCs w:val="24"/>
        </w:rPr>
        <w:t>ost containment</w:t>
      </w:r>
      <w:r w:rsidRPr="00F8240E">
        <w:rPr>
          <w:rFonts w:ascii="Times New Roman" w:hAnsi="Times New Roman" w:cs="Times New Roman"/>
          <w:sz w:val="24"/>
          <w:szCs w:val="24"/>
        </w:rPr>
        <w:t xml:space="preserve"> is </w:t>
      </w:r>
      <w:r w:rsidR="001140A1" w:rsidRPr="00F8240E">
        <w:rPr>
          <w:rFonts w:ascii="Times New Roman" w:hAnsi="Times New Roman" w:cs="Times New Roman"/>
          <w:sz w:val="24"/>
          <w:szCs w:val="24"/>
        </w:rPr>
        <w:t xml:space="preserve">thus </w:t>
      </w:r>
      <w:r w:rsidRPr="00F8240E">
        <w:rPr>
          <w:rFonts w:ascii="Times New Roman" w:hAnsi="Times New Roman" w:cs="Times New Roman"/>
          <w:sz w:val="24"/>
          <w:szCs w:val="24"/>
        </w:rPr>
        <w:t>assessed using pension expenditure trajectories covering the whole period which are adjusted for social need and compared to change in national income per head (Clayton</w:t>
      </w:r>
      <w:r w:rsidR="00065064" w:rsidRPr="00F8240E">
        <w:rPr>
          <w:rFonts w:ascii="Times New Roman" w:hAnsi="Times New Roman" w:cs="Times New Roman"/>
          <w:sz w:val="24"/>
          <w:szCs w:val="24"/>
        </w:rPr>
        <w:t xml:space="preserve"> &amp;</w:t>
      </w:r>
      <w:r w:rsidRPr="00F8240E">
        <w:rPr>
          <w:rFonts w:ascii="Times New Roman" w:hAnsi="Times New Roman" w:cs="Times New Roman"/>
          <w:sz w:val="24"/>
          <w:szCs w:val="24"/>
        </w:rPr>
        <w:t xml:space="preserve"> Pontusson</w:t>
      </w:r>
      <w:r w:rsidR="00770B82" w:rsidRPr="00F8240E">
        <w:rPr>
          <w:rFonts w:ascii="Times New Roman" w:hAnsi="Times New Roman" w:cs="Times New Roman"/>
          <w:sz w:val="24"/>
          <w:szCs w:val="24"/>
        </w:rPr>
        <w:t>,</w:t>
      </w:r>
      <w:r w:rsidR="003C38C0" w:rsidRPr="00F8240E">
        <w:rPr>
          <w:rFonts w:ascii="Times New Roman" w:hAnsi="Times New Roman" w:cs="Times New Roman"/>
          <w:sz w:val="24"/>
          <w:szCs w:val="24"/>
        </w:rPr>
        <w:t xml:space="preserve"> 1998</w:t>
      </w:r>
      <w:r w:rsidRPr="00F8240E">
        <w:rPr>
          <w:rFonts w:ascii="Times New Roman" w:hAnsi="Times New Roman" w:cs="Times New Roman"/>
          <w:sz w:val="24"/>
          <w:szCs w:val="24"/>
        </w:rPr>
        <w:t xml:space="preserve">). </w:t>
      </w:r>
      <w:r w:rsidRPr="00F8240E">
        <w:rPr>
          <w:rFonts w:ascii="Times New Roman" w:hAnsi="Times New Roman" w:cs="Times New Roman"/>
          <w:i/>
          <w:sz w:val="24"/>
          <w:szCs w:val="24"/>
        </w:rPr>
        <w:t xml:space="preserve">Re-commodification </w:t>
      </w:r>
      <w:r w:rsidRPr="00F8240E">
        <w:rPr>
          <w:rFonts w:ascii="Times New Roman" w:hAnsi="Times New Roman" w:cs="Times New Roman"/>
          <w:sz w:val="24"/>
          <w:szCs w:val="24"/>
        </w:rPr>
        <w:t>is assessed using the Comparative Welfare Entitlements Data</w:t>
      </w:r>
      <w:r w:rsidR="005F48E3" w:rsidRPr="00F8240E">
        <w:rPr>
          <w:rFonts w:ascii="Times New Roman" w:hAnsi="Times New Roman" w:cs="Times New Roman"/>
          <w:sz w:val="24"/>
          <w:szCs w:val="24"/>
        </w:rPr>
        <w:t>set</w:t>
      </w:r>
      <w:r w:rsidRPr="00F8240E">
        <w:rPr>
          <w:rFonts w:ascii="Times New Roman" w:hAnsi="Times New Roman" w:cs="Times New Roman"/>
          <w:sz w:val="24"/>
          <w:szCs w:val="24"/>
        </w:rPr>
        <w:t xml:space="preserve"> (CWED) with systematic consideration given to how </w:t>
      </w:r>
      <w:r w:rsidR="005F48E3" w:rsidRPr="00F8240E">
        <w:rPr>
          <w:rFonts w:ascii="Times New Roman" w:hAnsi="Times New Roman" w:cs="Times New Roman"/>
          <w:sz w:val="24"/>
          <w:szCs w:val="24"/>
        </w:rPr>
        <w:t>this</w:t>
      </w:r>
      <w:r w:rsidRPr="00F8240E">
        <w:rPr>
          <w:rFonts w:ascii="Times New Roman" w:hAnsi="Times New Roman" w:cs="Times New Roman"/>
          <w:sz w:val="24"/>
          <w:szCs w:val="24"/>
        </w:rPr>
        <w:t xml:space="preserve"> has been </w:t>
      </w:r>
      <w:r w:rsidRPr="00F8240E">
        <w:rPr>
          <w:rFonts w:ascii="Times New Roman" w:hAnsi="Times New Roman" w:cs="Times New Roman"/>
          <w:i/>
          <w:sz w:val="24"/>
          <w:szCs w:val="24"/>
        </w:rPr>
        <w:t>targeted</w:t>
      </w:r>
      <w:r w:rsidRPr="00F8240E">
        <w:rPr>
          <w:rFonts w:ascii="Times New Roman" w:hAnsi="Times New Roman" w:cs="Times New Roman"/>
          <w:sz w:val="24"/>
          <w:szCs w:val="24"/>
        </w:rPr>
        <w:t xml:space="preserve"> (see </w:t>
      </w:r>
      <w:r w:rsidR="00DC7E62" w:rsidRPr="00F8240E">
        <w:rPr>
          <w:rFonts w:ascii="Times New Roman" w:eastAsiaTheme="minorEastAsia" w:hAnsi="Times New Roman" w:cs="Times New Roman"/>
          <w:color w:val="000000" w:themeColor="text1"/>
          <w:kern w:val="24"/>
          <w:sz w:val="24"/>
          <w:szCs w:val="24"/>
          <w:lang w:eastAsia="en-GB"/>
        </w:rPr>
        <w:t>Häusermann</w:t>
      </w:r>
      <w:r w:rsidR="00770B82" w:rsidRPr="00F8240E">
        <w:rPr>
          <w:rFonts w:ascii="Times New Roman" w:eastAsiaTheme="minorEastAsia" w:hAnsi="Times New Roman" w:cs="Times New Roman"/>
          <w:color w:val="000000" w:themeColor="text1"/>
          <w:kern w:val="24"/>
          <w:sz w:val="24"/>
          <w:szCs w:val="24"/>
          <w:lang w:eastAsia="en-GB"/>
        </w:rPr>
        <w:t xml:space="preserve">, </w:t>
      </w:r>
      <w:r w:rsidR="00701E13" w:rsidRPr="00F8240E">
        <w:rPr>
          <w:rFonts w:ascii="Times New Roman" w:eastAsiaTheme="minorEastAsia" w:hAnsi="Times New Roman" w:cs="Times New Roman"/>
          <w:color w:val="000000" w:themeColor="text1"/>
          <w:kern w:val="24"/>
          <w:sz w:val="24"/>
          <w:szCs w:val="24"/>
          <w:lang w:eastAsia="en-GB"/>
        </w:rPr>
        <w:t>2010</w:t>
      </w:r>
      <w:r w:rsidRPr="00F8240E">
        <w:rPr>
          <w:rFonts w:ascii="Times New Roman" w:hAnsi="Times New Roman" w:cs="Times New Roman"/>
          <w:sz w:val="24"/>
          <w:szCs w:val="24"/>
        </w:rPr>
        <w:t xml:space="preserve">). Finally, following </w:t>
      </w:r>
      <w:r w:rsidR="00C14463" w:rsidRPr="00F8240E">
        <w:rPr>
          <w:rFonts w:ascii="Times New Roman" w:eastAsiaTheme="minorEastAsia" w:hAnsi="Times New Roman" w:cs="Times New Roman"/>
          <w:color w:val="000000" w:themeColor="text1"/>
          <w:kern w:val="24"/>
          <w:sz w:val="24"/>
          <w:szCs w:val="24"/>
          <w:lang w:eastAsia="en-GB"/>
        </w:rPr>
        <w:t>Häusermann</w:t>
      </w:r>
      <w:r w:rsidR="005F48E3"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hAnsi="Times New Roman" w:cs="Times New Roman"/>
          <w:i/>
          <w:sz w:val="24"/>
          <w:szCs w:val="24"/>
        </w:rPr>
        <w:t xml:space="preserve"> capitalisation</w:t>
      </w:r>
      <w:r w:rsidRPr="00F8240E">
        <w:rPr>
          <w:rFonts w:ascii="Times New Roman" w:hAnsi="Times New Roman" w:cs="Times New Roman"/>
          <w:sz w:val="24"/>
          <w:szCs w:val="24"/>
        </w:rPr>
        <w:t xml:space="preserve"> </w:t>
      </w:r>
      <w:r w:rsidR="005F48E3" w:rsidRPr="00F8240E">
        <w:rPr>
          <w:rFonts w:ascii="Times New Roman" w:hAnsi="Times New Roman" w:cs="Times New Roman"/>
          <w:sz w:val="24"/>
          <w:szCs w:val="24"/>
        </w:rPr>
        <w:t>i</w:t>
      </w:r>
      <w:r w:rsidR="00DA564A" w:rsidRPr="00F8240E">
        <w:rPr>
          <w:rFonts w:ascii="Times New Roman" w:hAnsi="Times New Roman" w:cs="Times New Roman"/>
          <w:sz w:val="24"/>
          <w:szCs w:val="24"/>
        </w:rPr>
        <w:t>s</w:t>
      </w:r>
      <w:r w:rsidR="00946CFD" w:rsidRPr="00F8240E">
        <w:rPr>
          <w:rFonts w:ascii="Times New Roman" w:hAnsi="Times New Roman" w:cs="Times New Roman"/>
          <w:sz w:val="24"/>
          <w:szCs w:val="24"/>
        </w:rPr>
        <w:t xml:space="preserve"> assessed in terms</w:t>
      </w:r>
      <w:r w:rsidR="005F48E3" w:rsidRPr="00F8240E">
        <w:rPr>
          <w:rFonts w:ascii="Times New Roman" w:hAnsi="Times New Roman" w:cs="Times New Roman"/>
          <w:sz w:val="24"/>
          <w:szCs w:val="24"/>
        </w:rPr>
        <w:t xml:space="preserve"> of</w:t>
      </w:r>
      <w:r w:rsidR="00946CFD" w:rsidRPr="00F8240E">
        <w:rPr>
          <w:rFonts w:ascii="Times New Roman" w:hAnsi="Times New Roman" w:cs="Times New Roman"/>
          <w:sz w:val="24"/>
          <w:szCs w:val="24"/>
        </w:rPr>
        <w:t xml:space="preserve"> </w:t>
      </w:r>
      <w:r w:rsidR="001140A1" w:rsidRPr="00F8240E">
        <w:rPr>
          <w:rFonts w:ascii="Times New Roman" w:hAnsi="Times New Roman" w:cs="Times New Roman"/>
          <w:sz w:val="24"/>
          <w:szCs w:val="24"/>
        </w:rPr>
        <w:t xml:space="preserve">countries’ </w:t>
      </w:r>
      <w:r w:rsidR="00946CFD" w:rsidRPr="00F8240E">
        <w:rPr>
          <w:rFonts w:ascii="Times New Roman" w:hAnsi="Times New Roman" w:cs="Times New Roman"/>
          <w:sz w:val="24"/>
          <w:szCs w:val="24"/>
        </w:rPr>
        <w:t>success or otherwise in increasing personal private saving as a substitute for public provision</w:t>
      </w:r>
      <w:r w:rsidR="005F48E3" w:rsidRPr="00F8240E">
        <w:rPr>
          <w:rFonts w:ascii="Times New Roman" w:hAnsi="Times New Roman" w:cs="Times New Roman"/>
          <w:sz w:val="24"/>
          <w:szCs w:val="24"/>
        </w:rPr>
        <w:t>.</w:t>
      </w:r>
      <w:r w:rsidR="00DA564A" w:rsidRPr="00F8240E">
        <w:rPr>
          <w:rFonts w:ascii="Times New Roman" w:hAnsi="Times New Roman" w:cs="Times New Roman"/>
          <w:sz w:val="24"/>
          <w:szCs w:val="24"/>
        </w:rPr>
        <w:t xml:space="preserve"> Due to constraints of space, </w:t>
      </w:r>
      <w:r w:rsidR="00CF4E42" w:rsidRPr="00F8240E">
        <w:rPr>
          <w:rFonts w:ascii="Times New Roman" w:hAnsi="Times New Roman" w:cs="Times New Roman"/>
          <w:sz w:val="24"/>
          <w:szCs w:val="24"/>
        </w:rPr>
        <w:t xml:space="preserve">the </w:t>
      </w:r>
      <w:r w:rsidR="00DA564A" w:rsidRPr="00F8240E">
        <w:rPr>
          <w:rFonts w:ascii="Times New Roman" w:hAnsi="Times New Roman" w:cs="Times New Roman"/>
          <w:sz w:val="24"/>
          <w:szCs w:val="24"/>
        </w:rPr>
        <w:t>study</w:t>
      </w:r>
      <w:r w:rsidR="00CF4E42" w:rsidRPr="00F8240E">
        <w:rPr>
          <w:rFonts w:ascii="Times New Roman" w:hAnsi="Times New Roman" w:cs="Times New Roman"/>
          <w:sz w:val="24"/>
          <w:szCs w:val="24"/>
        </w:rPr>
        <w:t xml:space="preserve"> focuses on </w:t>
      </w:r>
      <w:r w:rsidR="00DA564A" w:rsidRPr="00F8240E">
        <w:rPr>
          <w:rFonts w:ascii="Times New Roman" w:hAnsi="Times New Roman" w:cs="Times New Roman"/>
          <w:sz w:val="24"/>
          <w:szCs w:val="24"/>
        </w:rPr>
        <w:t xml:space="preserve">changes to </w:t>
      </w:r>
      <w:r w:rsidR="009D0A5F" w:rsidRPr="00F8240E">
        <w:rPr>
          <w:rFonts w:ascii="Times New Roman" w:hAnsi="Times New Roman" w:cs="Times New Roman"/>
          <w:sz w:val="24"/>
          <w:szCs w:val="24"/>
        </w:rPr>
        <w:t xml:space="preserve">the </w:t>
      </w:r>
      <w:r w:rsidR="00DA564A" w:rsidRPr="00F8240E">
        <w:rPr>
          <w:rFonts w:ascii="Times New Roman" w:hAnsi="Times New Roman" w:cs="Times New Roman"/>
          <w:sz w:val="24"/>
          <w:szCs w:val="24"/>
        </w:rPr>
        <w:t xml:space="preserve">public provision of the </w:t>
      </w:r>
      <w:r w:rsidR="009D0A5F" w:rsidRPr="00F8240E">
        <w:rPr>
          <w:rFonts w:ascii="Times New Roman" w:hAnsi="Times New Roman" w:cs="Times New Roman"/>
          <w:sz w:val="24"/>
          <w:szCs w:val="24"/>
        </w:rPr>
        <w:t>‘</w:t>
      </w:r>
      <w:r w:rsidR="00DA564A" w:rsidRPr="00F8240E">
        <w:rPr>
          <w:rFonts w:ascii="Times New Roman" w:hAnsi="Times New Roman" w:cs="Times New Roman"/>
          <w:sz w:val="24"/>
          <w:szCs w:val="24"/>
        </w:rPr>
        <w:t>golden age</w:t>
      </w:r>
      <w:r w:rsidR="009D0A5F" w:rsidRPr="00F8240E">
        <w:rPr>
          <w:rFonts w:ascii="Times New Roman" w:hAnsi="Times New Roman" w:cs="Times New Roman"/>
          <w:sz w:val="24"/>
          <w:szCs w:val="24"/>
        </w:rPr>
        <w:t>’</w:t>
      </w:r>
      <w:r w:rsidR="00DA564A" w:rsidRPr="00F8240E">
        <w:rPr>
          <w:rFonts w:ascii="Times New Roman" w:hAnsi="Times New Roman" w:cs="Times New Roman"/>
          <w:sz w:val="24"/>
          <w:szCs w:val="24"/>
        </w:rPr>
        <w:t xml:space="preserve">, not recalibrations to reflect </w:t>
      </w:r>
      <w:r w:rsidR="00CB30A7" w:rsidRPr="00F8240E">
        <w:rPr>
          <w:rFonts w:ascii="Times New Roman" w:hAnsi="Times New Roman" w:cs="Times New Roman"/>
          <w:sz w:val="24"/>
          <w:szCs w:val="24"/>
        </w:rPr>
        <w:t>“</w:t>
      </w:r>
      <w:r w:rsidR="00DA564A" w:rsidRPr="00F8240E">
        <w:rPr>
          <w:rFonts w:ascii="Times New Roman" w:hAnsi="Times New Roman" w:cs="Times New Roman"/>
          <w:sz w:val="24"/>
          <w:szCs w:val="24"/>
        </w:rPr>
        <w:t>new social risks</w:t>
      </w:r>
      <w:r w:rsidR="00CB30A7" w:rsidRPr="00F8240E">
        <w:rPr>
          <w:rFonts w:ascii="Times New Roman" w:hAnsi="Times New Roman" w:cs="Times New Roman"/>
          <w:sz w:val="24"/>
          <w:szCs w:val="24"/>
        </w:rPr>
        <w:t>”</w:t>
      </w:r>
      <w:r w:rsidR="00DA564A" w:rsidRPr="00F8240E">
        <w:rPr>
          <w:rFonts w:ascii="Times New Roman" w:hAnsi="Times New Roman" w:cs="Times New Roman"/>
          <w:sz w:val="24"/>
          <w:szCs w:val="24"/>
        </w:rPr>
        <w:t xml:space="preserve"> (</w:t>
      </w:r>
      <w:r w:rsidR="00701E13" w:rsidRPr="00F8240E">
        <w:rPr>
          <w:rFonts w:ascii="Times New Roman" w:hAnsi="Times New Roman" w:cs="Times New Roman"/>
          <w:sz w:val="24"/>
          <w:szCs w:val="24"/>
        </w:rPr>
        <w:t>Bonoli, 2005</w:t>
      </w:r>
      <w:r w:rsidR="00DA564A" w:rsidRPr="00F8240E">
        <w:rPr>
          <w:rFonts w:ascii="Times New Roman" w:hAnsi="Times New Roman" w:cs="Times New Roman"/>
          <w:sz w:val="24"/>
          <w:szCs w:val="24"/>
        </w:rPr>
        <w:t>).</w:t>
      </w:r>
    </w:p>
    <w:p w14:paraId="07132FC4" w14:textId="257240EB" w:rsidR="000B596E" w:rsidRPr="00F8240E" w:rsidRDefault="00946CFD"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 main finding of </w:t>
      </w:r>
      <w:r w:rsidR="005758D0" w:rsidRPr="00F8240E">
        <w:rPr>
          <w:rFonts w:ascii="Times New Roman" w:hAnsi="Times New Roman" w:cs="Times New Roman"/>
          <w:sz w:val="24"/>
          <w:szCs w:val="24"/>
        </w:rPr>
        <w:t>th</w:t>
      </w:r>
      <w:r w:rsidR="007D0598" w:rsidRPr="00F8240E">
        <w:rPr>
          <w:rFonts w:ascii="Times New Roman" w:hAnsi="Times New Roman" w:cs="Times New Roman"/>
          <w:sz w:val="24"/>
          <w:szCs w:val="24"/>
        </w:rPr>
        <w:t>e</w:t>
      </w:r>
      <w:r w:rsidR="005758D0" w:rsidRPr="00F8240E">
        <w:rPr>
          <w:rFonts w:ascii="Times New Roman" w:hAnsi="Times New Roman" w:cs="Times New Roman"/>
          <w:sz w:val="24"/>
          <w:szCs w:val="24"/>
        </w:rPr>
        <w:t xml:space="preserve"> study</w:t>
      </w:r>
      <w:r w:rsidRPr="00F8240E">
        <w:rPr>
          <w:rFonts w:ascii="Times New Roman" w:hAnsi="Times New Roman" w:cs="Times New Roman"/>
          <w:sz w:val="24"/>
          <w:szCs w:val="24"/>
        </w:rPr>
        <w:t xml:space="preserve"> </w:t>
      </w:r>
      <w:bookmarkStart w:id="8" w:name="_Hlk512174945"/>
      <w:r w:rsidRPr="00F8240E">
        <w:rPr>
          <w:rFonts w:ascii="Times New Roman" w:hAnsi="Times New Roman" w:cs="Times New Roman"/>
          <w:sz w:val="24"/>
          <w:szCs w:val="24"/>
        </w:rPr>
        <w:t xml:space="preserve">is that a significant retrenchment of </w:t>
      </w:r>
      <w:r w:rsidR="005F48E3" w:rsidRPr="00F8240E">
        <w:rPr>
          <w:rFonts w:ascii="Times New Roman" w:hAnsi="Times New Roman" w:cs="Times New Roman"/>
          <w:sz w:val="24"/>
          <w:szCs w:val="24"/>
        </w:rPr>
        <w:t>public</w:t>
      </w:r>
      <w:r w:rsidRPr="00F8240E">
        <w:rPr>
          <w:rFonts w:ascii="Times New Roman" w:hAnsi="Times New Roman" w:cs="Times New Roman"/>
          <w:sz w:val="24"/>
          <w:szCs w:val="24"/>
        </w:rPr>
        <w:t xml:space="preserve"> pension provision occu</w:t>
      </w:r>
      <w:r w:rsidR="00EC383D" w:rsidRPr="00F8240E">
        <w:rPr>
          <w:rFonts w:ascii="Times New Roman" w:hAnsi="Times New Roman" w:cs="Times New Roman"/>
          <w:sz w:val="24"/>
          <w:szCs w:val="24"/>
        </w:rPr>
        <w:t>r</w:t>
      </w:r>
      <w:r w:rsidRPr="00F8240E">
        <w:rPr>
          <w:rFonts w:ascii="Times New Roman" w:hAnsi="Times New Roman" w:cs="Times New Roman"/>
          <w:sz w:val="24"/>
          <w:szCs w:val="24"/>
        </w:rPr>
        <w:t>r</w:t>
      </w:r>
      <w:r w:rsidR="00065064" w:rsidRPr="00F8240E">
        <w:rPr>
          <w:rFonts w:ascii="Times New Roman" w:hAnsi="Times New Roman" w:cs="Times New Roman"/>
          <w:sz w:val="24"/>
          <w:szCs w:val="24"/>
        </w:rPr>
        <w:t>ed</w:t>
      </w:r>
      <w:r w:rsidRPr="00F8240E">
        <w:rPr>
          <w:rFonts w:ascii="Times New Roman" w:hAnsi="Times New Roman" w:cs="Times New Roman"/>
          <w:sz w:val="24"/>
          <w:szCs w:val="24"/>
        </w:rPr>
        <w:t xml:space="preserve"> in most liberal welfare states </w:t>
      </w:r>
      <w:r w:rsidR="00C14463" w:rsidRPr="00F8240E">
        <w:rPr>
          <w:rFonts w:ascii="Times New Roman" w:hAnsi="Times New Roman" w:cs="Times New Roman"/>
          <w:sz w:val="24"/>
          <w:szCs w:val="24"/>
        </w:rPr>
        <w:t>after 1980</w:t>
      </w:r>
      <w:r w:rsidRPr="00F8240E">
        <w:rPr>
          <w:rFonts w:ascii="Times New Roman" w:hAnsi="Times New Roman" w:cs="Times New Roman"/>
          <w:sz w:val="24"/>
          <w:szCs w:val="24"/>
        </w:rPr>
        <w:t xml:space="preserve">, but </w:t>
      </w:r>
      <w:r w:rsidR="001140A1" w:rsidRPr="00F8240E">
        <w:rPr>
          <w:rFonts w:ascii="Times New Roman" w:hAnsi="Times New Roman" w:cs="Times New Roman"/>
          <w:sz w:val="24"/>
          <w:szCs w:val="24"/>
        </w:rPr>
        <w:t xml:space="preserve">this </w:t>
      </w:r>
      <w:r w:rsidRPr="00F8240E">
        <w:rPr>
          <w:rFonts w:ascii="Times New Roman" w:hAnsi="Times New Roman" w:cs="Times New Roman"/>
          <w:sz w:val="24"/>
          <w:szCs w:val="24"/>
        </w:rPr>
        <w:t xml:space="preserve">was largely confined to the </w:t>
      </w:r>
      <w:r w:rsidR="00467712" w:rsidRPr="00F8240E">
        <w:rPr>
          <w:rFonts w:ascii="Times New Roman" w:hAnsi="Times New Roman" w:cs="Times New Roman"/>
          <w:sz w:val="24"/>
          <w:szCs w:val="24"/>
        </w:rPr>
        <w:t xml:space="preserve">first half </w:t>
      </w:r>
      <w:r w:rsidRPr="00F8240E">
        <w:rPr>
          <w:rFonts w:ascii="Times New Roman" w:hAnsi="Times New Roman" w:cs="Times New Roman"/>
          <w:sz w:val="24"/>
          <w:szCs w:val="24"/>
        </w:rPr>
        <w:t>of the period</w:t>
      </w:r>
      <w:bookmarkEnd w:id="8"/>
      <w:r w:rsidRPr="00F8240E">
        <w:rPr>
          <w:rFonts w:ascii="Times New Roman" w:hAnsi="Times New Roman" w:cs="Times New Roman"/>
          <w:sz w:val="24"/>
          <w:szCs w:val="24"/>
        </w:rPr>
        <w:t xml:space="preserve">. </w:t>
      </w:r>
      <w:bookmarkStart w:id="9" w:name="_Hlk512240106"/>
      <w:r w:rsidR="00467712" w:rsidRPr="00F8240E">
        <w:rPr>
          <w:rFonts w:ascii="Times New Roman" w:hAnsi="Times New Roman" w:cs="Times New Roman"/>
          <w:sz w:val="24"/>
          <w:szCs w:val="24"/>
        </w:rPr>
        <w:t>C</w:t>
      </w:r>
      <w:r w:rsidR="002751D2" w:rsidRPr="00F8240E">
        <w:rPr>
          <w:rFonts w:ascii="Times New Roman" w:hAnsi="Times New Roman" w:cs="Times New Roman"/>
          <w:sz w:val="24"/>
          <w:szCs w:val="24"/>
        </w:rPr>
        <w:t>ost containment</w:t>
      </w:r>
      <w:r w:rsidR="000B596E" w:rsidRPr="00F8240E">
        <w:rPr>
          <w:rFonts w:ascii="Times New Roman" w:hAnsi="Times New Roman" w:cs="Times New Roman"/>
          <w:sz w:val="24"/>
          <w:szCs w:val="24"/>
        </w:rPr>
        <w:t xml:space="preserve"> was</w:t>
      </w:r>
      <w:r w:rsidR="004943B5" w:rsidRPr="00F8240E">
        <w:rPr>
          <w:rFonts w:ascii="Times New Roman" w:hAnsi="Times New Roman" w:cs="Times New Roman"/>
          <w:sz w:val="24"/>
          <w:szCs w:val="24"/>
        </w:rPr>
        <w:t xml:space="preserve"> generally</w:t>
      </w:r>
      <w:r w:rsidR="000B596E" w:rsidRPr="00F8240E">
        <w:rPr>
          <w:rFonts w:ascii="Times New Roman" w:hAnsi="Times New Roman" w:cs="Times New Roman"/>
          <w:sz w:val="24"/>
          <w:szCs w:val="24"/>
        </w:rPr>
        <w:t xml:space="preserve"> successful </w:t>
      </w:r>
      <w:r w:rsidR="00467712" w:rsidRPr="00F8240E">
        <w:rPr>
          <w:rFonts w:ascii="Times New Roman" w:hAnsi="Times New Roman" w:cs="Times New Roman"/>
          <w:sz w:val="24"/>
          <w:szCs w:val="24"/>
        </w:rPr>
        <w:t>during this time</w:t>
      </w:r>
      <w:r w:rsidR="000B596E" w:rsidRPr="00F8240E">
        <w:rPr>
          <w:rFonts w:ascii="Times New Roman" w:hAnsi="Times New Roman" w:cs="Times New Roman"/>
          <w:sz w:val="24"/>
          <w:szCs w:val="24"/>
        </w:rPr>
        <w:t xml:space="preserve">, with pension expenditure </w:t>
      </w:r>
      <w:r w:rsidR="007D0598" w:rsidRPr="00F8240E">
        <w:rPr>
          <w:rFonts w:ascii="Times New Roman" w:hAnsi="Times New Roman" w:cs="Times New Roman"/>
          <w:sz w:val="24"/>
          <w:szCs w:val="24"/>
        </w:rPr>
        <w:t xml:space="preserve">per population over 65 </w:t>
      </w:r>
      <w:r w:rsidR="000B596E" w:rsidRPr="00F8240E">
        <w:rPr>
          <w:rFonts w:ascii="Times New Roman" w:hAnsi="Times New Roman" w:cs="Times New Roman"/>
          <w:sz w:val="24"/>
          <w:szCs w:val="24"/>
        </w:rPr>
        <w:t xml:space="preserve">falling in real terms </w:t>
      </w:r>
      <w:r w:rsidR="007D0598" w:rsidRPr="00F8240E">
        <w:rPr>
          <w:rFonts w:ascii="Times New Roman" w:hAnsi="Times New Roman" w:cs="Times New Roman"/>
          <w:sz w:val="24"/>
          <w:szCs w:val="24"/>
        </w:rPr>
        <w:t xml:space="preserve">in </w:t>
      </w:r>
      <w:r w:rsidR="000B596E" w:rsidRPr="00F8240E">
        <w:rPr>
          <w:rFonts w:ascii="Times New Roman" w:hAnsi="Times New Roman" w:cs="Times New Roman"/>
          <w:sz w:val="24"/>
          <w:szCs w:val="24"/>
        </w:rPr>
        <w:t>two countries (Australia and New Zealand) and failing to rise in line with national income per head in three others</w:t>
      </w:r>
      <w:r w:rsidR="00065064" w:rsidRPr="00F8240E">
        <w:rPr>
          <w:rFonts w:ascii="Times New Roman" w:hAnsi="Times New Roman" w:cs="Times New Roman"/>
          <w:sz w:val="24"/>
          <w:szCs w:val="24"/>
        </w:rPr>
        <w:t>:</w:t>
      </w:r>
      <w:r w:rsidR="000B596E" w:rsidRPr="00F8240E">
        <w:rPr>
          <w:rFonts w:ascii="Times New Roman" w:hAnsi="Times New Roman" w:cs="Times New Roman"/>
          <w:sz w:val="24"/>
          <w:szCs w:val="24"/>
        </w:rPr>
        <w:t xml:space="preserve"> Ireland, </w:t>
      </w:r>
      <w:r w:rsidR="004B4425" w:rsidRPr="00F8240E">
        <w:rPr>
          <w:rFonts w:ascii="Times New Roman" w:hAnsi="Times New Roman" w:cs="Times New Roman"/>
          <w:sz w:val="24"/>
          <w:szCs w:val="24"/>
        </w:rPr>
        <w:t xml:space="preserve">the UK </w:t>
      </w:r>
      <w:r w:rsidR="000B596E" w:rsidRPr="00F8240E">
        <w:rPr>
          <w:rFonts w:ascii="Times New Roman" w:hAnsi="Times New Roman" w:cs="Times New Roman"/>
          <w:sz w:val="24"/>
          <w:szCs w:val="24"/>
        </w:rPr>
        <w:t>and</w:t>
      </w:r>
      <w:r w:rsidR="00AE4B7F" w:rsidRPr="00F8240E">
        <w:rPr>
          <w:rFonts w:ascii="Times New Roman" w:hAnsi="Times New Roman" w:cs="Times New Roman"/>
          <w:sz w:val="24"/>
          <w:szCs w:val="24"/>
        </w:rPr>
        <w:t xml:space="preserve"> the</w:t>
      </w:r>
      <w:r w:rsidR="000B596E" w:rsidRPr="00F8240E">
        <w:rPr>
          <w:rFonts w:ascii="Times New Roman" w:hAnsi="Times New Roman" w:cs="Times New Roman"/>
          <w:sz w:val="24"/>
          <w:szCs w:val="24"/>
        </w:rPr>
        <w:t xml:space="preserve"> USA. </w:t>
      </w:r>
      <w:bookmarkEnd w:id="9"/>
      <w:r w:rsidR="000B596E" w:rsidRPr="00F8240E">
        <w:rPr>
          <w:rFonts w:ascii="Times New Roman" w:hAnsi="Times New Roman" w:cs="Times New Roman"/>
          <w:sz w:val="24"/>
          <w:szCs w:val="24"/>
        </w:rPr>
        <w:t xml:space="preserve">Replacement rates </w:t>
      </w:r>
      <w:r w:rsidR="00467712" w:rsidRPr="00F8240E">
        <w:rPr>
          <w:rFonts w:ascii="Times New Roman" w:hAnsi="Times New Roman" w:cs="Times New Roman"/>
          <w:sz w:val="24"/>
          <w:szCs w:val="24"/>
        </w:rPr>
        <w:t>also show long periods of decline in all but Canada and the UK, where the gradual maturation of reforms passed before the period began</w:t>
      </w:r>
      <w:r w:rsidR="00E5419D" w:rsidRPr="00F8240E">
        <w:rPr>
          <w:rFonts w:ascii="Times New Roman" w:hAnsi="Times New Roman" w:cs="Times New Roman"/>
          <w:sz w:val="24"/>
          <w:szCs w:val="24"/>
        </w:rPr>
        <w:t xml:space="preserve"> boosted them</w:t>
      </w:r>
      <w:r w:rsidR="00467712" w:rsidRPr="00F8240E">
        <w:rPr>
          <w:rFonts w:ascii="Times New Roman" w:hAnsi="Times New Roman" w:cs="Times New Roman"/>
          <w:sz w:val="24"/>
          <w:szCs w:val="24"/>
        </w:rPr>
        <w:t xml:space="preserve">. In three countries (Australia, the UK and USA), these developments </w:t>
      </w:r>
      <w:r w:rsidR="005F48E3" w:rsidRPr="00F8240E">
        <w:rPr>
          <w:rFonts w:ascii="Times New Roman" w:hAnsi="Times New Roman" w:cs="Times New Roman"/>
          <w:sz w:val="24"/>
          <w:szCs w:val="24"/>
        </w:rPr>
        <w:t>were accompanied by</w:t>
      </w:r>
      <w:r w:rsidR="00EC383D" w:rsidRPr="00F8240E">
        <w:rPr>
          <w:rFonts w:ascii="Times New Roman" w:hAnsi="Times New Roman" w:cs="Times New Roman"/>
          <w:sz w:val="24"/>
          <w:szCs w:val="24"/>
        </w:rPr>
        <w:t xml:space="preserve"> significant governments-encourage efforts to</w:t>
      </w:r>
      <w:r w:rsidR="005F48E3" w:rsidRPr="00F8240E">
        <w:rPr>
          <w:rFonts w:ascii="Times New Roman" w:hAnsi="Times New Roman" w:cs="Times New Roman"/>
          <w:sz w:val="24"/>
          <w:szCs w:val="24"/>
        </w:rPr>
        <w:t xml:space="preserve"> </w:t>
      </w:r>
      <w:r w:rsidR="00CF4E42" w:rsidRPr="00F8240E">
        <w:rPr>
          <w:rFonts w:ascii="Times New Roman" w:hAnsi="Times New Roman" w:cs="Times New Roman"/>
          <w:sz w:val="24"/>
          <w:szCs w:val="24"/>
        </w:rPr>
        <w:t>increase</w:t>
      </w:r>
      <w:r w:rsidR="00467712" w:rsidRPr="00F8240E">
        <w:rPr>
          <w:rFonts w:ascii="Times New Roman" w:hAnsi="Times New Roman" w:cs="Times New Roman"/>
          <w:sz w:val="24"/>
          <w:szCs w:val="24"/>
        </w:rPr>
        <w:t xml:space="preserve"> private personal saving. </w:t>
      </w:r>
      <w:r w:rsidR="00632A39" w:rsidRPr="00F8240E">
        <w:rPr>
          <w:rFonts w:ascii="Times New Roman" w:hAnsi="Times New Roman" w:cs="Times New Roman"/>
          <w:sz w:val="24"/>
          <w:szCs w:val="24"/>
        </w:rPr>
        <w:t>S</w:t>
      </w:r>
      <w:r w:rsidR="00467712" w:rsidRPr="00F8240E">
        <w:rPr>
          <w:rFonts w:ascii="Times New Roman" w:hAnsi="Times New Roman" w:cs="Times New Roman"/>
          <w:sz w:val="24"/>
          <w:szCs w:val="24"/>
        </w:rPr>
        <w:t xml:space="preserve">ince the mid-1990s, </w:t>
      </w:r>
      <w:r w:rsidR="00AF6AB4" w:rsidRPr="00F8240E">
        <w:rPr>
          <w:rFonts w:ascii="Times New Roman" w:hAnsi="Times New Roman" w:cs="Times New Roman"/>
          <w:sz w:val="24"/>
          <w:szCs w:val="24"/>
        </w:rPr>
        <w:t>retrenchment</w:t>
      </w:r>
      <w:r w:rsidR="00467712" w:rsidRPr="00F8240E">
        <w:rPr>
          <w:rFonts w:ascii="Times New Roman" w:hAnsi="Times New Roman" w:cs="Times New Roman"/>
          <w:sz w:val="24"/>
          <w:szCs w:val="24"/>
        </w:rPr>
        <w:t xml:space="preserve"> </w:t>
      </w:r>
      <w:bookmarkStart w:id="10" w:name="_Hlk512174994"/>
      <w:r w:rsidR="00467712" w:rsidRPr="00F8240E">
        <w:rPr>
          <w:rFonts w:ascii="Times New Roman" w:hAnsi="Times New Roman" w:cs="Times New Roman"/>
          <w:sz w:val="24"/>
          <w:szCs w:val="24"/>
        </w:rPr>
        <w:t>has been reverse</w:t>
      </w:r>
      <w:r w:rsidR="00E5419D" w:rsidRPr="00F8240E">
        <w:rPr>
          <w:rFonts w:ascii="Times New Roman" w:hAnsi="Times New Roman" w:cs="Times New Roman"/>
          <w:sz w:val="24"/>
          <w:szCs w:val="24"/>
        </w:rPr>
        <w:t>d</w:t>
      </w:r>
      <w:r w:rsidR="00632A39" w:rsidRPr="00F8240E">
        <w:rPr>
          <w:rFonts w:ascii="Times New Roman" w:hAnsi="Times New Roman" w:cs="Times New Roman"/>
          <w:sz w:val="24"/>
          <w:szCs w:val="24"/>
        </w:rPr>
        <w:t xml:space="preserve"> at least in part</w:t>
      </w:r>
      <w:r w:rsidR="00467712" w:rsidRPr="00F8240E">
        <w:rPr>
          <w:rFonts w:ascii="Times New Roman" w:hAnsi="Times New Roman" w:cs="Times New Roman"/>
          <w:sz w:val="24"/>
          <w:szCs w:val="24"/>
        </w:rPr>
        <w:t xml:space="preserve"> in most countries, though</w:t>
      </w:r>
      <w:r w:rsidR="001140A1" w:rsidRPr="00F8240E">
        <w:rPr>
          <w:rFonts w:ascii="Times New Roman" w:hAnsi="Times New Roman" w:cs="Times New Roman"/>
          <w:sz w:val="24"/>
          <w:szCs w:val="24"/>
        </w:rPr>
        <w:t xml:space="preserve"> </w:t>
      </w:r>
      <w:r w:rsidR="00632A39" w:rsidRPr="00F8240E">
        <w:rPr>
          <w:rFonts w:ascii="Times New Roman" w:hAnsi="Times New Roman" w:cs="Times New Roman"/>
          <w:sz w:val="24"/>
          <w:szCs w:val="24"/>
        </w:rPr>
        <w:t>the scale of</w:t>
      </w:r>
      <w:r w:rsidR="00467712" w:rsidRPr="00F8240E">
        <w:rPr>
          <w:rFonts w:ascii="Times New Roman" w:hAnsi="Times New Roman" w:cs="Times New Roman"/>
          <w:sz w:val="24"/>
          <w:szCs w:val="24"/>
        </w:rPr>
        <w:t xml:space="preserve"> reversal varies between countries and retrenchment pressures are still strong</w:t>
      </w:r>
      <w:bookmarkEnd w:id="10"/>
      <w:r w:rsidR="005A1B6A" w:rsidRPr="00F8240E">
        <w:rPr>
          <w:rFonts w:ascii="Times New Roman" w:hAnsi="Times New Roman" w:cs="Times New Roman"/>
          <w:sz w:val="24"/>
          <w:szCs w:val="24"/>
        </w:rPr>
        <w:t>, not least because of the financial crisis</w:t>
      </w:r>
      <w:r w:rsidR="00467712" w:rsidRPr="00F8240E">
        <w:rPr>
          <w:rFonts w:ascii="Times New Roman" w:hAnsi="Times New Roman" w:cs="Times New Roman"/>
          <w:sz w:val="24"/>
          <w:szCs w:val="24"/>
        </w:rPr>
        <w:t>.</w:t>
      </w:r>
      <w:bookmarkEnd w:id="6"/>
      <w:r w:rsidR="00467712" w:rsidRPr="00F8240E">
        <w:rPr>
          <w:rFonts w:ascii="Times New Roman" w:hAnsi="Times New Roman" w:cs="Times New Roman"/>
          <w:sz w:val="24"/>
          <w:szCs w:val="24"/>
        </w:rPr>
        <w:t xml:space="preserve"> The state has risen in liberal pensions system in the past twenty years, as</w:t>
      </w:r>
      <w:r w:rsidR="00E5419D" w:rsidRPr="00F8240E">
        <w:rPr>
          <w:rFonts w:ascii="Times New Roman" w:hAnsi="Times New Roman" w:cs="Times New Roman"/>
          <w:sz w:val="24"/>
          <w:szCs w:val="24"/>
        </w:rPr>
        <w:t xml:space="preserve"> some</w:t>
      </w:r>
      <w:r w:rsidR="00467712" w:rsidRPr="00F8240E">
        <w:rPr>
          <w:rFonts w:ascii="Times New Roman" w:hAnsi="Times New Roman" w:cs="Times New Roman"/>
          <w:sz w:val="24"/>
          <w:szCs w:val="24"/>
        </w:rPr>
        <w:t xml:space="preserve"> commentators have suggested</w:t>
      </w:r>
      <w:r w:rsidR="00E5419D" w:rsidRPr="00F8240E">
        <w:rPr>
          <w:rFonts w:ascii="Times New Roman" w:hAnsi="Times New Roman" w:cs="Times New Roman"/>
          <w:sz w:val="24"/>
          <w:szCs w:val="24"/>
        </w:rPr>
        <w:t xml:space="preserve"> (</w:t>
      </w:r>
      <w:bookmarkStart w:id="11" w:name="_Hlk512265133"/>
      <w:r w:rsidR="00E5419D" w:rsidRPr="00F8240E">
        <w:rPr>
          <w:rFonts w:ascii="Times New Roman" w:hAnsi="Times New Roman" w:cs="Times New Roman"/>
          <w:sz w:val="24"/>
          <w:szCs w:val="24"/>
        </w:rPr>
        <w:t>Gelepithis</w:t>
      </w:r>
      <w:r w:rsidR="00770B82" w:rsidRPr="00F8240E">
        <w:rPr>
          <w:rFonts w:ascii="Times New Roman" w:hAnsi="Times New Roman" w:cs="Times New Roman"/>
          <w:sz w:val="24"/>
          <w:szCs w:val="24"/>
        </w:rPr>
        <w:t>,</w:t>
      </w:r>
      <w:r w:rsidR="00E5419D" w:rsidRPr="00F8240E">
        <w:rPr>
          <w:rFonts w:ascii="Times New Roman" w:hAnsi="Times New Roman" w:cs="Times New Roman"/>
          <w:sz w:val="24"/>
          <w:szCs w:val="24"/>
        </w:rPr>
        <w:t xml:space="preserve"> 201</w:t>
      </w:r>
      <w:bookmarkEnd w:id="11"/>
      <w:r w:rsidR="00EC383D" w:rsidRPr="00F8240E">
        <w:rPr>
          <w:rFonts w:ascii="Times New Roman" w:hAnsi="Times New Roman" w:cs="Times New Roman"/>
          <w:sz w:val="24"/>
          <w:szCs w:val="24"/>
        </w:rPr>
        <w:t>8</w:t>
      </w:r>
      <w:r w:rsidR="00701E13" w:rsidRPr="00F8240E">
        <w:rPr>
          <w:rFonts w:ascii="Times New Roman" w:hAnsi="Times New Roman" w:cs="Times New Roman"/>
          <w:sz w:val="24"/>
          <w:szCs w:val="24"/>
        </w:rPr>
        <w:t>a and 201</w:t>
      </w:r>
      <w:r w:rsidR="00EC383D" w:rsidRPr="00F8240E">
        <w:rPr>
          <w:rFonts w:ascii="Times New Roman" w:hAnsi="Times New Roman" w:cs="Times New Roman"/>
          <w:sz w:val="24"/>
          <w:szCs w:val="24"/>
        </w:rPr>
        <w:t>8</w:t>
      </w:r>
      <w:r w:rsidR="00701E13" w:rsidRPr="00F8240E">
        <w:rPr>
          <w:rFonts w:ascii="Times New Roman" w:hAnsi="Times New Roman" w:cs="Times New Roman"/>
          <w:sz w:val="24"/>
          <w:szCs w:val="24"/>
        </w:rPr>
        <w:t>b</w:t>
      </w:r>
      <w:r w:rsidR="00E5419D" w:rsidRPr="00F8240E">
        <w:rPr>
          <w:rFonts w:ascii="Times New Roman" w:hAnsi="Times New Roman" w:cs="Times New Roman"/>
          <w:sz w:val="24"/>
          <w:szCs w:val="24"/>
        </w:rPr>
        <w:t>)</w:t>
      </w:r>
      <w:r w:rsidR="00015E6E" w:rsidRPr="00F8240E">
        <w:rPr>
          <w:rFonts w:ascii="Times New Roman" w:hAnsi="Times New Roman" w:cs="Times New Roman"/>
          <w:sz w:val="24"/>
          <w:szCs w:val="24"/>
        </w:rPr>
        <w:t>;</w:t>
      </w:r>
      <w:r w:rsidR="00467712" w:rsidRPr="00F8240E">
        <w:rPr>
          <w:rFonts w:ascii="Times New Roman" w:hAnsi="Times New Roman" w:cs="Times New Roman"/>
          <w:sz w:val="24"/>
          <w:szCs w:val="24"/>
        </w:rPr>
        <w:t xml:space="preserve"> but</w:t>
      </w:r>
      <w:r w:rsidR="00015E6E" w:rsidRPr="00F8240E">
        <w:rPr>
          <w:rFonts w:ascii="Times New Roman" w:hAnsi="Times New Roman" w:cs="Times New Roman"/>
          <w:sz w:val="24"/>
          <w:szCs w:val="24"/>
        </w:rPr>
        <w:t>,</w:t>
      </w:r>
      <w:r w:rsidR="00467712" w:rsidRPr="00F8240E">
        <w:rPr>
          <w:rFonts w:ascii="Times New Roman" w:hAnsi="Times New Roman" w:cs="Times New Roman"/>
          <w:sz w:val="24"/>
          <w:szCs w:val="24"/>
        </w:rPr>
        <w:t xml:space="preserve"> </w:t>
      </w:r>
      <w:bookmarkStart w:id="12" w:name="_Hlk512175074"/>
      <w:r w:rsidR="00015E6E" w:rsidRPr="00F8240E">
        <w:rPr>
          <w:rFonts w:ascii="Times New Roman" w:hAnsi="Times New Roman" w:cs="Times New Roman"/>
          <w:sz w:val="24"/>
          <w:szCs w:val="24"/>
        </w:rPr>
        <w:t>the paper argues</w:t>
      </w:r>
      <w:r w:rsidR="00A86933" w:rsidRPr="00F8240E">
        <w:rPr>
          <w:rFonts w:ascii="Times New Roman" w:hAnsi="Times New Roman" w:cs="Times New Roman"/>
          <w:sz w:val="24"/>
          <w:szCs w:val="24"/>
        </w:rPr>
        <w:t>,</w:t>
      </w:r>
      <w:r w:rsidR="007A0919" w:rsidRPr="00F8240E">
        <w:rPr>
          <w:rFonts w:ascii="Times New Roman" w:hAnsi="Times New Roman" w:cs="Times New Roman"/>
          <w:sz w:val="24"/>
          <w:szCs w:val="24"/>
        </w:rPr>
        <w:t xml:space="preserve"> </w:t>
      </w:r>
      <w:r w:rsidR="00015E6E" w:rsidRPr="00F8240E">
        <w:rPr>
          <w:rFonts w:ascii="Times New Roman" w:hAnsi="Times New Roman" w:cs="Times New Roman"/>
          <w:sz w:val="24"/>
          <w:szCs w:val="24"/>
        </w:rPr>
        <w:t xml:space="preserve">if the social </w:t>
      </w:r>
      <w:r w:rsidR="00EC383D" w:rsidRPr="00F8240E">
        <w:rPr>
          <w:rFonts w:ascii="Times New Roman" w:hAnsi="Times New Roman" w:cs="Times New Roman"/>
          <w:sz w:val="24"/>
          <w:szCs w:val="24"/>
        </w:rPr>
        <w:t>bas</w:t>
      </w:r>
      <w:r w:rsidR="00A86933" w:rsidRPr="00F8240E">
        <w:rPr>
          <w:rFonts w:ascii="Times New Roman" w:hAnsi="Times New Roman" w:cs="Times New Roman"/>
          <w:sz w:val="24"/>
          <w:szCs w:val="24"/>
        </w:rPr>
        <w:t>i</w:t>
      </w:r>
      <w:r w:rsidR="00EC383D" w:rsidRPr="00F8240E">
        <w:rPr>
          <w:rFonts w:ascii="Times New Roman" w:hAnsi="Times New Roman" w:cs="Times New Roman"/>
          <w:sz w:val="24"/>
          <w:szCs w:val="24"/>
        </w:rPr>
        <w:t>s</w:t>
      </w:r>
      <w:r w:rsidR="00015E6E" w:rsidRPr="00F8240E">
        <w:rPr>
          <w:rFonts w:ascii="Times New Roman" w:hAnsi="Times New Roman" w:cs="Times New Roman"/>
          <w:sz w:val="24"/>
          <w:szCs w:val="24"/>
        </w:rPr>
        <w:t xml:space="preserve"> of this</w:t>
      </w:r>
      <w:r w:rsidR="00467712" w:rsidRPr="00F8240E">
        <w:rPr>
          <w:rFonts w:ascii="Times New Roman" w:hAnsi="Times New Roman" w:cs="Times New Roman"/>
          <w:sz w:val="24"/>
          <w:szCs w:val="24"/>
        </w:rPr>
        <w:t xml:space="preserve"> rise </w:t>
      </w:r>
      <w:r w:rsidR="00A86933" w:rsidRPr="00F8240E">
        <w:rPr>
          <w:rFonts w:ascii="Times New Roman" w:hAnsi="Times New Roman" w:cs="Times New Roman"/>
          <w:sz w:val="24"/>
          <w:szCs w:val="24"/>
        </w:rPr>
        <w:t>is</w:t>
      </w:r>
      <w:r w:rsidR="00015E6E" w:rsidRPr="00F8240E">
        <w:rPr>
          <w:rFonts w:ascii="Times New Roman" w:hAnsi="Times New Roman" w:cs="Times New Roman"/>
          <w:sz w:val="24"/>
          <w:szCs w:val="24"/>
        </w:rPr>
        <w:t xml:space="preserve"> to be properly understood it must be</w:t>
      </w:r>
      <w:r w:rsidR="00475EE2" w:rsidRPr="00F8240E">
        <w:rPr>
          <w:rFonts w:ascii="Times New Roman" w:hAnsi="Times New Roman" w:cs="Times New Roman"/>
          <w:sz w:val="24"/>
          <w:szCs w:val="24"/>
        </w:rPr>
        <w:t xml:space="preserve"> </w:t>
      </w:r>
      <w:r w:rsidR="00467712" w:rsidRPr="00F8240E">
        <w:rPr>
          <w:rFonts w:ascii="Times New Roman" w:hAnsi="Times New Roman" w:cs="Times New Roman"/>
          <w:sz w:val="24"/>
          <w:szCs w:val="24"/>
        </w:rPr>
        <w:t>context</w:t>
      </w:r>
      <w:r w:rsidR="00015E6E" w:rsidRPr="00F8240E">
        <w:rPr>
          <w:rFonts w:ascii="Times New Roman" w:hAnsi="Times New Roman" w:cs="Times New Roman"/>
          <w:sz w:val="24"/>
          <w:szCs w:val="24"/>
        </w:rPr>
        <w:t xml:space="preserve">utalized </w:t>
      </w:r>
      <w:r w:rsidR="00354D27" w:rsidRPr="00F8240E">
        <w:rPr>
          <w:rFonts w:ascii="Times New Roman" w:hAnsi="Times New Roman" w:cs="Times New Roman"/>
          <w:sz w:val="24"/>
          <w:szCs w:val="24"/>
        </w:rPr>
        <w:t>based on</w:t>
      </w:r>
      <w:r w:rsidR="00467712" w:rsidRPr="00F8240E">
        <w:rPr>
          <w:rFonts w:ascii="Times New Roman" w:hAnsi="Times New Roman" w:cs="Times New Roman"/>
          <w:sz w:val="24"/>
          <w:szCs w:val="24"/>
        </w:rPr>
        <w:t xml:space="preserve"> the significant retrenchment which preceded it. </w:t>
      </w:r>
      <w:bookmarkEnd w:id="12"/>
      <w:r w:rsidR="003B11E7" w:rsidRPr="00F8240E">
        <w:rPr>
          <w:rFonts w:ascii="Times New Roman" w:hAnsi="Times New Roman" w:cs="Times New Roman"/>
          <w:sz w:val="24"/>
          <w:szCs w:val="24"/>
        </w:rPr>
        <w:t>Attention should focus on t</w:t>
      </w:r>
      <w:r w:rsidR="00486947" w:rsidRPr="00F8240E">
        <w:rPr>
          <w:rFonts w:ascii="Times New Roman" w:hAnsi="Times New Roman" w:cs="Times New Roman"/>
          <w:sz w:val="24"/>
          <w:szCs w:val="24"/>
        </w:rPr>
        <w:t>he impact of this retrenchment on middle-income citizens</w:t>
      </w:r>
      <w:r w:rsidR="003B11E7" w:rsidRPr="00F8240E">
        <w:rPr>
          <w:rFonts w:ascii="Times New Roman" w:hAnsi="Times New Roman" w:cs="Times New Roman"/>
          <w:sz w:val="24"/>
          <w:szCs w:val="24"/>
        </w:rPr>
        <w:t>. W</w:t>
      </w:r>
      <w:r w:rsidR="00486947" w:rsidRPr="00F8240E">
        <w:rPr>
          <w:rFonts w:ascii="Times New Roman" w:hAnsi="Times New Roman" w:cs="Times New Roman"/>
          <w:sz w:val="24"/>
          <w:szCs w:val="24"/>
        </w:rPr>
        <w:t>hen combined with significant retrenchment</w:t>
      </w:r>
      <w:r w:rsidR="00354D27" w:rsidRPr="00F8240E">
        <w:rPr>
          <w:rFonts w:ascii="Times New Roman" w:hAnsi="Times New Roman" w:cs="Times New Roman"/>
          <w:sz w:val="24"/>
          <w:szCs w:val="24"/>
        </w:rPr>
        <w:t>s</w:t>
      </w:r>
      <w:r w:rsidR="00486947" w:rsidRPr="00F8240E">
        <w:rPr>
          <w:rFonts w:ascii="Times New Roman" w:hAnsi="Times New Roman" w:cs="Times New Roman"/>
          <w:sz w:val="24"/>
          <w:szCs w:val="24"/>
        </w:rPr>
        <w:t xml:space="preserve"> of non-state provision </w:t>
      </w:r>
      <w:r w:rsidR="00444DA4" w:rsidRPr="00F8240E">
        <w:rPr>
          <w:rFonts w:ascii="Times New Roman" w:hAnsi="Times New Roman" w:cs="Times New Roman"/>
          <w:sz w:val="24"/>
          <w:szCs w:val="24"/>
        </w:rPr>
        <w:t>in most settings from the late 1990s (eg Bridgen and Meyer, 2005),</w:t>
      </w:r>
      <w:r w:rsidR="003B11E7" w:rsidRPr="00F8240E">
        <w:rPr>
          <w:rFonts w:ascii="Times New Roman" w:hAnsi="Times New Roman" w:cs="Times New Roman"/>
          <w:sz w:val="24"/>
          <w:szCs w:val="24"/>
        </w:rPr>
        <w:t xml:space="preserve"> this</w:t>
      </w:r>
      <w:r w:rsidR="00444DA4" w:rsidRPr="00F8240E">
        <w:rPr>
          <w:rFonts w:ascii="Times New Roman" w:hAnsi="Times New Roman" w:cs="Times New Roman"/>
          <w:sz w:val="24"/>
          <w:szCs w:val="24"/>
        </w:rPr>
        <w:t xml:space="preserve"> seems likely to have extended by the early 2000s the ‘risk category’ (Baldwin, 1990) supportive of a redistributive state.</w:t>
      </w:r>
      <w:r w:rsidR="003B11E7" w:rsidRPr="00F8240E">
        <w:rPr>
          <w:rFonts w:ascii="Times New Roman" w:hAnsi="Times New Roman" w:cs="Times New Roman"/>
          <w:sz w:val="24"/>
          <w:szCs w:val="24"/>
        </w:rPr>
        <w:t xml:space="preserve"> Recent reforms increasing the state’s role seem at least in part a response to this development.</w:t>
      </w:r>
    </w:p>
    <w:p w14:paraId="17FAA530" w14:textId="54EB8A21" w:rsidR="003A6D54" w:rsidRPr="00F8240E" w:rsidRDefault="007D0598"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 paper </w:t>
      </w:r>
      <w:r w:rsidR="003A6D54" w:rsidRPr="00F8240E">
        <w:rPr>
          <w:rFonts w:ascii="Times New Roman" w:hAnsi="Times New Roman" w:cs="Times New Roman"/>
          <w:sz w:val="24"/>
          <w:szCs w:val="24"/>
        </w:rPr>
        <w:t>is organ</w:t>
      </w:r>
      <w:r w:rsidR="00770B82" w:rsidRPr="00F8240E">
        <w:rPr>
          <w:rFonts w:ascii="Times New Roman" w:hAnsi="Times New Roman" w:cs="Times New Roman"/>
          <w:sz w:val="24"/>
          <w:szCs w:val="24"/>
        </w:rPr>
        <w:t>ize</w:t>
      </w:r>
      <w:r w:rsidR="003A6D54" w:rsidRPr="00F8240E">
        <w:rPr>
          <w:rFonts w:ascii="Times New Roman" w:hAnsi="Times New Roman" w:cs="Times New Roman"/>
          <w:sz w:val="24"/>
          <w:szCs w:val="24"/>
        </w:rPr>
        <w:t>d in the following way</w:t>
      </w:r>
      <w:r w:rsidR="00E5419D" w:rsidRPr="00F8240E">
        <w:rPr>
          <w:rFonts w:ascii="Times New Roman" w:hAnsi="Times New Roman" w:cs="Times New Roman"/>
          <w:sz w:val="24"/>
          <w:szCs w:val="24"/>
        </w:rPr>
        <w:t xml:space="preserve">. In the next section, </w:t>
      </w:r>
      <w:r w:rsidR="00D66119" w:rsidRPr="00F8240E">
        <w:rPr>
          <w:rFonts w:ascii="Times New Roman" w:hAnsi="Times New Roman" w:cs="Times New Roman"/>
          <w:sz w:val="24"/>
          <w:szCs w:val="24"/>
        </w:rPr>
        <w:t xml:space="preserve">the features and principles </w:t>
      </w:r>
      <w:r w:rsidR="00632A39" w:rsidRPr="00F8240E">
        <w:rPr>
          <w:rFonts w:ascii="Times New Roman" w:hAnsi="Times New Roman" w:cs="Times New Roman"/>
          <w:sz w:val="24"/>
          <w:szCs w:val="24"/>
        </w:rPr>
        <w:t xml:space="preserve">are outlined </w:t>
      </w:r>
      <w:r w:rsidR="00D66119" w:rsidRPr="00F8240E">
        <w:rPr>
          <w:rFonts w:ascii="Times New Roman" w:hAnsi="Times New Roman" w:cs="Times New Roman"/>
          <w:sz w:val="24"/>
          <w:szCs w:val="24"/>
        </w:rPr>
        <w:t xml:space="preserve">which identify welfare systems as liberal. </w:t>
      </w:r>
      <w:r w:rsidR="00632A39" w:rsidRPr="00F8240E">
        <w:rPr>
          <w:rFonts w:ascii="Times New Roman" w:hAnsi="Times New Roman" w:cs="Times New Roman"/>
          <w:sz w:val="24"/>
          <w:szCs w:val="24"/>
        </w:rPr>
        <w:t>T</w:t>
      </w:r>
      <w:r w:rsidR="00D66119" w:rsidRPr="00F8240E">
        <w:rPr>
          <w:rFonts w:ascii="Times New Roman" w:hAnsi="Times New Roman" w:cs="Times New Roman"/>
          <w:sz w:val="24"/>
          <w:szCs w:val="24"/>
        </w:rPr>
        <w:t>he challenges involved in analysing changes to these systems</w:t>
      </w:r>
      <w:r w:rsidR="00632A39" w:rsidRPr="00F8240E">
        <w:rPr>
          <w:rFonts w:ascii="Times New Roman" w:hAnsi="Times New Roman" w:cs="Times New Roman"/>
          <w:sz w:val="24"/>
          <w:szCs w:val="24"/>
        </w:rPr>
        <w:t xml:space="preserve"> are then examined</w:t>
      </w:r>
      <w:r w:rsidR="00D66119" w:rsidRPr="00F8240E">
        <w:rPr>
          <w:rFonts w:ascii="Times New Roman" w:hAnsi="Times New Roman" w:cs="Times New Roman"/>
          <w:sz w:val="24"/>
          <w:szCs w:val="24"/>
        </w:rPr>
        <w:t xml:space="preserve"> and </w:t>
      </w:r>
      <w:r w:rsidR="00632A39" w:rsidRPr="00F8240E">
        <w:rPr>
          <w:rFonts w:ascii="Times New Roman" w:hAnsi="Times New Roman" w:cs="Times New Roman"/>
          <w:sz w:val="24"/>
          <w:szCs w:val="24"/>
        </w:rPr>
        <w:t xml:space="preserve">it is </w:t>
      </w:r>
      <w:r w:rsidR="00D66119" w:rsidRPr="00F8240E">
        <w:rPr>
          <w:rFonts w:ascii="Times New Roman" w:hAnsi="Times New Roman" w:cs="Times New Roman"/>
          <w:sz w:val="24"/>
          <w:szCs w:val="24"/>
        </w:rPr>
        <w:t>explain</w:t>
      </w:r>
      <w:r w:rsidR="00632A39" w:rsidRPr="00F8240E">
        <w:rPr>
          <w:rFonts w:ascii="Times New Roman" w:hAnsi="Times New Roman" w:cs="Times New Roman"/>
          <w:sz w:val="24"/>
          <w:szCs w:val="24"/>
        </w:rPr>
        <w:t>ed</w:t>
      </w:r>
      <w:r w:rsidR="00D66119" w:rsidRPr="00F8240E">
        <w:rPr>
          <w:rFonts w:ascii="Times New Roman" w:hAnsi="Times New Roman" w:cs="Times New Roman"/>
          <w:sz w:val="24"/>
          <w:szCs w:val="24"/>
        </w:rPr>
        <w:t xml:space="preserve"> how th</w:t>
      </w:r>
      <w:r w:rsidR="009D0A5F" w:rsidRPr="00F8240E">
        <w:rPr>
          <w:rFonts w:ascii="Times New Roman" w:hAnsi="Times New Roman" w:cs="Times New Roman"/>
          <w:sz w:val="24"/>
          <w:szCs w:val="24"/>
        </w:rPr>
        <w:t>is</w:t>
      </w:r>
      <w:r w:rsidR="00D66119" w:rsidRPr="00F8240E">
        <w:rPr>
          <w:rFonts w:ascii="Times New Roman" w:hAnsi="Times New Roman" w:cs="Times New Roman"/>
          <w:sz w:val="24"/>
          <w:szCs w:val="24"/>
        </w:rPr>
        <w:t xml:space="preserve"> study sought to overcome them. </w:t>
      </w:r>
      <w:r w:rsidR="00632A39" w:rsidRPr="00F8240E">
        <w:rPr>
          <w:rFonts w:ascii="Times New Roman" w:hAnsi="Times New Roman" w:cs="Times New Roman"/>
          <w:sz w:val="24"/>
          <w:szCs w:val="24"/>
        </w:rPr>
        <w:t>The</w:t>
      </w:r>
      <w:r w:rsidR="00D66119" w:rsidRPr="00F8240E">
        <w:rPr>
          <w:rFonts w:ascii="Times New Roman" w:hAnsi="Times New Roman" w:cs="Times New Roman"/>
          <w:sz w:val="24"/>
          <w:szCs w:val="24"/>
        </w:rPr>
        <w:t xml:space="preserve"> results </w:t>
      </w:r>
      <w:r w:rsidR="00632A39" w:rsidRPr="00F8240E">
        <w:rPr>
          <w:rFonts w:ascii="Times New Roman" w:hAnsi="Times New Roman" w:cs="Times New Roman"/>
          <w:sz w:val="24"/>
          <w:szCs w:val="24"/>
        </w:rPr>
        <w:t>are then reported before their theoretical significance is discussed in the final section.</w:t>
      </w:r>
    </w:p>
    <w:p w14:paraId="6CFEC014" w14:textId="6B1EF59E" w:rsidR="003A6D54" w:rsidRPr="00F8240E" w:rsidRDefault="003A6D54" w:rsidP="004943B5">
      <w:pPr>
        <w:spacing w:line="480" w:lineRule="auto"/>
        <w:jc w:val="both"/>
        <w:rPr>
          <w:rFonts w:ascii="Times New Roman" w:hAnsi="Times New Roman" w:cs="Times New Roman"/>
          <w:sz w:val="24"/>
          <w:szCs w:val="24"/>
        </w:rPr>
      </w:pPr>
    </w:p>
    <w:p w14:paraId="1DC1A23D" w14:textId="77777777" w:rsidR="009D0A5F" w:rsidRPr="00F8240E" w:rsidRDefault="009D0A5F" w:rsidP="004943B5">
      <w:pPr>
        <w:spacing w:line="480" w:lineRule="auto"/>
        <w:jc w:val="both"/>
        <w:rPr>
          <w:rFonts w:ascii="Times New Roman" w:hAnsi="Times New Roman" w:cs="Times New Roman"/>
          <w:sz w:val="24"/>
          <w:szCs w:val="24"/>
        </w:rPr>
      </w:pPr>
    </w:p>
    <w:p w14:paraId="63844CDB" w14:textId="081C8D63" w:rsidR="00335CEA" w:rsidRPr="00F8240E" w:rsidRDefault="009D0A5F"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2. THE LIBERAL PENSION WORLD</w:t>
      </w:r>
    </w:p>
    <w:p w14:paraId="267571B6" w14:textId="7F373436"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In terms of underpinning principles, liberal welfare states are said to involve limited </w:t>
      </w:r>
      <w:r w:rsidR="007A352F" w:rsidRPr="00F8240E">
        <w:rPr>
          <w:rFonts w:ascii="Times New Roman" w:hAnsi="Times New Roman" w:cs="Times New Roman"/>
          <w:sz w:val="24"/>
          <w:szCs w:val="24"/>
        </w:rPr>
        <w:t xml:space="preserve">public provision </w:t>
      </w:r>
      <w:r w:rsidRPr="00F8240E">
        <w:rPr>
          <w:rFonts w:ascii="Times New Roman" w:hAnsi="Times New Roman" w:cs="Times New Roman"/>
          <w:sz w:val="24"/>
          <w:szCs w:val="24"/>
        </w:rPr>
        <w:t>with emphasis placed on individual</w:t>
      </w:r>
      <w:r w:rsidR="00005A75" w:rsidRPr="00F8240E">
        <w:rPr>
          <w:rFonts w:ascii="Times New Roman" w:hAnsi="Times New Roman" w:cs="Times New Roman"/>
          <w:sz w:val="24"/>
          <w:szCs w:val="24"/>
        </w:rPr>
        <w:t>s</w:t>
      </w:r>
      <w:r w:rsidRPr="00F8240E">
        <w:rPr>
          <w:rFonts w:ascii="Times New Roman" w:hAnsi="Times New Roman" w:cs="Times New Roman"/>
          <w:sz w:val="24"/>
          <w:szCs w:val="24"/>
        </w:rPr>
        <w:t xml:space="preserve"> to secure market-based social protection (Esping-Andersen</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1990). The delivery of provision </w:t>
      </w:r>
      <w:r w:rsidR="00005A75" w:rsidRPr="00F8240E">
        <w:rPr>
          <w:rFonts w:ascii="Times New Roman" w:hAnsi="Times New Roman" w:cs="Times New Roman"/>
          <w:sz w:val="24"/>
          <w:szCs w:val="24"/>
        </w:rPr>
        <w:t>accordingly</w:t>
      </w:r>
      <w:r w:rsidRPr="00F8240E">
        <w:rPr>
          <w:rFonts w:ascii="Times New Roman" w:hAnsi="Times New Roman" w:cs="Times New Roman"/>
          <w:sz w:val="24"/>
          <w:szCs w:val="24"/>
        </w:rPr>
        <w:t xml:space="preserve"> involves </w:t>
      </w:r>
      <w:r w:rsidR="00005A75" w:rsidRPr="00F8240E">
        <w:rPr>
          <w:rFonts w:ascii="Times New Roman" w:hAnsi="Times New Roman" w:cs="Times New Roman"/>
          <w:sz w:val="24"/>
          <w:szCs w:val="24"/>
        </w:rPr>
        <w:t xml:space="preserve">specific </w:t>
      </w:r>
      <w:r w:rsidRPr="00F8240E">
        <w:rPr>
          <w:rFonts w:ascii="Times New Roman" w:hAnsi="Times New Roman" w:cs="Times New Roman"/>
          <w:sz w:val="24"/>
          <w:szCs w:val="24"/>
        </w:rPr>
        <w:t>mechanisms which, following Bonoli and Palier (1998)</w:t>
      </w:r>
      <w:r w:rsidR="00005A75" w:rsidRPr="00F8240E">
        <w:rPr>
          <w:rFonts w:ascii="Times New Roman" w:hAnsi="Times New Roman" w:cs="Times New Roman"/>
          <w:sz w:val="24"/>
          <w:szCs w:val="24"/>
        </w:rPr>
        <w:t>,</w:t>
      </w:r>
      <w:r w:rsidRPr="00F8240E">
        <w:rPr>
          <w:rFonts w:ascii="Times New Roman" w:hAnsi="Times New Roman" w:cs="Times New Roman"/>
          <w:sz w:val="24"/>
          <w:szCs w:val="24"/>
        </w:rPr>
        <w:t xml:space="preserve"> can be differentiated as liberal based on four main parameters: the rules and criteria governing eligibility; the form taken by benefits; the financial mechanism; the organisation and management of the scheme.</w:t>
      </w:r>
    </w:p>
    <w:p w14:paraId="02981FFF" w14:textId="53A42416"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Thus, a liberal system</w:t>
      </w:r>
      <w:r w:rsidR="00005A75" w:rsidRPr="00F8240E">
        <w:rPr>
          <w:rFonts w:ascii="Times New Roman" w:hAnsi="Times New Roman" w:cs="Times New Roman"/>
          <w:sz w:val="24"/>
          <w:szCs w:val="24"/>
        </w:rPr>
        <w:t xml:space="preserve"> involves</w:t>
      </w:r>
      <w:r w:rsidRPr="00F8240E">
        <w:rPr>
          <w:rFonts w:ascii="Times New Roman" w:hAnsi="Times New Roman" w:cs="Times New Roman"/>
          <w:sz w:val="24"/>
          <w:szCs w:val="24"/>
        </w:rPr>
        <w:t xml:space="preserve">: </w:t>
      </w:r>
    </w:p>
    <w:p w14:paraId="21103B0D" w14:textId="72B29BF6"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1/ </w:t>
      </w:r>
      <w:r w:rsidR="00005A75" w:rsidRPr="00F8240E">
        <w:rPr>
          <w:rFonts w:ascii="Times New Roman" w:hAnsi="Times New Roman" w:cs="Times New Roman"/>
          <w:sz w:val="24"/>
          <w:szCs w:val="24"/>
        </w:rPr>
        <w:t xml:space="preserve">widespread </w:t>
      </w:r>
      <w:r w:rsidRPr="00F8240E">
        <w:rPr>
          <w:rFonts w:ascii="Times New Roman" w:hAnsi="Times New Roman" w:cs="Times New Roman"/>
          <w:sz w:val="24"/>
          <w:szCs w:val="24"/>
        </w:rPr>
        <w:t>means-test</w:t>
      </w:r>
      <w:r w:rsidR="00005A75" w:rsidRPr="00F8240E">
        <w:rPr>
          <w:rFonts w:ascii="Times New Roman" w:hAnsi="Times New Roman" w:cs="Times New Roman"/>
          <w:sz w:val="24"/>
          <w:szCs w:val="24"/>
        </w:rPr>
        <w:t xml:space="preserve">ing of public </w:t>
      </w:r>
      <w:r w:rsidRPr="00F8240E">
        <w:rPr>
          <w:rFonts w:ascii="Times New Roman" w:hAnsi="Times New Roman" w:cs="Times New Roman"/>
          <w:sz w:val="24"/>
          <w:szCs w:val="24"/>
        </w:rPr>
        <w:t>provision with market determi</w:t>
      </w:r>
      <w:r w:rsidR="00005A75" w:rsidRPr="00F8240E">
        <w:rPr>
          <w:rFonts w:ascii="Times New Roman" w:hAnsi="Times New Roman" w:cs="Times New Roman"/>
          <w:sz w:val="24"/>
          <w:szCs w:val="24"/>
        </w:rPr>
        <w:t>nation of</w:t>
      </w:r>
      <w:r w:rsidRPr="00F8240E">
        <w:rPr>
          <w:rFonts w:ascii="Times New Roman" w:hAnsi="Times New Roman" w:cs="Times New Roman"/>
          <w:sz w:val="24"/>
          <w:szCs w:val="24"/>
        </w:rPr>
        <w:t xml:space="preserve"> access and eligibility above the state minimum</w:t>
      </w:r>
      <w:r w:rsidR="00005A75" w:rsidRPr="00F8240E">
        <w:rPr>
          <w:rFonts w:ascii="Times New Roman" w:hAnsi="Times New Roman" w:cs="Times New Roman"/>
          <w:sz w:val="24"/>
          <w:szCs w:val="24"/>
        </w:rPr>
        <w:t>;</w:t>
      </w:r>
    </w:p>
    <w:p w14:paraId="06B62B29" w14:textId="4E21687E"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2/ </w:t>
      </w:r>
      <w:r w:rsidR="00005A75" w:rsidRPr="00F8240E">
        <w:rPr>
          <w:rFonts w:ascii="Times New Roman" w:hAnsi="Times New Roman" w:cs="Times New Roman"/>
          <w:sz w:val="24"/>
          <w:szCs w:val="24"/>
        </w:rPr>
        <w:t>F</w:t>
      </w:r>
      <w:r w:rsidRPr="00F8240E">
        <w:rPr>
          <w:rFonts w:ascii="Times New Roman" w:hAnsi="Times New Roman" w:cs="Times New Roman"/>
          <w:sz w:val="24"/>
          <w:szCs w:val="24"/>
        </w:rPr>
        <w:t xml:space="preserve">lat rate </w:t>
      </w:r>
      <w:r w:rsidR="00005A75" w:rsidRPr="00F8240E">
        <w:rPr>
          <w:rFonts w:ascii="Times New Roman" w:hAnsi="Times New Roman" w:cs="Times New Roman"/>
          <w:sz w:val="24"/>
          <w:szCs w:val="24"/>
        </w:rPr>
        <w:t xml:space="preserve">public provision </w:t>
      </w:r>
      <w:r w:rsidRPr="00F8240E">
        <w:rPr>
          <w:rFonts w:ascii="Times New Roman" w:hAnsi="Times New Roman" w:cs="Times New Roman"/>
          <w:sz w:val="24"/>
          <w:szCs w:val="24"/>
        </w:rPr>
        <w:t>mainly designed to prevent poverty</w:t>
      </w:r>
      <w:r w:rsidR="00005A75" w:rsidRPr="00F8240E">
        <w:rPr>
          <w:rFonts w:ascii="Times New Roman" w:hAnsi="Times New Roman" w:cs="Times New Roman"/>
          <w:sz w:val="24"/>
          <w:szCs w:val="24"/>
        </w:rPr>
        <w:t>;</w:t>
      </w:r>
    </w:p>
    <w:p w14:paraId="15A26850" w14:textId="508FFFB4"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3/</w:t>
      </w:r>
      <w:r w:rsidR="00005A75" w:rsidRPr="00F8240E">
        <w:rPr>
          <w:rFonts w:ascii="Times New Roman" w:hAnsi="Times New Roman" w:cs="Times New Roman"/>
          <w:sz w:val="24"/>
          <w:szCs w:val="24"/>
        </w:rPr>
        <w:t xml:space="preserve"> Financing dominated by g</w:t>
      </w:r>
      <w:r w:rsidRPr="00F8240E">
        <w:rPr>
          <w:rFonts w:ascii="Times New Roman" w:hAnsi="Times New Roman" w:cs="Times New Roman"/>
          <w:sz w:val="24"/>
          <w:szCs w:val="24"/>
        </w:rPr>
        <w:t>eneral taxation</w:t>
      </w:r>
      <w:r w:rsidR="00005A75" w:rsidRPr="00F8240E">
        <w:rPr>
          <w:rFonts w:ascii="Times New Roman" w:hAnsi="Times New Roman" w:cs="Times New Roman"/>
          <w:sz w:val="24"/>
          <w:szCs w:val="24"/>
        </w:rPr>
        <w:t>;</w:t>
      </w:r>
    </w:p>
    <w:p w14:paraId="1288832E" w14:textId="11A0EE40" w:rsidR="003A6D54" w:rsidRPr="00F8240E" w:rsidRDefault="003A6D5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4/</w:t>
      </w:r>
      <w:r w:rsidR="00005A75" w:rsidRPr="00F8240E">
        <w:rPr>
          <w:rFonts w:ascii="Times New Roman" w:hAnsi="Times New Roman" w:cs="Times New Roman"/>
          <w:sz w:val="24"/>
          <w:szCs w:val="24"/>
        </w:rPr>
        <w:t xml:space="preserve"> Little if any role for </w:t>
      </w:r>
      <w:r w:rsidRPr="00F8240E">
        <w:rPr>
          <w:rFonts w:ascii="Times New Roman" w:hAnsi="Times New Roman" w:cs="Times New Roman"/>
          <w:sz w:val="24"/>
          <w:szCs w:val="24"/>
        </w:rPr>
        <w:t xml:space="preserve">social partners in the governance of </w:t>
      </w:r>
      <w:r w:rsidR="00005A75" w:rsidRPr="00F8240E">
        <w:rPr>
          <w:rFonts w:ascii="Times New Roman" w:hAnsi="Times New Roman" w:cs="Times New Roman"/>
          <w:sz w:val="24"/>
          <w:szCs w:val="24"/>
        </w:rPr>
        <w:t>public</w:t>
      </w:r>
      <w:r w:rsidRPr="00F8240E">
        <w:rPr>
          <w:rFonts w:ascii="Times New Roman" w:hAnsi="Times New Roman" w:cs="Times New Roman"/>
          <w:sz w:val="24"/>
          <w:szCs w:val="24"/>
        </w:rPr>
        <w:t xml:space="preserve"> provision (Esping-Andersen</w:t>
      </w:r>
      <w:r w:rsidR="00701E13" w:rsidRPr="00F8240E">
        <w:rPr>
          <w:rFonts w:ascii="Times New Roman" w:hAnsi="Times New Roman" w:cs="Times New Roman"/>
          <w:sz w:val="24"/>
          <w:szCs w:val="24"/>
        </w:rPr>
        <w:t>,</w:t>
      </w:r>
      <w:r w:rsidRPr="00F8240E">
        <w:rPr>
          <w:rFonts w:ascii="Times New Roman" w:hAnsi="Times New Roman" w:cs="Times New Roman"/>
          <w:sz w:val="24"/>
          <w:szCs w:val="24"/>
        </w:rPr>
        <w:t xml:space="preserve"> 1990).</w:t>
      </w:r>
    </w:p>
    <w:p w14:paraId="57BCEF83" w14:textId="7E4FB061" w:rsidR="00B76FEA" w:rsidRPr="00F8240E" w:rsidRDefault="003A6D54" w:rsidP="00B76FEA">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The liberal regime - like the other two - is an ideal type which encompasses in distilled form the essential features of its kind. No individual countries are expected precisely to conform to their regime features either in their institutional design or poli</w:t>
      </w:r>
      <w:r w:rsidR="00005A75" w:rsidRPr="00F8240E">
        <w:rPr>
          <w:rFonts w:ascii="Times New Roman" w:hAnsi="Times New Roman" w:cs="Times New Roman"/>
          <w:sz w:val="24"/>
          <w:szCs w:val="24"/>
        </w:rPr>
        <w:t>cy</w:t>
      </w:r>
      <w:r w:rsidRPr="00F8240E">
        <w:rPr>
          <w:rFonts w:ascii="Times New Roman" w:hAnsi="Times New Roman" w:cs="Times New Roman"/>
          <w:sz w:val="24"/>
          <w:szCs w:val="24"/>
        </w:rPr>
        <w:t xml:space="preserve"> dynamics.</w:t>
      </w:r>
      <w:r w:rsidR="0018079B" w:rsidRPr="00F8240E">
        <w:rPr>
          <w:rFonts w:ascii="Times New Roman" w:hAnsi="Times New Roman" w:cs="Times New Roman"/>
          <w:sz w:val="24"/>
          <w:szCs w:val="24"/>
        </w:rPr>
        <w:t xml:space="preserve"> However, i</w:t>
      </w:r>
      <w:r w:rsidR="00005A75" w:rsidRPr="00F8240E">
        <w:rPr>
          <w:rFonts w:ascii="Times New Roman" w:hAnsi="Times New Roman" w:cs="Times New Roman"/>
          <w:sz w:val="24"/>
          <w:szCs w:val="24"/>
        </w:rPr>
        <w:t>t</w:t>
      </w:r>
      <w:r w:rsidRPr="00F8240E">
        <w:rPr>
          <w:rFonts w:ascii="Times New Roman" w:hAnsi="Times New Roman" w:cs="Times New Roman"/>
          <w:sz w:val="24"/>
          <w:szCs w:val="24"/>
        </w:rPr>
        <w:t xml:space="preserve"> is expected </w:t>
      </w:r>
      <w:r w:rsidR="00335CEA" w:rsidRPr="00F8240E">
        <w:rPr>
          <w:rFonts w:ascii="Times New Roman" w:hAnsi="Times New Roman" w:cs="Times New Roman"/>
          <w:sz w:val="24"/>
          <w:szCs w:val="24"/>
        </w:rPr>
        <w:t>that systems further away from the ideal type will develop less consistently with the</w:t>
      </w:r>
      <w:r w:rsidR="009D0A5F" w:rsidRPr="00F8240E">
        <w:rPr>
          <w:rFonts w:ascii="Times New Roman" w:hAnsi="Times New Roman" w:cs="Times New Roman"/>
          <w:sz w:val="24"/>
          <w:szCs w:val="24"/>
        </w:rPr>
        <w:t>oretical</w:t>
      </w:r>
      <w:r w:rsidR="00335CEA" w:rsidRPr="00F8240E">
        <w:rPr>
          <w:rFonts w:ascii="Times New Roman" w:hAnsi="Times New Roman" w:cs="Times New Roman"/>
          <w:sz w:val="24"/>
          <w:szCs w:val="24"/>
        </w:rPr>
        <w:t xml:space="preserve"> expectations (eg Lain et al</w:t>
      </w:r>
      <w:r w:rsidR="00770B82"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20</w:t>
      </w:r>
      <w:r w:rsidR="00065064" w:rsidRPr="00F8240E">
        <w:rPr>
          <w:rFonts w:ascii="Times New Roman" w:hAnsi="Times New Roman" w:cs="Times New Roman"/>
          <w:sz w:val="24"/>
          <w:szCs w:val="24"/>
        </w:rPr>
        <w:t>1</w:t>
      </w:r>
      <w:r w:rsidR="00335CEA" w:rsidRPr="00F8240E">
        <w:rPr>
          <w:rFonts w:ascii="Times New Roman" w:hAnsi="Times New Roman" w:cs="Times New Roman"/>
          <w:sz w:val="24"/>
          <w:szCs w:val="24"/>
        </w:rPr>
        <w:t xml:space="preserve">3). </w:t>
      </w:r>
    </w:p>
    <w:p w14:paraId="3EC7AD0C" w14:textId="7D0A849B" w:rsidR="00335CEA" w:rsidRPr="00F8240E" w:rsidRDefault="009A3183"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Membership of the liberal welfare state group has been debated </w:t>
      </w:r>
      <w:r w:rsidR="007A0919" w:rsidRPr="00F8240E">
        <w:rPr>
          <w:rFonts w:ascii="Times New Roman" w:hAnsi="Times New Roman" w:cs="Times New Roman"/>
          <w:sz w:val="24"/>
          <w:szCs w:val="24"/>
        </w:rPr>
        <w:t xml:space="preserve">(see below) </w:t>
      </w:r>
      <w:r w:rsidRPr="00F8240E">
        <w:rPr>
          <w:rFonts w:ascii="Times New Roman" w:hAnsi="Times New Roman" w:cs="Times New Roman"/>
          <w:sz w:val="24"/>
          <w:szCs w:val="24"/>
        </w:rPr>
        <w:t xml:space="preserve">but the six Anglo-Saxon countries - Australia, Canada, Ireland, New Zealand, United Kingdom and United States - have generally been classified as </w:t>
      </w:r>
      <w:r w:rsidR="00070817" w:rsidRPr="00F8240E">
        <w:rPr>
          <w:rFonts w:ascii="Times New Roman" w:hAnsi="Times New Roman" w:cs="Times New Roman"/>
          <w:sz w:val="24"/>
          <w:szCs w:val="24"/>
        </w:rPr>
        <w:t>members</w:t>
      </w:r>
      <w:r w:rsidRPr="00F8240E">
        <w:rPr>
          <w:rFonts w:ascii="Times New Roman" w:hAnsi="Times New Roman" w:cs="Times New Roman"/>
          <w:sz w:val="24"/>
          <w:szCs w:val="24"/>
        </w:rPr>
        <w:t>. Their public pension systems certainly ha</w:t>
      </w:r>
      <w:r w:rsidR="00065064" w:rsidRPr="00F8240E">
        <w:rPr>
          <w:rFonts w:ascii="Times New Roman" w:hAnsi="Times New Roman" w:cs="Times New Roman"/>
          <w:sz w:val="24"/>
          <w:szCs w:val="24"/>
        </w:rPr>
        <w:t>d</w:t>
      </w:r>
      <w:r w:rsidRPr="00F8240E">
        <w:rPr>
          <w:rFonts w:ascii="Times New Roman" w:hAnsi="Times New Roman" w:cs="Times New Roman"/>
          <w:sz w:val="24"/>
          <w:szCs w:val="24"/>
        </w:rPr>
        <w:t xml:space="preserve"> many liberal features </w:t>
      </w:r>
      <w:r w:rsidR="008B18B5" w:rsidRPr="00F8240E">
        <w:rPr>
          <w:rFonts w:ascii="Times New Roman" w:hAnsi="Times New Roman" w:cs="Times New Roman"/>
          <w:sz w:val="24"/>
          <w:szCs w:val="24"/>
        </w:rPr>
        <w:t>in 1980</w:t>
      </w:r>
      <w:r w:rsidR="00632A39" w:rsidRPr="00F8240E">
        <w:rPr>
          <w:rFonts w:ascii="Times New Roman" w:hAnsi="Times New Roman" w:cs="Times New Roman"/>
          <w:sz w:val="24"/>
          <w:szCs w:val="24"/>
        </w:rPr>
        <w:t>, the starting point for this study</w:t>
      </w:r>
      <w:r w:rsidRPr="00F8240E">
        <w:rPr>
          <w:rFonts w:ascii="Times New Roman" w:hAnsi="Times New Roman" w:cs="Times New Roman"/>
          <w:sz w:val="24"/>
          <w:szCs w:val="24"/>
        </w:rPr>
        <w:t>.</w:t>
      </w:r>
      <w:r w:rsidR="005C0B4F" w:rsidRPr="00F8240E">
        <w:rPr>
          <w:rStyle w:val="EndnoteReference"/>
          <w:rFonts w:ascii="Times New Roman" w:hAnsi="Times New Roman" w:cs="Times New Roman"/>
          <w:sz w:val="24"/>
          <w:szCs w:val="24"/>
        </w:rPr>
        <w:endnoteReference w:id="1"/>
      </w:r>
      <w:r w:rsidRPr="00F8240E">
        <w:rPr>
          <w:rFonts w:ascii="Times New Roman" w:hAnsi="Times New Roman" w:cs="Times New Roman"/>
          <w:sz w:val="24"/>
          <w:szCs w:val="24"/>
        </w:rPr>
        <w:t xml:space="preserve"> </w:t>
      </w:r>
      <w:r w:rsidR="00335CEA" w:rsidRPr="00F8240E">
        <w:rPr>
          <w:rFonts w:ascii="Times New Roman" w:hAnsi="Times New Roman" w:cs="Times New Roman"/>
          <w:sz w:val="24"/>
          <w:szCs w:val="24"/>
        </w:rPr>
        <w:t>As can be seen</w:t>
      </w:r>
      <w:r w:rsidR="008B18B5" w:rsidRPr="00F8240E">
        <w:rPr>
          <w:rFonts w:ascii="Times New Roman" w:hAnsi="Times New Roman" w:cs="Times New Roman"/>
          <w:sz w:val="24"/>
          <w:szCs w:val="24"/>
        </w:rPr>
        <w:t xml:space="preserve"> in table </w:t>
      </w:r>
      <w:r w:rsidR="00C723C6" w:rsidRPr="00F8240E">
        <w:rPr>
          <w:rFonts w:ascii="Times New Roman" w:hAnsi="Times New Roman" w:cs="Times New Roman"/>
          <w:sz w:val="24"/>
          <w:szCs w:val="24"/>
        </w:rPr>
        <w:t>one</w:t>
      </w:r>
      <w:r w:rsidR="00335CEA" w:rsidRPr="00F8240E">
        <w:rPr>
          <w:rFonts w:ascii="Times New Roman" w:hAnsi="Times New Roman" w:cs="Times New Roman"/>
          <w:sz w:val="24"/>
          <w:szCs w:val="24"/>
        </w:rPr>
        <w:t xml:space="preserve">, the public systems of Australia and New Zealand were most consistent. Here public provision was limited to a flat rate, tax-financed pension, which </w:t>
      </w:r>
      <w:r w:rsidR="00EC383D" w:rsidRPr="00F8240E">
        <w:rPr>
          <w:rFonts w:ascii="Times New Roman" w:hAnsi="Times New Roman" w:cs="Times New Roman"/>
          <w:sz w:val="24"/>
          <w:szCs w:val="24"/>
        </w:rPr>
        <w:t xml:space="preserve">had up to the mid-1970s </w:t>
      </w:r>
      <w:r w:rsidR="00335CEA" w:rsidRPr="00F8240E">
        <w:rPr>
          <w:rFonts w:ascii="Times New Roman" w:hAnsi="Times New Roman" w:cs="Times New Roman"/>
          <w:sz w:val="24"/>
          <w:szCs w:val="24"/>
        </w:rPr>
        <w:t>entailed some degree of means-testing (</w:t>
      </w:r>
      <w:r w:rsidR="001A19BA" w:rsidRPr="00F8240E">
        <w:rPr>
          <w:rFonts w:ascii="Times New Roman" w:hAnsi="Times New Roman" w:cs="Times New Roman"/>
          <w:sz w:val="24"/>
          <w:szCs w:val="24"/>
        </w:rPr>
        <w:t>Starke, 2008</w:t>
      </w:r>
      <w:r w:rsidR="00335CEA" w:rsidRPr="00F8240E">
        <w:rPr>
          <w:rFonts w:ascii="Times New Roman" w:hAnsi="Times New Roman" w:cs="Times New Roman"/>
          <w:sz w:val="24"/>
          <w:szCs w:val="24"/>
        </w:rPr>
        <w:t xml:space="preserve">). </w:t>
      </w:r>
      <w:r w:rsidR="00B7476F" w:rsidRPr="00F8240E">
        <w:rPr>
          <w:rFonts w:ascii="Times New Roman" w:hAnsi="Times New Roman" w:cs="Times New Roman"/>
          <w:sz w:val="24"/>
          <w:szCs w:val="24"/>
        </w:rPr>
        <w:t>T</w:t>
      </w:r>
      <w:r w:rsidR="008B18B5" w:rsidRPr="00F8240E">
        <w:rPr>
          <w:rFonts w:ascii="Times New Roman" w:hAnsi="Times New Roman" w:cs="Times New Roman"/>
          <w:sz w:val="24"/>
          <w:szCs w:val="24"/>
        </w:rPr>
        <w:t xml:space="preserve">he generosity of </w:t>
      </w:r>
      <w:r w:rsidR="00335CEA" w:rsidRPr="00F8240E">
        <w:rPr>
          <w:rFonts w:ascii="Times New Roman" w:hAnsi="Times New Roman" w:cs="Times New Roman"/>
          <w:sz w:val="24"/>
          <w:szCs w:val="24"/>
        </w:rPr>
        <w:t xml:space="preserve">New Zealand’s flat-rate </w:t>
      </w:r>
      <w:r w:rsidR="00065064" w:rsidRPr="00F8240E">
        <w:rPr>
          <w:rFonts w:ascii="Times New Roman" w:hAnsi="Times New Roman" w:cs="Times New Roman"/>
          <w:sz w:val="24"/>
          <w:szCs w:val="24"/>
        </w:rPr>
        <w:t xml:space="preserve">National Superannuation </w:t>
      </w:r>
      <w:r w:rsidR="00335CEA" w:rsidRPr="00F8240E">
        <w:rPr>
          <w:rFonts w:ascii="Times New Roman" w:hAnsi="Times New Roman" w:cs="Times New Roman"/>
          <w:sz w:val="24"/>
          <w:szCs w:val="24"/>
        </w:rPr>
        <w:t>pension</w:t>
      </w:r>
      <w:r w:rsidR="00B7476F" w:rsidRPr="00F8240E">
        <w:rPr>
          <w:rFonts w:ascii="Times New Roman" w:hAnsi="Times New Roman" w:cs="Times New Roman"/>
          <w:sz w:val="24"/>
          <w:szCs w:val="24"/>
        </w:rPr>
        <w:t xml:space="preserve"> had been significantly enhanced in the 1970s</w:t>
      </w:r>
      <w:r w:rsidR="00335CEA" w:rsidRPr="00F8240E">
        <w:rPr>
          <w:rFonts w:ascii="Times New Roman" w:hAnsi="Times New Roman" w:cs="Times New Roman"/>
          <w:sz w:val="24"/>
          <w:szCs w:val="24"/>
        </w:rPr>
        <w:t xml:space="preserve"> </w:t>
      </w:r>
      <w:r w:rsidR="008B18B5" w:rsidRPr="00F8240E">
        <w:rPr>
          <w:rFonts w:ascii="Times New Roman" w:hAnsi="Times New Roman" w:cs="Times New Roman"/>
          <w:sz w:val="24"/>
          <w:szCs w:val="24"/>
        </w:rPr>
        <w:t>increasing it</w:t>
      </w:r>
      <w:r w:rsidR="00632A39" w:rsidRPr="00F8240E">
        <w:rPr>
          <w:rFonts w:ascii="Times New Roman" w:hAnsi="Times New Roman" w:cs="Times New Roman"/>
          <w:sz w:val="24"/>
          <w:szCs w:val="24"/>
        </w:rPr>
        <w:t>s</w:t>
      </w:r>
      <w:r w:rsidR="008B18B5" w:rsidRPr="00F8240E">
        <w:rPr>
          <w:rFonts w:ascii="Times New Roman" w:hAnsi="Times New Roman" w:cs="Times New Roman"/>
          <w:sz w:val="24"/>
          <w:szCs w:val="24"/>
        </w:rPr>
        <w:t xml:space="preserve"> </w:t>
      </w:r>
      <w:r w:rsidR="00335CEA" w:rsidRPr="00F8240E">
        <w:rPr>
          <w:rFonts w:ascii="Times New Roman" w:hAnsi="Times New Roman" w:cs="Times New Roman"/>
          <w:sz w:val="24"/>
          <w:szCs w:val="24"/>
        </w:rPr>
        <w:t>diverge</w:t>
      </w:r>
      <w:r w:rsidR="008B18B5" w:rsidRPr="00F8240E">
        <w:rPr>
          <w:rFonts w:ascii="Times New Roman" w:hAnsi="Times New Roman" w:cs="Times New Roman"/>
          <w:sz w:val="24"/>
          <w:szCs w:val="24"/>
        </w:rPr>
        <w:t>nce</w:t>
      </w:r>
      <w:r w:rsidR="00335CEA" w:rsidRPr="00F8240E">
        <w:rPr>
          <w:rFonts w:ascii="Times New Roman" w:hAnsi="Times New Roman" w:cs="Times New Roman"/>
          <w:sz w:val="24"/>
          <w:szCs w:val="24"/>
        </w:rPr>
        <w:t xml:space="preserve"> </w:t>
      </w:r>
      <w:r w:rsidR="00632A39" w:rsidRPr="00F8240E">
        <w:rPr>
          <w:rFonts w:ascii="Times New Roman" w:hAnsi="Times New Roman" w:cs="Times New Roman"/>
          <w:sz w:val="24"/>
          <w:szCs w:val="24"/>
        </w:rPr>
        <w:t>from</w:t>
      </w:r>
      <w:r w:rsidR="00335CEA" w:rsidRPr="00F8240E">
        <w:rPr>
          <w:rFonts w:ascii="Times New Roman" w:hAnsi="Times New Roman" w:cs="Times New Roman"/>
          <w:sz w:val="24"/>
          <w:szCs w:val="24"/>
        </w:rPr>
        <w:t xml:space="preserve"> the </w:t>
      </w:r>
      <w:r w:rsidR="008B18B5" w:rsidRPr="00F8240E">
        <w:rPr>
          <w:rFonts w:ascii="Times New Roman" w:hAnsi="Times New Roman" w:cs="Times New Roman"/>
          <w:sz w:val="24"/>
          <w:szCs w:val="24"/>
        </w:rPr>
        <w:t>ideal</w:t>
      </w:r>
      <w:r w:rsidR="00335CEA" w:rsidRPr="00F8240E">
        <w:rPr>
          <w:rFonts w:ascii="Times New Roman" w:hAnsi="Times New Roman" w:cs="Times New Roman"/>
          <w:sz w:val="24"/>
          <w:szCs w:val="24"/>
        </w:rPr>
        <w:t xml:space="preserve"> type</w:t>
      </w:r>
      <w:r w:rsidR="008B18B5" w:rsidRPr="00F8240E">
        <w:rPr>
          <w:rFonts w:ascii="Times New Roman" w:hAnsi="Times New Roman" w:cs="Times New Roman"/>
          <w:sz w:val="24"/>
          <w:szCs w:val="24"/>
        </w:rPr>
        <w:t>.</w:t>
      </w:r>
      <w:r w:rsidR="00B7476F" w:rsidRPr="00F8240E">
        <w:rPr>
          <w:rFonts w:ascii="Times New Roman" w:hAnsi="Times New Roman" w:cs="Times New Roman"/>
          <w:sz w:val="24"/>
          <w:szCs w:val="24"/>
        </w:rPr>
        <w:t xml:space="preserve"> Notwithstanding this close institutional</w:t>
      </w:r>
      <w:r w:rsidR="008B18B5" w:rsidRPr="00F8240E">
        <w:rPr>
          <w:rFonts w:ascii="Times New Roman" w:hAnsi="Times New Roman" w:cs="Times New Roman"/>
          <w:sz w:val="24"/>
          <w:szCs w:val="24"/>
        </w:rPr>
        <w:t xml:space="preserve"> </w:t>
      </w:r>
      <w:r w:rsidR="00B7476F" w:rsidRPr="00F8240E">
        <w:rPr>
          <w:rFonts w:ascii="Times New Roman" w:hAnsi="Times New Roman" w:cs="Times New Roman"/>
          <w:sz w:val="24"/>
          <w:szCs w:val="24"/>
        </w:rPr>
        <w:t xml:space="preserve">congruity with the liberal pension type, </w:t>
      </w:r>
      <w:r w:rsidR="00335CEA" w:rsidRPr="00F8240E">
        <w:rPr>
          <w:rFonts w:ascii="Times New Roman" w:hAnsi="Times New Roman" w:cs="Times New Roman"/>
          <w:sz w:val="24"/>
          <w:szCs w:val="24"/>
        </w:rPr>
        <w:t>Australia’s</w:t>
      </w:r>
      <w:r w:rsidR="00774503" w:rsidRPr="00F8240E">
        <w:rPr>
          <w:rFonts w:ascii="Times New Roman" w:hAnsi="Times New Roman" w:cs="Times New Roman"/>
          <w:sz w:val="24"/>
          <w:szCs w:val="24"/>
        </w:rPr>
        <w:t xml:space="preserve"> and New Zealand’s</w:t>
      </w:r>
      <w:r w:rsidR="00335CEA" w:rsidRPr="00F8240E">
        <w:rPr>
          <w:rFonts w:ascii="Times New Roman" w:hAnsi="Times New Roman" w:cs="Times New Roman"/>
          <w:sz w:val="24"/>
          <w:szCs w:val="24"/>
        </w:rPr>
        <w:t xml:space="preserve"> status as liberal welfare state</w:t>
      </w:r>
      <w:r w:rsidR="00065064" w:rsidRPr="00F8240E">
        <w:rPr>
          <w:rFonts w:ascii="Times New Roman" w:hAnsi="Times New Roman" w:cs="Times New Roman"/>
          <w:sz w:val="24"/>
          <w:szCs w:val="24"/>
        </w:rPr>
        <w:t>s</w:t>
      </w:r>
      <w:r w:rsidR="00335CEA" w:rsidRPr="00F8240E">
        <w:rPr>
          <w:rFonts w:ascii="Times New Roman" w:hAnsi="Times New Roman" w:cs="Times New Roman"/>
          <w:sz w:val="24"/>
          <w:szCs w:val="24"/>
        </w:rPr>
        <w:t xml:space="preserve"> ha</w:t>
      </w:r>
      <w:r w:rsidR="00065064" w:rsidRPr="00F8240E">
        <w:rPr>
          <w:rFonts w:ascii="Times New Roman" w:hAnsi="Times New Roman" w:cs="Times New Roman"/>
          <w:sz w:val="24"/>
          <w:szCs w:val="24"/>
        </w:rPr>
        <w:t>s</w:t>
      </w:r>
      <w:r w:rsidR="00335CEA" w:rsidRPr="00F8240E">
        <w:rPr>
          <w:rFonts w:ascii="Times New Roman" w:hAnsi="Times New Roman" w:cs="Times New Roman"/>
          <w:sz w:val="24"/>
          <w:szCs w:val="24"/>
        </w:rPr>
        <w:t xml:space="preserve"> been questioned by some commentators</w:t>
      </w:r>
      <w:r w:rsidR="00BD03E9" w:rsidRPr="00F8240E">
        <w:rPr>
          <w:rFonts w:ascii="Times New Roman" w:hAnsi="Times New Roman" w:cs="Times New Roman"/>
          <w:sz w:val="24"/>
          <w:szCs w:val="24"/>
        </w:rPr>
        <w:t xml:space="preserve"> </w:t>
      </w:r>
      <w:r w:rsidR="00335CEA" w:rsidRPr="00F8240E">
        <w:rPr>
          <w:rFonts w:ascii="Times New Roman" w:hAnsi="Times New Roman" w:cs="Times New Roman"/>
          <w:sz w:val="24"/>
          <w:szCs w:val="24"/>
        </w:rPr>
        <w:t>(</w:t>
      </w:r>
      <w:r w:rsidR="00701E13" w:rsidRPr="00F8240E">
        <w:rPr>
          <w:rFonts w:ascii="Times New Roman" w:hAnsi="Times New Roman" w:cs="Times New Roman"/>
          <w:sz w:val="24"/>
          <w:szCs w:val="24"/>
        </w:rPr>
        <w:t xml:space="preserve">eg </w:t>
      </w:r>
      <w:r w:rsidR="00335CEA" w:rsidRPr="00F8240E">
        <w:rPr>
          <w:rFonts w:ascii="Times New Roman" w:hAnsi="Times New Roman" w:cs="Times New Roman"/>
          <w:sz w:val="24"/>
          <w:szCs w:val="24"/>
        </w:rPr>
        <w:t>Castles</w:t>
      </w:r>
      <w:r w:rsidR="00226B07"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w:t>
      </w:r>
      <w:r w:rsidR="00701E13" w:rsidRPr="00F8240E">
        <w:rPr>
          <w:rFonts w:ascii="Times New Roman" w:hAnsi="Times New Roman" w:cs="Times New Roman"/>
          <w:sz w:val="24"/>
          <w:szCs w:val="24"/>
        </w:rPr>
        <w:t>1985</w:t>
      </w:r>
      <w:r w:rsidR="00335CEA" w:rsidRPr="00F8240E">
        <w:rPr>
          <w:rFonts w:ascii="Times New Roman" w:hAnsi="Times New Roman" w:cs="Times New Roman"/>
          <w:sz w:val="24"/>
          <w:szCs w:val="24"/>
        </w:rPr>
        <w:t>)</w:t>
      </w:r>
      <w:r w:rsidR="00BD03E9" w:rsidRPr="00F8240E">
        <w:rPr>
          <w:rFonts w:ascii="Times New Roman" w:hAnsi="Times New Roman" w:cs="Times New Roman"/>
          <w:sz w:val="24"/>
          <w:szCs w:val="24"/>
        </w:rPr>
        <w:t>. The</w:t>
      </w:r>
      <w:r w:rsidR="00065064" w:rsidRPr="00F8240E">
        <w:rPr>
          <w:rFonts w:ascii="Times New Roman" w:hAnsi="Times New Roman" w:cs="Times New Roman"/>
          <w:sz w:val="24"/>
          <w:szCs w:val="24"/>
        </w:rPr>
        <w:t>ir</w:t>
      </w:r>
      <w:r w:rsidR="00BD03E9" w:rsidRPr="00F8240E">
        <w:rPr>
          <w:rFonts w:ascii="Times New Roman" w:hAnsi="Times New Roman" w:cs="Times New Roman"/>
          <w:sz w:val="24"/>
          <w:szCs w:val="24"/>
        </w:rPr>
        <w:t xml:space="preserve"> low level of public provision masks</w:t>
      </w:r>
      <w:r w:rsidR="00015E6E" w:rsidRPr="00F8240E">
        <w:rPr>
          <w:rFonts w:ascii="Times New Roman" w:hAnsi="Times New Roman" w:cs="Times New Roman"/>
          <w:sz w:val="24"/>
          <w:szCs w:val="24"/>
        </w:rPr>
        <w:t>, it is suggested,</w:t>
      </w:r>
      <w:r w:rsidR="00BD03E9" w:rsidRPr="00F8240E">
        <w:rPr>
          <w:rFonts w:ascii="Times New Roman" w:hAnsi="Times New Roman" w:cs="Times New Roman"/>
          <w:sz w:val="24"/>
          <w:szCs w:val="24"/>
        </w:rPr>
        <w:t xml:space="preserve"> a more statist commitment to working class incomes than exists in mainstream liberal welfare states</w:t>
      </w:r>
      <w:r w:rsidR="00065064" w:rsidRPr="00F8240E">
        <w:rPr>
          <w:rFonts w:ascii="Times New Roman" w:hAnsi="Times New Roman" w:cs="Times New Roman"/>
          <w:sz w:val="24"/>
          <w:szCs w:val="24"/>
        </w:rPr>
        <w:t>, which</w:t>
      </w:r>
      <w:r w:rsidR="00015E6E" w:rsidRPr="00F8240E">
        <w:rPr>
          <w:rFonts w:ascii="Times New Roman" w:hAnsi="Times New Roman" w:cs="Times New Roman"/>
          <w:sz w:val="24"/>
          <w:szCs w:val="24"/>
        </w:rPr>
        <w:t xml:space="preserve"> </w:t>
      </w:r>
      <w:r w:rsidR="00BD03E9" w:rsidRPr="00F8240E">
        <w:rPr>
          <w:rFonts w:ascii="Times New Roman" w:hAnsi="Times New Roman" w:cs="Times New Roman"/>
          <w:sz w:val="24"/>
          <w:szCs w:val="24"/>
        </w:rPr>
        <w:t>operat</w:t>
      </w:r>
      <w:r w:rsidR="00065064" w:rsidRPr="00F8240E">
        <w:rPr>
          <w:rFonts w:ascii="Times New Roman" w:hAnsi="Times New Roman" w:cs="Times New Roman"/>
          <w:sz w:val="24"/>
          <w:szCs w:val="24"/>
        </w:rPr>
        <w:t>es</w:t>
      </w:r>
      <w:r w:rsidR="00BD03E9" w:rsidRPr="00F8240E">
        <w:rPr>
          <w:rFonts w:ascii="Times New Roman" w:hAnsi="Times New Roman" w:cs="Times New Roman"/>
          <w:sz w:val="24"/>
          <w:szCs w:val="24"/>
        </w:rPr>
        <w:t xml:space="preserve"> through collectively organi</w:t>
      </w:r>
      <w:r w:rsidR="00A86933" w:rsidRPr="00F8240E">
        <w:rPr>
          <w:rFonts w:ascii="Times New Roman" w:hAnsi="Times New Roman" w:cs="Times New Roman"/>
          <w:sz w:val="24"/>
          <w:szCs w:val="24"/>
        </w:rPr>
        <w:t>z</w:t>
      </w:r>
      <w:r w:rsidR="00BD03E9" w:rsidRPr="00F8240E">
        <w:rPr>
          <w:rFonts w:ascii="Times New Roman" w:hAnsi="Times New Roman" w:cs="Times New Roman"/>
          <w:sz w:val="24"/>
          <w:szCs w:val="24"/>
        </w:rPr>
        <w:t xml:space="preserve">ed wage regulation. </w:t>
      </w:r>
      <w:r w:rsidR="00015E6E" w:rsidRPr="00F8240E">
        <w:rPr>
          <w:rFonts w:ascii="Times New Roman" w:hAnsi="Times New Roman" w:cs="Times New Roman"/>
          <w:sz w:val="24"/>
          <w:szCs w:val="24"/>
        </w:rPr>
        <w:t>Yet, while t</w:t>
      </w:r>
      <w:r w:rsidR="00BD03E9" w:rsidRPr="00F8240E">
        <w:rPr>
          <w:rFonts w:ascii="Times New Roman" w:hAnsi="Times New Roman" w:cs="Times New Roman"/>
          <w:sz w:val="24"/>
          <w:szCs w:val="24"/>
        </w:rPr>
        <w:t>here is no doubt</w:t>
      </w:r>
      <w:r w:rsidR="00FF7045" w:rsidRPr="00F8240E">
        <w:rPr>
          <w:rFonts w:ascii="Times New Roman" w:hAnsi="Times New Roman" w:cs="Times New Roman"/>
          <w:sz w:val="24"/>
          <w:szCs w:val="24"/>
        </w:rPr>
        <w:t xml:space="preserve"> this </w:t>
      </w:r>
      <w:r w:rsidR="00CB30A7" w:rsidRPr="00F8240E">
        <w:rPr>
          <w:rFonts w:ascii="Times New Roman" w:hAnsi="Times New Roman" w:cs="Times New Roman"/>
          <w:sz w:val="24"/>
          <w:szCs w:val="24"/>
        </w:rPr>
        <w:t>“</w:t>
      </w:r>
      <w:r w:rsidR="00FF7045" w:rsidRPr="00F8240E">
        <w:rPr>
          <w:rFonts w:ascii="Times New Roman" w:hAnsi="Times New Roman" w:cs="Times New Roman"/>
          <w:sz w:val="24"/>
          <w:szCs w:val="24"/>
        </w:rPr>
        <w:t>wage-earner</w:t>
      </w:r>
      <w:r w:rsidR="00CB30A7" w:rsidRPr="00F8240E">
        <w:rPr>
          <w:rFonts w:ascii="Times New Roman" w:hAnsi="Times New Roman" w:cs="Times New Roman"/>
          <w:sz w:val="24"/>
          <w:szCs w:val="24"/>
        </w:rPr>
        <w:t>”</w:t>
      </w:r>
      <w:r w:rsidR="00FF7045" w:rsidRPr="00F8240E">
        <w:rPr>
          <w:rFonts w:ascii="Times New Roman" w:hAnsi="Times New Roman" w:cs="Times New Roman"/>
          <w:sz w:val="24"/>
          <w:szCs w:val="24"/>
        </w:rPr>
        <w:t xml:space="preserve"> framework has generated important differences in the </w:t>
      </w:r>
      <w:r w:rsidR="00226B07" w:rsidRPr="00F8240E">
        <w:rPr>
          <w:rFonts w:ascii="Times New Roman" w:hAnsi="Times New Roman" w:cs="Times New Roman"/>
          <w:sz w:val="24"/>
          <w:szCs w:val="24"/>
        </w:rPr>
        <w:t>organisation and outcomes of</w:t>
      </w:r>
      <w:r w:rsidR="00FF7045" w:rsidRPr="00F8240E">
        <w:rPr>
          <w:rFonts w:ascii="Times New Roman" w:hAnsi="Times New Roman" w:cs="Times New Roman"/>
          <w:sz w:val="24"/>
          <w:szCs w:val="24"/>
        </w:rPr>
        <w:t xml:space="preserve"> </w:t>
      </w:r>
      <w:r w:rsidR="00226B07" w:rsidRPr="00F8240E">
        <w:rPr>
          <w:rFonts w:ascii="Times New Roman" w:hAnsi="Times New Roman" w:cs="Times New Roman"/>
          <w:sz w:val="24"/>
          <w:szCs w:val="24"/>
        </w:rPr>
        <w:t>income maintenance</w:t>
      </w:r>
      <w:r w:rsidR="00FF7045" w:rsidRPr="00F8240E">
        <w:rPr>
          <w:rFonts w:ascii="Times New Roman" w:hAnsi="Times New Roman" w:cs="Times New Roman"/>
          <w:sz w:val="24"/>
          <w:szCs w:val="24"/>
        </w:rPr>
        <w:t>, these</w:t>
      </w:r>
      <w:r w:rsidR="00226B07" w:rsidRPr="00F8240E">
        <w:rPr>
          <w:rFonts w:ascii="Times New Roman" w:hAnsi="Times New Roman" w:cs="Times New Roman"/>
          <w:sz w:val="24"/>
          <w:szCs w:val="24"/>
        </w:rPr>
        <w:t xml:space="preserve"> differences</w:t>
      </w:r>
      <w:r w:rsidR="00BD03E9" w:rsidRPr="00F8240E">
        <w:rPr>
          <w:rFonts w:ascii="Times New Roman" w:hAnsi="Times New Roman" w:cs="Times New Roman"/>
          <w:sz w:val="24"/>
          <w:szCs w:val="24"/>
        </w:rPr>
        <w:t xml:space="preserve"> seem least sign</w:t>
      </w:r>
      <w:r w:rsidR="00FF7045" w:rsidRPr="00F8240E">
        <w:rPr>
          <w:rFonts w:ascii="Times New Roman" w:hAnsi="Times New Roman" w:cs="Times New Roman"/>
          <w:sz w:val="24"/>
          <w:szCs w:val="24"/>
        </w:rPr>
        <w:t xml:space="preserve">ificant </w:t>
      </w:r>
      <w:r w:rsidR="00226B07" w:rsidRPr="00F8240E">
        <w:rPr>
          <w:rFonts w:ascii="Times New Roman" w:hAnsi="Times New Roman" w:cs="Times New Roman"/>
          <w:sz w:val="24"/>
          <w:szCs w:val="24"/>
        </w:rPr>
        <w:t>in</w:t>
      </w:r>
      <w:r w:rsidR="00FF7045" w:rsidRPr="00F8240E">
        <w:rPr>
          <w:rFonts w:ascii="Times New Roman" w:hAnsi="Times New Roman" w:cs="Times New Roman"/>
          <w:sz w:val="24"/>
          <w:szCs w:val="24"/>
        </w:rPr>
        <w:t xml:space="preserve"> </w:t>
      </w:r>
      <w:r w:rsidR="009170FE" w:rsidRPr="00F8240E">
        <w:rPr>
          <w:rFonts w:ascii="Times New Roman" w:hAnsi="Times New Roman" w:cs="Times New Roman"/>
          <w:sz w:val="24"/>
          <w:szCs w:val="24"/>
        </w:rPr>
        <w:t>public</w:t>
      </w:r>
      <w:r w:rsidR="00FF7045" w:rsidRPr="00F8240E">
        <w:rPr>
          <w:rFonts w:ascii="Times New Roman" w:hAnsi="Times New Roman" w:cs="Times New Roman"/>
          <w:sz w:val="24"/>
          <w:szCs w:val="24"/>
        </w:rPr>
        <w:t xml:space="preserve"> pension</w:t>
      </w:r>
      <w:r w:rsidR="009170FE" w:rsidRPr="00F8240E">
        <w:rPr>
          <w:rFonts w:ascii="Times New Roman" w:hAnsi="Times New Roman" w:cs="Times New Roman"/>
          <w:sz w:val="24"/>
          <w:szCs w:val="24"/>
        </w:rPr>
        <w:t>s</w:t>
      </w:r>
      <w:r w:rsidR="00FF7045" w:rsidRPr="00F8240E">
        <w:rPr>
          <w:rFonts w:ascii="Times New Roman" w:hAnsi="Times New Roman" w:cs="Times New Roman"/>
          <w:sz w:val="24"/>
          <w:szCs w:val="24"/>
        </w:rPr>
        <w:t xml:space="preserve">, </w:t>
      </w:r>
      <w:r w:rsidR="00B7476F" w:rsidRPr="00F8240E">
        <w:rPr>
          <w:rFonts w:ascii="Times New Roman" w:hAnsi="Times New Roman" w:cs="Times New Roman"/>
          <w:sz w:val="24"/>
          <w:szCs w:val="24"/>
        </w:rPr>
        <w:t>though as will be seen in Australia collective bargaining has had an important impact on occupational pension provision.</w:t>
      </w:r>
    </w:p>
    <w:p w14:paraId="178E2154" w14:textId="2EA3BB7B" w:rsidR="009018BC" w:rsidRPr="00F8240E" w:rsidRDefault="009018BC" w:rsidP="004943B5">
      <w:pPr>
        <w:spacing w:line="480" w:lineRule="auto"/>
        <w:jc w:val="both"/>
        <w:rPr>
          <w:rFonts w:ascii="Times New Roman" w:hAnsi="Times New Roman" w:cs="Times New Roman"/>
          <w:sz w:val="24"/>
          <w:szCs w:val="24"/>
        </w:rPr>
      </w:pPr>
    </w:p>
    <w:p w14:paraId="1E4C670B" w14:textId="77777777" w:rsidR="009018BC" w:rsidRPr="00F8240E" w:rsidRDefault="009018BC" w:rsidP="009018BC">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Table one here</w:t>
      </w:r>
    </w:p>
    <w:p w14:paraId="5A5C3439" w14:textId="77777777" w:rsidR="009018BC" w:rsidRPr="00F8240E" w:rsidRDefault="009018BC" w:rsidP="004943B5">
      <w:pPr>
        <w:spacing w:line="480" w:lineRule="auto"/>
        <w:jc w:val="both"/>
        <w:rPr>
          <w:rFonts w:ascii="Times New Roman" w:hAnsi="Times New Roman" w:cs="Times New Roman"/>
          <w:sz w:val="24"/>
          <w:szCs w:val="24"/>
        </w:rPr>
      </w:pPr>
    </w:p>
    <w:p w14:paraId="16076595" w14:textId="40BA2C0A" w:rsidR="00FE60FD" w:rsidRPr="00F8240E" w:rsidRDefault="00B7476F" w:rsidP="00FE60FD">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Public pensions in Ireland in 1980 also had strong liberal features: they were flat rate and low level but divergent in being contributory. I</w:t>
      </w:r>
      <w:r w:rsidR="00335CEA" w:rsidRPr="00F8240E">
        <w:rPr>
          <w:rFonts w:ascii="Times New Roman" w:hAnsi="Times New Roman" w:cs="Times New Roman"/>
          <w:sz w:val="24"/>
          <w:szCs w:val="24"/>
        </w:rPr>
        <w:t xml:space="preserve">n Canada and the UK </w:t>
      </w:r>
      <w:r w:rsidRPr="00F8240E">
        <w:rPr>
          <w:rFonts w:ascii="Times New Roman" w:hAnsi="Times New Roman" w:cs="Times New Roman"/>
          <w:sz w:val="24"/>
          <w:szCs w:val="24"/>
        </w:rPr>
        <w:t xml:space="preserve">public provision was </w:t>
      </w:r>
      <w:r w:rsidR="008B18B5" w:rsidRPr="00F8240E">
        <w:rPr>
          <w:rFonts w:ascii="Times New Roman" w:hAnsi="Times New Roman" w:cs="Times New Roman"/>
          <w:sz w:val="24"/>
          <w:szCs w:val="24"/>
        </w:rPr>
        <w:t>more divergent</w:t>
      </w:r>
      <w:r w:rsidR="00335CEA" w:rsidRPr="00F8240E">
        <w:rPr>
          <w:rFonts w:ascii="Times New Roman" w:hAnsi="Times New Roman" w:cs="Times New Roman"/>
          <w:sz w:val="24"/>
          <w:szCs w:val="24"/>
        </w:rPr>
        <w:t xml:space="preserve"> because </w:t>
      </w:r>
      <w:r w:rsidR="008B18B5" w:rsidRPr="00F8240E">
        <w:rPr>
          <w:rFonts w:ascii="Times New Roman" w:hAnsi="Times New Roman" w:cs="Times New Roman"/>
          <w:sz w:val="24"/>
          <w:szCs w:val="24"/>
        </w:rPr>
        <w:t>of</w:t>
      </w:r>
      <w:r w:rsidR="00335CEA" w:rsidRPr="00F8240E">
        <w:rPr>
          <w:rFonts w:ascii="Times New Roman" w:hAnsi="Times New Roman" w:cs="Times New Roman"/>
          <w:sz w:val="24"/>
          <w:szCs w:val="24"/>
        </w:rPr>
        <w:t xml:space="preserve"> greater public involvement above the flat-rate level. </w:t>
      </w:r>
      <w:r w:rsidRPr="00F8240E">
        <w:rPr>
          <w:rFonts w:ascii="Times New Roman" w:hAnsi="Times New Roman" w:cs="Times New Roman"/>
          <w:sz w:val="24"/>
          <w:szCs w:val="24"/>
        </w:rPr>
        <w:t>C</w:t>
      </w:r>
      <w:r w:rsidR="00335CEA" w:rsidRPr="00F8240E">
        <w:rPr>
          <w:rFonts w:ascii="Times New Roman" w:hAnsi="Times New Roman" w:cs="Times New Roman"/>
          <w:sz w:val="24"/>
          <w:szCs w:val="24"/>
        </w:rPr>
        <w:t>anad</w:t>
      </w:r>
      <w:r w:rsidRPr="00F8240E">
        <w:rPr>
          <w:rFonts w:ascii="Times New Roman" w:hAnsi="Times New Roman" w:cs="Times New Roman"/>
          <w:sz w:val="24"/>
          <w:szCs w:val="24"/>
        </w:rPr>
        <w:t>ian</w:t>
      </w:r>
      <w:r w:rsidR="00335CEA" w:rsidRPr="00F8240E">
        <w:rPr>
          <w:rFonts w:ascii="Times New Roman" w:hAnsi="Times New Roman" w:cs="Times New Roman"/>
          <w:sz w:val="24"/>
          <w:szCs w:val="24"/>
        </w:rPr>
        <w:t xml:space="preserve"> flat-rate</w:t>
      </w:r>
      <w:r w:rsidR="008B18B5" w:rsidRPr="00F8240E">
        <w:rPr>
          <w:rFonts w:ascii="Times New Roman" w:hAnsi="Times New Roman" w:cs="Times New Roman"/>
          <w:sz w:val="24"/>
          <w:szCs w:val="24"/>
        </w:rPr>
        <w:t xml:space="preserve"> provision was</w:t>
      </w:r>
      <w:r w:rsidR="00335CEA" w:rsidRPr="00F8240E">
        <w:rPr>
          <w:rFonts w:ascii="Times New Roman" w:hAnsi="Times New Roman" w:cs="Times New Roman"/>
          <w:sz w:val="24"/>
          <w:szCs w:val="24"/>
        </w:rPr>
        <w:t xml:space="preserve"> tax-financed </w:t>
      </w:r>
      <w:r w:rsidR="00FE60FD" w:rsidRPr="00F8240E">
        <w:rPr>
          <w:rFonts w:ascii="Times New Roman" w:hAnsi="Times New Roman" w:cs="Times New Roman"/>
          <w:sz w:val="24"/>
          <w:szCs w:val="24"/>
        </w:rPr>
        <w:t>but</w:t>
      </w:r>
      <w:r w:rsidR="00335CEA" w:rsidRPr="00F8240E">
        <w:rPr>
          <w:rFonts w:ascii="Times New Roman" w:hAnsi="Times New Roman" w:cs="Times New Roman"/>
          <w:sz w:val="24"/>
          <w:szCs w:val="24"/>
        </w:rPr>
        <w:t xml:space="preserve"> universal</w:t>
      </w:r>
      <w:r w:rsidR="009170FE"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 xml:space="preserve">and </w:t>
      </w:r>
      <w:r w:rsidR="00335CEA" w:rsidRPr="00F8240E">
        <w:rPr>
          <w:rFonts w:ascii="Times New Roman" w:hAnsi="Times New Roman" w:cs="Times New Roman"/>
          <w:sz w:val="24"/>
          <w:szCs w:val="24"/>
        </w:rPr>
        <w:t>based on residency</w:t>
      </w:r>
      <w:r w:rsidR="00FE60FD"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But the bigger divergence was the Canada/Ouebec Pension Plan (C/QPP) introduced </w:t>
      </w:r>
      <w:r w:rsidR="009170FE" w:rsidRPr="00F8240E">
        <w:rPr>
          <w:rFonts w:ascii="Times New Roman" w:hAnsi="Times New Roman" w:cs="Times New Roman"/>
          <w:sz w:val="24"/>
          <w:szCs w:val="24"/>
        </w:rPr>
        <w:t>in</w:t>
      </w:r>
      <w:r w:rsidRPr="00F8240E">
        <w:rPr>
          <w:rFonts w:ascii="Times New Roman" w:hAnsi="Times New Roman" w:cs="Times New Roman"/>
          <w:sz w:val="24"/>
          <w:szCs w:val="24"/>
        </w:rPr>
        <w:t xml:space="preserve"> </w:t>
      </w:r>
      <w:r w:rsidR="00335CEA" w:rsidRPr="00F8240E">
        <w:rPr>
          <w:rFonts w:ascii="Times New Roman" w:hAnsi="Times New Roman" w:cs="Times New Roman"/>
          <w:sz w:val="24"/>
          <w:szCs w:val="24"/>
        </w:rPr>
        <w:t>1965 (</w:t>
      </w:r>
      <w:r w:rsidR="00D01C3B" w:rsidRPr="00F8240E">
        <w:rPr>
          <w:rFonts w:ascii="Times New Roman" w:hAnsi="Times New Roman" w:cs="Times New Roman"/>
          <w:sz w:val="24"/>
          <w:szCs w:val="24"/>
        </w:rPr>
        <w:t>Myles, 2013</w:t>
      </w:r>
      <w:r w:rsidR="00335CEA" w:rsidRPr="00F8240E">
        <w:rPr>
          <w:rFonts w:ascii="Times New Roman" w:hAnsi="Times New Roman" w:cs="Times New Roman"/>
          <w:sz w:val="24"/>
          <w:szCs w:val="24"/>
        </w:rPr>
        <w:t>). A public earnings-related pension</w:t>
      </w:r>
      <w:r w:rsidR="009170FE"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this was projected to replace 25 per cent of wages on retirement. In the UK, a flat-rate contributory </w:t>
      </w:r>
      <w:r w:rsidR="00FE60FD" w:rsidRPr="00F8240E">
        <w:rPr>
          <w:rFonts w:ascii="Times New Roman" w:hAnsi="Times New Roman" w:cs="Times New Roman"/>
          <w:sz w:val="24"/>
          <w:szCs w:val="24"/>
        </w:rPr>
        <w:t>Basic State P</w:t>
      </w:r>
      <w:r w:rsidR="00335CEA" w:rsidRPr="00F8240E">
        <w:rPr>
          <w:rFonts w:ascii="Times New Roman" w:hAnsi="Times New Roman" w:cs="Times New Roman"/>
          <w:sz w:val="24"/>
          <w:szCs w:val="24"/>
        </w:rPr>
        <w:t xml:space="preserve">ension </w:t>
      </w:r>
      <w:r w:rsidR="00FE60FD" w:rsidRPr="00F8240E">
        <w:rPr>
          <w:rFonts w:ascii="Times New Roman" w:hAnsi="Times New Roman" w:cs="Times New Roman"/>
          <w:sz w:val="24"/>
          <w:szCs w:val="24"/>
        </w:rPr>
        <w:t>(BSP) was complemented by</w:t>
      </w:r>
      <w:r w:rsidR="00335CEA" w:rsidRPr="00F8240E">
        <w:rPr>
          <w:rFonts w:ascii="Times New Roman" w:hAnsi="Times New Roman" w:cs="Times New Roman"/>
          <w:sz w:val="24"/>
          <w:szCs w:val="24"/>
        </w:rPr>
        <w:t xml:space="preserve"> an earnings-related pension (SERPs) </w:t>
      </w:r>
      <w:r w:rsidR="00FE60FD" w:rsidRPr="00F8240E">
        <w:rPr>
          <w:rFonts w:ascii="Times New Roman" w:hAnsi="Times New Roman" w:cs="Times New Roman"/>
          <w:sz w:val="24"/>
          <w:szCs w:val="24"/>
        </w:rPr>
        <w:t>after</w:t>
      </w:r>
      <w:r w:rsidR="00335CEA" w:rsidRPr="00F8240E">
        <w:rPr>
          <w:rFonts w:ascii="Times New Roman" w:hAnsi="Times New Roman" w:cs="Times New Roman"/>
          <w:sz w:val="24"/>
          <w:szCs w:val="24"/>
        </w:rPr>
        <w:t xml:space="preserve"> 1975 </w:t>
      </w:r>
      <w:r w:rsidR="00FE60FD" w:rsidRPr="00F8240E">
        <w:rPr>
          <w:rFonts w:ascii="Times New Roman" w:hAnsi="Times New Roman" w:cs="Times New Roman"/>
          <w:sz w:val="24"/>
          <w:szCs w:val="24"/>
        </w:rPr>
        <w:t xml:space="preserve">projected </w:t>
      </w:r>
      <w:r w:rsidR="00335CEA" w:rsidRPr="00F8240E">
        <w:rPr>
          <w:rFonts w:ascii="Times New Roman" w:hAnsi="Times New Roman" w:cs="Times New Roman"/>
          <w:sz w:val="24"/>
          <w:szCs w:val="24"/>
        </w:rPr>
        <w:t>to replace 20 per cent of wages on retirement</w:t>
      </w:r>
      <w:r w:rsidR="009170FE" w:rsidRPr="00F8240E">
        <w:rPr>
          <w:rFonts w:ascii="Times New Roman" w:hAnsi="Times New Roman" w:cs="Times New Roman"/>
          <w:sz w:val="24"/>
          <w:szCs w:val="24"/>
        </w:rPr>
        <w:t xml:space="preserve"> (Bridgen, 2010)</w:t>
      </w:r>
      <w:r w:rsidR="00335CEA" w:rsidRPr="00F8240E">
        <w:rPr>
          <w:rFonts w:ascii="Times New Roman" w:hAnsi="Times New Roman" w:cs="Times New Roman"/>
          <w:sz w:val="24"/>
          <w:szCs w:val="24"/>
        </w:rPr>
        <w:t xml:space="preserve">. </w:t>
      </w:r>
      <w:r w:rsidRPr="00F8240E">
        <w:rPr>
          <w:rFonts w:ascii="Times New Roman" w:hAnsi="Times New Roman" w:cs="Times New Roman"/>
          <w:sz w:val="24"/>
          <w:szCs w:val="24"/>
        </w:rPr>
        <w:t>Finally, t</w:t>
      </w:r>
      <w:r w:rsidR="00335CEA" w:rsidRPr="00F8240E">
        <w:rPr>
          <w:rFonts w:ascii="Times New Roman" w:hAnsi="Times New Roman" w:cs="Times New Roman"/>
          <w:sz w:val="24"/>
          <w:szCs w:val="24"/>
        </w:rPr>
        <w:t>he US pension system was</w:t>
      </w:r>
      <w:r w:rsidR="00FE60FD" w:rsidRPr="00F8240E">
        <w:rPr>
          <w:rFonts w:ascii="Times New Roman" w:hAnsi="Times New Roman" w:cs="Times New Roman"/>
          <w:sz w:val="24"/>
          <w:szCs w:val="24"/>
        </w:rPr>
        <w:t xml:space="preserve"> the</w:t>
      </w:r>
      <w:r w:rsidR="00335CEA" w:rsidRPr="00F8240E">
        <w:rPr>
          <w:rFonts w:ascii="Times New Roman" w:hAnsi="Times New Roman" w:cs="Times New Roman"/>
          <w:sz w:val="24"/>
          <w:szCs w:val="24"/>
        </w:rPr>
        <w:t xml:space="preserve"> most inconsistent with the liberal ideal type. </w:t>
      </w:r>
      <w:r w:rsidR="00FE60FD" w:rsidRPr="00F8240E">
        <w:rPr>
          <w:rFonts w:ascii="Times New Roman" w:hAnsi="Times New Roman" w:cs="Times New Roman"/>
          <w:sz w:val="24"/>
          <w:szCs w:val="24"/>
        </w:rPr>
        <w:t>P</w:t>
      </w:r>
      <w:r w:rsidR="00335CEA" w:rsidRPr="00F8240E">
        <w:rPr>
          <w:rFonts w:ascii="Times New Roman" w:hAnsi="Times New Roman" w:cs="Times New Roman"/>
          <w:sz w:val="24"/>
          <w:szCs w:val="24"/>
        </w:rPr>
        <w:t xml:space="preserve">ublic </w:t>
      </w:r>
      <w:r w:rsidR="00FE60FD" w:rsidRPr="00F8240E">
        <w:rPr>
          <w:rFonts w:ascii="Times New Roman" w:hAnsi="Times New Roman" w:cs="Times New Roman"/>
          <w:sz w:val="24"/>
          <w:szCs w:val="24"/>
        </w:rPr>
        <w:t>provision incl</w:t>
      </w:r>
      <w:r w:rsidR="00335CEA" w:rsidRPr="00F8240E">
        <w:rPr>
          <w:rFonts w:ascii="Times New Roman" w:hAnsi="Times New Roman" w:cs="Times New Roman"/>
          <w:sz w:val="24"/>
          <w:szCs w:val="24"/>
        </w:rPr>
        <w:t>ude</w:t>
      </w:r>
      <w:r w:rsidR="00FE60FD" w:rsidRPr="00F8240E">
        <w:rPr>
          <w:rFonts w:ascii="Times New Roman" w:hAnsi="Times New Roman" w:cs="Times New Roman"/>
          <w:sz w:val="24"/>
          <w:szCs w:val="24"/>
        </w:rPr>
        <w:t>d no</w:t>
      </w:r>
      <w:r w:rsidR="00335CEA" w:rsidRPr="00F8240E">
        <w:rPr>
          <w:rFonts w:ascii="Times New Roman" w:hAnsi="Times New Roman" w:cs="Times New Roman"/>
          <w:sz w:val="24"/>
          <w:szCs w:val="24"/>
        </w:rPr>
        <w:t xml:space="preserve"> flat-rate pension</w:t>
      </w:r>
      <w:r w:rsidR="00FE60FD"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was </w:t>
      </w:r>
      <w:r w:rsidR="00FE60FD" w:rsidRPr="00F8240E">
        <w:rPr>
          <w:rFonts w:ascii="Times New Roman" w:hAnsi="Times New Roman" w:cs="Times New Roman"/>
          <w:sz w:val="24"/>
          <w:szCs w:val="24"/>
        </w:rPr>
        <w:t>contributory,</w:t>
      </w:r>
      <w:r w:rsidR="00335CEA" w:rsidRPr="00F8240E">
        <w:rPr>
          <w:rFonts w:ascii="Times New Roman" w:hAnsi="Times New Roman" w:cs="Times New Roman"/>
          <w:sz w:val="24"/>
          <w:szCs w:val="24"/>
        </w:rPr>
        <w:t xml:space="preserve"> and earnings-related</w:t>
      </w:r>
      <w:r w:rsidR="00FE60FD"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C</w:t>
      </w:r>
      <w:r w:rsidR="00335CEA" w:rsidRPr="00F8240E">
        <w:rPr>
          <w:rFonts w:ascii="Times New Roman" w:hAnsi="Times New Roman" w:cs="Times New Roman"/>
          <w:sz w:val="24"/>
          <w:szCs w:val="24"/>
        </w:rPr>
        <w:t>onsequen</w:t>
      </w:r>
      <w:r w:rsidR="00FE60FD" w:rsidRPr="00F8240E">
        <w:rPr>
          <w:rFonts w:ascii="Times New Roman" w:hAnsi="Times New Roman" w:cs="Times New Roman"/>
          <w:sz w:val="24"/>
          <w:szCs w:val="24"/>
        </w:rPr>
        <w:t>tly</w:t>
      </w:r>
      <w:r w:rsidR="00335CEA"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US public provision</w:t>
      </w:r>
      <w:r w:rsidR="00335CEA" w:rsidRPr="00F8240E">
        <w:rPr>
          <w:rFonts w:ascii="Times New Roman" w:hAnsi="Times New Roman" w:cs="Times New Roman"/>
          <w:sz w:val="24"/>
          <w:szCs w:val="24"/>
        </w:rPr>
        <w:t xml:space="preserve"> has sometimes been compared</w:t>
      </w:r>
      <w:r w:rsidR="00D01C3B"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 xml:space="preserve">with </w:t>
      </w:r>
      <w:r w:rsidR="00335CEA" w:rsidRPr="00F8240E">
        <w:rPr>
          <w:rFonts w:ascii="Times New Roman" w:hAnsi="Times New Roman" w:cs="Times New Roman"/>
          <w:sz w:val="24"/>
          <w:szCs w:val="24"/>
        </w:rPr>
        <w:t xml:space="preserve">conservative, continental European </w:t>
      </w:r>
      <w:r w:rsidR="00FE60FD" w:rsidRPr="00F8240E">
        <w:rPr>
          <w:rFonts w:ascii="Times New Roman" w:hAnsi="Times New Roman" w:cs="Times New Roman"/>
          <w:sz w:val="24"/>
          <w:szCs w:val="24"/>
        </w:rPr>
        <w:t>systems</w:t>
      </w:r>
      <w:r w:rsidR="00335CEA" w:rsidRPr="00F8240E">
        <w:rPr>
          <w:rFonts w:ascii="Times New Roman" w:hAnsi="Times New Roman" w:cs="Times New Roman"/>
          <w:sz w:val="24"/>
          <w:szCs w:val="24"/>
        </w:rPr>
        <w:t xml:space="preserve"> (eg Germany and Austria) and labelled </w:t>
      </w:r>
      <w:r w:rsidR="00CB30A7" w:rsidRPr="00F8240E">
        <w:rPr>
          <w:rFonts w:ascii="Times New Roman" w:hAnsi="Times New Roman" w:cs="Times New Roman"/>
          <w:sz w:val="24"/>
          <w:szCs w:val="24"/>
        </w:rPr>
        <w:t>“</w:t>
      </w:r>
      <w:r w:rsidR="00335CEA" w:rsidRPr="00F8240E">
        <w:rPr>
          <w:rFonts w:ascii="Times New Roman" w:hAnsi="Times New Roman" w:cs="Times New Roman"/>
          <w:sz w:val="24"/>
          <w:szCs w:val="24"/>
        </w:rPr>
        <w:t>Bismarckian lite</w:t>
      </w:r>
      <w:r w:rsidR="00CB30A7"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eg Esping- Andersen</w:t>
      </w:r>
      <w:r w:rsidR="00770B82" w:rsidRPr="00F8240E">
        <w:rPr>
          <w:rFonts w:ascii="Times New Roman" w:hAnsi="Times New Roman" w:cs="Times New Roman"/>
          <w:sz w:val="24"/>
          <w:szCs w:val="24"/>
        </w:rPr>
        <w:t>,</w:t>
      </w:r>
      <w:r w:rsidR="00FE60FD" w:rsidRPr="00F8240E">
        <w:rPr>
          <w:rFonts w:ascii="Times New Roman" w:hAnsi="Times New Roman" w:cs="Times New Roman"/>
          <w:sz w:val="24"/>
          <w:szCs w:val="24"/>
        </w:rPr>
        <w:t xml:space="preserve"> 1990: 29; </w:t>
      </w:r>
      <w:r w:rsidR="00335CEA" w:rsidRPr="00F8240E">
        <w:rPr>
          <w:rFonts w:ascii="Times New Roman" w:hAnsi="Times New Roman" w:cs="Times New Roman"/>
          <w:sz w:val="24"/>
          <w:szCs w:val="24"/>
        </w:rPr>
        <w:t>Bonoli/Shinkawa</w:t>
      </w:r>
      <w:r w:rsidR="00770B82" w:rsidRPr="00F8240E">
        <w:rPr>
          <w:rFonts w:ascii="Times New Roman" w:hAnsi="Times New Roman" w:cs="Times New Roman"/>
          <w:sz w:val="24"/>
          <w:szCs w:val="24"/>
        </w:rPr>
        <w:t>,</w:t>
      </w:r>
      <w:r w:rsidR="00335CEA" w:rsidRPr="00F8240E">
        <w:rPr>
          <w:rFonts w:ascii="Times New Roman" w:hAnsi="Times New Roman" w:cs="Times New Roman"/>
          <w:sz w:val="24"/>
          <w:szCs w:val="24"/>
        </w:rPr>
        <w:t xml:space="preserve"> </w:t>
      </w:r>
      <w:r w:rsidR="00D01C3B" w:rsidRPr="00F8240E">
        <w:rPr>
          <w:rFonts w:ascii="Times New Roman" w:hAnsi="Times New Roman" w:cs="Times New Roman"/>
          <w:sz w:val="24"/>
          <w:szCs w:val="24"/>
        </w:rPr>
        <w:t>2005</w:t>
      </w:r>
      <w:r w:rsidR="00335CEA" w:rsidRPr="00F8240E">
        <w:rPr>
          <w:rFonts w:ascii="Times New Roman" w:hAnsi="Times New Roman" w:cs="Times New Roman"/>
          <w:sz w:val="24"/>
          <w:szCs w:val="24"/>
        </w:rPr>
        <w:t>)</w:t>
      </w:r>
      <w:r w:rsidR="00E84A53" w:rsidRPr="00F8240E">
        <w:rPr>
          <w:rFonts w:ascii="Times New Roman" w:hAnsi="Times New Roman" w:cs="Times New Roman"/>
          <w:sz w:val="24"/>
          <w:szCs w:val="24"/>
        </w:rPr>
        <w:t>.</w:t>
      </w:r>
      <w:r w:rsidR="003B11E7" w:rsidRPr="00F8240E">
        <w:rPr>
          <w:rFonts w:ascii="Times New Roman" w:hAnsi="Times New Roman" w:cs="Times New Roman"/>
          <w:sz w:val="24"/>
          <w:szCs w:val="24"/>
        </w:rPr>
        <w:t xml:space="preserve"> </w:t>
      </w:r>
      <w:r w:rsidR="00444DA4" w:rsidRPr="00F8240E">
        <w:rPr>
          <w:rFonts w:ascii="Times New Roman" w:hAnsi="Times New Roman" w:cs="Times New Roman"/>
          <w:sz w:val="24"/>
          <w:szCs w:val="24"/>
        </w:rPr>
        <w:t>Notwithstanding th</w:t>
      </w:r>
      <w:r w:rsidR="00E84A53" w:rsidRPr="00F8240E">
        <w:rPr>
          <w:rFonts w:ascii="Times New Roman" w:hAnsi="Times New Roman" w:cs="Times New Roman"/>
          <w:sz w:val="24"/>
          <w:szCs w:val="24"/>
        </w:rPr>
        <w:t>is</w:t>
      </w:r>
      <w:r w:rsidR="00444DA4" w:rsidRPr="00F8240E">
        <w:rPr>
          <w:rFonts w:ascii="Times New Roman" w:hAnsi="Times New Roman" w:cs="Times New Roman"/>
          <w:sz w:val="24"/>
          <w:szCs w:val="24"/>
        </w:rPr>
        <w:t xml:space="preserve"> rather marked divergenc</w:t>
      </w:r>
      <w:r w:rsidR="00E84A53" w:rsidRPr="00F8240E">
        <w:rPr>
          <w:rFonts w:ascii="Times New Roman" w:hAnsi="Times New Roman" w:cs="Times New Roman"/>
          <w:sz w:val="24"/>
          <w:szCs w:val="24"/>
        </w:rPr>
        <w:t xml:space="preserve">e, </w:t>
      </w:r>
      <w:r w:rsidR="00444DA4" w:rsidRPr="00F8240E">
        <w:rPr>
          <w:rFonts w:ascii="Times New Roman" w:hAnsi="Times New Roman" w:cs="Times New Roman"/>
          <w:sz w:val="24"/>
          <w:szCs w:val="24"/>
        </w:rPr>
        <w:t xml:space="preserve">the US public system is included in the analysis because </w:t>
      </w:r>
      <w:r w:rsidR="00E84A53" w:rsidRPr="00F8240E">
        <w:rPr>
          <w:rFonts w:ascii="Times New Roman" w:hAnsi="Times New Roman" w:cs="Times New Roman"/>
          <w:sz w:val="24"/>
          <w:szCs w:val="24"/>
        </w:rPr>
        <w:t xml:space="preserve">it </w:t>
      </w:r>
      <w:r w:rsidR="003B11E7" w:rsidRPr="00F8240E">
        <w:rPr>
          <w:rFonts w:ascii="Times New Roman" w:hAnsi="Times New Roman" w:cs="Times New Roman"/>
          <w:sz w:val="24"/>
          <w:szCs w:val="24"/>
        </w:rPr>
        <w:t>is significantly less</w:t>
      </w:r>
      <w:r w:rsidR="00E84A53" w:rsidRPr="00F8240E">
        <w:rPr>
          <w:rFonts w:ascii="Times New Roman" w:hAnsi="Times New Roman" w:cs="Times New Roman"/>
          <w:sz w:val="24"/>
          <w:szCs w:val="24"/>
        </w:rPr>
        <w:t xml:space="preserve"> generous </w:t>
      </w:r>
      <w:r w:rsidR="003B11E7" w:rsidRPr="00F8240E">
        <w:rPr>
          <w:rFonts w:ascii="Times New Roman" w:hAnsi="Times New Roman" w:cs="Times New Roman"/>
          <w:sz w:val="24"/>
          <w:szCs w:val="24"/>
        </w:rPr>
        <w:t xml:space="preserve">than typical </w:t>
      </w:r>
      <w:r w:rsidR="00E84A53" w:rsidRPr="00F8240E">
        <w:rPr>
          <w:rFonts w:ascii="Times New Roman" w:hAnsi="Times New Roman" w:cs="Times New Roman"/>
          <w:sz w:val="24"/>
          <w:szCs w:val="24"/>
        </w:rPr>
        <w:t xml:space="preserve">conservative </w:t>
      </w:r>
      <w:r w:rsidR="003B11E7" w:rsidRPr="00F8240E">
        <w:rPr>
          <w:rFonts w:ascii="Times New Roman" w:hAnsi="Times New Roman" w:cs="Times New Roman"/>
          <w:sz w:val="24"/>
          <w:szCs w:val="24"/>
        </w:rPr>
        <w:t>systems</w:t>
      </w:r>
      <w:r w:rsidR="00E84A53" w:rsidRPr="00F8240E">
        <w:rPr>
          <w:rFonts w:ascii="Times New Roman" w:hAnsi="Times New Roman" w:cs="Times New Roman"/>
          <w:sz w:val="24"/>
          <w:szCs w:val="24"/>
        </w:rPr>
        <w:t>,</w:t>
      </w:r>
      <w:r w:rsidR="003B11E7" w:rsidRPr="00F8240E">
        <w:rPr>
          <w:rFonts w:ascii="Times New Roman" w:hAnsi="Times New Roman" w:cs="Times New Roman"/>
          <w:sz w:val="24"/>
          <w:szCs w:val="24"/>
        </w:rPr>
        <w:t xml:space="preserve"> such as Austria and Germany,</w:t>
      </w:r>
      <w:r w:rsidR="00E84A53" w:rsidRPr="00F8240E">
        <w:rPr>
          <w:rStyle w:val="EndnoteReference"/>
          <w:rFonts w:ascii="Times New Roman" w:hAnsi="Times New Roman" w:cs="Times New Roman"/>
          <w:sz w:val="24"/>
          <w:szCs w:val="24"/>
        </w:rPr>
        <w:endnoteReference w:id="2"/>
      </w:r>
      <w:r w:rsidR="00E84A53" w:rsidRPr="00F8240E">
        <w:rPr>
          <w:rFonts w:ascii="Times New Roman" w:hAnsi="Times New Roman" w:cs="Times New Roman"/>
          <w:sz w:val="24"/>
          <w:szCs w:val="24"/>
        </w:rPr>
        <w:t xml:space="preserve"> and </w:t>
      </w:r>
      <w:r w:rsidR="00354D27" w:rsidRPr="00F8240E">
        <w:rPr>
          <w:rFonts w:ascii="Times New Roman" w:hAnsi="Times New Roman" w:cs="Times New Roman"/>
          <w:sz w:val="24"/>
          <w:szCs w:val="24"/>
        </w:rPr>
        <w:t>c</w:t>
      </w:r>
      <w:r w:rsidR="00E84A53" w:rsidRPr="00F8240E">
        <w:rPr>
          <w:rFonts w:ascii="Times New Roman" w:hAnsi="Times New Roman" w:cs="Times New Roman"/>
          <w:sz w:val="24"/>
          <w:szCs w:val="24"/>
        </w:rPr>
        <w:t xml:space="preserve">onsequently like in the other liberal systems, many citizens </w:t>
      </w:r>
      <w:r w:rsidR="0093186D" w:rsidRPr="00F8240E">
        <w:rPr>
          <w:rFonts w:ascii="Times New Roman" w:hAnsi="Times New Roman" w:cs="Times New Roman"/>
          <w:sz w:val="24"/>
          <w:szCs w:val="24"/>
        </w:rPr>
        <w:t>have been</w:t>
      </w:r>
      <w:r w:rsidR="00E84A53" w:rsidRPr="00F8240E">
        <w:rPr>
          <w:rFonts w:ascii="Times New Roman" w:hAnsi="Times New Roman" w:cs="Times New Roman"/>
          <w:sz w:val="24"/>
          <w:szCs w:val="24"/>
        </w:rPr>
        <w:t xml:space="preserve"> reliant for income protection on market provision.</w:t>
      </w:r>
      <w:r w:rsidR="00444DA4" w:rsidRPr="00F8240E">
        <w:rPr>
          <w:rFonts w:ascii="Times New Roman" w:hAnsi="Times New Roman" w:cs="Times New Roman"/>
          <w:sz w:val="24"/>
          <w:szCs w:val="24"/>
        </w:rPr>
        <w:t xml:space="preserve"> </w:t>
      </w:r>
      <w:r w:rsidR="0093186D" w:rsidRPr="00F8240E">
        <w:rPr>
          <w:rFonts w:ascii="Times New Roman" w:hAnsi="Times New Roman" w:cs="Times New Roman"/>
          <w:sz w:val="24"/>
          <w:szCs w:val="24"/>
        </w:rPr>
        <w:t>Such provision, mainly in the form of</w:t>
      </w:r>
      <w:r w:rsidR="00335CEA" w:rsidRPr="00F8240E">
        <w:rPr>
          <w:rFonts w:ascii="Times New Roman" w:hAnsi="Times New Roman" w:cs="Times New Roman"/>
          <w:sz w:val="24"/>
          <w:szCs w:val="24"/>
        </w:rPr>
        <w:t xml:space="preserve"> occupational, employer-sponsored pensions, existed in all six </w:t>
      </w:r>
      <w:r w:rsidR="00D553EF" w:rsidRPr="00F8240E">
        <w:rPr>
          <w:rFonts w:ascii="Times New Roman" w:hAnsi="Times New Roman" w:cs="Times New Roman"/>
          <w:sz w:val="24"/>
          <w:szCs w:val="24"/>
        </w:rPr>
        <w:t>countries</w:t>
      </w:r>
      <w:r w:rsidR="00335CEA" w:rsidRPr="00F8240E">
        <w:rPr>
          <w:rFonts w:ascii="Times New Roman" w:hAnsi="Times New Roman" w:cs="Times New Roman"/>
          <w:sz w:val="24"/>
          <w:szCs w:val="24"/>
        </w:rPr>
        <w:t xml:space="preserve"> by the early 1980s</w:t>
      </w:r>
      <w:r w:rsidR="00FE60FD" w:rsidRPr="00F8240E">
        <w:rPr>
          <w:rFonts w:ascii="Times New Roman" w:hAnsi="Times New Roman" w:cs="Times New Roman"/>
          <w:sz w:val="24"/>
          <w:szCs w:val="24"/>
        </w:rPr>
        <w:t xml:space="preserve"> with varying degrees of coverage (see table </w:t>
      </w:r>
      <w:r w:rsidR="004759C4" w:rsidRPr="00F8240E">
        <w:rPr>
          <w:rFonts w:ascii="Times New Roman" w:hAnsi="Times New Roman" w:cs="Times New Roman"/>
          <w:sz w:val="24"/>
          <w:szCs w:val="24"/>
        </w:rPr>
        <w:t>one</w:t>
      </w:r>
      <w:r w:rsidR="00FE60FD" w:rsidRPr="00F8240E">
        <w:rPr>
          <w:rFonts w:ascii="Times New Roman" w:hAnsi="Times New Roman" w:cs="Times New Roman"/>
          <w:sz w:val="24"/>
          <w:szCs w:val="24"/>
        </w:rPr>
        <w:t>). In none</w:t>
      </w:r>
      <w:r w:rsidR="00D553EF" w:rsidRPr="00F8240E">
        <w:rPr>
          <w:rFonts w:ascii="Times New Roman" w:hAnsi="Times New Roman" w:cs="Times New Roman"/>
          <w:sz w:val="24"/>
          <w:szCs w:val="24"/>
        </w:rPr>
        <w:t xml:space="preserve">, </w:t>
      </w:r>
      <w:r w:rsidR="00FE60FD" w:rsidRPr="00F8240E">
        <w:rPr>
          <w:rFonts w:ascii="Times New Roman" w:hAnsi="Times New Roman" w:cs="Times New Roman"/>
          <w:sz w:val="24"/>
          <w:szCs w:val="24"/>
        </w:rPr>
        <w:t xml:space="preserve">however, was provision mandatory nor were </w:t>
      </w:r>
      <w:r w:rsidR="00D553EF" w:rsidRPr="00F8240E">
        <w:rPr>
          <w:rFonts w:ascii="Times New Roman" w:hAnsi="Times New Roman" w:cs="Times New Roman"/>
          <w:sz w:val="24"/>
          <w:szCs w:val="24"/>
        </w:rPr>
        <w:t>employers</w:t>
      </w:r>
      <w:r w:rsidR="00FE60FD" w:rsidRPr="00F8240E">
        <w:rPr>
          <w:rFonts w:ascii="Times New Roman" w:hAnsi="Times New Roman" w:cs="Times New Roman"/>
          <w:sz w:val="24"/>
          <w:szCs w:val="24"/>
        </w:rPr>
        <w:t xml:space="preserve"> obliged to pay a contribution</w:t>
      </w:r>
      <w:r w:rsidR="00D553EF" w:rsidRPr="00F8240E">
        <w:rPr>
          <w:rFonts w:ascii="Times New Roman" w:hAnsi="Times New Roman" w:cs="Times New Roman"/>
          <w:sz w:val="24"/>
          <w:szCs w:val="24"/>
        </w:rPr>
        <w:t>.</w:t>
      </w:r>
    </w:p>
    <w:p w14:paraId="41F0F2D7" w14:textId="3041D6BC" w:rsidR="003D65A1" w:rsidRPr="00F8240E" w:rsidRDefault="003D65A1" w:rsidP="00FE60FD">
      <w:pPr>
        <w:spacing w:line="480" w:lineRule="auto"/>
        <w:jc w:val="both"/>
        <w:rPr>
          <w:rFonts w:ascii="Times New Roman" w:hAnsi="Times New Roman" w:cs="Times New Roman"/>
          <w:sz w:val="24"/>
          <w:szCs w:val="24"/>
        </w:rPr>
      </w:pPr>
      <w:r w:rsidRPr="00F8240E">
        <w:rPr>
          <w:rFonts w:ascii="Times New Roman" w:eastAsiaTheme="minorEastAsia" w:hAnsi="Times New Roman" w:cs="Times New Roman"/>
          <w:color w:val="000000" w:themeColor="text1"/>
          <w:kern w:val="24"/>
          <w:sz w:val="24"/>
          <w:szCs w:val="24"/>
          <w:lang w:eastAsia="en-GB"/>
        </w:rPr>
        <w:t xml:space="preserve">As has been seen, regime theory leads to the expectation that pension retrenchment </w:t>
      </w:r>
      <w:r w:rsidR="00632A39" w:rsidRPr="00F8240E">
        <w:rPr>
          <w:rFonts w:ascii="Times New Roman" w:eastAsiaTheme="minorEastAsia" w:hAnsi="Times New Roman" w:cs="Times New Roman"/>
          <w:color w:val="000000" w:themeColor="text1"/>
          <w:kern w:val="24"/>
          <w:sz w:val="24"/>
          <w:szCs w:val="24"/>
          <w:lang w:eastAsia="en-GB"/>
        </w:rPr>
        <w:t xml:space="preserve">since 1980 </w:t>
      </w:r>
      <w:r w:rsidRPr="00F8240E">
        <w:rPr>
          <w:rFonts w:ascii="Times New Roman" w:eastAsiaTheme="minorEastAsia" w:hAnsi="Times New Roman" w:cs="Times New Roman"/>
          <w:color w:val="000000" w:themeColor="text1"/>
          <w:kern w:val="24"/>
          <w:sz w:val="24"/>
          <w:szCs w:val="24"/>
          <w:lang w:eastAsia="en-GB"/>
        </w:rPr>
        <w:t>will be widespread in the six countries detailed above, particularly those whose systems are closest to the liberal idea type.</w:t>
      </w:r>
      <w:r w:rsidR="00D66119" w:rsidRPr="00F8240E">
        <w:rPr>
          <w:rFonts w:ascii="Times New Roman" w:eastAsiaTheme="minorEastAsia" w:hAnsi="Times New Roman" w:cs="Times New Roman"/>
          <w:color w:val="000000" w:themeColor="text1"/>
          <w:kern w:val="24"/>
          <w:sz w:val="24"/>
          <w:szCs w:val="24"/>
          <w:lang w:eastAsia="en-GB"/>
        </w:rPr>
        <w:t xml:space="preserve"> </w:t>
      </w:r>
      <w:r w:rsidR="00632A39" w:rsidRPr="00F8240E">
        <w:rPr>
          <w:rFonts w:ascii="Times New Roman" w:eastAsiaTheme="minorEastAsia" w:hAnsi="Times New Roman" w:cs="Times New Roman"/>
          <w:color w:val="000000" w:themeColor="text1"/>
          <w:kern w:val="24"/>
          <w:sz w:val="24"/>
          <w:szCs w:val="24"/>
          <w:lang w:eastAsia="en-GB"/>
        </w:rPr>
        <w:t>But</w:t>
      </w:r>
      <w:r w:rsidR="00D66119" w:rsidRPr="00F8240E">
        <w:rPr>
          <w:rFonts w:ascii="Times New Roman" w:eastAsiaTheme="minorEastAsia" w:hAnsi="Times New Roman" w:cs="Times New Roman"/>
          <w:color w:val="000000" w:themeColor="text1"/>
          <w:kern w:val="24"/>
          <w:sz w:val="24"/>
          <w:szCs w:val="24"/>
          <w:lang w:eastAsia="en-GB"/>
        </w:rPr>
        <w:t xml:space="preserve"> in</w:t>
      </w:r>
      <w:r w:rsidRPr="00F8240E">
        <w:rPr>
          <w:rFonts w:ascii="Times New Roman" w:eastAsiaTheme="minorEastAsia" w:hAnsi="Times New Roman" w:cs="Times New Roman"/>
          <w:color w:val="000000" w:themeColor="text1"/>
          <w:kern w:val="24"/>
          <w:sz w:val="24"/>
          <w:szCs w:val="24"/>
          <w:lang w:eastAsia="en-GB"/>
        </w:rPr>
        <w:t xml:space="preserve"> test</w:t>
      </w:r>
      <w:r w:rsidR="00D66119" w:rsidRPr="00F8240E">
        <w:rPr>
          <w:rFonts w:ascii="Times New Roman" w:eastAsiaTheme="minorEastAsia" w:hAnsi="Times New Roman" w:cs="Times New Roman"/>
          <w:color w:val="000000" w:themeColor="text1"/>
          <w:kern w:val="24"/>
          <w:sz w:val="24"/>
          <w:szCs w:val="24"/>
          <w:lang w:eastAsia="en-GB"/>
        </w:rPr>
        <w:t>ing</w:t>
      </w:r>
      <w:r w:rsidRPr="00F8240E">
        <w:rPr>
          <w:rFonts w:ascii="Times New Roman" w:eastAsiaTheme="minorEastAsia" w:hAnsi="Times New Roman" w:cs="Times New Roman"/>
          <w:color w:val="000000" w:themeColor="text1"/>
          <w:kern w:val="24"/>
          <w:sz w:val="24"/>
          <w:szCs w:val="24"/>
          <w:lang w:eastAsia="en-GB"/>
        </w:rPr>
        <w:t xml:space="preserve"> this prediction</w:t>
      </w:r>
      <w:r w:rsidR="00632A39" w:rsidRPr="00F8240E">
        <w:rPr>
          <w:rFonts w:ascii="Times New Roman" w:eastAsiaTheme="minorEastAsia" w:hAnsi="Times New Roman" w:cs="Times New Roman"/>
          <w:color w:val="000000" w:themeColor="text1"/>
          <w:kern w:val="24"/>
          <w:sz w:val="24"/>
          <w:szCs w:val="24"/>
          <w:lang w:eastAsia="en-GB"/>
        </w:rPr>
        <w:t xml:space="preserve">, </w:t>
      </w:r>
      <w:r w:rsidR="00D66119" w:rsidRPr="00F8240E">
        <w:rPr>
          <w:rFonts w:ascii="Times New Roman" w:eastAsiaTheme="minorEastAsia" w:hAnsi="Times New Roman" w:cs="Times New Roman"/>
          <w:color w:val="000000" w:themeColor="text1"/>
          <w:kern w:val="24"/>
          <w:sz w:val="24"/>
          <w:szCs w:val="24"/>
          <w:lang w:eastAsia="en-GB"/>
        </w:rPr>
        <w:t xml:space="preserve">how </w:t>
      </w:r>
      <w:r w:rsidR="00632A39" w:rsidRPr="00F8240E">
        <w:rPr>
          <w:rFonts w:ascii="Times New Roman" w:eastAsiaTheme="minorEastAsia" w:hAnsi="Times New Roman" w:cs="Times New Roman"/>
          <w:color w:val="000000" w:themeColor="text1"/>
          <w:kern w:val="24"/>
          <w:sz w:val="24"/>
          <w:szCs w:val="24"/>
          <w:lang w:eastAsia="en-GB"/>
        </w:rPr>
        <w:t xml:space="preserve">should </w:t>
      </w:r>
      <w:r w:rsidR="00D66119" w:rsidRPr="00F8240E">
        <w:rPr>
          <w:rFonts w:ascii="Times New Roman" w:eastAsiaTheme="minorEastAsia" w:hAnsi="Times New Roman" w:cs="Times New Roman"/>
          <w:color w:val="000000" w:themeColor="text1"/>
          <w:kern w:val="24"/>
          <w:sz w:val="24"/>
          <w:szCs w:val="24"/>
          <w:lang w:eastAsia="en-GB"/>
        </w:rPr>
        <w:t>pension syst</w:t>
      </w:r>
      <w:r w:rsidR="00B96432" w:rsidRPr="00F8240E">
        <w:rPr>
          <w:rFonts w:ascii="Times New Roman" w:eastAsiaTheme="minorEastAsia" w:hAnsi="Times New Roman" w:cs="Times New Roman"/>
          <w:color w:val="000000" w:themeColor="text1"/>
          <w:kern w:val="24"/>
          <w:sz w:val="24"/>
          <w:szCs w:val="24"/>
          <w:lang w:eastAsia="en-GB"/>
        </w:rPr>
        <w:t>em</w:t>
      </w:r>
      <w:r w:rsidR="00D66119" w:rsidRPr="00F8240E">
        <w:rPr>
          <w:rFonts w:ascii="Times New Roman" w:eastAsiaTheme="minorEastAsia" w:hAnsi="Times New Roman" w:cs="Times New Roman"/>
          <w:color w:val="000000" w:themeColor="text1"/>
          <w:kern w:val="24"/>
          <w:sz w:val="24"/>
          <w:szCs w:val="24"/>
          <w:lang w:eastAsia="en-GB"/>
        </w:rPr>
        <w:t xml:space="preserve"> change </w:t>
      </w:r>
      <w:r w:rsidR="00632A39" w:rsidRPr="00F8240E">
        <w:rPr>
          <w:rFonts w:ascii="Times New Roman" w:eastAsiaTheme="minorEastAsia" w:hAnsi="Times New Roman" w:cs="Times New Roman"/>
          <w:color w:val="000000" w:themeColor="text1"/>
          <w:kern w:val="24"/>
          <w:sz w:val="24"/>
          <w:szCs w:val="24"/>
          <w:lang w:eastAsia="en-GB"/>
        </w:rPr>
        <w:t>be</w:t>
      </w:r>
      <w:r w:rsidR="00D66119" w:rsidRPr="00F8240E">
        <w:rPr>
          <w:rFonts w:ascii="Times New Roman" w:eastAsiaTheme="minorEastAsia" w:hAnsi="Times New Roman" w:cs="Times New Roman"/>
          <w:color w:val="000000" w:themeColor="text1"/>
          <w:kern w:val="24"/>
          <w:sz w:val="24"/>
          <w:szCs w:val="24"/>
          <w:lang w:eastAsia="en-GB"/>
        </w:rPr>
        <w:t xml:space="preserve"> </w:t>
      </w:r>
      <w:r w:rsidRPr="00F8240E">
        <w:rPr>
          <w:rFonts w:ascii="Times New Roman" w:eastAsiaTheme="minorEastAsia" w:hAnsi="Times New Roman" w:cs="Times New Roman"/>
          <w:color w:val="000000" w:themeColor="text1"/>
          <w:kern w:val="24"/>
          <w:sz w:val="24"/>
          <w:szCs w:val="24"/>
          <w:lang w:eastAsia="en-GB"/>
        </w:rPr>
        <w:t>conceptual</w:t>
      </w:r>
      <w:r w:rsidR="00770B82" w:rsidRPr="00F8240E">
        <w:rPr>
          <w:rFonts w:ascii="Times New Roman" w:eastAsiaTheme="minorEastAsia" w:hAnsi="Times New Roman" w:cs="Times New Roman"/>
          <w:color w:val="000000" w:themeColor="text1"/>
          <w:kern w:val="24"/>
          <w:sz w:val="24"/>
          <w:szCs w:val="24"/>
          <w:lang w:eastAsia="en-GB"/>
        </w:rPr>
        <w:t>ize</w:t>
      </w:r>
      <w:r w:rsidR="00D66119" w:rsidRPr="00F8240E">
        <w:rPr>
          <w:rFonts w:ascii="Times New Roman" w:eastAsiaTheme="minorEastAsia" w:hAnsi="Times New Roman" w:cs="Times New Roman"/>
          <w:color w:val="000000" w:themeColor="text1"/>
          <w:kern w:val="24"/>
          <w:sz w:val="24"/>
          <w:szCs w:val="24"/>
          <w:lang w:eastAsia="en-GB"/>
        </w:rPr>
        <w:t>d</w:t>
      </w:r>
      <w:r w:rsidRPr="00F8240E">
        <w:rPr>
          <w:rFonts w:ascii="Times New Roman" w:eastAsiaTheme="minorEastAsia" w:hAnsi="Times New Roman" w:cs="Times New Roman"/>
          <w:color w:val="000000" w:themeColor="text1"/>
          <w:kern w:val="24"/>
          <w:sz w:val="24"/>
          <w:szCs w:val="24"/>
          <w:lang w:eastAsia="en-GB"/>
        </w:rPr>
        <w:t xml:space="preserve"> and measure</w:t>
      </w:r>
      <w:r w:rsidR="00D66119" w:rsidRPr="00F8240E">
        <w:rPr>
          <w:rFonts w:ascii="Times New Roman" w:eastAsiaTheme="minorEastAsia" w:hAnsi="Times New Roman" w:cs="Times New Roman"/>
          <w:color w:val="000000" w:themeColor="text1"/>
          <w:kern w:val="24"/>
          <w:sz w:val="24"/>
          <w:szCs w:val="24"/>
          <w:lang w:eastAsia="en-GB"/>
        </w:rPr>
        <w:t>d</w:t>
      </w:r>
      <w:r w:rsidR="00632A39" w:rsidRPr="00F8240E">
        <w:rPr>
          <w:rFonts w:ascii="Times New Roman" w:eastAsiaTheme="minorEastAsia" w:hAnsi="Times New Roman" w:cs="Times New Roman"/>
          <w:color w:val="000000" w:themeColor="text1"/>
          <w:kern w:val="24"/>
          <w:sz w:val="24"/>
          <w:szCs w:val="24"/>
          <w:lang w:eastAsia="en-GB"/>
        </w:rPr>
        <w:t xml:space="preserve">? </w:t>
      </w:r>
    </w:p>
    <w:p w14:paraId="7C239018" w14:textId="77777777" w:rsidR="00335CEA" w:rsidRPr="00F8240E" w:rsidRDefault="00335CEA" w:rsidP="004943B5">
      <w:pPr>
        <w:spacing w:line="480" w:lineRule="auto"/>
        <w:jc w:val="both"/>
        <w:rPr>
          <w:rFonts w:ascii="Times New Roman" w:hAnsi="Times New Roman" w:cs="Times New Roman"/>
          <w:sz w:val="24"/>
          <w:szCs w:val="24"/>
        </w:rPr>
      </w:pPr>
    </w:p>
    <w:p w14:paraId="5FF9155E" w14:textId="52F19F48" w:rsidR="00C25CB0" w:rsidRPr="00F8240E" w:rsidRDefault="009170FE" w:rsidP="004943B5">
      <w:pPr>
        <w:spacing w:line="480" w:lineRule="auto"/>
        <w:jc w:val="both"/>
        <w:rPr>
          <w:rFonts w:ascii="Times New Roman" w:eastAsiaTheme="minorEastAsia" w:hAnsi="Times New Roman" w:cs="Times New Roman"/>
          <w:color w:val="000000" w:themeColor="text1"/>
          <w:kern w:val="24"/>
          <w:sz w:val="24"/>
          <w:szCs w:val="24"/>
          <w:lang w:eastAsia="en-GB"/>
        </w:rPr>
      </w:pPr>
      <w:r w:rsidRPr="00F8240E">
        <w:rPr>
          <w:rFonts w:ascii="Times New Roman" w:eastAsiaTheme="minorEastAsia" w:hAnsi="Times New Roman" w:cs="Times New Roman"/>
          <w:color w:val="000000" w:themeColor="text1"/>
          <w:kern w:val="24"/>
          <w:sz w:val="24"/>
          <w:szCs w:val="24"/>
          <w:lang w:eastAsia="en-GB"/>
        </w:rPr>
        <w:t>3. CONCEPTUALISING AND MEASURING WELFARE STATE CHANGE</w:t>
      </w:r>
    </w:p>
    <w:p w14:paraId="503D4860" w14:textId="69C88FC7" w:rsidR="00590D6E" w:rsidRPr="00F8240E" w:rsidRDefault="009170FE" w:rsidP="004943B5">
      <w:pPr>
        <w:spacing w:line="480" w:lineRule="auto"/>
        <w:jc w:val="both"/>
        <w:rPr>
          <w:rFonts w:ascii="Times New Roman" w:eastAsiaTheme="minorEastAsia" w:hAnsi="Times New Roman" w:cs="Times New Roman"/>
          <w:color w:val="000000" w:themeColor="text1"/>
          <w:kern w:val="24"/>
          <w:sz w:val="24"/>
          <w:szCs w:val="24"/>
          <w:lang w:eastAsia="en-GB"/>
        </w:rPr>
      </w:pPr>
      <w:r w:rsidRPr="00F8240E">
        <w:rPr>
          <w:rFonts w:ascii="Times New Roman" w:eastAsiaTheme="minorEastAsia" w:hAnsi="Times New Roman" w:cs="Times New Roman"/>
          <w:color w:val="000000" w:themeColor="text1"/>
          <w:kern w:val="24"/>
          <w:sz w:val="24"/>
          <w:szCs w:val="24"/>
          <w:lang w:eastAsia="en-GB"/>
        </w:rPr>
        <w:t xml:space="preserve">3.1 </w:t>
      </w:r>
      <w:r w:rsidR="00590D6E" w:rsidRPr="00F8240E">
        <w:rPr>
          <w:rFonts w:ascii="Times New Roman" w:eastAsiaTheme="minorEastAsia" w:hAnsi="Times New Roman" w:cs="Times New Roman"/>
          <w:color w:val="000000" w:themeColor="text1"/>
          <w:kern w:val="24"/>
          <w:sz w:val="24"/>
          <w:szCs w:val="24"/>
          <w:lang w:eastAsia="en-GB"/>
        </w:rPr>
        <w:t>Conceptualisation</w:t>
      </w:r>
    </w:p>
    <w:p w14:paraId="71B5B15B" w14:textId="1FE73496" w:rsidR="00C25CB0" w:rsidRPr="00F8240E" w:rsidRDefault="00B96432" w:rsidP="004943B5">
      <w:pPr>
        <w:spacing w:line="480" w:lineRule="auto"/>
        <w:jc w:val="both"/>
        <w:rPr>
          <w:rFonts w:ascii="Times New Roman" w:hAnsi="Times New Roman" w:cs="Times New Roman"/>
          <w:sz w:val="24"/>
          <w:szCs w:val="24"/>
        </w:rPr>
      </w:pPr>
      <w:r w:rsidRPr="00F8240E">
        <w:rPr>
          <w:rFonts w:ascii="Times New Roman" w:eastAsiaTheme="minorEastAsia" w:hAnsi="Times New Roman" w:cs="Times New Roman"/>
          <w:color w:val="000000" w:themeColor="text1"/>
          <w:kern w:val="24"/>
          <w:sz w:val="24"/>
          <w:szCs w:val="24"/>
          <w:lang w:eastAsia="en-GB"/>
        </w:rPr>
        <w:t>C</w:t>
      </w:r>
      <w:r w:rsidR="00C25CB0" w:rsidRPr="00F8240E">
        <w:rPr>
          <w:rFonts w:ascii="Times New Roman" w:eastAsiaTheme="minorEastAsia" w:hAnsi="Times New Roman" w:cs="Times New Roman"/>
          <w:color w:val="000000" w:themeColor="text1"/>
          <w:kern w:val="24"/>
          <w:sz w:val="24"/>
          <w:szCs w:val="24"/>
          <w:lang w:eastAsia="en-GB"/>
        </w:rPr>
        <w:t>oncerns about</w:t>
      </w:r>
      <w:r w:rsidRPr="00F8240E">
        <w:rPr>
          <w:rFonts w:ascii="Times New Roman" w:eastAsiaTheme="minorEastAsia" w:hAnsi="Times New Roman" w:cs="Times New Roman"/>
          <w:color w:val="000000" w:themeColor="text1"/>
          <w:kern w:val="24"/>
          <w:sz w:val="24"/>
          <w:szCs w:val="24"/>
          <w:lang w:eastAsia="en-GB"/>
        </w:rPr>
        <w:t xml:space="preserve"> the conceptualisation of the welfare state first arose </w:t>
      </w:r>
      <w:r w:rsidR="007A0919" w:rsidRPr="00F8240E">
        <w:rPr>
          <w:rFonts w:ascii="Times New Roman" w:eastAsiaTheme="minorEastAsia" w:hAnsi="Times New Roman" w:cs="Times New Roman"/>
          <w:color w:val="000000" w:themeColor="text1"/>
          <w:kern w:val="24"/>
          <w:sz w:val="24"/>
          <w:szCs w:val="24"/>
          <w:lang w:eastAsia="en-GB"/>
        </w:rPr>
        <w:t>in relation to</w:t>
      </w:r>
      <w:r w:rsidRPr="00F8240E">
        <w:rPr>
          <w:rFonts w:ascii="Times New Roman" w:eastAsiaTheme="minorEastAsia" w:hAnsi="Times New Roman" w:cs="Times New Roman"/>
          <w:color w:val="000000" w:themeColor="text1"/>
          <w:kern w:val="24"/>
          <w:sz w:val="24"/>
          <w:szCs w:val="24"/>
          <w:lang w:eastAsia="en-GB"/>
        </w:rPr>
        <w:t xml:space="preserve"> the primacy accorded to</w:t>
      </w:r>
      <w:r w:rsidR="00C25CB0" w:rsidRPr="00F8240E">
        <w:rPr>
          <w:rFonts w:ascii="Times New Roman" w:eastAsiaTheme="minorEastAsia" w:hAnsi="Times New Roman" w:cs="Times New Roman"/>
          <w:color w:val="000000" w:themeColor="text1"/>
          <w:kern w:val="24"/>
          <w:sz w:val="24"/>
          <w:szCs w:val="24"/>
          <w:lang w:eastAsia="en-GB"/>
        </w:rPr>
        <w:t xml:space="preserve"> social expenditure in explaining its expansion (Esping-Andersen</w:t>
      </w:r>
      <w:r w:rsidR="00770B82" w:rsidRPr="00F8240E">
        <w:rPr>
          <w:rFonts w:ascii="Times New Roman" w:eastAsiaTheme="minorEastAsia" w:hAnsi="Times New Roman" w:cs="Times New Roman"/>
          <w:color w:val="000000" w:themeColor="text1"/>
          <w:kern w:val="24"/>
          <w:sz w:val="24"/>
          <w:szCs w:val="24"/>
          <w:lang w:eastAsia="en-GB"/>
        </w:rPr>
        <w:t>,</w:t>
      </w:r>
      <w:r w:rsidR="00C25CB0" w:rsidRPr="00F8240E">
        <w:rPr>
          <w:rFonts w:ascii="Times New Roman" w:eastAsiaTheme="minorEastAsia" w:hAnsi="Times New Roman" w:cs="Times New Roman"/>
          <w:color w:val="000000" w:themeColor="text1"/>
          <w:kern w:val="24"/>
          <w:sz w:val="24"/>
          <w:szCs w:val="24"/>
          <w:lang w:eastAsia="en-GB"/>
        </w:rPr>
        <w:t xml:space="preserve"> 1990</w:t>
      </w:r>
      <w:r w:rsidR="008A3712" w:rsidRPr="00F8240E">
        <w:rPr>
          <w:rFonts w:ascii="Times New Roman" w:eastAsiaTheme="minorEastAsia" w:hAnsi="Times New Roman" w:cs="Times New Roman"/>
          <w:color w:val="000000" w:themeColor="text1"/>
          <w:kern w:val="24"/>
          <w:sz w:val="24"/>
          <w:szCs w:val="24"/>
          <w:lang w:eastAsia="en-GB"/>
        </w:rPr>
        <w:t xml:space="preserve">; see also Clasen </w:t>
      </w:r>
      <w:r w:rsidR="00803B22" w:rsidRPr="00F8240E">
        <w:rPr>
          <w:rFonts w:ascii="Times New Roman" w:eastAsiaTheme="minorEastAsia" w:hAnsi="Times New Roman" w:cs="Times New Roman"/>
          <w:color w:val="000000" w:themeColor="text1"/>
          <w:kern w:val="24"/>
          <w:sz w:val="24"/>
          <w:szCs w:val="24"/>
          <w:lang w:eastAsia="en-GB"/>
        </w:rPr>
        <w:t>&amp;</w:t>
      </w:r>
      <w:r w:rsidR="008A3712" w:rsidRPr="00F8240E">
        <w:rPr>
          <w:rFonts w:ascii="Times New Roman" w:eastAsiaTheme="minorEastAsia" w:hAnsi="Times New Roman" w:cs="Times New Roman"/>
          <w:color w:val="000000" w:themeColor="text1"/>
          <w:kern w:val="24"/>
          <w:sz w:val="24"/>
          <w:szCs w:val="24"/>
          <w:lang w:eastAsia="en-GB"/>
        </w:rPr>
        <w:t xml:space="preserve"> Siegel</w:t>
      </w:r>
      <w:r w:rsidR="00770B82" w:rsidRPr="00F8240E">
        <w:rPr>
          <w:rFonts w:ascii="Times New Roman" w:eastAsiaTheme="minorEastAsia" w:hAnsi="Times New Roman" w:cs="Times New Roman"/>
          <w:color w:val="000000" w:themeColor="text1"/>
          <w:kern w:val="24"/>
          <w:sz w:val="24"/>
          <w:szCs w:val="24"/>
          <w:lang w:eastAsia="en-GB"/>
        </w:rPr>
        <w:t>,</w:t>
      </w:r>
      <w:r w:rsidR="008A3712" w:rsidRPr="00F8240E">
        <w:rPr>
          <w:rFonts w:ascii="Times New Roman" w:eastAsiaTheme="minorEastAsia" w:hAnsi="Times New Roman" w:cs="Times New Roman"/>
          <w:color w:val="000000" w:themeColor="text1"/>
          <w:kern w:val="24"/>
          <w:sz w:val="24"/>
          <w:szCs w:val="24"/>
          <w:lang w:eastAsia="en-GB"/>
        </w:rPr>
        <w:t xml:space="preserve"> 2007). </w:t>
      </w:r>
      <w:r w:rsidR="00C25CB0" w:rsidRPr="00F8240E">
        <w:rPr>
          <w:rFonts w:ascii="Times New Roman" w:eastAsiaTheme="minorEastAsia" w:hAnsi="Times New Roman" w:cs="Times New Roman"/>
          <w:color w:val="000000" w:themeColor="text1"/>
          <w:kern w:val="24"/>
          <w:sz w:val="24"/>
          <w:szCs w:val="24"/>
          <w:lang w:eastAsia="en-GB"/>
        </w:rPr>
        <w:t>This missed</w:t>
      </w:r>
      <w:r w:rsidR="008A3712" w:rsidRPr="00F8240E">
        <w:rPr>
          <w:rFonts w:ascii="Times New Roman" w:hAnsi="Times New Roman" w:cs="Times New Roman"/>
          <w:sz w:val="24"/>
          <w:szCs w:val="24"/>
        </w:rPr>
        <w:t xml:space="preserve"> essen</w:t>
      </w:r>
      <w:r w:rsidRPr="00F8240E">
        <w:rPr>
          <w:rFonts w:ascii="Times New Roman" w:hAnsi="Times New Roman" w:cs="Times New Roman"/>
          <w:sz w:val="24"/>
          <w:szCs w:val="24"/>
        </w:rPr>
        <w:t xml:space="preserve">tial aspects of the </w:t>
      </w:r>
      <w:r w:rsidR="008A3712" w:rsidRPr="00F8240E">
        <w:rPr>
          <w:rFonts w:ascii="Times New Roman" w:hAnsi="Times New Roman" w:cs="Times New Roman"/>
          <w:sz w:val="24"/>
          <w:szCs w:val="24"/>
        </w:rPr>
        <w:t>welfare state, it was argued</w:t>
      </w:r>
      <w:r w:rsidR="00792D56" w:rsidRPr="00F8240E">
        <w:rPr>
          <w:rFonts w:ascii="Times New Roman" w:hAnsi="Times New Roman" w:cs="Times New Roman"/>
          <w:sz w:val="24"/>
          <w:szCs w:val="24"/>
        </w:rPr>
        <w:t xml:space="preserve"> </w:t>
      </w:r>
      <w:r w:rsidR="008A3712" w:rsidRPr="00F8240E">
        <w:rPr>
          <w:rFonts w:ascii="Times New Roman" w:hAnsi="Times New Roman" w:cs="Times New Roman"/>
          <w:sz w:val="24"/>
          <w:szCs w:val="24"/>
        </w:rPr>
        <w:t>(Esping-Andersen</w:t>
      </w:r>
      <w:r w:rsidR="00770B82" w:rsidRPr="00F8240E">
        <w:rPr>
          <w:rFonts w:ascii="Times New Roman" w:hAnsi="Times New Roman" w:cs="Times New Roman"/>
          <w:sz w:val="24"/>
          <w:szCs w:val="24"/>
        </w:rPr>
        <w:t>,</w:t>
      </w:r>
      <w:r w:rsidR="008A3712" w:rsidRPr="00F8240E">
        <w:rPr>
          <w:rFonts w:ascii="Times New Roman" w:hAnsi="Times New Roman" w:cs="Times New Roman"/>
          <w:sz w:val="24"/>
          <w:szCs w:val="24"/>
        </w:rPr>
        <w:t xml:space="preserve"> 1990: 2), </w:t>
      </w:r>
      <w:r w:rsidR="00C25CB0" w:rsidRPr="00F8240E">
        <w:rPr>
          <w:rFonts w:ascii="Times New Roman" w:eastAsiaTheme="minorEastAsia" w:hAnsi="Times New Roman" w:cs="Times New Roman"/>
          <w:color w:val="000000" w:themeColor="text1"/>
          <w:kern w:val="24"/>
          <w:sz w:val="24"/>
          <w:szCs w:val="24"/>
          <w:lang w:eastAsia="en-GB"/>
        </w:rPr>
        <w:t>such as its</w:t>
      </w:r>
      <w:r w:rsidR="00C25CB0" w:rsidRPr="00F8240E">
        <w:rPr>
          <w:rFonts w:ascii="Times New Roman" w:hAnsi="Times New Roman" w:cs="Times New Roman"/>
          <w:sz w:val="24"/>
          <w:szCs w:val="24"/>
        </w:rPr>
        <w:t xml:space="preserve"> distributional logic and whether and how social rights were extended (</w:t>
      </w:r>
      <w:bookmarkStart w:id="13" w:name="_Hlk512266602"/>
      <w:r w:rsidR="00C25CB0" w:rsidRPr="00F8240E">
        <w:rPr>
          <w:rFonts w:ascii="Times New Roman" w:hAnsi="Times New Roman" w:cs="Times New Roman"/>
          <w:sz w:val="24"/>
          <w:szCs w:val="24"/>
        </w:rPr>
        <w:t>Siegel</w:t>
      </w:r>
      <w:r w:rsidR="00770B82" w:rsidRPr="00F8240E">
        <w:rPr>
          <w:rFonts w:ascii="Times New Roman" w:hAnsi="Times New Roman" w:cs="Times New Roman"/>
          <w:sz w:val="24"/>
          <w:szCs w:val="24"/>
        </w:rPr>
        <w:t>,</w:t>
      </w:r>
      <w:r w:rsidR="00C25CB0" w:rsidRPr="00F8240E">
        <w:rPr>
          <w:rFonts w:ascii="Times New Roman" w:hAnsi="Times New Roman" w:cs="Times New Roman"/>
          <w:sz w:val="24"/>
          <w:szCs w:val="24"/>
        </w:rPr>
        <w:t xml:space="preserve"> 2007</w:t>
      </w:r>
      <w:bookmarkEnd w:id="13"/>
      <w:r w:rsidR="00C25CB0" w:rsidRPr="00F8240E">
        <w:rPr>
          <w:rFonts w:ascii="Times New Roman" w:hAnsi="Times New Roman" w:cs="Times New Roman"/>
          <w:sz w:val="24"/>
          <w:szCs w:val="24"/>
        </w:rPr>
        <w:t xml:space="preserve">). It also </w:t>
      </w:r>
      <w:r w:rsidR="008A3712" w:rsidRPr="00F8240E">
        <w:rPr>
          <w:rFonts w:ascii="Times New Roman" w:hAnsi="Times New Roman" w:cs="Times New Roman"/>
          <w:sz w:val="24"/>
          <w:szCs w:val="24"/>
        </w:rPr>
        <w:t>ignored f</w:t>
      </w:r>
      <w:r w:rsidR="00C25CB0" w:rsidRPr="00F8240E">
        <w:rPr>
          <w:rFonts w:ascii="Times New Roman" w:hAnsi="Times New Roman" w:cs="Times New Roman"/>
          <w:sz w:val="24"/>
          <w:szCs w:val="24"/>
        </w:rPr>
        <w:t>iscal and regulatory</w:t>
      </w:r>
      <w:r w:rsidR="008A3712" w:rsidRPr="00F8240E">
        <w:rPr>
          <w:rFonts w:ascii="Times New Roman" w:hAnsi="Times New Roman" w:cs="Times New Roman"/>
          <w:sz w:val="24"/>
          <w:szCs w:val="24"/>
        </w:rPr>
        <w:t xml:space="preserve"> interventions </w:t>
      </w:r>
      <w:r w:rsidR="00C25CB0" w:rsidRPr="00F8240E">
        <w:rPr>
          <w:rFonts w:ascii="Times New Roman" w:hAnsi="Times New Roman" w:cs="Times New Roman"/>
          <w:sz w:val="24"/>
          <w:szCs w:val="24"/>
        </w:rPr>
        <w:t>affect</w:t>
      </w:r>
      <w:r w:rsidR="008A3712" w:rsidRPr="00F8240E">
        <w:rPr>
          <w:rFonts w:ascii="Times New Roman" w:hAnsi="Times New Roman" w:cs="Times New Roman"/>
          <w:sz w:val="24"/>
          <w:szCs w:val="24"/>
        </w:rPr>
        <w:t>ing</w:t>
      </w:r>
      <w:r w:rsidR="00C25CB0" w:rsidRPr="00F8240E">
        <w:rPr>
          <w:rFonts w:ascii="Times New Roman" w:hAnsi="Times New Roman" w:cs="Times New Roman"/>
          <w:sz w:val="24"/>
          <w:szCs w:val="24"/>
        </w:rPr>
        <w:t xml:space="preserve"> income distribution and welfare outcomes. Esping-Andersen’s construction of three welfare regimes us</w:t>
      </w:r>
      <w:r w:rsidR="00792D56" w:rsidRPr="00F8240E">
        <w:rPr>
          <w:rFonts w:ascii="Times New Roman" w:hAnsi="Times New Roman" w:cs="Times New Roman"/>
          <w:sz w:val="24"/>
          <w:szCs w:val="24"/>
        </w:rPr>
        <w:t>ed</w:t>
      </w:r>
      <w:r w:rsidR="00C25CB0" w:rsidRPr="00F8240E">
        <w:rPr>
          <w:rFonts w:ascii="Times New Roman" w:hAnsi="Times New Roman" w:cs="Times New Roman"/>
          <w:sz w:val="24"/>
          <w:szCs w:val="24"/>
        </w:rPr>
        <w:t xml:space="preserve"> measures (decommodification and stratification) which sought more fully to capture </w:t>
      </w:r>
      <w:r w:rsidR="00792D56" w:rsidRPr="00F8240E">
        <w:rPr>
          <w:rFonts w:ascii="Times New Roman" w:hAnsi="Times New Roman" w:cs="Times New Roman"/>
          <w:sz w:val="24"/>
          <w:szCs w:val="24"/>
        </w:rPr>
        <w:t>these essential aspects.</w:t>
      </w:r>
    </w:p>
    <w:p w14:paraId="6261D3B6" w14:textId="10DF73B0" w:rsidR="00C25CB0" w:rsidRPr="00F8240E" w:rsidRDefault="00C25CB0" w:rsidP="004943B5">
      <w:pPr>
        <w:spacing w:line="480" w:lineRule="auto"/>
        <w:jc w:val="both"/>
        <w:rPr>
          <w:rFonts w:ascii="Times New Roman" w:eastAsiaTheme="minorEastAsia" w:hAnsi="Times New Roman" w:cs="Times New Roman"/>
          <w:color w:val="000000" w:themeColor="text1"/>
          <w:kern w:val="24"/>
          <w:sz w:val="24"/>
          <w:szCs w:val="24"/>
          <w:lang w:eastAsia="en-GB"/>
        </w:rPr>
      </w:pPr>
      <w:r w:rsidRPr="00F8240E">
        <w:rPr>
          <w:rFonts w:ascii="Times New Roman" w:hAnsi="Times New Roman" w:cs="Times New Roman"/>
          <w:sz w:val="24"/>
          <w:szCs w:val="24"/>
        </w:rPr>
        <w:t xml:space="preserve">An influential </w:t>
      </w:r>
      <w:r w:rsidR="0018079B" w:rsidRPr="00F8240E">
        <w:rPr>
          <w:rFonts w:ascii="Times New Roman" w:hAnsi="Times New Roman" w:cs="Times New Roman"/>
          <w:sz w:val="24"/>
          <w:szCs w:val="24"/>
        </w:rPr>
        <w:t xml:space="preserve">way of </w:t>
      </w:r>
      <w:r w:rsidR="009170FE" w:rsidRPr="00F8240E">
        <w:rPr>
          <w:rFonts w:ascii="Times New Roman" w:hAnsi="Times New Roman" w:cs="Times New Roman"/>
          <w:sz w:val="24"/>
          <w:szCs w:val="24"/>
        </w:rPr>
        <w:t xml:space="preserve">managing </w:t>
      </w:r>
      <w:r w:rsidR="0018079B" w:rsidRPr="00F8240E">
        <w:rPr>
          <w:rFonts w:ascii="Times New Roman" w:hAnsi="Times New Roman" w:cs="Times New Roman"/>
          <w:sz w:val="24"/>
          <w:szCs w:val="24"/>
        </w:rPr>
        <w:t>th</w:t>
      </w:r>
      <w:r w:rsidR="009170FE" w:rsidRPr="00F8240E">
        <w:rPr>
          <w:rFonts w:ascii="Times New Roman" w:hAnsi="Times New Roman" w:cs="Times New Roman"/>
          <w:sz w:val="24"/>
          <w:szCs w:val="24"/>
        </w:rPr>
        <w:t>is conceptual</w:t>
      </w:r>
      <w:r w:rsidR="0018079B" w:rsidRPr="00F8240E">
        <w:rPr>
          <w:rFonts w:ascii="Times New Roman" w:hAnsi="Times New Roman" w:cs="Times New Roman"/>
          <w:sz w:val="24"/>
          <w:szCs w:val="24"/>
        </w:rPr>
        <w:t xml:space="preserve"> issue in the post-austerity context </w:t>
      </w:r>
      <w:r w:rsidR="003D65A1" w:rsidRPr="00F8240E">
        <w:rPr>
          <w:rFonts w:ascii="Times New Roman" w:hAnsi="Times New Roman" w:cs="Times New Roman"/>
          <w:sz w:val="24"/>
          <w:szCs w:val="24"/>
        </w:rPr>
        <w:t>has been</w:t>
      </w:r>
      <w:r w:rsidRPr="00F8240E">
        <w:rPr>
          <w:rFonts w:ascii="Times New Roman" w:hAnsi="Times New Roman" w:cs="Times New Roman"/>
          <w:sz w:val="24"/>
          <w:szCs w:val="24"/>
        </w:rPr>
        <w:t xml:space="preserve"> Paul Pierson’s conceptualisation of welfare state change into three dimensions -</w:t>
      </w:r>
      <w:r w:rsidRPr="00F8240E">
        <w:rPr>
          <w:rFonts w:ascii="Times New Roman" w:eastAsiaTheme="minorEastAsia" w:hAnsi="Times New Roman" w:cs="Times New Roman"/>
          <w:color w:val="000000" w:themeColor="text1"/>
          <w:kern w:val="24"/>
          <w:sz w:val="24"/>
          <w:szCs w:val="24"/>
          <w:lang w:eastAsia="en-GB"/>
        </w:rPr>
        <w:t xml:space="preserve"> </w:t>
      </w:r>
      <w:r w:rsidRPr="00F8240E">
        <w:rPr>
          <w:rFonts w:ascii="Times New Roman" w:eastAsiaTheme="minorEastAsia" w:hAnsi="Times New Roman" w:cs="Times New Roman"/>
          <w:i/>
          <w:color w:val="000000" w:themeColor="text1"/>
          <w:kern w:val="24"/>
          <w:sz w:val="24"/>
          <w:szCs w:val="24"/>
          <w:lang w:eastAsia="en-GB"/>
        </w:rPr>
        <w:t>cost-containment, recommodification, and recalibration</w:t>
      </w:r>
      <w:r w:rsidRPr="00F8240E">
        <w:rPr>
          <w:rFonts w:ascii="Times New Roman" w:eastAsiaTheme="minorEastAsia" w:hAnsi="Times New Roman" w:cs="Times New Roman"/>
          <w:color w:val="000000" w:themeColor="text1"/>
          <w:kern w:val="24"/>
          <w:sz w:val="24"/>
          <w:szCs w:val="24"/>
          <w:lang w:eastAsia="en-GB"/>
        </w:rPr>
        <w:t xml:space="preserve"> (2001: 422-8).</w:t>
      </w:r>
      <w:r w:rsidR="00B96432" w:rsidRPr="00F8240E">
        <w:rPr>
          <w:rFonts w:ascii="Times New Roman" w:eastAsiaTheme="minorEastAsia" w:hAnsi="Times New Roman" w:cs="Times New Roman"/>
          <w:color w:val="000000" w:themeColor="text1"/>
          <w:kern w:val="24"/>
          <w:sz w:val="24"/>
          <w:szCs w:val="24"/>
          <w:lang w:eastAsia="en-GB"/>
        </w:rPr>
        <w:t xml:space="preserve"> These are recommended as means to delineate the nature of change in each system and determine its scale. Thus,</w:t>
      </w:r>
      <w:r w:rsidRPr="00F8240E">
        <w:rPr>
          <w:rFonts w:ascii="Times New Roman" w:eastAsiaTheme="minorEastAsia" w:hAnsi="Times New Roman" w:cs="Times New Roman"/>
          <w:color w:val="000000" w:themeColor="text1"/>
          <w:kern w:val="24"/>
          <w:sz w:val="24"/>
          <w:szCs w:val="24"/>
          <w:lang w:eastAsia="en-GB"/>
        </w:rPr>
        <w:t xml:space="preserve"> </w:t>
      </w:r>
      <w:r w:rsidR="00B96432" w:rsidRPr="00F8240E">
        <w:rPr>
          <w:rFonts w:ascii="Times New Roman" w:eastAsiaTheme="minorEastAsia" w:hAnsi="Times New Roman" w:cs="Times New Roman"/>
          <w:i/>
          <w:color w:val="000000" w:themeColor="text1"/>
          <w:kern w:val="24"/>
          <w:sz w:val="24"/>
          <w:szCs w:val="24"/>
          <w:lang w:eastAsia="en-GB"/>
        </w:rPr>
        <w:t>c</w:t>
      </w:r>
      <w:r w:rsidRPr="00F8240E">
        <w:rPr>
          <w:rFonts w:ascii="Times New Roman" w:eastAsiaTheme="minorEastAsia" w:hAnsi="Times New Roman" w:cs="Times New Roman"/>
          <w:i/>
          <w:color w:val="000000" w:themeColor="text1"/>
          <w:kern w:val="24"/>
          <w:sz w:val="24"/>
          <w:szCs w:val="24"/>
          <w:lang w:eastAsia="en-GB"/>
        </w:rPr>
        <w:t>ost containment</w:t>
      </w:r>
      <w:r w:rsidRPr="00F8240E">
        <w:rPr>
          <w:rFonts w:ascii="Times New Roman" w:eastAsiaTheme="minorEastAsia" w:hAnsi="Times New Roman" w:cs="Times New Roman"/>
          <w:color w:val="000000" w:themeColor="text1"/>
          <w:kern w:val="24"/>
          <w:sz w:val="24"/>
          <w:szCs w:val="24"/>
          <w:lang w:eastAsia="en-GB"/>
        </w:rPr>
        <w:t xml:space="preserve"> is concerned primarily with social expenditure and reflects the fact</w:t>
      </w:r>
      <w:r w:rsidR="00803B22" w:rsidRPr="00F8240E">
        <w:rPr>
          <w:rFonts w:ascii="Times New Roman" w:eastAsiaTheme="minorEastAsia" w:hAnsi="Times New Roman" w:cs="Times New Roman"/>
          <w:color w:val="000000" w:themeColor="text1"/>
          <w:kern w:val="24"/>
          <w:sz w:val="24"/>
          <w:szCs w:val="24"/>
          <w:lang w:eastAsia="en-GB"/>
        </w:rPr>
        <w:t xml:space="preserve"> </w:t>
      </w:r>
      <w:r w:rsidRPr="00F8240E">
        <w:rPr>
          <w:rFonts w:ascii="Times New Roman" w:eastAsiaTheme="minorEastAsia" w:hAnsi="Times New Roman" w:cs="Times New Roman"/>
          <w:color w:val="000000" w:themeColor="text1"/>
          <w:kern w:val="24"/>
          <w:sz w:val="24"/>
          <w:szCs w:val="24"/>
          <w:lang w:eastAsia="en-GB"/>
        </w:rPr>
        <w:t>that</w:t>
      </w:r>
      <w:r w:rsidR="00803B22"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 xml:space="preserve"> while welfare state</w:t>
      </w:r>
      <w:r w:rsidR="00792D56" w:rsidRPr="00F8240E">
        <w:rPr>
          <w:rFonts w:ascii="Times New Roman" w:eastAsiaTheme="minorEastAsia" w:hAnsi="Times New Roman" w:cs="Times New Roman"/>
          <w:color w:val="000000" w:themeColor="text1"/>
          <w:kern w:val="24"/>
          <w:sz w:val="24"/>
          <w:szCs w:val="24"/>
          <w:lang w:eastAsia="en-GB"/>
        </w:rPr>
        <w:t>s are</w:t>
      </w:r>
      <w:r w:rsidRPr="00F8240E">
        <w:rPr>
          <w:rFonts w:ascii="Times New Roman" w:eastAsiaTheme="minorEastAsia" w:hAnsi="Times New Roman" w:cs="Times New Roman"/>
          <w:color w:val="000000" w:themeColor="text1"/>
          <w:kern w:val="24"/>
          <w:sz w:val="24"/>
          <w:szCs w:val="24"/>
          <w:lang w:eastAsia="en-GB"/>
        </w:rPr>
        <w:t xml:space="preserve"> about more than expenditure, structural pressures </w:t>
      </w:r>
      <w:r w:rsidR="00792D56" w:rsidRPr="00F8240E">
        <w:rPr>
          <w:rFonts w:ascii="Times New Roman" w:eastAsiaTheme="minorEastAsia" w:hAnsi="Times New Roman" w:cs="Times New Roman"/>
          <w:color w:val="000000" w:themeColor="text1"/>
          <w:kern w:val="24"/>
          <w:sz w:val="24"/>
          <w:szCs w:val="24"/>
          <w:lang w:eastAsia="en-GB"/>
        </w:rPr>
        <w:t xml:space="preserve">in the age of austerity </w:t>
      </w:r>
      <w:r w:rsidRPr="00F8240E">
        <w:rPr>
          <w:rFonts w:ascii="Times New Roman" w:eastAsiaTheme="minorEastAsia" w:hAnsi="Times New Roman" w:cs="Times New Roman"/>
          <w:color w:val="000000" w:themeColor="text1"/>
          <w:kern w:val="24"/>
          <w:sz w:val="24"/>
          <w:szCs w:val="24"/>
          <w:lang w:eastAsia="en-GB"/>
        </w:rPr>
        <w:t>have created a strong concern simply</w:t>
      </w:r>
      <w:r w:rsidR="00792D56" w:rsidRPr="00F8240E">
        <w:rPr>
          <w:rFonts w:ascii="Times New Roman" w:eastAsiaTheme="minorEastAsia" w:hAnsi="Times New Roman" w:cs="Times New Roman"/>
          <w:color w:val="000000" w:themeColor="text1"/>
          <w:kern w:val="24"/>
          <w:sz w:val="24"/>
          <w:szCs w:val="24"/>
          <w:lang w:eastAsia="en-GB"/>
        </w:rPr>
        <w:t xml:space="preserve"> to</w:t>
      </w:r>
      <w:r w:rsidRPr="00F8240E">
        <w:rPr>
          <w:rFonts w:ascii="Times New Roman" w:eastAsiaTheme="minorEastAsia" w:hAnsi="Times New Roman" w:cs="Times New Roman"/>
          <w:color w:val="000000" w:themeColor="text1"/>
          <w:kern w:val="24"/>
          <w:sz w:val="24"/>
          <w:szCs w:val="24"/>
          <w:lang w:eastAsia="en-GB"/>
        </w:rPr>
        <w:t xml:space="preserve"> reduce </w:t>
      </w:r>
      <w:r w:rsidR="00792D56" w:rsidRPr="00F8240E">
        <w:rPr>
          <w:rFonts w:ascii="Times New Roman" w:eastAsiaTheme="minorEastAsia" w:hAnsi="Times New Roman" w:cs="Times New Roman"/>
          <w:color w:val="000000" w:themeColor="text1"/>
          <w:kern w:val="24"/>
          <w:sz w:val="24"/>
          <w:szCs w:val="24"/>
          <w:lang w:eastAsia="en-GB"/>
        </w:rPr>
        <w:t>costs</w:t>
      </w:r>
      <w:r w:rsidRPr="00F8240E">
        <w:rPr>
          <w:rFonts w:ascii="Times New Roman" w:eastAsiaTheme="minorEastAsia" w:hAnsi="Times New Roman" w:cs="Times New Roman"/>
          <w:color w:val="000000" w:themeColor="text1"/>
          <w:kern w:val="24"/>
          <w:sz w:val="24"/>
          <w:szCs w:val="24"/>
          <w:lang w:eastAsia="en-GB"/>
        </w:rPr>
        <w:t xml:space="preserve">. </w:t>
      </w:r>
      <w:r w:rsidRPr="00F8240E">
        <w:rPr>
          <w:rFonts w:ascii="Times New Roman" w:eastAsiaTheme="minorEastAsia" w:hAnsi="Times New Roman" w:cs="Times New Roman"/>
          <w:i/>
          <w:color w:val="000000" w:themeColor="text1"/>
          <w:kern w:val="24"/>
          <w:sz w:val="24"/>
          <w:szCs w:val="24"/>
          <w:lang w:eastAsia="en-GB"/>
        </w:rPr>
        <w:t>Re-commodification</w:t>
      </w:r>
      <w:r w:rsidRPr="00F8240E">
        <w:rPr>
          <w:rFonts w:ascii="Times New Roman" w:eastAsiaTheme="minorEastAsia" w:hAnsi="Times New Roman" w:cs="Times New Roman"/>
          <w:color w:val="000000" w:themeColor="text1"/>
          <w:kern w:val="24"/>
          <w:sz w:val="24"/>
          <w:szCs w:val="24"/>
          <w:lang w:eastAsia="en-GB"/>
        </w:rPr>
        <w:t xml:space="preserve"> involves the reversal of de-commodification processes </w:t>
      </w:r>
      <w:r w:rsidR="00AF5880" w:rsidRPr="00F8240E">
        <w:rPr>
          <w:rFonts w:ascii="Times New Roman" w:eastAsiaTheme="minorEastAsia" w:hAnsi="Times New Roman" w:cs="Times New Roman"/>
          <w:color w:val="000000" w:themeColor="text1"/>
          <w:kern w:val="24"/>
          <w:sz w:val="24"/>
          <w:szCs w:val="24"/>
          <w:lang w:eastAsia="en-GB"/>
        </w:rPr>
        <w:t>evident during</w:t>
      </w:r>
      <w:r w:rsidRPr="00F8240E">
        <w:rPr>
          <w:rFonts w:ascii="Times New Roman" w:eastAsiaTheme="minorEastAsia" w:hAnsi="Times New Roman" w:cs="Times New Roman"/>
          <w:color w:val="000000" w:themeColor="text1"/>
          <w:kern w:val="24"/>
          <w:sz w:val="24"/>
          <w:szCs w:val="24"/>
          <w:lang w:eastAsia="en-GB"/>
        </w:rPr>
        <w:t xml:space="preserve"> welfare state expansion (Esping-Andersen</w:t>
      </w:r>
      <w:r w:rsidR="00770B82"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 xml:space="preserve"> 1990) ie diminishing individuals’ social rights by increasing </w:t>
      </w:r>
      <w:r w:rsidR="00AF5880" w:rsidRPr="00F8240E">
        <w:rPr>
          <w:rFonts w:ascii="Times New Roman" w:eastAsiaTheme="minorEastAsia" w:hAnsi="Times New Roman" w:cs="Times New Roman"/>
          <w:color w:val="000000" w:themeColor="text1"/>
          <w:kern w:val="24"/>
          <w:sz w:val="24"/>
          <w:szCs w:val="24"/>
          <w:lang w:eastAsia="en-GB"/>
        </w:rPr>
        <w:t xml:space="preserve">market </w:t>
      </w:r>
      <w:r w:rsidRPr="00F8240E">
        <w:rPr>
          <w:rFonts w:ascii="Times New Roman" w:eastAsiaTheme="minorEastAsia" w:hAnsi="Times New Roman" w:cs="Times New Roman"/>
          <w:color w:val="000000" w:themeColor="text1"/>
          <w:kern w:val="24"/>
          <w:sz w:val="24"/>
          <w:szCs w:val="24"/>
          <w:lang w:eastAsia="en-GB"/>
        </w:rPr>
        <w:t>reliance</w:t>
      </w:r>
      <w:r w:rsidRPr="00F8240E">
        <w:rPr>
          <w:rFonts w:ascii="Times New Roman" w:eastAsiaTheme="minorEastAsia" w:hAnsi="Times New Roman" w:cs="Times New Roman"/>
          <w:i/>
          <w:color w:val="000000" w:themeColor="text1"/>
          <w:kern w:val="24"/>
          <w:sz w:val="24"/>
          <w:szCs w:val="24"/>
          <w:lang w:eastAsia="en-GB"/>
        </w:rPr>
        <w:t xml:space="preserve">. </w:t>
      </w:r>
      <w:r w:rsidRPr="00F8240E">
        <w:rPr>
          <w:rFonts w:ascii="Times New Roman" w:eastAsiaTheme="minorEastAsia" w:hAnsi="Times New Roman" w:cs="Times New Roman"/>
          <w:color w:val="000000" w:themeColor="text1"/>
          <w:kern w:val="24"/>
          <w:sz w:val="24"/>
          <w:szCs w:val="24"/>
          <w:lang w:eastAsia="en-GB"/>
        </w:rPr>
        <w:t xml:space="preserve">Recalibration reflects the fact that some reforms are designed </w:t>
      </w:r>
      <w:r w:rsidR="007A2688" w:rsidRPr="00F8240E">
        <w:rPr>
          <w:rFonts w:ascii="Times New Roman" w:eastAsiaTheme="minorEastAsia" w:hAnsi="Times New Roman" w:cs="Times New Roman"/>
          <w:color w:val="000000" w:themeColor="text1"/>
          <w:kern w:val="24"/>
          <w:sz w:val="24"/>
          <w:szCs w:val="24"/>
          <w:lang w:eastAsia="en-GB"/>
        </w:rPr>
        <w:t>not to</w:t>
      </w:r>
      <w:r w:rsidR="00AF5880" w:rsidRPr="00F8240E">
        <w:rPr>
          <w:rFonts w:ascii="Times New Roman" w:eastAsiaTheme="minorEastAsia" w:hAnsi="Times New Roman" w:cs="Times New Roman"/>
          <w:color w:val="000000" w:themeColor="text1"/>
          <w:kern w:val="24"/>
          <w:sz w:val="24"/>
          <w:szCs w:val="24"/>
          <w:lang w:eastAsia="en-GB"/>
        </w:rPr>
        <w:t xml:space="preserve"> reduce</w:t>
      </w:r>
      <w:r w:rsidR="007A2688" w:rsidRPr="00F8240E">
        <w:rPr>
          <w:rFonts w:ascii="Times New Roman" w:eastAsiaTheme="minorEastAsia" w:hAnsi="Times New Roman" w:cs="Times New Roman"/>
          <w:color w:val="000000" w:themeColor="text1"/>
          <w:kern w:val="24"/>
          <w:sz w:val="24"/>
          <w:szCs w:val="24"/>
          <w:lang w:eastAsia="en-GB"/>
        </w:rPr>
        <w:t xml:space="preserve"> </w:t>
      </w:r>
      <w:r w:rsidRPr="00F8240E">
        <w:rPr>
          <w:rFonts w:ascii="Times New Roman" w:eastAsiaTheme="minorEastAsia" w:hAnsi="Times New Roman" w:cs="Times New Roman"/>
          <w:color w:val="000000" w:themeColor="text1"/>
          <w:kern w:val="24"/>
          <w:sz w:val="24"/>
          <w:szCs w:val="24"/>
          <w:lang w:eastAsia="en-GB"/>
        </w:rPr>
        <w:t>welfare provision</w:t>
      </w:r>
      <w:r w:rsidR="007A2688" w:rsidRPr="00F8240E">
        <w:rPr>
          <w:rFonts w:ascii="Times New Roman" w:eastAsiaTheme="minorEastAsia" w:hAnsi="Times New Roman" w:cs="Times New Roman"/>
          <w:color w:val="000000" w:themeColor="text1"/>
          <w:kern w:val="24"/>
          <w:sz w:val="24"/>
          <w:szCs w:val="24"/>
          <w:lang w:eastAsia="en-GB"/>
        </w:rPr>
        <w:t xml:space="preserve"> but adjust it</w:t>
      </w:r>
      <w:r w:rsidRPr="00F8240E">
        <w:rPr>
          <w:rFonts w:ascii="Times New Roman" w:eastAsiaTheme="minorEastAsia" w:hAnsi="Times New Roman" w:cs="Times New Roman"/>
          <w:color w:val="000000" w:themeColor="text1"/>
          <w:kern w:val="24"/>
          <w:sz w:val="24"/>
          <w:szCs w:val="24"/>
          <w:lang w:eastAsia="en-GB"/>
        </w:rPr>
        <w:t xml:space="preserve"> to </w:t>
      </w:r>
      <w:r w:rsidR="00CB30A7"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new social risks</w:t>
      </w:r>
      <w:r w:rsidR="00CB30A7"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 xml:space="preserve"> (Bonoli</w:t>
      </w:r>
      <w:r w:rsidR="00770B82"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 xml:space="preserve"> 2005; Häusermann</w:t>
      </w:r>
      <w:r w:rsidR="00770B82" w:rsidRPr="00F8240E">
        <w:rPr>
          <w:rFonts w:ascii="Times New Roman" w:eastAsiaTheme="minorEastAsia" w:hAnsi="Times New Roman" w:cs="Times New Roman"/>
          <w:color w:val="000000" w:themeColor="text1"/>
          <w:kern w:val="24"/>
          <w:sz w:val="24"/>
          <w:szCs w:val="24"/>
          <w:lang w:eastAsia="en-GB"/>
        </w:rPr>
        <w:t>,</w:t>
      </w:r>
      <w:r w:rsidRPr="00F8240E">
        <w:rPr>
          <w:rFonts w:ascii="Times New Roman" w:eastAsiaTheme="minorEastAsia" w:hAnsi="Times New Roman" w:cs="Times New Roman"/>
          <w:color w:val="000000" w:themeColor="text1"/>
          <w:kern w:val="24"/>
          <w:sz w:val="24"/>
          <w:szCs w:val="24"/>
          <w:lang w:eastAsia="en-GB"/>
        </w:rPr>
        <w:t xml:space="preserve"> 201</w:t>
      </w:r>
      <w:r w:rsidR="00701E13" w:rsidRPr="00F8240E">
        <w:rPr>
          <w:rFonts w:ascii="Times New Roman" w:eastAsiaTheme="minorEastAsia" w:hAnsi="Times New Roman" w:cs="Times New Roman"/>
          <w:color w:val="000000" w:themeColor="text1"/>
          <w:kern w:val="24"/>
          <w:sz w:val="24"/>
          <w:szCs w:val="24"/>
          <w:lang w:eastAsia="en-GB"/>
        </w:rPr>
        <w:t>0</w:t>
      </w:r>
      <w:r w:rsidRPr="00F8240E">
        <w:rPr>
          <w:rFonts w:ascii="Times New Roman" w:eastAsiaTheme="minorEastAsia" w:hAnsi="Times New Roman" w:cs="Times New Roman"/>
          <w:color w:val="000000" w:themeColor="text1"/>
          <w:kern w:val="24"/>
          <w:sz w:val="24"/>
          <w:szCs w:val="24"/>
          <w:lang w:eastAsia="en-GB"/>
        </w:rPr>
        <w:t xml:space="preserve">) </w:t>
      </w:r>
      <w:r w:rsidR="00AF5880" w:rsidRPr="00F8240E">
        <w:rPr>
          <w:rFonts w:ascii="Times New Roman" w:eastAsiaTheme="minorEastAsia" w:hAnsi="Times New Roman" w:cs="Times New Roman"/>
          <w:color w:val="000000" w:themeColor="text1"/>
          <w:kern w:val="24"/>
          <w:sz w:val="24"/>
          <w:szCs w:val="24"/>
          <w:lang w:eastAsia="en-GB"/>
        </w:rPr>
        <w:t>and/or to</w:t>
      </w:r>
      <w:r w:rsidRPr="00F8240E">
        <w:rPr>
          <w:rFonts w:ascii="Times New Roman" w:eastAsiaTheme="minorEastAsia" w:hAnsi="Times New Roman" w:cs="Times New Roman"/>
          <w:color w:val="000000" w:themeColor="text1"/>
          <w:kern w:val="24"/>
          <w:sz w:val="24"/>
          <w:szCs w:val="24"/>
          <w:lang w:eastAsia="en-GB"/>
        </w:rPr>
        <w:t xml:space="preserve"> </w:t>
      </w:r>
      <w:r w:rsidR="00AF5880" w:rsidRPr="00F8240E">
        <w:rPr>
          <w:rFonts w:ascii="Times New Roman" w:eastAsiaTheme="minorEastAsia" w:hAnsi="Times New Roman" w:cs="Times New Roman"/>
          <w:color w:val="000000" w:themeColor="text1"/>
          <w:kern w:val="24"/>
          <w:sz w:val="24"/>
          <w:szCs w:val="24"/>
          <w:lang w:eastAsia="en-GB"/>
        </w:rPr>
        <w:t>new ways of achieving</w:t>
      </w:r>
      <w:r w:rsidRPr="00F8240E">
        <w:rPr>
          <w:rFonts w:ascii="Times New Roman" w:eastAsiaTheme="minorEastAsia" w:hAnsi="Times New Roman" w:cs="Times New Roman"/>
          <w:color w:val="000000" w:themeColor="text1"/>
          <w:kern w:val="24"/>
          <w:sz w:val="24"/>
          <w:szCs w:val="24"/>
          <w:lang w:eastAsia="en-GB"/>
        </w:rPr>
        <w:t xml:space="preserve"> traditional ends. </w:t>
      </w:r>
    </w:p>
    <w:p w14:paraId="0D9F0532" w14:textId="32664C0A" w:rsidR="007A2688" w:rsidRPr="00F8240E" w:rsidRDefault="003D65A1" w:rsidP="004943B5">
      <w:pPr>
        <w:spacing w:line="480" w:lineRule="auto"/>
        <w:jc w:val="both"/>
        <w:rPr>
          <w:rFonts w:ascii="Times New Roman" w:eastAsiaTheme="minorEastAsia" w:hAnsi="Times New Roman" w:cs="Times New Roman"/>
          <w:color w:val="000000" w:themeColor="text1"/>
          <w:kern w:val="24"/>
          <w:sz w:val="24"/>
          <w:szCs w:val="24"/>
          <w:lang w:eastAsia="en-GB"/>
        </w:rPr>
      </w:pPr>
      <w:r w:rsidRPr="00F8240E">
        <w:rPr>
          <w:rFonts w:ascii="Times New Roman" w:eastAsiaTheme="minorEastAsia" w:hAnsi="Times New Roman" w:cs="Times New Roman"/>
          <w:color w:val="000000" w:themeColor="text1"/>
          <w:kern w:val="24"/>
          <w:sz w:val="24"/>
          <w:szCs w:val="24"/>
          <w:lang w:eastAsia="en-GB"/>
        </w:rPr>
        <w:t>Th</w:t>
      </w:r>
      <w:r w:rsidR="009170FE" w:rsidRPr="00F8240E">
        <w:rPr>
          <w:rFonts w:ascii="Times New Roman" w:eastAsiaTheme="minorEastAsia" w:hAnsi="Times New Roman" w:cs="Times New Roman"/>
          <w:color w:val="000000" w:themeColor="text1"/>
          <w:kern w:val="24"/>
          <w:sz w:val="24"/>
          <w:szCs w:val="24"/>
          <w:lang w:eastAsia="en-GB"/>
        </w:rPr>
        <w:t>is study uses an</w:t>
      </w:r>
      <w:r w:rsidRPr="00F8240E">
        <w:rPr>
          <w:rFonts w:ascii="Times New Roman" w:eastAsiaTheme="minorEastAsia" w:hAnsi="Times New Roman" w:cs="Times New Roman"/>
          <w:color w:val="000000" w:themeColor="text1"/>
          <w:kern w:val="24"/>
          <w:sz w:val="24"/>
          <w:szCs w:val="24"/>
          <w:lang w:eastAsia="en-GB"/>
        </w:rPr>
        <w:t xml:space="preserve"> analytical framework based on these categories but amended </w:t>
      </w:r>
      <w:r w:rsidR="007A2688" w:rsidRPr="00F8240E">
        <w:rPr>
          <w:rFonts w:ascii="Times New Roman" w:eastAsiaTheme="minorEastAsia" w:hAnsi="Times New Roman" w:cs="Times New Roman"/>
          <w:color w:val="000000" w:themeColor="text1"/>
          <w:kern w:val="24"/>
          <w:sz w:val="24"/>
          <w:szCs w:val="24"/>
          <w:lang w:eastAsia="en-GB"/>
        </w:rPr>
        <w:t>based on</w:t>
      </w:r>
      <w:r w:rsidRPr="00F8240E">
        <w:rPr>
          <w:rFonts w:ascii="Times New Roman" w:eastAsiaTheme="minorEastAsia" w:hAnsi="Times New Roman" w:cs="Times New Roman"/>
          <w:color w:val="000000" w:themeColor="text1"/>
          <w:kern w:val="24"/>
          <w:sz w:val="24"/>
          <w:szCs w:val="24"/>
          <w:lang w:eastAsia="en-GB"/>
        </w:rPr>
        <w:t xml:space="preserve"> two important limitations</w:t>
      </w:r>
      <w:r w:rsidR="007A2688" w:rsidRPr="00F8240E">
        <w:rPr>
          <w:rFonts w:ascii="Times New Roman" w:eastAsiaTheme="minorEastAsia" w:hAnsi="Times New Roman" w:cs="Times New Roman"/>
          <w:color w:val="000000" w:themeColor="text1"/>
          <w:kern w:val="24"/>
          <w:sz w:val="24"/>
          <w:szCs w:val="24"/>
          <w:lang w:eastAsia="en-GB"/>
        </w:rPr>
        <w:t xml:space="preserve"> identified in the literature</w:t>
      </w:r>
      <w:r w:rsidRPr="00F8240E">
        <w:rPr>
          <w:rFonts w:ascii="Times New Roman" w:eastAsiaTheme="minorEastAsia" w:hAnsi="Times New Roman" w:cs="Times New Roman"/>
          <w:color w:val="000000" w:themeColor="text1"/>
          <w:kern w:val="24"/>
          <w:sz w:val="24"/>
          <w:szCs w:val="24"/>
          <w:lang w:eastAsia="en-GB"/>
        </w:rPr>
        <w:t xml:space="preserve">.  These </w:t>
      </w:r>
      <w:r w:rsidR="00C25CB0" w:rsidRPr="00F8240E">
        <w:rPr>
          <w:rFonts w:ascii="Times New Roman" w:eastAsiaTheme="minorEastAsia" w:hAnsi="Times New Roman" w:cs="Times New Roman"/>
          <w:color w:val="000000" w:themeColor="text1"/>
          <w:kern w:val="24"/>
          <w:sz w:val="24"/>
          <w:szCs w:val="24"/>
          <w:lang w:eastAsia="en-GB"/>
        </w:rPr>
        <w:t>are that</w:t>
      </w:r>
      <w:r w:rsidR="00AF5880" w:rsidRPr="00F8240E">
        <w:rPr>
          <w:rFonts w:ascii="Times New Roman" w:eastAsiaTheme="minorEastAsia" w:hAnsi="Times New Roman" w:cs="Times New Roman"/>
          <w:color w:val="000000" w:themeColor="text1"/>
          <w:kern w:val="24"/>
          <w:sz w:val="24"/>
          <w:szCs w:val="24"/>
          <w:lang w:eastAsia="en-GB"/>
        </w:rPr>
        <w:t>:</w:t>
      </w:r>
      <w:r w:rsidR="00C25CB0" w:rsidRPr="00F8240E">
        <w:rPr>
          <w:rFonts w:ascii="Times New Roman" w:eastAsiaTheme="minorEastAsia" w:hAnsi="Times New Roman" w:cs="Times New Roman"/>
          <w:color w:val="000000" w:themeColor="text1"/>
          <w:kern w:val="24"/>
          <w:sz w:val="24"/>
          <w:szCs w:val="24"/>
          <w:lang w:eastAsia="en-GB"/>
        </w:rPr>
        <w:t xml:space="preserve"> </w:t>
      </w:r>
      <w:r w:rsidR="00AF5880" w:rsidRPr="00F8240E">
        <w:rPr>
          <w:rFonts w:ascii="Times New Roman" w:eastAsiaTheme="minorEastAsia" w:hAnsi="Times New Roman" w:cs="Times New Roman"/>
          <w:color w:val="000000" w:themeColor="text1"/>
          <w:kern w:val="24"/>
          <w:sz w:val="24"/>
          <w:szCs w:val="24"/>
          <w:lang w:eastAsia="en-GB"/>
        </w:rPr>
        <w:t xml:space="preserve">(i) </w:t>
      </w:r>
      <w:r w:rsidR="00C25CB0" w:rsidRPr="00F8240E">
        <w:rPr>
          <w:rFonts w:ascii="Times New Roman" w:eastAsiaTheme="minorEastAsia" w:hAnsi="Times New Roman" w:cs="Times New Roman"/>
          <w:color w:val="000000" w:themeColor="text1"/>
          <w:kern w:val="24"/>
          <w:sz w:val="24"/>
          <w:szCs w:val="24"/>
          <w:lang w:eastAsia="en-GB"/>
        </w:rPr>
        <w:t xml:space="preserve">the categories reveal little about </w:t>
      </w:r>
      <w:r w:rsidR="00AF5880" w:rsidRPr="00F8240E">
        <w:rPr>
          <w:rFonts w:ascii="Times New Roman" w:eastAsiaTheme="minorEastAsia" w:hAnsi="Times New Roman" w:cs="Times New Roman"/>
          <w:color w:val="000000" w:themeColor="text1"/>
          <w:kern w:val="24"/>
          <w:sz w:val="24"/>
          <w:szCs w:val="24"/>
          <w:lang w:eastAsia="en-GB"/>
        </w:rPr>
        <w:t xml:space="preserve">how </w:t>
      </w:r>
      <w:r w:rsidR="00C25CB0" w:rsidRPr="00F8240E">
        <w:rPr>
          <w:rFonts w:ascii="Times New Roman" w:eastAsiaTheme="minorEastAsia" w:hAnsi="Times New Roman" w:cs="Times New Roman"/>
          <w:color w:val="000000" w:themeColor="text1"/>
          <w:kern w:val="24"/>
          <w:sz w:val="24"/>
          <w:szCs w:val="24"/>
          <w:lang w:eastAsia="en-GB"/>
        </w:rPr>
        <w:t xml:space="preserve">welfare state change </w:t>
      </w:r>
      <w:r w:rsidR="00AF5880" w:rsidRPr="00F8240E">
        <w:rPr>
          <w:rFonts w:ascii="Times New Roman" w:eastAsiaTheme="minorEastAsia" w:hAnsi="Times New Roman" w:cs="Times New Roman"/>
          <w:color w:val="000000" w:themeColor="text1"/>
          <w:kern w:val="24"/>
          <w:sz w:val="24"/>
          <w:szCs w:val="24"/>
          <w:lang w:eastAsia="en-GB"/>
        </w:rPr>
        <w:t xml:space="preserve">is targeted </w:t>
      </w:r>
      <w:r w:rsidR="00C25CB0" w:rsidRPr="00F8240E">
        <w:rPr>
          <w:rFonts w:ascii="Times New Roman" w:eastAsiaTheme="minorEastAsia" w:hAnsi="Times New Roman" w:cs="Times New Roman"/>
          <w:color w:val="000000" w:themeColor="text1"/>
          <w:kern w:val="24"/>
          <w:sz w:val="24"/>
          <w:szCs w:val="24"/>
          <w:lang w:eastAsia="en-GB"/>
        </w:rPr>
        <w:t xml:space="preserve">(ie which social groups </w:t>
      </w:r>
      <w:r w:rsidR="00AF5880" w:rsidRPr="00F8240E">
        <w:rPr>
          <w:rFonts w:ascii="Times New Roman" w:eastAsiaTheme="minorEastAsia" w:hAnsi="Times New Roman" w:cs="Times New Roman"/>
          <w:color w:val="000000" w:themeColor="text1"/>
          <w:kern w:val="24"/>
          <w:sz w:val="24"/>
          <w:szCs w:val="24"/>
          <w:lang w:eastAsia="en-GB"/>
        </w:rPr>
        <w:t>are affected most</w:t>
      </w:r>
      <w:r w:rsidR="00C25CB0" w:rsidRPr="00F8240E">
        <w:rPr>
          <w:rFonts w:ascii="Times New Roman" w:eastAsiaTheme="minorEastAsia" w:hAnsi="Times New Roman" w:cs="Times New Roman"/>
          <w:color w:val="000000" w:themeColor="text1"/>
          <w:kern w:val="24"/>
          <w:sz w:val="24"/>
          <w:szCs w:val="24"/>
          <w:lang w:eastAsia="en-GB"/>
        </w:rPr>
        <w:t xml:space="preserve">); and (ii) the treatment is rather vague of the state’s engagement with non-state provision. On the former, Häusermann </w:t>
      </w:r>
      <w:r w:rsidR="00803B22" w:rsidRPr="00F8240E">
        <w:rPr>
          <w:rFonts w:ascii="Times New Roman" w:eastAsiaTheme="minorEastAsia" w:hAnsi="Times New Roman" w:cs="Times New Roman"/>
          <w:color w:val="000000" w:themeColor="text1"/>
          <w:kern w:val="24"/>
          <w:sz w:val="24"/>
          <w:szCs w:val="24"/>
          <w:lang w:eastAsia="en-GB"/>
        </w:rPr>
        <w:t xml:space="preserve">(2010) </w:t>
      </w:r>
      <w:r w:rsidR="00C25CB0" w:rsidRPr="00F8240E">
        <w:rPr>
          <w:rFonts w:ascii="Times New Roman" w:eastAsiaTheme="minorEastAsia" w:hAnsi="Times New Roman" w:cs="Times New Roman"/>
          <w:color w:val="000000" w:themeColor="text1"/>
          <w:kern w:val="24"/>
          <w:sz w:val="24"/>
          <w:szCs w:val="24"/>
          <w:lang w:eastAsia="en-GB"/>
        </w:rPr>
        <w:t xml:space="preserve">adds a </w:t>
      </w:r>
      <w:r w:rsidR="00C25CB0" w:rsidRPr="00F8240E">
        <w:rPr>
          <w:rFonts w:ascii="Times New Roman" w:eastAsiaTheme="minorEastAsia" w:hAnsi="Times New Roman" w:cs="Times New Roman"/>
          <w:i/>
          <w:color w:val="000000" w:themeColor="text1"/>
          <w:kern w:val="24"/>
          <w:sz w:val="24"/>
          <w:szCs w:val="24"/>
          <w:lang w:eastAsia="en-GB"/>
        </w:rPr>
        <w:t xml:space="preserve">targeting </w:t>
      </w:r>
      <w:r w:rsidR="00C25CB0" w:rsidRPr="00F8240E">
        <w:rPr>
          <w:rFonts w:ascii="Times New Roman" w:eastAsiaTheme="minorEastAsia" w:hAnsi="Times New Roman" w:cs="Times New Roman"/>
          <w:color w:val="000000" w:themeColor="text1"/>
          <w:kern w:val="24"/>
          <w:sz w:val="24"/>
          <w:szCs w:val="24"/>
          <w:lang w:eastAsia="en-GB"/>
        </w:rPr>
        <w:t xml:space="preserve">category to Pierson’s list, </w:t>
      </w:r>
      <w:r w:rsidR="00AF5880" w:rsidRPr="00F8240E">
        <w:rPr>
          <w:rFonts w:ascii="Times New Roman" w:eastAsiaTheme="minorEastAsia" w:hAnsi="Times New Roman" w:cs="Times New Roman"/>
          <w:color w:val="000000" w:themeColor="text1"/>
          <w:kern w:val="24"/>
          <w:sz w:val="24"/>
          <w:szCs w:val="24"/>
          <w:lang w:eastAsia="en-GB"/>
        </w:rPr>
        <w:t>based on</w:t>
      </w:r>
      <w:r w:rsidR="00C25CB0" w:rsidRPr="00F8240E">
        <w:rPr>
          <w:rFonts w:ascii="Times New Roman" w:eastAsiaTheme="minorEastAsia" w:hAnsi="Times New Roman" w:cs="Times New Roman"/>
          <w:color w:val="000000" w:themeColor="text1"/>
          <w:kern w:val="24"/>
          <w:sz w:val="24"/>
          <w:szCs w:val="24"/>
          <w:lang w:eastAsia="en-GB"/>
        </w:rPr>
        <w:t xml:space="preserve"> continental welfare state’s occupationally</w:t>
      </w:r>
      <w:r w:rsidR="00AF5880" w:rsidRPr="00F8240E">
        <w:rPr>
          <w:rFonts w:ascii="Times New Roman" w:eastAsiaTheme="minorEastAsia" w:hAnsi="Times New Roman" w:cs="Times New Roman"/>
          <w:color w:val="000000" w:themeColor="text1"/>
          <w:kern w:val="24"/>
          <w:sz w:val="24"/>
          <w:szCs w:val="24"/>
          <w:lang w:eastAsia="en-GB"/>
        </w:rPr>
        <w:t>-</w:t>
      </w:r>
      <w:r w:rsidR="00C25CB0" w:rsidRPr="00F8240E">
        <w:rPr>
          <w:rFonts w:ascii="Times New Roman" w:eastAsiaTheme="minorEastAsia" w:hAnsi="Times New Roman" w:cs="Times New Roman"/>
          <w:color w:val="000000" w:themeColor="text1"/>
          <w:kern w:val="24"/>
          <w:sz w:val="24"/>
          <w:szCs w:val="24"/>
          <w:lang w:eastAsia="en-GB"/>
        </w:rPr>
        <w:t xml:space="preserve">segmented schemes, but this category can also be used in the context of income eg to indicate whether the poorest are protected </w:t>
      </w:r>
      <w:r w:rsidR="00AF5880" w:rsidRPr="00F8240E">
        <w:rPr>
          <w:rFonts w:ascii="Times New Roman" w:eastAsiaTheme="minorEastAsia" w:hAnsi="Times New Roman" w:cs="Times New Roman"/>
          <w:color w:val="000000" w:themeColor="text1"/>
          <w:kern w:val="24"/>
          <w:sz w:val="24"/>
          <w:szCs w:val="24"/>
          <w:lang w:eastAsia="en-GB"/>
        </w:rPr>
        <w:t xml:space="preserve">during </w:t>
      </w:r>
      <w:r w:rsidR="00C25CB0" w:rsidRPr="00F8240E">
        <w:rPr>
          <w:rFonts w:ascii="Times New Roman" w:eastAsiaTheme="minorEastAsia" w:hAnsi="Times New Roman" w:cs="Times New Roman"/>
          <w:color w:val="000000" w:themeColor="text1"/>
          <w:kern w:val="24"/>
          <w:sz w:val="24"/>
          <w:szCs w:val="24"/>
          <w:lang w:eastAsia="en-GB"/>
        </w:rPr>
        <w:t>retrench</w:t>
      </w:r>
      <w:r w:rsidR="00AF5880" w:rsidRPr="00F8240E">
        <w:rPr>
          <w:rFonts w:ascii="Times New Roman" w:eastAsiaTheme="minorEastAsia" w:hAnsi="Times New Roman" w:cs="Times New Roman"/>
          <w:color w:val="000000" w:themeColor="text1"/>
          <w:kern w:val="24"/>
          <w:sz w:val="24"/>
          <w:szCs w:val="24"/>
          <w:lang w:eastAsia="en-GB"/>
        </w:rPr>
        <w:t>ment</w:t>
      </w:r>
      <w:r w:rsidR="00C25CB0" w:rsidRPr="00F8240E">
        <w:rPr>
          <w:rFonts w:ascii="Times New Roman" w:eastAsiaTheme="minorEastAsia" w:hAnsi="Times New Roman" w:cs="Times New Roman"/>
          <w:color w:val="000000" w:themeColor="text1"/>
          <w:kern w:val="24"/>
          <w:sz w:val="24"/>
          <w:szCs w:val="24"/>
          <w:lang w:eastAsia="en-GB"/>
        </w:rPr>
        <w:t xml:space="preserve">. </w:t>
      </w:r>
      <w:r w:rsidR="002B2BD2" w:rsidRPr="00F8240E">
        <w:rPr>
          <w:rFonts w:ascii="Times New Roman" w:eastAsiaTheme="minorEastAsia" w:hAnsi="Times New Roman" w:cs="Times New Roman"/>
          <w:color w:val="000000" w:themeColor="text1"/>
          <w:kern w:val="24"/>
          <w:sz w:val="24"/>
          <w:szCs w:val="24"/>
          <w:lang w:eastAsia="en-GB"/>
        </w:rPr>
        <w:t xml:space="preserve">This category </w:t>
      </w:r>
      <w:r w:rsidR="009170FE" w:rsidRPr="00F8240E">
        <w:rPr>
          <w:rFonts w:ascii="Times New Roman" w:eastAsiaTheme="minorEastAsia" w:hAnsi="Times New Roman" w:cs="Times New Roman"/>
          <w:color w:val="000000" w:themeColor="text1"/>
          <w:kern w:val="24"/>
          <w:sz w:val="24"/>
          <w:szCs w:val="24"/>
          <w:lang w:eastAsia="en-GB"/>
        </w:rPr>
        <w:t xml:space="preserve">directs </w:t>
      </w:r>
      <w:r w:rsidR="002B2BD2" w:rsidRPr="00F8240E">
        <w:rPr>
          <w:rFonts w:ascii="Times New Roman" w:eastAsiaTheme="minorEastAsia" w:hAnsi="Times New Roman" w:cs="Times New Roman"/>
          <w:color w:val="000000" w:themeColor="text1"/>
          <w:kern w:val="24"/>
          <w:sz w:val="24"/>
          <w:szCs w:val="24"/>
          <w:lang w:eastAsia="en-GB"/>
        </w:rPr>
        <w:t>attention</w:t>
      </w:r>
      <w:r w:rsidR="00FD7A9F" w:rsidRPr="00F8240E">
        <w:rPr>
          <w:rFonts w:ascii="Times New Roman" w:eastAsiaTheme="minorEastAsia" w:hAnsi="Times New Roman" w:cs="Times New Roman"/>
          <w:color w:val="000000" w:themeColor="text1"/>
          <w:kern w:val="24"/>
          <w:sz w:val="24"/>
          <w:szCs w:val="24"/>
          <w:lang w:eastAsia="en-GB"/>
        </w:rPr>
        <w:t xml:space="preserve">, for example, </w:t>
      </w:r>
      <w:r w:rsidR="00172BF2" w:rsidRPr="00F8240E">
        <w:rPr>
          <w:rFonts w:ascii="Times New Roman" w:eastAsiaTheme="minorEastAsia" w:hAnsi="Times New Roman" w:cs="Times New Roman"/>
          <w:color w:val="000000" w:themeColor="text1"/>
          <w:kern w:val="24"/>
          <w:sz w:val="24"/>
          <w:szCs w:val="24"/>
          <w:lang w:eastAsia="en-GB"/>
        </w:rPr>
        <w:t>to</w:t>
      </w:r>
      <w:r w:rsidR="002B2BD2" w:rsidRPr="00F8240E">
        <w:rPr>
          <w:rFonts w:ascii="Times New Roman" w:eastAsiaTheme="minorEastAsia" w:hAnsi="Times New Roman" w:cs="Times New Roman"/>
          <w:color w:val="000000" w:themeColor="text1"/>
          <w:kern w:val="24"/>
          <w:sz w:val="24"/>
          <w:szCs w:val="24"/>
          <w:lang w:eastAsia="en-GB"/>
        </w:rPr>
        <w:t xml:space="preserve"> whether </w:t>
      </w:r>
      <w:r w:rsidR="009170FE" w:rsidRPr="00F8240E">
        <w:rPr>
          <w:rFonts w:ascii="Times New Roman" w:eastAsiaTheme="minorEastAsia" w:hAnsi="Times New Roman" w:cs="Times New Roman"/>
          <w:color w:val="000000" w:themeColor="text1"/>
          <w:kern w:val="24"/>
          <w:sz w:val="24"/>
          <w:szCs w:val="24"/>
          <w:lang w:eastAsia="en-GB"/>
        </w:rPr>
        <w:t xml:space="preserve">governments </w:t>
      </w:r>
      <w:r w:rsidR="002B2BD2" w:rsidRPr="00F8240E">
        <w:rPr>
          <w:rFonts w:ascii="Times New Roman" w:eastAsiaTheme="minorEastAsia" w:hAnsi="Times New Roman" w:cs="Times New Roman"/>
          <w:color w:val="000000" w:themeColor="text1"/>
          <w:kern w:val="24"/>
          <w:sz w:val="24"/>
          <w:szCs w:val="24"/>
          <w:lang w:eastAsia="en-GB"/>
        </w:rPr>
        <w:t xml:space="preserve">have concentrated more on reducing </w:t>
      </w:r>
      <w:r w:rsidR="009170FE" w:rsidRPr="00F8240E">
        <w:rPr>
          <w:rFonts w:ascii="Times New Roman" w:eastAsiaTheme="minorEastAsia" w:hAnsi="Times New Roman" w:cs="Times New Roman"/>
          <w:color w:val="000000" w:themeColor="text1"/>
          <w:kern w:val="24"/>
          <w:sz w:val="24"/>
          <w:szCs w:val="24"/>
          <w:lang w:eastAsia="en-GB"/>
        </w:rPr>
        <w:t xml:space="preserve">benefit generosity for all recipients or have focussed on limiting </w:t>
      </w:r>
      <w:r w:rsidR="002B2BD2" w:rsidRPr="00F8240E">
        <w:rPr>
          <w:rFonts w:ascii="Times New Roman" w:eastAsiaTheme="minorEastAsia" w:hAnsi="Times New Roman" w:cs="Times New Roman"/>
          <w:color w:val="000000" w:themeColor="text1"/>
          <w:kern w:val="24"/>
          <w:sz w:val="24"/>
          <w:szCs w:val="24"/>
          <w:lang w:eastAsia="en-GB"/>
        </w:rPr>
        <w:t xml:space="preserve">access for wealthier citizens through means or asset testing. </w:t>
      </w:r>
      <w:r w:rsidR="00C25CB0" w:rsidRPr="00F8240E">
        <w:rPr>
          <w:rFonts w:ascii="Times New Roman" w:eastAsiaTheme="minorEastAsia" w:hAnsi="Times New Roman" w:cs="Times New Roman"/>
          <w:color w:val="000000" w:themeColor="text1"/>
          <w:kern w:val="24"/>
          <w:sz w:val="24"/>
          <w:szCs w:val="24"/>
          <w:lang w:eastAsia="en-GB"/>
        </w:rPr>
        <w:t xml:space="preserve">On state involvement in non-state provision, this </w:t>
      </w:r>
      <w:r w:rsidR="00172BF2" w:rsidRPr="00F8240E">
        <w:rPr>
          <w:rFonts w:ascii="Times New Roman" w:eastAsiaTheme="minorEastAsia" w:hAnsi="Times New Roman" w:cs="Times New Roman"/>
          <w:color w:val="000000" w:themeColor="text1"/>
          <w:kern w:val="24"/>
          <w:sz w:val="24"/>
          <w:szCs w:val="24"/>
          <w:lang w:eastAsia="en-GB"/>
        </w:rPr>
        <w:t xml:space="preserve">has sometimes </w:t>
      </w:r>
      <w:r w:rsidR="00AF5880" w:rsidRPr="00F8240E">
        <w:rPr>
          <w:rFonts w:ascii="Times New Roman" w:eastAsiaTheme="minorEastAsia" w:hAnsi="Times New Roman" w:cs="Times New Roman"/>
          <w:color w:val="000000" w:themeColor="text1"/>
          <w:kern w:val="24"/>
          <w:sz w:val="24"/>
          <w:szCs w:val="24"/>
          <w:lang w:eastAsia="en-GB"/>
        </w:rPr>
        <w:t>be</w:t>
      </w:r>
      <w:r w:rsidR="00172BF2" w:rsidRPr="00F8240E">
        <w:rPr>
          <w:rFonts w:ascii="Times New Roman" w:eastAsiaTheme="minorEastAsia" w:hAnsi="Times New Roman" w:cs="Times New Roman"/>
          <w:color w:val="000000" w:themeColor="text1"/>
          <w:kern w:val="24"/>
          <w:sz w:val="24"/>
          <w:szCs w:val="24"/>
          <w:lang w:eastAsia="en-GB"/>
        </w:rPr>
        <w:t>en</w:t>
      </w:r>
      <w:r w:rsidR="00C25CB0" w:rsidRPr="00F8240E">
        <w:rPr>
          <w:rFonts w:ascii="Times New Roman" w:eastAsiaTheme="minorEastAsia" w:hAnsi="Times New Roman" w:cs="Times New Roman"/>
          <w:color w:val="000000" w:themeColor="text1"/>
          <w:kern w:val="24"/>
          <w:sz w:val="24"/>
          <w:szCs w:val="24"/>
          <w:lang w:eastAsia="en-GB"/>
        </w:rPr>
        <w:t xml:space="preserve"> regarded as re-commodifying given its emphasis on market provision (</w:t>
      </w:r>
      <w:bookmarkStart w:id="14" w:name="_Hlk510945718"/>
      <w:r w:rsidR="00C25CB0" w:rsidRPr="00F8240E">
        <w:rPr>
          <w:rFonts w:ascii="Times New Roman" w:eastAsiaTheme="minorEastAsia" w:hAnsi="Times New Roman" w:cs="Times New Roman"/>
          <w:color w:val="000000" w:themeColor="text1"/>
          <w:kern w:val="24"/>
          <w:sz w:val="24"/>
          <w:szCs w:val="24"/>
          <w:lang w:eastAsia="en-GB"/>
        </w:rPr>
        <w:t>Häusermann</w:t>
      </w:r>
      <w:bookmarkEnd w:id="14"/>
      <w:r w:rsidR="00770B82" w:rsidRPr="00F8240E">
        <w:rPr>
          <w:rFonts w:ascii="Times New Roman" w:eastAsiaTheme="minorEastAsia" w:hAnsi="Times New Roman" w:cs="Times New Roman"/>
          <w:color w:val="000000" w:themeColor="text1"/>
          <w:kern w:val="24"/>
          <w:sz w:val="24"/>
          <w:szCs w:val="24"/>
          <w:lang w:eastAsia="en-GB"/>
        </w:rPr>
        <w:t>,</w:t>
      </w:r>
      <w:r w:rsidR="00C25CB0" w:rsidRPr="00F8240E">
        <w:rPr>
          <w:rFonts w:ascii="Times New Roman" w:eastAsiaTheme="minorEastAsia" w:hAnsi="Times New Roman" w:cs="Times New Roman"/>
          <w:color w:val="000000" w:themeColor="text1"/>
          <w:kern w:val="24"/>
          <w:sz w:val="24"/>
          <w:szCs w:val="24"/>
          <w:lang w:eastAsia="en-GB"/>
        </w:rPr>
        <w:t xml:space="preserve"> 201</w:t>
      </w:r>
      <w:r w:rsidR="00701E13" w:rsidRPr="00F8240E">
        <w:rPr>
          <w:rFonts w:ascii="Times New Roman" w:eastAsiaTheme="minorEastAsia" w:hAnsi="Times New Roman" w:cs="Times New Roman"/>
          <w:color w:val="000000" w:themeColor="text1"/>
          <w:kern w:val="24"/>
          <w:sz w:val="24"/>
          <w:szCs w:val="24"/>
          <w:lang w:eastAsia="en-GB"/>
        </w:rPr>
        <w:t>0</w:t>
      </w:r>
      <w:r w:rsidR="00C25CB0" w:rsidRPr="00F8240E">
        <w:rPr>
          <w:rFonts w:ascii="Times New Roman" w:eastAsiaTheme="minorEastAsia" w:hAnsi="Times New Roman" w:cs="Times New Roman"/>
          <w:color w:val="000000" w:themeColor="text1"/>
          <w:kern w:val="24"/>
          <w:sz w:val="24"/>
          <w:szCs w:val="24"/>
          <w:lang w:eastAsia="en-GB"/>
        </w:rPr>
        <w:t>: 26-7), but it has also been judged as recalibration (Pierson</w:t>
      </w:r>
      <w:r w:rsidR="00770B82" w:rsidRPr="00F8240E">
        <w:rPr>
          <w:rFonts w:ascii="Times New Roman" w:eastAsiaTheme="minorEastAsia" w:hAnsi="Times New Roman" w:cs="Times New Roman"/>
          <w:color w:val="000000" w:themeColor="text1"/>
          <w:kern w:val="24"/>
          <w:sz w:val="24"/>
          <w:szCs w:val="24"/>
          <w:lang w:eastAsia="en-GB"/>
        </w:rPr>
        <w:t xml:space="preserve">, </w:t>
      </w:r>
      <w:r w:rsidR="00C25CB0" w:rsidRPr="00F8240E">
        <w:rPr>
          <w:rFonts w:ascii="Times New Roman" w:eastAsiaTheme="minorEastAsia" w:hAnsi="Times New Roman" w:cs="Times New Roman"/>
          <w:color w:val="000000" w:themeColor="text1"/>
          <w:kern w:val="24"/>
          <w:sz w:val="24"/>
          <w:szCs w:val="24"/>
          <w:lang w:eastAsia="en-GB"/>
        </w:rPr>
        <w:t>2001: 426; Lane et al</w:t>
      </w:r>
      <w:r w:rsidR="00770B82" w:rsidRPr="00F8240E">
        <w:rPr>
          <w:rFonts w:ascii="Times New Roman" w:eastAsiaTheme="minorEastAsia" w:hAnsi="Times New Roman" w:cs="Times New Roman"/>
          <w:color w:val="000000" w:themeColor="text1"/>
          <w:kern w:val="24"/>
          <w:sz w:val="24"/>
          <w:szCs w:val="24"/>
          <w:lang w:eastAsia="en-GB"/>
        </w:rPr>
        <w:t>,</w:t>
      </w:r>
      <w:r w:rsidR="00C25CB0" w:rsidRPr="00F8240E">
        <w:rPr>
          <w:rFonts w:ascii="Times New Roman" w:eastAsiaTheme="minorEastAsia" w:hAnsi="Times New Roman" w:cs="Times New Roman"/>
          <w:color w:val="000000" w:themeColor="text1"/>
          <w:kern w:val="24"/>
          <w:sz w:val="24"/>
          <w:szCs w:val="24"/>
          <w:lang w:eastAsia="en-GB"/>
        </w:rPr>
        <w:t xml:space="preserve"> 2013).  </w:t>
      </w:r>
      <w:r w:rsidR="00FD7A9F" w:rsidRPr="00F8240E">
        <w:rPr>
          <w:rFonts w:ascii="Times New Roman" w:eastAsiaTheme="minorEastAsia" w:hAnsi="Times New Roman" w:cs="Times New Roman"/>
          <w:color w:val="000000" w:themeColor="text1"/>
          <w:kern w:val="24"/>
          <w:sz w:val="24"/>
          <w:szCs w:val="24"/>
          <w:lang w:eastAsia="en-GB"/>
        </w:rPr>
        <w:t xml:space="preserve">Following </w:t>
      </w:r>
      <w:r w:rsidR="00C25CB0" w:rsidRPr="00F8240E">
        <w:rPr>
          <w:rFonts w:ascii="Times New Roman" w:eastAsiaTheme="minorEastAsia" w:hAnsi="Times New Roman" w:cs="Times New Roman"/>
          <w:color w:val="000000" w:themeColor="text1"/>
          <w:kern w:val="24"/>
          <w:sz w:val="24"/>
          <w:szCs w:val="24"/>
          <w:lang w:eastAsia="en-GB"/>
        </w:rPr>
        <w:t>Häusermann</w:t>
      </w:r>
      <w:r w:rsidR="00FD7A9F" w:rsidRPr="00F8240E">
        <w:rPr>
          <w:rFonts w:ascii="Times New Roman" w:eastAsiaTheme="minorEastAsia" w:hAnsi="Times New Roman" w:cs="Times New Roman"/>
          <w:color w:val="000000" w:themeColor="text1"/>
          <w:kern w:val="24"/>
          <w:sz w:val="24"/>
          <w:szCs w:val="24"/>
          <w:lang w:eastAsia="en-GB"/>
        </w:rPr>
        <w:t xml:space="preserve">, </w:t>
      </w:r>
      <w:r w:rsidR="00803B22" w:rsidRPr="00F8240E">
        <w:rPr>
          <w:rFonts w:ascii="Times New Roman" w:eastAsiaTheme="minorEastAsia" w:hAnsi="Times New Roman" w:cs="Times New Roman"/>
          <w:color w:val="000000" w:themeColor="text1"/>
          <w:kern w:val="24"/>
          <w:sz w:val="24"/>
          <w:szCs w:val="24"/>
          <w:lang w:eastAsia="en-GB"/>
        </w:rPr>
        <w:t xml:space="preserve">in the analysis </w:t>
      </w:r>
      <w:r w:rsidR="00FD7A9F" w:rsidRPr="00F8240E">
        <w:rPr>
          <w:rFonts w:ascii="Times New Roman" w:eastAsiaTheme="minorEastAsia" w:hAnsi="Times New Roman" w:cs="Times New Roman"/>
          <w:color w:val="000000" w:themeColor="text1"/>
          <w:kern w:val="24"/>
          <w:sz w:val="24"/>
          <w:szCs w:val="24"/>
          <w:lang w:eastAsia="en-GB"/>
        </w:rPr>
        <w:t>below</w:t>
      </w:r>
      <w:r w:rsidR="00C25CB0" w:rsidRPr="00F8240E">
        <w:rPr>
          <w:rFonts w:ascii="Times New Roman" w:eastAsiaTheme="minorEastAsia" w:hAnsi="Times New Roman" w:cs="Times New Roman"/>
          <w:color w:val="000000" w:themeColor="text1"/>
          <w:kern w:val="24"/>
          <w:sz w:val="24"/>
          <w:szCs w:val="24"/>
          <w:lang w:eastAsia="en-GB"/>
        </w:rPr>
        <w:t xml:space="preserve"> a separate </w:t>
      </w:r>
      <w:r w:rsidR="00C25CB0" w:rsidRPr="00F8240E">
        <w:rPr>
          <w:rFonts w:ascii="Times New Roman" w:eastAsiaTheme="minorEastAsia" w:hAnsi="Times New Roman" w:cs="Times New Roman"/>
          <w:i/>
          <w:color w:val="000000" w:themeColor="text1"/>
          <w:kern w:val="24"/>
          <w:sz w:val="24"/>
          <w:szCs w:val="24"/>
          <w:lang w:eastAsia="en-GB"/>
        </w:rPr>
        <w:t>capitalisation</w:t>
      </w:r>
      <w:r w:rsidR="00C25CB0" w:rsidRPr="00F8240E">
        <w:rPr>
          <w:rFonts w:ascii="Times New Roman" w:eastAsiaTheme="minorEastAsia" w:hAnsi="Times New Roman" w:cs="Times New Roman"/>
          <w:color w:val="000000" w:themeColor="text1"/>
          <w:kern w:val="24"/>
          <w:sz w:val="24"/>
          <w:szCs w:val="24"/>
          <w:lang w:eastAsia="en-GB"/>
        </w:rPr>
        <w:t xml:space="preserve"> category </w:t>
      </w:r>
      <w:r w:rsidR="00803B22" w:rsidRPr="00F8240E">
        <w:rPr>
          <w:rFonts w:ascii="Times New Roman" w:eastAsiaTheme="minorEastAsia" w:hAnsi="Times New Roman" w:cs="Times New Roman"/>
          <w:color w:val="000000" w:themeColor="text1"/>
          <w:kern w:val="24"/>
          <w:sz w:val="24"/>
          <w:szCs w:val="24"/>
          <w:lang w:eastAsia="en-GB"/>
        </w:rPr>
        <w:t>is used</w:t>
      </w:r>
      <w:r w:rsidR="00FD7A9F" w:rsidRPr="00F8240E">
        <w:rPr>
          <w:rFonts w:ascii="Times New Roman" w:eastAsiaTheme="minorEastAsia" w:hAnsi="Times New Roman" w:cs="Times New Roman"/>
          <w:color w:val="000000" w:themeColor="text1"/>
          <w:kern w:val="24"/>
          <w:sz w:val="24"/>
          <w:szCs w:val="24"/>
          <w:lang w:eastAsia="en-GB"/>
        </w:rPr>
        <w:t>. Th</w:t>
      </w:r>
      <w:r w:rsidR="00570194" w:rsidRPr="00F8240E">
        <w:rPr>
          <w:rFonts w:ascii="Times New Roman" w:eastAsiaTheme="minorEastAsia" w:hAnsi="Times New Roman" w:cs="Times New Roman"/>
          <w:color w:val="000000" w:themeColor="text1"/>
          <w:kern w:val="24"/>
          <w:sz w:val="24"/>
          <w:szCs w:val="24"/>
          <w:lang w:eastAsia="en-GB"/>
        </w:rPr>
        <w:t xml:space="preserve">is </w:t>
      </w:r>
      <w:r w:rsidR="00612A44" w:rsidRPr="00F8240E">
        <w:rPr>
          <w:rFonts w:ascii="Times New Roman" w:eastAsiaTheme="minorEastAsia" w:hAnsi="Times New Roman" w:cs="Times New Roman"/>
          <w:color w:val="000000" w:themeColor="text1"/>
          <w:kern w:val="24"/>
          <w:sz w:val="24"/>
          <w:szCs w:val="24"/>
          <w:lang w:eastAsia="en-GB"/>
        </w:rPr>
        <w:t>delineate</w:t>
      </w:r>
      <w:r w:rsidR="00FD7A9F" w:rsidRPr="00F8240E">
        <w:rPr>
          <w:rFonts w:ascii="Times New Roman" w:eastAsiaTheme="minorEastAsia" w:hAnsi="Times New Roman" w:cs="Times New Roman"/>
          <w:color w:val="000000" w:themeColor="text1"/>
          <w:kern w:val="24"/>
          <w:sz w:val="24"/>
          <w:szCs w:val="24"/>
          <w:lang w:eastAsia="en-GB"/>
        </w:rPr>
        <w:t>s</w:t>
      </w:r>
      <w:r w:rsidR="00570194" w:rsidRPr="00F8240E">
        <w:rPr>
          <w:rFonts w:ascii="Times New Roman" w:eastAsiaTheme="minorEastAsia" w:hAnsi="Times New Roman" w:cs="Times New Roman"/>
          <w:color w:val="000000" w:themeColor="text1"/>
          <w:kern w:val="24"/>
          <w:sz w:val="24"/>
          <w:szCs w:val="24"/>
          <w:lang w:eastAsia="en-GB"/>
        </w:rPr>
        <w:t xml:space="preserve"> the</w:t>
      </w:r>
      <w:r w:rsidR="00C25CB0" w:rsidRPr="00F8240E">
        <w:rPr>
          <w:rFonts w:ascii="Times New Roman" w:eastAsiaTheme="minorEastAsia" w:hAnsi="Times New Roman" w:cs="Times New Roman"/>
          <w:color w:val="000000" w:themeColor="text1"/>
          <w:kern w:val="24"/>
          <w:sz w:val="24"/>
          <w:szCs w:val="24"/>
          <w:lang w:eastAsia="en-GB"/>
        </w:rPr>
        <w:t xml:space="preserve"> various types</w:t>
      </w:r>
      <w:r w:rsidR="00FD7A9F" w:rsidRPr="00F8240E">
        <w:rPr>
          <w:rFonts w:ascii="Times New Roman" w:eastAsiaTheme="minorEastAsia" w:hAnsi="Times New Roman" w:cs="Times New Roman"/>
          <w:color w:val="000000" w:themeColor="text1"/>
          <w:kern w:val="24"/>
          <w:sz w:val="24"/>
          <w:szCs w:val="24"/>
          <w:lang w:eastAsia="en-GB"/>
        </w:rPr>
        <w:t xml:space="preserve"> of </w:t>
      </w:r>
      <w:r w:rsidR="00FD7A9F" w:rsidRPr="00F8240E">
        <w:rPr>
          <w:rFonts w:ascii="Times New Roman" w:eastAsiaTheme="minorEastAsia" w:hAnsi="Times New Roman" w:cs="Times New Roman"/>
          <w:i/>
          <w:color w:val="000000" w:themeColor="text1"/>
          <w:kern w:val="24"/>
          <w:sz w:val="24"/>
          <w:szCs w:val="24"/>
          <w:lang w:eastAsia="en-GB"/>
        </w:rPr>
        <w:t>capitalisation</w:t>
      </w:r>
      <w:r w:rsidR="00535438" w:rsidRPr="00F8240E">
        <w:rPr>
          <w:rFonts w:ascii="Times New Roman" w:eastAsiaTheme="minorEastAsia" w:hAnsi="Times New Roman" w:cs="Times New Roman"/>
          <w:color w:val="000000" w:themeColor="text1"/>
          <w:kern w:val="24"/>
          <w:sz w:val="24"/>
          <w:szCs w:val="24"/>
          <w:lang w:eastAsia="en-GB"/>
        </w:rPr>
        <w:t xml:space="preserve"> </w:t>
      </w:r>
      <w:r w:rsidR="006624EC" w:rsidRPr="00F8240E">
        <w:rPr>
          <w:rFonts w:ascii="Times New Roman" w:eastAsiaTheme="minorEastAsia" w:hAnsi="Times New Roman" w:cs="Times New Roman"/>
          <w:color w:val="000000" w:themeColor="text1"/>
          <w:kern w:val="24"/>
          <w:sz w:val="24"/>
          <w:szCs w:val="24"/>
          <w:lang w:eastAsia="en-GB"/>
        </w:rPr>
        <w:t xml:space="preserve">(eg between personal and occupational pensions) </w:t>
      </w:r>
      <w:bookmarkStart w:id="15" w:name="_Hlk510947850"/>
      <w:r w:rsidR="006624EC" w:rsidRPr="00F8240E">
        <w:rPr>
          <w:rFonts w:ascii="Times New Roman" w:eastAsiaTheme="minorEastAsia" w:hAnsi="Times New Roman" w:cs="Times New Roman"/>
          <w:color w:val="000000" w:themeColor="text1"/>
          <w:kern w:val="24"/>
          <w:sz w:val="24"/>
          <w:szCs w:val="24"/>
          <w:lang w:eastAsia="en-GB"/>
        </w:rPr>
        <w:t xml:space="preserve">and considers whether its development </w:t>
      </w:r>
      <w:bookmarkEnd w:id="15"/>
      <w:r w:rsidR="00C25CB0" w:rsidRPr="00F8240E">
        <w:rPr>
          <w:rFonts w:ascii="Times New Roman" w:eastAsiaTheme="minorEastAsia" w:hAnsi="Times New Roman" w:cs="Times New Roman"/>
          <w:color w:val="000000" w:themeColor="text1"/>
          <w:kern w:val="24"/>
          <w:sz w:val="24"/>
          <w:szCs w:val="24"/>
          <w:lang w:eastAsia="en-GB"/>
        </w:rPr>
        <w:t>substitutes for or complements public provision</w:t>
      </w:r>
      <w:r w:rsidR="00172BF2" w:rsidRPr="00F8240E">
        <w:rPr>
          <w:rFonts w:ascii="Times New Roman" w:eastAsiaTheme="minorEastAsia" w:hAnsi="Times New Roman" w:cs="Times New Roman"/>
          <w:color w:val="000000" w:themeColor="text1"/>
          <w:kern w:val="24"/>
          <w:sz w:val="24"/>
          <w:szCs w:val="24"/>
          <w:lang w:eastAsia="en-GB"/>
        </w:rPr>
        <w:t>.</w:t>
      </w:r>
    </w:p>
    <w:p w14:paraId="5E03DD6F" w14:textId="6F451169" w:rsidR="00C25CB0" w:rsidRPr="00F8240E" w:rsidRDefault="00D953A0" w:rsidP="004943B5">
      <w:pPr>
        <w:spacing w:line="480" w:lineRule="auto"/>
        <w:jc w:val="both"/>
        <w:rPr>
          <w:rFonts w:ascii="Times New Roman" w:eastAsiaTheme="minorEastAsia" w:hAnsi="Times New Roman" w:cs="Times New Roman"/>
          <w:color w:val="000000" w:themeColor="text1"/>
          <w:kern w:val="24"/>
          <w:sz w:val="24"/>
          <w:szCs w:val="24"/>
          <w:lang w:eastAsia="en-GB"/>
        </w:rPr>
      </w:pPr>
      <w:r w:rsidRPr="00F8240E">
        <w:rPr>
          <w:rFonts w:ascii="Times New Roman" w:eastAsiaTheme="minorEastAsia" w:hAnsi="Times New Roman" w:cs="Times New Roman"/>
          <w:color w:val="000000" w:themeColor="text1"/>
          <w:kern w:val="24"/>
          <w:sz w:val="24"/>
          <w:szCs w:val="24"/>
          <w:lang w:eastAsia="en-GB"/>
        </w:rPr>
        <w:t xml:space="preserve">In what follows, therefore, </w:t>
      </w:r>
      <w:r w:rsidRPr="00F8240E">
        <w:rPr>
          <w:rFonts w:ascii="Times New Roman" w:eastAsiaTheme="minorEastAsia" w:hAnsi="Times New Roman" w:cs="Times New Roman"/>
          <w:i/>
          <w:color w:val="000000" w:themeColor="text1"/>
          <w:kern w:val="24"/>
          <w:sz w:val="24"/>
          <w:szCs w:val="24"/>
          <w:lang w:eastAsia="en-GB"/>
        </w:rPr>
        <w:t xml:space="preserve">cost containment, recommodification and targeting </w:t>
      </w:r>
      <w:r w:rsidRPr="00F8240E">
        <w:rPr>
          <w:rFonts w:ascii="Times New Roman" w:eastAsiaTheme="minorEastAsia" w:hAnsi="Times New Roman" w:cs="Times New Roman"/>
          <w:color w:val="000000" w:themeColor="text1"/>
          <w:kern w:val="24"/>
          <w:sz w:val="24"/>
          <w:szCs w:val="24"/>
          <w:lang w:eastAsia="en-GB"/>
        </w:rPr>
        <w:t xml:space="preserve">and </w:t>
      </w:r>
      <w:r w:rsidRPr="00F8240E">
        <w:rPr>
          <w:rFonts w:ascii="Times New Roman" w:eastAsiaTheme="minorEastAsia" w:hAnsi="Times New Roman" w:cs="Times New Roman"/>
          <w:i/>
          <w:color w:val="000000" w:themeColor="text1"/>
          <w:kern w:val="24"/>
          <w:sz w:val="24"/>
          <w:szCs w:val="24"/>
          <w:lang w:eastAsia="en-GB"/>
        </w:rPr>
        <w:t>capitalisation</w:t>
      </w:r>
      <w:r w:rsidRPr="00F8240E">
        <w:rPr>
          <w:rFonts w:ascii="Times New Roman" w:eastAsiaTheme="minorEastAsia" w:hAnsi="Times New Roman" w:cs="Times New Roman"/>
          <w:color w:val="000000" w:themeColor="text1"/>
          <w:kern w:val="24"/>
          <w:sz w:val="24"/>
          <w:szCs w:val="24"/>
          <w:lang w:eastAsia="en-GB"/>
        </w:rPr>
        <w:t xml:space="preserve"> will be used to analyse change in the six liberal pension systems. Given the paper’s focus on the </w:t>
      </w:r>
      <w:r w:rsidR="00535438" w:rsidRPr="00F8240E">
        <w:rPr>
          <w:rFonts w:ascii="Times New Roman" w:eastAsiaTheme="minorEastAsia" w:hAnsi="Times New Roman" w:cs="Times New Roman"/>
          <w:color w:val="000000" w:themeColor="text1"/>
          <w:kern w:val="24"/>
          <w:sz w:val="24"/>
          <w:szCs w:val="24"/>
          <w:lang w:eastAsia="en-GB"/>
        </w:rPr>
        <w:t>public</w:t>
      </w:r>
      <w:r w:rsidRPr="00F8240E">
        <w:rPr>
          <w:rFonts w:ascii="Times New Roman" w:eastAsiaTheme="minorEastAsia" w:hAnsi="Times New Roman" w:cs="Times New Roman"/>
          <w:color w:val="000000" w:themeColor="text1"/>
          <w:kern w:val="24"/>
          <w:sz w:val="24"/>
          <w:szCs w:val="24"/>
          <w:lang w:eastAsia="en-GB"/>
        </w:rPr>
        <w:t xml:space="preserve"> pension systems of the golden age recalibration in relation to new social risks will not be part of the analysis.</w:t>
      </w:r>
    </w:p>
    <w:p w14:paraId="4642D622" w14:textId="77777777" w:rsidR="00535438" w:rsidRPr="00F8240E" w:rsidRDefault="00535438" w:rsidP="004943B5">
      <w:pPr>
        <w:spacing w:line="480" w:lineRule="auto"/>
        <w:jc w:val="both"/>
        <w:rPr>
          <w:rFonts w:ascii="Times New Roman" w:hAnsi="Times New Roman" w:cs="Times New Roman"/>
          <w:sz w:val="24"/>
          <w:szCs w:val="24"/>
        </w:rPr>
      </w:pPr>
    </w:p>
    <w:p w14:paraId="70F35024" w14:textId="5A073111" w:rsidR="00590D6E" w:rsidRPr="00F8240E" w:rsidRDefault="00535438"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2.2 </w:t>
      </w:r>
      <w:r w:rsidR="00590D6E" w:rsidRPr="00F8240E">
        <w:rPr>
          <w:rFonts w:ascii="Times New Roman" w:hAnsi="Times New Roman" w:cs="Times New Roman"/>
          <w:sz w:val="24"/>
          <w:szCs w:val="24"/>
        </w:rPr>
        <w:t xml:space="preserve">Operationalisation and </w:t>
      </w:r>
      <w:r w:rsidR="00FD7A9F" w:rsidRPr="00F8240E">
        <w:rPr>
          <w:rFonts w:ascii="Times New Roman" w:hAnsi="Times New Roman" w:cs="Times New Roman"/>
          <w:sz w:val="24"/>
          <w:szCs w:val="24"/>
        </w:rPr>
        <w:t>measurement</w:t>
      </w:r>
    </w:p>
    <w:p w14:paraId="59FDD16A" w14:textId="7A7821EC" w:rsidR="00C25CB0" w:rsidRPr="00F8240E" w:rsidRDefault="00C25CB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To operational</w:t>
      </w:r>
      <w:r w:rsidR="00770B82" w:rsidRPr="00F8240E">
        <w:rPr>
          <w:rFonts w:ascii="Times New Roman" w:hAnsi="Times New Roman" w:cs="Times New Roman"/>
          <w:sz w:val="24"/>
          <w:szCs w:val="24"/>
        </w:rPr>
        <w:t>ize</w:t>
      </w:r>
      <w:r w:rsidRPr="00F8240E">
        <w:rPr>
          <w:rFonts w:ascii="Times New Roman" w:hAnsi="Times New Roman" w:cs="Times New Roman"/>
          <w:sz w:val="24"/>
          <w:szCs w:val="24"/>
        </w:rPr>
        <w:t xml:space="preserve"> these analytical categories in relation to the available data, the </w:t>
      </w:r>
      <w:r w:rsidR="00570194" w:rsidRPr="00F8240E">
        <w:rPr>
          <w:rFonts w:ascii="Times New Roman" w:hAnsi="Times New Roman" w:cs="Times New Roman"/>
          <w:sz w:val="24"/>
          <w:szCs w:val="24"/>
        </w:rPr>
        <w:t>analysis takes</w:t>
      </w:r>
      <w:r w:rsidRPr="00F8240E">
        <w:rPr>
          <w:rFonts w:ascii="Times New Roman" w:hAnsi="Times New Roman" w:cs="Times New Roman"/>
          <w:sz w:val="24"/>
          <w:szCs w:val="24"/>
        </w:rPr>
        <w:t xml:space="preserve"> the following approach.</w:t>
      </w:r>
      <w:r w:rsidR="00116867" w:rsidRPr="00F8240E">
        <w:rPr>
          <w:rFonts w:ascii="Times New Roman" w:hAnsi="Times New Roman" w:cs="Times New Roman"/>
          <w:sz w:val="24"/>
          <w:szCs w:val="24"/>
        </w:rPr>
        <w:t xml:space="preserve"> To assess </w:t>
      </w:r>
      <w:r w:rsidR="00116867" w:rsidRPr="00F8240E">
        <w:rPr>
          <w:rFonts w:ascii="Times New Roman" w:hAnsi="Times New Roman" w:cs="Times New Roman"/>
          <w:i/>
          <w:sz w:val="24"/>
          <w:szCs w:val="24"/>
        </w:rPr>
        <w:t>cost containment</w:t>
      </w:r>
      <w:r w:rsidR="00116867"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116867" w:rsidRPr="00F8240E">
        <w:rPr>
          <w:rFonts w:ascii="Times New Roman" w:hAnsi="Times New Roman" w:cs="Times New Roman"/>
          <w:sz w:val="24"/>
          <w:szCs w:val="24"/>
        </w:rPr>
        <w:t>c</w:t>
      </w:r>
      <w:r w:rsidR="00570194" w:rsidRPr="00F8240E">
        <w:rPr>
          <w:rFonts w:ascii="Times New Roman" w:hAnsi="Times New Roman" w:cs="Times New Roman"/>
          <w:sz w:val="24"/>
          <w:szCs w:val="24"/>
        </w:rPr>
        <w:t xml:space="preserve">omparative pension expenditure data </w:t>
      </w:r>
      <w:r w:rsidR="00116867" w:rsidRPr="00F8240E">
        <w:rPr>
          <w:rFonts w:ascii="Times New Roman" w:hAnsi="Times New Roman" w:cs="Times New Roman"/>
          <w:sz w:val="24"/>
          <w:szCs w:val="24"/>
        </w:rPr>
        <w:t>is used from t</w:t>
      </w:r>
      <w:r w:rsidR="00570194" w:rsidRPr="00F8240E">
        <w:rPr>
          <w:rFonts w:ascii="Times New Roman" w:hAnsi="Times New Roman" w:cs="Times New Roman"/>
          <w:sz w:val="24"/>
          <w:szCs w:val="24"/>
        </w:rPr>
        <w:t xml:space="preserve">he OECD’s </w:t>
      </w:r>
      <w:r w:rsidR="00924CE9" w:rsidRPr="00F8240E">
        <w:rPr>
          <w:rFonts w:ascii="Times New Roman" w:hAnsi="Times New Roman" w:cs="Times New Roman"/>
          <w:sz w:val="24"/>
          <w:szCs w:val="24"/>
        </w:rPr>
        <w:t>Social Expenditure (</w:t>
      </w:r>
      <w:r w:rsidR="00570194" w:rsidRPr="00F8240E">
        <w:rPr>
          <w:rFonts w:ascii="Times New Roman" w:hAnsi="Times New Roman" w:cs="Times New Roman"/>
          <w:sz w:val="24"/>
          <w:szCs w:val="24"/>
        </w:rPr>
        <w:t>SOCX</w:t>
      </w:r>
      <w:r w:rsidR="00924CE9" w:rsidRPr="00F8240E">
        <w:rPr>
          <w:rFonts w:ascii="Times New Roman" w:hAnsi="Times New Roman" w:cs="Times New Roman"/>
          <w:sz w:val="24"/>
          <w:szCs w:val="24"/>
        </w:rPr>
        <w:t>)</w:t>
      </w:r>
      <w:r w:rsidR="00570194" w:rsidRPr="00F8240E">
        <w:rPr>
          <w:rFonts w:ascii="Times New Roman" w:hAnsi="Times New Roman" w:cs="Times New Roman"/>
          <w:sz w:val="24"/>
          <w:szCs w:val="24"/>
        </w:rPr>
        <w:t xml:space="preserve"> database</w:t>
      </w:r>
      <w:r w:rsidR="00924CE9" w:rsidRPr="00F8240E">
        <w:rPr>
          <w:rFonts w:ascii="Times New Roman" w:hAnsi="Times New Roman" w:cs="Times New Roman"/>
          <w:sz w:val="24"/>
          <w:szCs w:val="24"/>
        </w:rPr>
        <w:t xml:space="preserve"> (2018)</w:t>
      </w:r>
      <w:r w:rsidR="00116867" w:rsidRPr="00F8240E">
        <w:rPr>
          <w:rFonts w:ascii="Times New Roman" w:hAnsi="Times New Roman" w:cs="Times New Roman"/>
          <w:sz w:val="24"/>
          <w:szCs w:val="24"/>
        </w:rPr>
        <w:t xml:space="preserve">. </w:t>
      </w:r>
      <w:r w:rsidR="00FD7A9F" w:rsidRPr="00F8240E">
        <w:rPr>
          <w:rFonts w:ascii="Times New Roman" w:hAnsi="Times New Roman" w:cs="Times New Roman"/>
          <w:sz w:val="24"/>
          <w:szCs w:val="24"/>
        </w:rPr>
        <w:t>Using this data in its raw form is problematic because</w:t>
      </w:r>
      <w:r w:rsidR="00116867" w:rsidRPr="00F8240E">
        <w:rPr>
          <w:rFonts w:ascii="Times New Roman" w:hAnsi="Times New Roman" w:cs="Times New Roman"/>
          <w:sz w:val="24"/>
          <w:szCs w:val="24"/>
        </w:rPr>
        <w:t>:</w:t>
      </w:r>
    </w:p>
    <w:p w14:paraId="7957A7D8" w14:textId="7D6C6D06" w:rsidR="00C25CB0" w:rsidRPr="00F8240E" w:rsidRDefault="00612A44" w:rsidP="004943B5">
      <w:pPr>
        <w:pStyle w:val="ListParagraph"/>
        <w:numPr>
          <w:ilvl w:val="0"/>
          <w:numId w:val="2"/>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The data</w:t>
      </w:r>
      <w:r w:rsidR="007A2688" w:rsidRPr="00F8240E">
        <w:rPr>
          <w:rFonts w:ascii="Times New Roman" w:hAnsi="Times New Roman" w:cs="Times New Roman"/>
          <w:sz w:val="24"/>
          <w:szCs w:val="24"/>
        </w:rPr>
        <w:t xml:space="preserve"> is</w:t>
      </w:r>
      <w:r w:rsidR="00C25CB0" w:rsidRPr="00F8240E">
        <w:rPr>
          <w:rFonts w:ascii="Times New Roman" w:hAnsi="Times New Roman" w:cs="Times New Roman"/>
          <w:sz w:val="24"/>
          <w:szCs w:val="24"/>
        </w:rPr>
        <w:t xml:space="preserve"> expressed as a percentage of GDP, meaning the relative contribution</w:t>
      </w:r>
      <w:r w:rsidR="00116867" w:rsidRPr="00F8240E">
        <w:rPr>
          <w:rFonts w:ascii="Times New Roman" w:hAnsi="Times New Roman" w:cs="Times New Roman"/>
          <w:sz w:val="24"/>
          <w:szCs w:val="24"/>
        </w:rPr>
        <w:t>s</w:t>
      </w:r>
      <w:r w:rsidR="00C25CB0" w:rsidRPr="00F8240E">
        <w:rPr>
          <w:rFonts w:ascii="Times New Roman" w:hAnsi="Times New Roman" w:cs="Times New Roman"/>
          <w:sz w:val="24"/>
          <w:szCs w:val="24"/>
        </w:rPr>
        <w:t xml:space="preserve"> of expenditure and GDP to movement over time are not clear</w:t>
      </w:r>
      <w:r w:rsidR="00116867" w:rsidRPr="00F8240E">
        <w:rPr>
          <w:rFonts w:ascii="Times New Roman" w:hAnsi="Times New Roman" w:cs="Times New Roman"/>
          <w:sz w:val="24"/>
          <w:szCs w:val="24"/>
        </w:rPr>
        <w:t>;</w:t>
      </w:r>
    </w:p>
    <w:p w14:paraId="32CF0F97" w14:textId="7F5DE8F4" w:rsidR="00C25CB0" w:rsidRPr="00F8240E" w:rsidRDefault="00C25CB0" w:rsidP="004943B5">
      <w:pPr>
        <w:pStyle w:val="ListParagraph"/>
        <w:numPr>
          <w:ilvl w:val="0"/>
          <w:numId w:val="2"/>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 xml:space="preserve">No allowance is made for changes in social need (Clayton </w:t>
      </w:r>
      <w:r w:rsidR="00172BF2" w:rsidRPr="00F8240E">
        <w:rPr>
          <w:rFonts w:ascii="Times New Roman" w:hAnsi="Times New Roman" w:cs="Times New Roman"/>
          <w:sz w:val="24"/>
          <w:szCs w:val="24"/>
        </w:rPr>
        <w:t>&amp;</w:t>
      </w:r>
      <w:r w:rsidRPr="00F8240E">
        <w:rPr>
          <w:rFonts w:ascii="Times New Roman" w:hAnsi="Times New Roman" w:cs="Times New Roman"/>
          <w:sz w:val="24"/>
          <w:szCs w:val="24"/>
        </w:rPr>
        <w:t xml:space="preserve"> Pontusson</w:t>
      </w:r>
      <w:r w:rsidR="00770B82" w:rsidRPr="00F8240E">
        <w:rPr>
          <w:rFonts w:ascii="Times New Roman" w:hAnsi="Times New Roman" w:cs="Times New Roman"/>
          <w:sz w:val="24"/>
          <w:szCs w:val="24"/>
        </w:rPr>
        <w:t xml:space="preserve">, </w:t>
      </w:r>
      <w:r w:rsidR="00D01C3B" w:rsidRPr="00F8240E">
        <w:rPr>
          <w:rFonts w:ascii="Times New Roman" w:hAnsi="Times New Roman" w:cs="Times New Roman"/>
          <w:sz w:val="24"/>
          <w:szCs w:val="24"/>
        </w:rPr>
        <w:t>1998</w:t>
      </w:r>
      <w:r w:rsidR="00116867" w:rsidRPr="00F8240E">
        <w:rPr>
          <w:rFonts w:ascii="Times New Roman" w:hAnsi="Times New Roman" w:cs="Times New Roman"/>
          <w:sz w:val="24"/>
          <w:szCs w:val="24"/>
        </w:rPr>
        <w:t>;</w:t>
      </w:r>
      <w:r w:rsidRPr="00F8240E">
        <w:rPr>
          <w:rFonts w:ascii="Times New Roman" w:hAnsi="Times New Roman" w:cs="Times New Roman"/>
          <w:sz w:val="24"/>
          <w:szCs w:val="24"/>
        </w:rPr>
        <w:t xml:space="preserve"> Kangas </w:t>
      </w:r>
      <w:r w:rsidR="00172BF2" w:rsidRPr="00F8240E">
        <w:rPr>
          <w:rFonts w:ascii="Times New Roman" w:hAnsi="Times New Roman" w:cs="Times New Roman"/>
          <w:sz w:val="24"/>
          <w:szCs w:val="24"/>
        </w:rPr>
        <w:t>&amp;</w:t>
      </w:r>
      <w:r w:rsidRPr="00F8240E">
        <w:rPr>
          <w:rFonts w:ascii="Times New Roman" w:hAnsi="Times New Roman" w:cs="Times New Roman"/>
          <w:sz w:val="24"/>
          <w:szCs w:val="24"/>
        </w:rPr>
        <w:t xml:space="preserve"> Palme</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2007)</w:t>
      </w:r>
      <w:r w:rsidR="00116867" w:rsidRPr="00F8240E">
        <w:rPr>
          <w:rFonts w:ascii="Times New Roman" w:hAnsi="Times New Roman" w:cs="Times New Roman"/>
          <w:sz w:val="24"/>
          <w:szCs w:val="24"/>
        </w:rPr>
        <w:t>;</w:t>
      </w:r>
    </w:p>
    <w:p w14:paraId="4C95F317" w14:textId="4CD439FB" w:rsidR="00C25CB0" w:rsidRPr="00F8240E" w:rsidRDefault="00C25CB0" w:rsidP="004943B5">
      <w:pPr>
        <w:pStyle w:val="ListParagraph"/>
        <w:numPr>
          <w:ilvl w:val="0"/>
          <w:numId w:val="2"/>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No indication is provided of how expenditure on the older population relates to changes in national income per capita</w:t>
      </w:r>
      <w:r w:rsidR="00116867" w:rsidRPr="00F8240E">
        <w:rPr>
          <w:rFonts w:ascii="Times New Roman" w:hAnsi="Times New Roman" w:cs="Times New Roman"/>
          <w:sz w:val="24"/>
          <w:szCs w:val="24"/>
        </w:rPr>
        <w:t>;</w:t>
      </w:r>
    </w:p>
    <w:p w14:paraId="2F9B8E07" w14:textId="2E5353D3" w:rsidR="00C25CB0" w:rsidRPr="00F8240E" w:rsidRDefault="00116867" w:rsidP="004943B5">
      <w:pPr>
        <w:pStyle w:val="ListParagraph"/>
        <w:numPr>
          <w:ilvl w:val="0"/>
          <w:numId w:val="2"/>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Expenditure c</w:t>
      </w:r>
      <w:r w:rsidR="00C25CB0" w:rsidRPr="00F8240E">
        <w:rPr>
          <w:rFonts w:ascii="Times New Roman" w:hAnsi="Times New Roman" w:cs="Times New Roman"/>
          <w:sz w:val="24"/>
          <w:szCs w:val="24"/>
        </w:rPr>
        <w:t xml:space="preserve">hanges might be the product of policies passed before the period of interest which still </w:t>
      </w:r>
      <w:r w:rsidRPr="00F8240E">
        <w:rPr>
          <w:rFonts w:ascii="Times New Roman" w:hAnsi="Times New Roman" w:cs="Times New Roman"/>
          <w:sz w:val="24"/>
          <w:szCs w:val="24"/>
        </w:rPr>
        <w:t>determine</w:t>
      </w:r>
      <w:r w:rsidR="00C25CB0" w:rsidRPr="00F8240E">
        <w:rPr>
          <w:rFonts w:ascii="Times New Roman" w:hAnsi="Times New Roman" w:cs="Times New Roman"/>
          <w:sz w:val="24"/>
          <w:szCs w:val="24"/>
        </w:rPr>
        <w:t xml:space="preserve"> welfare entitlemen</w:t>
      </w:r>
      <w:r w:rsidRPr="00F8240E">
        <w:rPr>
          <w:rFonts w:ascii="Times New Roman" w:hAnsi="Times New Roman" w:cs="Times New Roman"/>
          <w:sz w:val="24"/>
          <w:szCs w:val="24"/>
        </w:rPr>
        <w:t>t;</w:t>
      </w:r>
    </w:p>
    <w:p w14:paraId="7DA45FC2" w14:textId="418C6B14" w:rsidR="00C25CB0" w:rsidRPr="00F8240E" w:rsidRDefault="00C25CB0" w:rsidP="004943B5">
      <w:pPr>
        <w:pStyle w:val="ListParagraph"/>
        <w:numPr>
          <w:ilvl w:val="0"/>
          <w:numId w:val="2"/>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 xml:space="preserve">Tax expenditures are not included in the OECD’s figures (De Deken </w:t>
      </w:r>
      <w:r w:rsidR="00172BF2" w:rsidRPr="00F8240E">
        <w:rPr>
          <w:rFonts w:ascii="Times New Roman" w:hAnsi="Times New Roman" w:cs="Times New Roman"/>
          <w:sz w:val="24"/>
          <w:szCs w:val="24"/>
        </w:rPr>
        <w:t>&amp;</w:t>
      </w:r>
      <w:r w:rsidRPr="00F8240E">
        <w:rPr>
          <w:rFonts w:ascii="Times New Roman" w:hAnsi="Times New Roman" w:cs="Times New Roman"/>
          <w:sz w:val="24"/>
          <w:szCs w:val="24"/>
        </w:rPr>
        <w:t xml:space="preserve"> Kittel</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2007)</w:t>
      </w:r>
      <w:r w:rsidR="00116867" w:rsidRPr="00F8240E">
        <w:rPr>
          <w:rFonts w:ascii="Times New Roman" w:hAnsi="Times New Roman" w:cs="Times New Roman"/>
          <w:sz w:val="24"/>
          <w:szCs w:val="24"/>
        </w:rPr>
        <w:t>.</w:t>
      </w:r>
      <w:r w:rsidR="00116867" w:rsidRPr="00F8240E">
        <w:rPr>
          <w:rStyle w:val="EndnoteReference"/>
          <w:rFonts w:ascii="Times New Roman" w:hAnsi="Times New Roman" w:cs="Times New Roman"/>
          <w:sz w:val="24"/>
          <w:szCs w:val="24"/>
        </w:rPr>
        <w:endnoteReference w:id="3"/>
      </w:r>
    </w:p>
    <w:p w14:paraId="25FA7EAE" w14:textId="5CADF4D2" w:rsidR="00C25CB0" w:rsidRPr="00F8240E" w:rsidRDefault="00C25CB0" w:rsidP="004943B5">
      <w:pPr>
        <w:pStyle w:val="ListParagraph"/>
        <w:spacing w:line="480" w:lineRule="auto"/>
        <w:ind w:left="0"/>
        <w:jc w:val="both"/>
        <w:rPr>
          <w:rFonts w:ascii="Times New Roman" w:hAnsi="Times New Roman" w:cs="Times New Roman"/>
          <w:sz w:val="24"/>
          <w:szCs w:val="24"/>
        </w:rPr>
      </w:pPr>
    </w:p>
    <w:p w14:paraId="15DA8D97" w14:textId="435ECA93" w:rsidR="00C25CB0" w:rsidRPr="00F8240E" w:rsidRDefault="00C25CB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To deal with the first two of these problems, the OECD’s figures </w:t>
      </w:r>
      <w:r w:rsidR="00535438" w:rsidRPr="00F8240E">
        <w:rPr>
          <w:rFonts w:ascii="Times New Roman" w:hAnsi="Times New Roman" w:cs="Times New Roman"/>
          <w:sz w:val="24"/>
          <w:szCs w:val="24"/>
        </w:rPr>
        <w:t>have been</w:t>
      </w:r>
      <w:r w:rsidR="00404A68" w:rsidRPr="00F8240E">
        <w:rPr>
          <w:rFonts w:ascii="Times New Roman" w:hAnsi="Times New Roman" w:cs="Times New Roman"/>
          <w:sz w:val="24"/>
          <w:szCs w:val="24"/>
        </w:rPr>
        <w:t xml:space="preserve"> converted </w:t>
      </w:r>
      <w:r w:rsidRPr="00F8240E">
        <w:rPr>
          <w:rFonts w:ascii="Times New Roman" w:hAnsi="Times New Roman" w:cs="Times New Roman"/>
          <w:sz w:val="24"/>
          <w:szCs w:val="24"/>
        </w:rPr>
        <w:t>into real expenditure per head of population above 65 using time series data for the six countries on GDP (</w:t>
      </w:r>
      <w:r w:rsidR="00924CE9" w:rsidRPr="00F8240E">
        <w:rPr>
          <w:rFonts w:ascii="Times New Roman" w:hAnsi="Times New Roman" w:cs="Times New Roman"/>
          <w:sz w:val="24"/>
          <w:szCs w:val="24"/>
        </w:rPr>
        <w:t>World Bank, 2018</w:t>
      </w:r>
      <w:r w:rsidRPr="00F8240E">
        <w:rPr>
          <w:rFonts w:ascii="Times New Roman" w:hAnsi="Times New Roman" w:cs="Times New Roman"/>
          <w:sz w:val="24"/>
          <w:szCs w:val="24"/>
        </w:rPr>
        <w:t>), population (United Nations</w:t>
      </w:r>
      <w:r w:rsidR="00924CE9" w:rsidRPr="00F8240E">
        <w:rPr>
          <w:rFonts w:ascii="Times New Roman" w:hAnsi="Times New Roman" w:cs="Times New Roman"/>
          <w:sz w:val="24"/>
          <w:szCs w:val="24"/>
        </w:rPr>
        <w:t>, 2017</w:t>
      </w:r>
      <w:r w:rsidRPr="00F8240E">
        <w:rPr>
          <w:rFonts w:ascii="Times New Roman" w:hAnsi="Times New Roman" w:cs="Times New Roman"/>
          <w:sz w:val="24"/>
          <w:szCs w:val="24"/>
        </w:rPr>
        <w:t>) and inflation (World Bank</w:t>
      </w:r>
      <w:r w:rsidR="00924CE9" w:rsidRPr="00F8240E">
        <w:rPr>
          <w:rFonts w:ascii="Times New Roman" w:hAnsi="Times New Roman" w:cs="Times New Roman"/>
          <w:sz w:val="24"/>
          <w:szCs w:val="24"/>
        </w:rPr>
        <w:t>, 2018</w:t>
      </w:r>
      <w:r w:rsidRPr="00F8240E">
        <w:rPr>
          <w:rFonts w:ascii="Times New Roman" w:hAnsi="Times New Roman" w:cs="Times New Roman"/>
          <w:sz w:val="24"/>
          <w:szCs w:val="24"/>
        </w:rPr>
        <w:t xml:space="preserve">). </w:t>
      </w:r>
      <w:r w:rsidR="00404A68" w:rsidRPr="00F8240E">
        <w:rPr>
          <w:rFonts w:ascii="Times New Roman" w:hAnsi="Times New Roman" w:cs="Times New Roman"/>
          <w:sz w:val="24"/>
          <w:szCs w:val="24"/>
        </w:rPr>
        <w:t>R</w:t>
      </w:r>
      <w:r w:rsidRPr="00F8240E">
        <w:rPr>
          <w:rFonts w:ascii="Times New Roman" w:hAnsi="Times New Roman" w:cs="Times New Roman"/>
          <w:sz w:val="24"/>
          <w:szCs w:val="24"/>
        </w:rPr>
        <w:t>eal decreases and increases in this adjusted expenditure data</w:t>
      </w:r>
      <w:r w:rsidR="00404A68" w:rsidRPr="00F8240E">
        <w:rPr>
          <w:rFonts w:ascii="Times New Roman" w:hAnsi="Times New Roman" w:cs="Times New Roman"/>
          <w:sz w:val="24"/>
          <w:szCs w:val="24"/>
        </w:rPr>
        <w:t xml:space="preserve"> are traced</w:t>
      </w:r>
      <w:r w:rsidRPr="00F8240E">
        <w:rPr>
          <w:rFonts w:ascii="Times New Roman" w:hAnsi="Times New Roman" w:cs="Times New Roman"/>
          <w:sz w:val="24"/>
          <w:szCs w:val="24"/>
        </w:rPr>
        <w:t xml:space="preserve"> across five-year periods. </w:t>
      </w:r>
      <w:r w:rsidR="00404A68" w:rsidRPr="00F8240E">
        <w:rPr>
          <w:rFonts w:ascii="Times New Roman" w:hAnsi="Times New Roman" w:cs="Times New Roman"/>
          <w:sz w:val="24"/>
          <w:szCs w:val="24"/>
        </w:rPr>
        <w:t>These</w:t>
      </w:r>
      <w:r w:rsidRPr="00F8240E">
        <w:rPr>
          <w:rFonts w:ascii="Times New Roman" w:hAnsi="Times New Roman" w:cs="Times New Roman"/>
          <w:sz w:val="24"/>
          <w:szCs w:val="24"/>
        </w:rPr>
        <w:t xml:space="preserve"> expenditure changes </w:t>
      </w:r>
      <w:r w:rsidR="00404A68" w:rsidRPr="00F8240E">
        <w:rPr>
          <w:rFonts w:ascii="Times New Roman" w:hAnsi="Times New Roman" w:cs="Times New Roman"/>
          <w:sz w:val="24"/>
          <w:szCs w:val="24"/>
        </w:rPr>
        <w:t xml:space="preserve">are </w:t>
      </w:r>
      <w:r w:rsidR="007A2688" w:rsidRPr="00F8240E">
        <w:rPr>
          <w:rFonts w:ascii="Times New Roman" w:hAnsi="Times New Roman" w:cs="Times New Roman"/>
          <w:sz w:val="24"/>
          <w:szCs w:val="24"/>
        </w:rPr>
        <w:t>then</w:t>
      </w:r>
      <w:r w:rsidR="00404A68" w:rsidRPr="00F8240E">
        <w:rPr>
          <w:rFonts w:ascii="Times New Roman" w:hAnsi="Times New Roman" w:cs="Times New Roman"/>
          <w:sz w:val="24"/>
          <w:szCs w:val="24"/>
        </w:rPr>
        <w:t xml:space="preserve"> compared </w:t>
      </w:r>
      <w:r w:rsidRPr="00F8240E">
        <w:rPr>
          <w:rFonts w:ascii="Times New Roman" w:hAnsi="Times New Roman" w:cs="Times New Roman"/>
          <w:sz w:val="24"/>
          <w:szCs w:val="24"/>
        </w:rPr>
        <w:t>with changes in GDP/cap</w:t>
      </w:r>
      <w:r w:rsidR="00172BF2" w:rsidRPr="00F8240E">
        <w:rPr>
          <w:rFonts w:ascii="Times New Roman" w:hAnsi="Times New Roman" w:cs="Times New Roman"/>
          <w:sz w:val="24"/>
          <w:szCs w:val="24"/>
        </w:rPr>
        <w:t>ita</w:t>
      </w:r>
      <w:r w:rsidRPr="00F8240E">
        <w:rPr>
          <w:rFonts w:ascii="Times New Roman" w:hAnsi="Times New Roman" w:cs="Times New Roman"/>
          <w:sz w:val="24"/>
          <w:szCs w:val="24"/>
        </w:rPr>
        <w:t xml:space="preserve"> to gauge the extent to which they reflect increases in national income (Clayton </w:t>
      </w:r>
      <w:r w:rsidR="009E2CD8" w:rsidRPr="00F8240E">
        <w:rPr>
          <w:rFonts w:ascii="Times New Roman" w:hAnsi="Times New Roman" w:cs="Times New Roman"/>
          <w:sz w:val="24"/>
          <w:szCs w:val="24"/>
        </w:rPr>
        <w:t>&amp;</w:t>
      </w:r>
      <w:r w:rsidRPr="00F8240E">
        <w:rPr>
          <w:rFonts w:ascii="Times New Roman" w:hAnsi="Times New Roman" w:cs="Times New Roman"/>
          <w:sz w:val="24"/>
          <w:szCs w:val="24"/>
        </w:rPr>
        <w:t xml:space="preserve"> Pontusson</w:t>
      </w:r>
      <w:r w:rsidR="00770B82" w:rsidRPr="00F8240E">
        <w:rPr>
          <w:rFonts w:ascii="Times New Roman" w:hAnsi="Times New Roman" w:cs="Times New Roman"/>
          <w:sz w:val="24"/>
          <w:szCs w:val="24"/>
        </w:rPr>
        <w:t>,</w:t>
      </w:r>
      <w:r w:rsidR="00D01C3B" w:rsidRPr="00F8240E">
        <w:rPr>
          <w:rFonts w:ascii="Times New Roman" w:hAnsi="Times New Roman" w:cs="Times New Roman"/>
          <w:sz w:val="24"/>
          <w:szCs w:val="24"/>
        </w:rPr>
        <w:t xml:space="preserve"> 1998</w:t>
      </w:r>
      <w:r w:rsidRPr="00F8240E">
        <w:rPr>
          <w:rFonts w:ascii="Times New Roman" w:hAnsi="Times New Roman" w:cs="Times New Roman"/>
          <w:sz w:val="24"/>
          <w:szCs w:val="24"/>
        </w:rPr>
        <w:t xml:space="preserve">). Unfortunately, reliable comparable data on fiscal support for non-state pensions is unavailable, so </w:t>
      </w:r>
      <w:r w:rsidR="00FD7A9F" w:rsidRPr="00F8240E">
        <w:rPr>
          <w:rFonts w:ascii="Times New Roman" w:hAnsi="Times New Roman" w:cs="Times New Roman"/>
          <w:sz w:val="24"/>
          <w:szCs w:val="24"/>
        </w:rPr>
        <w:t>the results are</w:t>
      </w:r>
      <w:r w:rsidRPr="00F8240E">
        <w:rPr>
          <w:rFonts w:ascii="Times New Roman" w:hAnsi="Times New Roman" w:cs="Times New Roman"/>
          <w:sz w:val="24"/>
          <w:szCs w:val="24"/>
        </w:rPr>
        <w:t xml:space="preserve"> likely to underestimate the overall public cost of provision in our six countries for most of the period. However,</w:t>
      </w:r>
      <w:r w:rsidR="00404A68" w:rsidRPr="00F8240E">
        <w:rPr>
          <w:rFonts w:ascii="Times New Roman" w:hAnsi="Times New Roman" w:cs="Times New Roman"/>
          <w:sz w:val="24"/>
          <w:szCs w:val="24"/>
        </w:rPr>
        <w:t xml:space="preserve"> this is of less concern given that our focus is cost containment in the </w:t>
      </w:r>
      <w:r w:rsidR="00404A68" w:rsidRPr="00F8240E">
        <w:rPr>
          <w:rFonts w:ascii="Times New Roman" w:hAnsi="Times New Roman" w:cs="Times New Roman"/>
          <w:i/>
          <w:sz w:val="24"/>
          <w:szCs w:val="24"/>
        </w:rPr>
        <w:t>public</w:t>
      </w:r>
      <w:r w:rsidR="00404A68" w:rsidRPr="00F8240E">
        <w:rPr>
          <w:rFonts w:ascii="Times New Roman" w:hAnsi="Times New Roman" w:cs="Times New Roman"/>
          <w:sz w:val="24"/>
          <w:szCs w:val="24"/>
        </w:rPr>
        <w:t xml:space="preserve"> sphere; whether the state’s financial commitment to public provision has decreased. </w:t>
      </w:r>
      <w:r w:rsidRPr="00F8240E">
        <w:rPr>
          <w:rFonts w:ascii="Times New Roman" w:hAnsi="Times New Roman" w:cs="Times New Roman"/>
          <w:sz w:val="24"/>
          <w:szCs w:val="24"/>
        </w:rPr>
        <w:t xml:space="preserve"> </w:t>
      </w:r>
    </w:p>
    <w:p w14:paraId="7C768C0E" w14:textId="79C564E7" w:rsidR="00C25CB0" w:rsidRPr="00F8240E" w:rsidRDefault="00C25CB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In terms of </w:t>
      </w:r>
      <w:r w:rsidRPr="00F8240E">
        <w:rPr>
          <w:rFonts w:ascii="Times New Roman" w:hAnsi="Times New Roman" w:cs="Times New Roman"/>
          <w:i/>
          <w:sz w:val="24"/>
          <w:szCs w:val="24"/>
        </w:rPr>
        <w:t>decommodification</w:t>
      </w:r>
      <w:r w:rsidRPr="00F8240E">
        <w:rPr>
          <w:rFonts w:ascii="Times New Roman" w:hAnsi="Times New Roman" w:cs="Times New Roman"/>
          <w:sz w:val="24"/>
          <w:szCs w:val="24"/>
        </w:rPr>
        <w:t xml:space="preserve"> and </w:t>
      </w:r>
      <w:r w:rsidRPr="00F8240E">
        <w:rPr>
          <w:rFonts w:ascii="Times New Roman" w:hAnsi="Times New Roman" w:cs="Times New Roman"/>
          <w:i/>
          <w:sz w:val="24"/>
          <w:szCs w:val="24"/>
        </w:rPr>
        <w:t>targeting</w:t>
      </w:r>
      <w:r w:rsidRPr="00F8240E">
        <w:rPr>
          <w:rFonts w:ascii="Times New Roman" w:hAnsi="Times New Roman" w:cs="Times New Roman"/>
          <w:sz w:val="24"/>
          <w:szCs w:val="24"/>
        </w:rPr>
        <w:t>, two databases now exist - the Comparative Welfare Entitlements Dataset (CWED</w:t>
      </w:r>
      <w:r w:rsidR="00E57853" w:rsidRPr="00F8240E">
        <w:rPr>
          <w:rFonts w:ascii="Times New Roman" w:hAnsi="Times New Roman" w:cs="Times New Roman"/>
          <w:sz w:val="24"/>
          <w:szCs w:val="24"/>
        </w:rPr>
        <w:t>; Scruggs e</w:t>
      </w:r>
      <w:r w:rsidR="001A19BA" w:rsidRPr="00F8240E">
        <w:rPr>
          <w:rFonts w:ascii="Times New Roman" w:hAnsi="Times New Roman" w:cs="Times New Roman"/>
          <w:sz w:val="24"/>
          <w:szCs w:val="24"/>
        </w:rPr>
        <w:t>t a</w:t>
      </w:r>
      <w:r w:rsidR="00E57853" w:rsidRPr="00F8240E">
        <w:rPr>
          <w:rFonts w:ascii="Times New Roman" w:hAnsi="Times New Roman" w:cs="Times New Roman"/>
          <w:sz w:val="24"/>
          <w:szCs w:val="24"/>
        </w:rPr>
        <w:t>l, 201</w:t>
      </w:r>
      <w:r w:rsidR="00C20DDB" w:rsidRPr="00F8240E">
        <w:rPr>
          <w:rFonts w:ascii="Times New Roman" w:hAnsi="Times New Roman" w:cs="Times New Roman"/>
          <w:sz w:val="24"/>
          <w:szCs w:val="24"/>
        </w:rPr>
        <w:t>7</w:t>
      </w:r>
      <w:r w:rsidR="00E57853" w:rsidRPr="00F8240E">
        <w:rPr>
          <w:rFonts w:ascii="Times New Roman" w:hAnsi="Times New Roman" w:cs="Times New Roman"/>
          <w:sz w:val="24"/>
          <w:szCs w:val="24"/>
        </w:rPr>
        <w:t>a</w:t>
      </w:r>
      <w:r w:rsidRPr="00F8240E">
        <w:rPr>
          <w:rFonts w:ascii="Times New Roman" w:hAnsi="Times New Roman" w:cs="Times New Roman"/>
          <w:sz w:val="24"/>
          <w:szCs w:val="24"/>
        </w:rPr>
        <w:t>) and the Social Policy Indicators Dataset (SPIN</w:t>
      </w:r>
      <w:r w:rsidR="000C4E68" w:rsidRPr="00F8240E">
        <w:rPr>
          <w:rFonts w:ascii="Times New Roman" w:hAnsi="Times New Roman" w:cs="Times New Roman"/>
          <w:sz w:val="24"/>
          <w:szCs w:val="24"/>
        </w:rPr>
        <w:t xml:space="preserve">; </w:t>
      </w:r>
      <w:r w:rsidR="000A09C8" w:rsidRPr="00F8240E">
        <w:rPr>
          <w:rFonts w:ascii="Times New Roman" w:hAnsi="Times New Roman" w:cs="Times New Roman"/>
          <w:sz w:val="24"/>
          <w:szCs w:val="24"/>
        </w:rPr>
        <w:t xml:space="preserve">Korpi </w:t>
      </w:r>
      <w:r w:rsidR="00115619" w:rsidRPr="00F8240E">
        <w:rPr>
          <w:rFonts w:ascii="Times New Roman" w:hAnsi="Times New Roman" w:cs="Times New Roman"/>
          <w:sz w:val="24"/>
          <w:szCs w:val="24"/>
        </w:rPr>
        <w:t xml:space="preserve">&amp; </w:t>
      </w:r>
      <w:r w:rsidR="000A09C8" w:rsidRPr="00F8240E">
        <w:rPr>
          <w:rFonts w:ascii="Times New Roman" w:hAnsi="Times New Roman" w:cs="Times New Roman"/>
          <w:sz w:val="24"/>
          <w:szCs w:val="24"/>
        </w:rPr>
        <w:t>Palme, 2008a</w:t>
      </w:r>
      <w:r w:rsidRPr="00F8240E">
        <w:rPr>
          <w:rFonts w:ascii="Times New Roman" w:hAnsi="Times New Roman" w:cs="Times New Roman"/>
          <w:sz w:val="24"/>
          <w:szCs w:val="24"/>
        </w:rPr>
        <w:t xml:space="preserve">) - providing detailed time series indicators of welfare state generosity across a large number of dimensions eg entitlement conditions, benefit generosity, replacement rates etc.. These datasets address particularly well expenditure data </w:t>
      </w:r>
      <w:r w:rsidR="00404A68" w:rsidRPr="00F8240E">
        <w:rPr>
          <w:rFonts w:ascii="Times New Roman" w:hAnsi="Times New Roman" w:cs="Times New Roman"/>
          <w:sz w:val="24"/>
          <w:szCs w:val="24"/>
        </w:rPr>
        <w:t xml:space="preserve">limitations </w:t>
      </w:r>
      <w:r w:rsidRPr="00F8240E">
        <w:rPr>
          <w:rFonts w:ascii="Times New Roman" w:hAnsi="Times New Roman" w:cs="Times New Roman"/>
          <w:sz w:val="24"/>
          <w:szCs w:val="24"/>
        </w:rPr>
        <w:t xml:space="preserve">with respect to </w:t>
      </w:r>
      <w:r w:rsidR="00404A68" w:rsidRPr="00F8240E">
        <w:rPr>
          <w:rFonts w:ascii="Times New Roman" w:hAnsi="Times New Roman" w:cs="Times New Roman"/>
          <w:sz w:val="24"/>
          <w:szCs w:val="24"/>
        </w:rPr>
        <w:t xml:space="preserve">welfare states’ </w:t>
      </w:r>
      <w:r w:rsidRPr="00F8240E">
        <w:rPr>
          <w:rFonts w:ascii="Times New Roman" w:hAnsi="Times New Roman" w:cs="Times New Roman"/>
          <w:sz w:val="24"/>
          <w:szCs w:val="24"/>
        </w:rPr>
        <w:t xml:space="preserve">distributional logic. However, the following important limitations remain. </w:t>
      </w:r>
    </w:p>
    <w:p w14:paraId="6AE7E9BF" w14:textId="04350163" w:rsidR="00C25CB0" w:rsidRPr="00F8240E" w:rsidRDefault="00C25CB0" w:rsidP="004943B5">
      <w:pPr>
        <w:pStyle w:val="ListParagraph"/>
        <w:numPr>
          <w:ilvl w:val="0"/>
          <w:numId w:val="3"/>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Replacement rate data is subject to variation based on factors unrelated to public pension policy ie changing wage rates</w:t>
      </w:r>
      <w:r w:rsidR="00535438"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p>
    <w:p w14:paraId="5DFF3D8B" w14:textId="0082DA28" w:rsidR="00C25CB0" w:rsidRPr="00F8240E" w:rsidRDefault="00C25CB0" w:rsidP="004943B5">
      <w:pPr>
        <w:pStyle w:val="ListParagraph"/>
        <w:numPr>
          <w:ilvl w:val="0"/>
          <w:numId w:val="3"/>
        </w:numPr>
        <w:spacing w:line="480" w:lineRule="auto"/>
        <w:ind w:left="0" w:firstLine="0"/>
        <w:jc w:val="both"/>
        <w:rPr>
          <w:rFonts w:ascii="Times New Roman" w:hAnsi="Times New Roman" w:cs="Times New Roman"/>
          <w:sz w:val="24"/>
          <w:szCs w:val="24"/>
        </w:rPr>
      </w:pPr>
      <w:r w:rsidRPr="00F8240E">
        <w:rPr>
          <w:rFonts w:ascii="Times New Roman" w:hAnsi="Times New Roman" w:cs="Times New Roman"/>
          <w:sz w:val="24"/>
          <w:szCs w:val="24"/>
        </w:rPr>
        <w:t>Replacement rates, like pension expenditure data, might reflect entitlement</w:t>
      </w:r>
      <w:r w:rsidR="00404A68" w:rsidRPr="00F8240E">
        <w:rPr>
          <w:rFonts w:ascii="Times New Roman" w:hAnsi="Times New Roman" w:cs="Times New Roman"/>
          <w:sz w:val="24"/>
          <w:szCs w:val="24"/>
        </w:rPr>
        <w:t>s</w:t>
      </w:r>
      <w:r w:rsidRPr="00F8240E">
        <w:rPr>
          <w:rFonts w:ascii="Times New Roman" w:hAnsi="Times New Roman" w:cs="Times New Roman"/>
          <w:sz w:val="24"/>
          <w:szCs w:val="24"/>
        </w:rPr>
        <w:t xml:space="preserve"> based on schemes from an earlier period</w:t>
      </w:r>
      <w:r w:rsidR="00535438" w:rsidRPr="00F8240E">
        <w:rPr>
          <w:rFonts w:ascii="Times New Roman" w:hAnsi="Times New Roman" w:cs="Times New Roman"/>
          <w:sz w:val="24"/>
          <w:szCs w:val="24"/>
        </w:rPr>
        <w:t>.</w:t>
      </w:r>
      <w:r w:rsidRPr="00F8240E">
        <w:rPr>
          <w:rStyle w:val="EndnoteReference"/>
          <w:rFonts w:ascii="Times New Roman" w:hAnsi="Times New Roman" w:cs="Times New Roman"/>
          <w:sz w:val="24"/>
          <w:szCs w:val="24"/>
        </w:rPr>
        <w:endnoteReference w:id="4"/>
      </w:r>
    </w:p>
    <w:p w14:paraId="11207A4D" w14:textId="1A69979C" w:rsidR="00F77831" w:rsidRPr="00F8240E" w:rsidRDefault="00C25CB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These problems can be surmounted by care in data interpretation. </w:t>
      </w:r>
      <w:r w:rsidR="00404A68" w:rsidRPr="00F8240E">
        <w:rPr>
          <w:rFonts w:ascii="Times New Roman" w:hAnsi="Times New Roman" w:cs="Times New Roman"/>
          <w:sz w:val="24"/>
          <w:szCs w:val="24"/>
        </w:rPr>
        <w:t>All findings are thus</w:t>
      </w:r>
      <w:r w:rsidRPr="00F8240E">
        <w:rPr>
          <w:rFonts w:ascii="Times New Roman" w:hAnsi="Times New Roman" w:cs="Times New Roman"/>
          <w:sz w:val="24"/>
          <w:szCs w:val="24"/>
        </w:rPr>
        <w:t xml:space="preserve"> contextual</w:t>
      </w:r>
      <w:r w:rsidR="00770B82" w:rsidRPr="00F8240E">
        <w:rPr>
          <w:rFonts w:ascii="Times New Roman" w:hAnsi="Times New Roman" w:cs="Times New Roman"/>
          <w:sz w:val="24"/>
          <w:szCs w:val="24"/>
        </w:rPr>
        <w:t>ize</w:t>
      </w:r>
      <w:r w:rsidR="00404A68" w:rsidRPr="00F8240E">
        <w:rPr>
          <w:rFonts w:ascii="Times New Roman" w:hAnsi="Times New Roman" w:cs="Times New Roman"/>
          <w:sz w:val="24"/>
          <w:szCs w:val="24"/>
        </w:rPr>
        <w:t>d</w:t>
      </w:r>
      <w:r w:rsidRPr="00F8240E">
        <w:rPr>
          <w:rFonts w:ascii="Times New Roman" w:hAnsi="Times New Roman" w:cs="Times New Roman"/>
          <w:sz w:val="24"/>
          <w:szCs w:val="24"/>
        </w:rPr>
        <w:t xml:space="preserve"> </w:t>
      </w:r>
      <w:r w:rsidR="007A2688" w:rsidRPr="00F8240E">
        <w:rPr>
          <w:rFonts w:ascii="Times New Roman" w:hAnsi="Times New Roman" w:cs="Times New Roman"/>
          <w:sz w:val="24"/>
          <w:szCs w:val="24"/>
        </w:rPr>
        <w:t xml:space="preserve">below </w:t>
      </w:r>
      <w:r w:rsidRPr="00F8240E">
        <w:rPr>
          <w:rFonts w:ascii="Times New Roman" w:hAnsi="Times New Roman" w:cs="Times New Roman"/>
          <w:sz w:val="24"/>
          <w:szCs w:val="24"/>
        </w:rPr>
        <w:t xml:space="preserve">using qualitative descriptions of </w:t>
      </w:r>
      <w:r w:rsidR="00404A68" w:rsidRPr="00F8240E">
        <w:rPr>
          <w:rFonts w:ascii="Times New Roman" w:hAnsi="Times New Roman" w:cs="Times New Roman"/>
          <w:sz w:val="24"/>
          <w:szCs w:val="24"/>
        </w:rPr>
        <w:t>pension system change</w:t>
      </w:r>
      <w:r w:rsidRPr="00F8240E">
        <w:rPr>
          <w:rFonts w:ascii="Times New Roman" w:hAnsi="Times New Roman" w:cs="Times New Roman"/>
          <w:sz w:val="24"/>
          <w:szCs w:val="24"/>
        </w:rPr>
        <w:t xml:space="preserve">, particularly to </w:t>
      </w:r>
      <w:r w:rsidR="005A1CF4" w:rsidRPr="00F8240E">
        <w:rPr>
          <w:rFonts w:ascii="Times New Roman" w:hAnsi="Times New Roman" w:cs="Times New Roman"/>
          <w:sz w:val="24"/>
          <w:szCs w:val="24"/>
        </w:rPr>
        <w:t>explain</w:t>
      </w:r>
      <w:r w:rsidRPr="00F8240E">
        <w:rPr>
          <w:rFonts w:ascii="Times New Roman" w:hAnsi="Times New Roman" w:cs="Times New Roman"/>
          <w:sz w:val="24"/>
          <w:szCs w:val="24"/>
        </w:rPr>
        <w:t xml:space="preserve"> the</w:t>
      </w:r>
      <w:r w:rsidR="00404A68" w:rsidRPr="00F8240E">
        <w:rPr>
          <w:rFonts w:ascii="Times New Roman" w:hAnsi="Times New Roman" w:cs="Times New Roman"/>
          <w:sz w:val="24"/>
          <w:szCs w:val="24"/>
        </w:rPr>
        <w:t xml:space="preserve"> ongoing</w:t>
      </w:r>
      <w:r w:rsidRPr="00F8240E">
        <w:rPr>
          <w:rFonts w:ascii="Times New Roman" w:hAnsi="Times New Roman" w:cs="Times New Roman"/>
          <w:sz w:val="24"/>
          <w:szCs w:val="24"/>
        </w:rPr>
        <w:t xml:space="preserve"> impact of reforms passed </w:t>
      </w:r>
      <w:r w:rsidR="005A1CF4" w:rsidRPr="00F8240E">
        <w:rPr>
          <w:rFonts w:ascii="Times New Roman" w:hAnsi="Times New Roman" w:cs="Times New Roman"/>
          <w:sz w:val="24"/>
          <w:szCs w:val="24"/>
        </w:rPr>
        <w:t>prior to 1980</w:t>
      </w:r>
      <w:r w:rsidRPr="00F8240E">
        <w:rPr>
          <w:rFonts w:ascii="Times New Roman" w:hAnsi="Times New Roman" w:cs="Times New Roman"/>
          <w:sz w:val="24"/>
          <w:szCs w:val="24"/>
        </w:rPr>
        <w:t xml:space="preserve">. </w:t>
      </w:r>
      <w:r w:rsidR="005A1CF4" w:rsidRPr="00F8240E">
        <w:rPr>
          <w:rFonts w:ascii="Times New Roman" w:hAnsi="Times New Roman" w:cs="Times New Roman"/>
          <w:sz w:val="24"/>
          <w:szCs w:val="24"/>
        </w:rPr>
        <w:t>I</w:t>
      </w:r>
      <w:r w:rsidRPr="00F8240E">
        <w:rPr>
          <w:rFonts w:ascii="Times New Roman" w:hAnsi="Times New Roman" w:cs="Times New Roman"/>
          <w:sz w:val="24"/>
          <w:szCs w:val="24"/>
        </w:rPr>
        <w:t>ncreases in the public pension age</w:t>
      </w:r>
      <w:r w:rsidR="005A1CF4" w:rsidRPr="00F8240E">
        <w:rPr>
          <w:rFonts w:ascii="Times New Roman" w:hAnsi="Times New Roman" w:cs="Times New Roman"/>
          <w:sz w:val="24"/>
          <w:szCs w:val="24"/>
        </w:rPr>
        <w:t xml:space="preserve"> are also recorded</w:t>
      </w:r>
      <w:r w:rsidRPr="00F8240E">
        <w:rPr>
          <w:rFonts w:ascii="Times New Roman" w:hAnsi="Times New Roman" w:cs="Times New Roman"/>
          <w:sz w:val="24"/>
          <w:szCs w:val="24"/>
        </w:rPr>
        <w:t xml:space="preserve">. </w:t>
      </w:r>
      <w:r w:rsidR="005A1CF4" w:rsidRPr="00F8240E">
        <w:rPr>
          <w:rFonts w:ascii="Times New Roman" w:hAnsi="Times New Roman" w:cs="Times New Roman"/>
          <w:sz w:val="24"/>
          <w:szCs w:val="24"/>
        </w:rPr>
        <w:t>T</w:t>
      </w:r>
      <w:r w:rsidRPr="00F8240E">
        <w:rPr>
          <w:rFonts w:ascii="Times New Roman" w:hAnsi="Times New Roman" w:cs="Times New Roman"/>
          <w:sz w:val="24"/>
          <w:szCs w:val="24"/>
        </w:rPr>
        <w:t>he CWED dataset</w:t>
      </w:r>
      <w:r w:rsidR="005A1CF4" w:rsidRPr="00F8240E">
        <w:rPr>
          <w:rFonts w:ascii="Times New Roman" w:hAnsi="Times New Roman" w:cs="Times New Roman"/>
          <w:sz w:val="24"/>
          <w:szCs w:val="24"/>
        </w:rPr>
        <w:t xml:space="preserve"> is used over </w:t>
      </w:r>
      <w:r w:rsidRPr="00F8240E">
        <w:rPr>
          <w:rFonts w:ascii="Times New Roman" w:hAnsi="Times New Roman" w:cs="Times New Roman"/>
          <w:sz w:val="24"/>
          <w:szCs w:val="24"/>
        </w:rPr>
        <w:t>the SPIN dataset mainly because it includes data for each year</w:t>
      </w:r>
      <w:r w:rsidR="005A1CF4" w:rsidRPr="00F8240E">
        <w:rPr>
          <w:rFonts w:ascii="Times New Roman" w:hAnsi="Times New Roman" w:cs="Times New Roman"/>
          <w:sz w:val="24"/>
          <w:szCs w:val="24"/>
        </w:rPr>
        <w:t>, thus</w:t>
      </w:r>
      <w:r w:rsidRPr="00F8240E">
        <w:rPr>
          <w:rFonts w:ascii="Times New Roman" w:hAnsi="Times New Roman" w:cs="Times New Roman"/>
          <w:sz w:val="24"/>
          <w:szCs w:val="24"/>
        </w:rPr>
        <w:t xml:space="preserve"> providing a more precise indication of </w:t>
      </w:r>
      <w:r w:rsidR="005A1CF4" w:rsidRPr="00F8240E">
        <w:rPr>
          <w:rFonts w:ascii="Times New Roman" w:hAnsi="Times New Roman" w:cs="Times New Roman"/>
          <w:sz w:val="24"/>
          <w:szCs w:val="24"/>
        </w:rPr>
        <w:t>replacement rate</w:t>
      </w:r>
      <w:r w:rsidRPr="00F8240E">
        <w:rPr>
          <w:rFonts w:ascii="Times New Roman" w:hAnsi="Times New Roman" w:cs="Times New Roman"/>
          <w:sz w:val="24"/>
          <w:szCs w:val="24"/>
        </w:rPr>
        <w:t xml:space="preserve"> trajector</w:t>
      </w:r>
      <w:r w:rsidR="005A1CF4" w:rsidRPr="00F8240E">
        <w:rPr>
          <w:rFonts w:ascii="Times New Roman" w:hAnsi="Times New Roman" w:cs="Times New Roman"/>
          <w:sz w:val="24"/>
          <w:szCs w:val="24"/>
        </w:rPr>
        <w:t>ies.</w:t>
      </w:r>
      <w:r w:rsidRPr="00F8240E">
        <w:rPr>
          <w:rFonts w:ascii="Times New Roman" w:hAnsi="Times New Roman" w:cs="Times New Roman"/>
          <w:sz w:val="24"/>
          <w:szCs w:val="24"/>
        </w:rPr>
        <w:t xml:space="preserve"> </w:t>
      </w:r>
      <w:r w:rsidR="00E57853" w:rsidRPr="00F8240E">
        <w:rPr>
          <w:rFonts w:ascii="Times New Roman" w:hAnsi="Times New Roman" w:cs="Times New Roman"/>
          <w:sz w:val="24"/>
          <w:szCs w:val="24"/>
        </w:rPr>
        <w:t>T</w:t>
      </w:r>
      <w:r w:rsidRPr="00F8240E">
        <w:rPr>
          <w:rFonts w:ascii="Times New Roman" w:hAnsi="Times New Roman" w:cs="Times New Roman"/>
          <w:sz w:val="24"/>
          <w:szCs w:val="24"/>
        </w:rPr>
        <w:t>wo measures</w:t>
      </w:r>
      <w:r w:rsidR="005A1CF4" w:rsidRPr="00F8240E">
        <w:rPr>
          <w:rFonts w:ascii="Times New Roman" w:hAnsi="Times New Roman" w:cs="Times New Roman"/>
          <w:sz w:val="24"/>
          <w:szCs w:val="24"/>
        </w:rPr>
        <w:t xml:space="preserve"> </w:t>
      </w:r>
      <w:r w:rsidR="00E57853" w:rsidRPr="00F8240E">
        <w:rPr>
          <w:rFonts w:ascii="Times New Roman" w:hAnsi="Times New Roman" w:cs="Times New Roman"/>
          <w:sz w:val="24"/>
          <w:szCs w:val="24"/>
        </w:rPr>
        <w:t xml:space="preserve">are </w:t>
      </w:r>
      <w:r w:rsidR="005A1CF4" w:rsidRPr="00F8240E">
        <w:rPr>
          <w:rFonts w:ascii="Times New Roman" w:hAnsi="Times New Roman" w:cs="Times New Roman"/>
          <w:sz w:val="24"/>
          <w:szCs w:val="24"/>
        </w:rPr>
        <w:t>chosen</w:t>
      </w:r>
      <w:r w:rsidRPr="00F8240E">
        <w:rPr>
          <w:rFonts w:ascii="Times New Roman" w:hAnsi="Times New Roman" w:cs="Times New Roman"/>
          <w:sz w:val="24"/>
          <w:szCs w:val="24"/>
        </w:rPr>
        <w:t xml:space="preserve">: </w:t>
      </w:r>
      <w:r w:rsidR="00A145D4" w:rsidRPr="00F8240E">
        <w:rPr>
          <w:rFonts w:ascii="Times New Roman" w:hAnsi="Times New Roman" w:cs="Times New Roman"/>
          <w:sz w:val="24"/>
          <w:szCs w:val="24"/>
        </w:rPr>
        <w:t xml:space="preserve">the standard pension replacement rate for a single </w:t>
      </w:r>
      <w:r w:rsidR="00803B22" w:rsidRPr="00F8240E">
        <w:rPr>
          <w:rFonts w:ascii="Times New Roman" w:hAnsi="Times New Roman" w:cs="Times New Roman"/>
          <w:sz w:val="24"/>
          <w:szCs w:val="24"/>
        </w:rPr>
        <w:t xml:space="preserve">average production </w:t>
      </w:r>
      <w:r w:rsidR="00A145D4" w:rsidRPr="00F8240E">
        <w:rPr>
          <w:rFonts w:ascii="Times New Roman" w:hAnsi="Times New Roman" w:cs="Times New Roman"/>
          <w:sz w:val="24"/>
          <w:szCs w:val="24"/>
        </w:rPr>
        <w:t>worker</w:t>
      </w:r>
      <w:r w:rsidR="00803B22" w:rsidRPr="00F8240E">
        <w:rPr>
          <w:rFonts w:ascii="Times New Roman" w:hAnsi="Times New Roman" w:cs="Times New Roman"/>
          <w:sz w:val="24"/>
          <w:szCs w:val="24"/>
        </w:rPr>
        <w:t xml:space="preserve"> in manufacturing</w:t>
      </w:r>
      <w:r w:rsidR="00A145D4" w:rsidRPr="00F8240E">
        <w:rPr>
          <w:rFonts w:ascii="Times New Roman" w:hAnsi="Times New Roman" w:cs="Times New Roman"/>
          <w:sz w:val="24"/>
          <w:szCs w:val="24"/>
        </w:rPr>
        <w:t xml:space="preserve"> (code SPS100) and the </w:t>
      </w:r>
      <w:r w:rsidR="00417AF7" w:rsidRPr="00F8240E">
        <w:rPr>
          <w:rFonts w:ascii="Times New Roman" w:hAnsi="Times New Roman" w:cs="Times New Roman"/>
          <w:sz w:val="24"/>
          <w:szCs w:val="24"/>
        </w:rPr>
        <w:t>minimum pension replacement rate for a single</w:t>
      </w:r>
      <w:r w:rsidR="00803B22" w:rsidRPr="00F8240E">
        <w:rPr>
          <w:rFonts w:ascii="Times New Roman" w:hAnsi="Times New Roman" w:cs="Times New Roman"/>
          <w:sz w:val="24"/>
          <w:szCs w:val="24"/>
        </w:rPr>
        <w:t xml:space="preserve"> average production</w:t>
      </w:r>
      <w:r w:rsidR="00417AF7" w:rsidRPr="00F8240E">
        <w:rPr>
          <w:rFonts w:ascii="Times New Roman" w:hAnsi="Times New Roman" w:cs="Times New Roman"/>
          <w:sz w:val="24"/>
          <w:szCs w:val="24"/>
        </w:rPr>
        <w:t xml:space="preserve"> worke</w:t>
      </w:r>
      <w:r w:rsidR="00803B22" w:rsidRPr="00F8240E">
        <w:rPr>
          <w:rFonts w:ascii="Times New Roman" w:hAnsi="Times New Roman" w:cs="Times New Roman"/>
          <w:sz w:val="24"/>
          <w:szCs w:val="24"/>
        </w:rPr>
        <w:t>r in manufacturing</w:t>
      </w:r>
      <w:r w:rsidR="00417AF7" w:rsidRPr="00F8240E">
        <w:rPr>
          <w:rFonts w:ascii="Times New Roman" w:hAnsi="Times New Roman" w:cs="Times New Roman"/>
          <w:sz w:val="24"/>
          <w:szCs w:val="24"/>
        </w:rPr>
        <w:t xml:space="preserve"> (code MPS100).</w:t>
      </w:r>
      <w:r w:rsidR="00E57853" w:rsidRPr="00F8240E">
        <w:rPr>
          <w:rFonts w:ascii="Times New Roman" w:hAnsi="Times New Roman" w:cs="Times New Roman"/>
          <w:sz w:val="24"/>
          <w:szCs w:val="24"/>
        </w:rPr>
        <w:t xml:space="preserve"> </w:t>
      </w:r>
      <w:r w:rsidR="00FD7A9F" w:rsidRPr="00F8240E">
        <w:rPr>
          <w:rFonts w:ascii="Times New Roman" w:hAnsi="Times New Roman" w:cs="Times New Roman"/>
          <w:sz w:val="24"/>
          <w:szCs w:val="24"/>
        </w:rPr>
        <w:t xml:space="preserve">These show the most basic benefit entitlement for individuals from the public pension system before adjustments for marriage etc. </w:t>
      </w:r>
      <w:r w:rsidR="009B0795" w:rsidRPr="00F8240E">
        <w:rPr>
          <w:rFonts w:ascii="Times New Roman" w:hAnsi="Times New Roman" w:cs="Times New Roman"/>
          <w:sz w:val="24"/>
          <w:szCs w:val="24"/>
        </w:rPr>
        <w:t>R</w:t>
      </w:r>
      <w:r w:rsidR="00E57853" w:rsidRPr="00F8240E">
        <w:rPr>
          <w:rFonts w:ascii="Times New Roman" w:hAnsi="Times New Roman" w:cs="Times New Roman"/>
          <w:sz w:val="24"/>
          <w:szCs w:val="24"/>
        </w:rPr>
        <w:t xml:space="preserve">eplacement rates </w:t>
      </w:r>
      <w:r w:rsidR="009B0795" w:rsidRPr="00F8240E">
        <w:rPr>
          <w:rFonts w:ascii="Times New Roman" w:hAnsi="Times New Roman" w:cs="Times New Roman"/>
          <w:sz w:val="24"/>
          <w:szCs w:val="24"/>
        </w:rPr>
        <w:t xml:space="preserve">are </w:t>
      </w:r>
      <w:r w:rsidR="00D87BD0" w:rsidRPr="00F8240E">
        <w:rPr>
          <w:rFonts w:ascii="Times New Roman" w:hAnsi="Times New Roman" w:cs="Times New Roman"/>
          <w:sz w:val="24"/>
          <w:szCs w:val="24"/>
        </w:rPr>
        <w:t xml:space="preserve">based on this worker </w:t>
      </w:r>
      <w:r w:rsidR="00E57853" w:rsidRPr="00F8240E">
        <w:rPr>
          <w:rFonts w:ascii="Times New Roman" w:hAnsi="Times New Roman" w:cs="Times New Roman"/>
          <w:sz w:val="24"/>
          <w:szCs w:val="24"/>
        </w:rPr>
        <w:t>earn</w:t>
      </w:r>
      <w:r w:rsidR="00D87BD0" w:rsidRPr="00F8240E">
        <w:rPr>
          <w:rFonts w:ascii="Times New Roman" w:hAnsi="Times New Roman" w:cs="Times New Roman"/>
          <w:sz w:val="24"/>
          <w:szCs w:val="24"/>
        </w:rPr>
        <w:t>ing</w:t>
      </w:r>
      <w:r w:rsidR="00E57853" w:rsidRPr="00F8240E">
        <w:rPr>
          <w:rFonts w:ascii="Times New Roman" w:hAnsi="Times New Roman" w:cs="Times New Roman"/>
          <w:sz w:val="24"/>
          <w:szCs w:val="24"/>
        </w:rPr>
        <w:t xml:space="preserve"> the same wage throughout their working life from age 20 to 65 (Scruggs et al, 201</w:t>
      </w:r>
      <w:r w:rsidR="00C20DDB" w:rsidRPr="00F8240E">
        <w:rPr>
          <w:rFonts w:ascii="Times New Roman" w:hAnsi="Times New Roman" w:cs="Times New Roman"/>
          <w:sz w:val="24"/>
          <w:szCs w:val="24"/>
        </w:rPr>
        <w:t>7</w:t>
      </w:r>
      <w:r w:rsidR="00E57853" w:rsidRPr="00F8240E">
        <w:rPr>
          <w:rFonts w:ascii="Times New Roman" w:hAnsi="Times New Roman" w:cs="Times New Roman"/>
          <w:sz w:val="24"/>
          <w:szCs w:val="24"/>
        </w:rPr>
        <w:t xml:space="preserve">b: 9-11). </w:t>
      </w:r>
      <w:r w:rsidRPr="00F8240E">
        <w:rPr>
          <w:rFonts w:ascii="Times New Roman" w:hAnsi="Times New Roman" w:cs="Times New Roman"/>
          <w:sz w:val="24"/>
          <w:szCs w:val="24"/>
        </w:rPr>
        <w:t xml:space="preserve">Replacement rates for the standard </w:t>
      </w:r>
      <w:r w:rsidR="00417AF7" w:rsidRPr="00F8240E">
        <w:rPr>
          <w:rFonts w:ascii="Times New Roman" w:hAnsi="Times New Roman" w:cs="Times New Roman"/>
          <w:sz w:val="24"/>
          <w:szCs w:val="24"/>
        </w:rPr>
        <w:t>pension</w:t>
      </w:r>
      <w:r w:rsidRPr="00F8240E">
        <w:rPr>
          <w:rFonts w:ascii="Times New Roman" w:hAnsi="Times New Roman" w:cs="Times New Roman"/>
          <w:sz w:val="24"/>
          <w:szCs w:val="24"/>
        </w:rPr>
        <w:t xml:space="preserve"> </w:t>
      </w:r>
      <w:r w:rsidR="00CE19AA" w:rsidRPr="00F8240E">
        <w:rPr>
          <w:rFonts w:ascii="Times New Roman" w:hAnsi="Times New Roman" w:cs="Times New Roman"/>
          <w:sz w:val="24"/>
          <w:szCs w:val="24"/>
        </w:rPr>
        <w:t>are</w:t>
      </w:r>
      <w:r w:rsidRPr="00F8240E">
        <w:rPr>
          <w:rFonts w:ascii="Times New Roman" w:hAnsi="Times New Roman" w:cs="Times New Roman"/>
          <w:sz w:val="24"/>
          <w:szCs w:val="24"/>
        </w:rPr>
        <w:t xml:space="preserve"> chosen because </w:t>
      </w:r>
      <w:r w:rsidR="00E57853" w:rsidRPr="00F8240E">
        <w:rPr>
          <w:rFonts w:ascii="Times New Roman" w:hAnsi="Times New Roman" w:cs="Times New Roman"/>
          <w:sz w:val="24"/>
          <w:szCs w:val="24"/>
        </w:rPr>
        <w:t xml:space="preserve">they are likely to represent circumstances close to </w:t>
      </w:r>
      <w:r w:rsidRPr="00F8240E">
        <w:rPr>
          <w:rFonts w:ascii="Times New Roman" w:hAnsi="Times New Roman" w:cs="Times New Roman"/>
          <w:sz w:val="24"/>
          <w:szCs w:val="24"/>
        </w:rPr>
        <w:t xml:space="preserve">a large number of retired workers. Minimum replacement rates </w:t>
      </w:r>
      <w:r w:rsidR="00CE19AA" w:rsidRPr="00F8240E">
        <w:rPr>
          <w:rFonts w:ascii="Times New Roman" w:hAnsi="Times New Roman" w:cs="Times New Roman"/>
          <w:sz w:val="24"/>
          <w:szCs w:val="24"/>
        </w:rPr>
        <w:t>are</w:t>
      </w:r>
      <w:r w:rsidRPr="00F8240E">
        <w:rPr>
          <w:rFonts w:ascii="Times New Roman" w:hAnsi="Times New Roman" w:cs="Times New Roman"/>
          <w:sz w:val="24"/>
          <w:szCs w:val="24"/>
        </w:rPr>
        <w:t xml:space="preserve"> </w:t>
      </w:r>
      <w:r w:rsidR="00E57853" w:rsidRPr="00F8240E">
        <w:rPr>
          <w:rFonts w:ascii="Times New Roman" w:hAnsi="Times New Roman" w:cs="Times New Roman"/>
          <w:sz w:val="24"/>
          <w:szCs w:val="24"/>
        </w:rPr>
        <w:t xml:space="preserve">included </w:t>
      </w:r>
      <w:r w:rsidRPr="00F8240E">
        <w:rPr>
          <w:rFonts w:ascii="Times New Roman" w:hAnsi="Times New Roman" w:cs="Times New Roman"/>
          <w:sz w:val="24"/>
          <w:szCs w:val="24"/>
        </w:rPr>
        <w:t xml:space="preserve">(when they are different from those of the standard </w:t>
      </w:r>
      <w:r w:rsidR="00D87BD0" w:rsidRPr="00F8240E">
        <w:rPr>
          <w:rFonts w:ascii="Times New Roman" w:hAnsi="Times New Roman" w:cs="Times New Roman"/>
          <w:sz w:val="24"/>
          <w:szCs w:val="24"/>
        </w:rPr>
        <w:t>pension</w:t>
      </w:r>
      <w:r w:rsidRPr="00F8240E">
        <w:rPr>
          <w:rFonts w:ascii="Times New Roman" w:hAnsi="Times New Roman" w:cs="Times New Roman"/>
          <w:sz w:val="24"/>
          <w:szCs w:val="24"/>
        </w:rPr>
        <w:t xml:space="preserve">) to compare the impact of system change on </w:t>
      </w:r>
      <w:r w:rsidR="00E57853" w:rsidRPr="00F8240E">
        <w:rPr>
          <w:rFonts w:ascii="Times New Roman" w:hAnsi="Times New Roman" w:cs="Times New Roman"/>
          <w:sz w:val="24"/>
          <w:szCs w:val="24"/>
        </w:rPr>
        <w:t xml:space="preserve">more peripheral </w:t>
      </w:r>
      <w:r w:rsidRPr="00F8240E">
        <w:rPr>
          <w:rFonts w:ascii="Times New Roman" w:hAnsi="Times New Roman" w:cs="Times New Roman"/>
          <w:sz w:val="24"/>
          <w:szCs w:val="24"/>
        </w:rPr>
        <w:t>workers</w:t>
      </w:r>
      <w:r w:rsidR="00E57853" w:rsidRPr="00F8240E">
        <w:rPr>
          <w:rFonts w:ascii="Times New Roman" w:hAnsi="Times New Roman" w:cs="Times New Roman"/>
          <w:sz w:val="24"/>
          <w:szCs w:val="24"/>
        </w:rPr>
        <w:t xml:space="preserve"> with fewer entitlements to the main public system</w:t>
      </w:r>
      <w:r w:rsidRPr="00F8240E">
        <w:rPr>
          <w:rFonts w:ascii="Times New Roman" w:hAnsi="Times New Roman" w:cs="Times New Roman"/>
          <w:sz w:val="24"/>
          <w:szCs w:val="24"/>
        </w:rPr>
        <w:t xml:space="preserve">. Uncertainty analysis was undertaken on </w:t>
      </w:r>
      <w:r w:rsidR="009B0795" w:rsidRPr="00F8240E">
        <w:rPr>
          <w:rFonts w:ascii="Times New Roman" w:hAnsi="Times New Roman" w:cs="Times New Roman"/>
          <w:sz w:val="24"/>
          <w:szCs w:val="24"/>
        </w:rPr>
        <w:t>the</w:t>
      </w:r>
      <w:r w:rsidRPr="00F8240E">
        <w:rPr>
          <w:rFonts w:ascii="Times New Roman" w:hAnsi="Times New Roman" w:cs="Times New Roman"/>
          <w:sz w:val="24"/>
          <w:szCs w:val="24"/>
        </w:rPr>
        <w:t xml:space="preserve"> results using other CWED datasets</w:t>
      </w:r>
      <w:r w:rsidR="00CE19AA" w:rsidRPr="00F8240E">
        <w:rPr>
          <w:rFonts w:ascii="Times New Roman" w:hAnsi="Times New Roman" w:cs="Times New Roman"/>
          <w:sz w:val="24"/>
          <w:szCs w:val="24"/>
        </w:rPr>
        <w:t xml:space="preserve"> (ie standard and minimum replacement rates for families; codes SPC100 and MPC00)</w:t>
      </w:r>
      <w:r w:rsidRPr="00F8240E">
        <w:rPr>
          <w:rFonts w:ascii="Times New Roman" w:hAnsi="Times New Roman" w:cs="Times New Roman"/>
          <w:sz w:val="24"/>
          <w:szCs w:val="24"/>
        </w:rPr>
        <w:t xml:space="preserve"> and similar data from the SPIN dataset</w:t>
      </w:r>
      <w:r w:rsidR="00CE19AA" w:rsidRPr="00F8240E">
        <w:rPr>
          <w:rFonts w:ascii="Times New Roman" w:hAnsi="Times New Roman" w:cs="Times New Roman"/>
          <w:sz w:val="24"/>
          <w:szCs w:val="24"/>
        </w:rPr>
        <w:t xml:space="preserve"> (codes pnermisi and pnerswsi)</w:t>
      </w:r>
      <w:r w:rsidRPr="00F8240E">
        <w:rPr>
          <w:rFonts w:ascii="Times New Roman" w:hAnsi="Times New Roman" w:cs="Times New Roman"/>
          <w:sz w:val="24"/>
          <w:szCs w:val="24"/>
        </w:rPr>
        <w:t>. This did not reveal substantially different results from those summar</w:t>
      </w:r>
      <w:r w:rsidR="00770B82" w:rsidRPr="00F8240E">
        <w:rPr>
          <w:rFonts w:ascii="Times New Roman" w:hAnsi="Times New Roman" w:cs="Times New Roman"/>
          <w:sz w:val="24"/>
          <w:szCs w:val="24"/>
        </w:rPr>
        <w:t>ize</w:t>
      </w:r>
      <w:r w:rsidRPr="00F8240E">
        <w:rPr>
          <w:rFonts w:ascii="Times New Roman" w:hAnsi="Times New Roman" w:cs="Times New Roman"/>
          <w:sz w:val="24"/>
          <w:szCs w:val="24"/>
        </w:rPr>
        <w:t xml:space="preserve">d below. </w:t>
      </w:r>
      <w:r w:rsidR="00404A68" w:rsidRPr="00F8240E">
        <w:rPr>
          <w:rFonts w:ascii="Times New Roman" w:hAnsi="Times New Roman" w:cs="Times New Roman"/>
          <w:sz w:val="24"/>
          <w:szCs w:val="24"/>
        </w:rPr>
        <w:t>On</w:t>
      </w:r>
      <w:r w:rsidRPr="00F8240E">
        <w:rPr>
          <w:rFonts w:ascii="Times New Roman" w:hAnsi="Times New Roman" w:cs="Times New Roman"/>
          <w:sz w:val="24"/>
          <w:szCs w:val="24"/>
        </w:rPr>
        <w:t xml:space="preserve"> capitalisation, </w:t>
      </w:r>
      <w:r w:rsidR="006624EC" w:rsidRPr="00F8240E">
        <w:rPr>
          <w:rFonts w:ascii="Times New Roman" w:hAnsi="Times New Roman" w:cs="Times New Roman"/>
          <w:sz w:val="24"/>
          <w:szCs w:val="24"/>
        </w:rPr>
        <w:t xml:space="preserve">reliable comparative data on private personal pension provision is unavailable for the earlier part of the period and only available for some countries after 2000 (OECD, 2016). </w:t>
      </w:r>
      <w:r w:rsidR="00535438" w:rsidRPr="00F8240E">
        <w:rPr>
          <w:rFonts w:ascii="Times New Roman" w:hAnsi="Times New Roman" w:cs="Times New Roman"/>
          <w:sz w:val="24"/>
          <w:szCs w:val="24"/>
        </w:rPr>
        <w:t xml:space="preserve"> </w:t>
      </w:r>
      <w:r w:rsidR="00A2162B" w:rsidRPr="00F8240E">
        <w:rPr>
          <w:rFonts w:ascii="Times New Roman" w:hAnsi="Times New Roman" w:cs="Times New Roman"/>
          <w:sz w:val="24"/>
          <w:szCs w:val="24"/>
        </w:rPr>
        <w:t>The analysis below thus concentrates on detailing</w:t>
      </w:r>
      <w:r w:rsidR="00535438" w:rsidRPr="00F8240E">
        <w:rPr>
          <w:rFonts w:ascii="Times New Roman" w:hAnsi="Times New Roman" w:cs="Times New Roman"/>
          <w:sz w:val="24"/>
          <w:szCs w:val="24"/>
        </w:rPr>
        <w:t xml:space="preserve"> the</w:t>
      </w:r>
      <w:r w:rsidRPr="00F8240E">
        <w:rPr>
          <w:rFonts w:ascii="Times New Roman" w:hAnsi="Times New Roman" w:cs="Times New Roman"/>
          <w:sz w:val="24"/>
          <w:szCs w:val="24"/>
        </w:rPr>
        <w:t xml:space="preserve"> state’s </w:t>
      </w:r>
      <w:r w:rsidR="00A2162B" w:rsidRPr="00F8240E">
        <w:rPr>
          <w:rFonts w:ascii="Times New Roman" w:hAnsi="Times New Roman" w:cs="Times New Roman"/>
          <w:sz w:val="24"/>
          <w:szCs w:val="24"/>
        </w:rPr>
        <w:t xml:space="preserve">changing </w:t>
      </w:r>
      <w:r w:rsidRPr="00F8240E">
        <w:rPr>
          <w:rFonts w:ascii="Times New Roman" w:hAnsi="Times New Roman" w:cs="Times New Roman"/>
          <w:sz w:val="24"/>
          <w:szCs w:val="24"/>
        </w:rPr>
        <w:t>regulatory engagement with private provision</w:t>
      </w:r>
      <w:r w:rsidR="00A2162B" w:rsidRPr="00F8240E">
        <w:rPr>
          <w:rFonts w:ascii="Times New Roman" w:hAnsi="Times New Roman" w:cs="Times New Roman"/>
          <w:sz w:val="24"/>
          <w:szCs w:val="24"/>
        </w:rPr>
        <w:t xml:space="preserve"> in the six countries</w:t>
      </w:r>
      <w:r w:rsidRPr="00F8240E">
        <w:rPr>
          <w:rFonts w:ascii="Times New Roman" w:hAnsi="Times New Roman" w:cs="Times New Roman"/>
          <w:sz w:val="24"/>
          <w:szCs w:val="24"/>
        </w:rPr>
        <w:t>,</w:t>
      </w:r>
      <w:r w:rsidR="00535438" w:rsidRPr="00F8240E">
        <w:rPr>
          <w:rFonts w:ascii="Times New Roman" w:hAnsi="Times New Roman" w:cs="Times New Roman"/>
          <w:sz w:val="24"/>
          <w:szCs w:val="24"/>
        </w:rPr>
        <w:t xml:space="preserve"> </w:t>
      </w:r>
      <w:r w:rsidR="00A2162B" w:rsidRPr="00F8240E">
        <w:rPr>
          <w:rFonts w:ascii="Times New Roman" w:hAnsi="Times New Roman" w:cs="Times New Roman"/>
          <w:sz w:val="24"/>
          <w:szCs w:val="24"/>
        </w:rPr>
        <w:t>using national data where this available</w:t>
      </w:r>
      <w:r w:rsidR="00451437" w:rsidRPr="00F8240E">
        <w:rPr>
          <w:rFonts w:ascii="Times New Roman" w:hAnsi="Times New Roman" w:cs="Times New Roman"/>
          <w:sz w:val="24"/>
          <w:szCs w:val="24"/>
        </w:rPr>
        <w:t xml:space="preserve"> and referring to OECD data for the later period</w:t>
      </w:r>
      <w:r w:rsidR="00A2162B" w:rsidRPr="00F8240E">
        <w:rPr>
          <w:rFonts w:ascii="Times New Roman" w:hAnsi="Times New Roman" w:cs="Times New Roman"/>
          <w:sz w:val="24"/>
          <w:szCs w:val="24"/>
        </w:rPr>
        <w:t xml:space="preserve">. It assesses </w:t>
      </w:r>
      <w:r w:rsidR="00535438" w:rsidRPr="00F8240E">
        <w:rPr>
          <w:rFonts w:ascii="Times New Roman" w:hAnsi="Times New Roman" w:cs="Times New Roman"/>
          <w:sz w:val="24"/>
          <w:szCs w:val="24"/>
        </w:rPr>
        <w:t>particularly</w:t>
      </w:r>
      <w:r w:rsidRPr="00F8240E">
        <w:rPr>
          <w:rFonts w:ascii="Times New Roman" w:hAnsi="Times New Roman" w:cs="Times New Roman"/>
          <w:sz w:val="24"/>
          <w:szCs w:val="24"/>
        </w:rPr>
        <w:t xml:space="preserve"> how th</w:t>
      </w:r>
      <w:r w:rsidR="00A2162B" w:rsidRPr="00F8240E">
        <w:rPr>
          <w:rFonts w:ascii="Times New Roman" w:hAnsi="Times New Roman" w:cs="Times New Roman"/>
          <w:sz w:val="24"/>
          <w:szCs w:val="24"/>
        </w:rPr>
        <w:t>ese developments</w:t>
      </w:r>
      <w:r w:rsidRPr="00F8240E">
        <w:rPr>
          <w:rFonts w:ascii="Times New Roman" w:hAnsi="Times New Roman" w:cs="Times New Roman"/>
          <w:sz w:val="24"/>
          <w:szCs w:val="24"/>
        </w:rPr>
        <w:t xml:space="preserve"> relate</w:t>
      </w:r>
      <w:r w:rsidR="00A2162B" w:rsidRPr="00F8240E">
        <w:rPr>
          <w:rFonts w:ascii="Times New Roman" w:hAnsi="Times New Roman" w:cs="Times New Roman"/>
          <w:sz w:val="24"/>
          <w:szCs w:val="24"/>
        </w:rPr>
        <w:t>d</w:t>
      </w:r>
      <w:r w:rsidRPr="00F8240E">
        <w:rPr>
          <w:rFonts w:ascii="Times New Roman" w:hAnsi="Times New Roman" w:cs="Times New Roman"/>
          <w:sz w:val="24"/>
          <w:szCs w:val="24"/>
        </w:rPr>
        <w:t xml:space="preserve"> to public system change</w:t>
      </w:r>
      <w:r w:rsidR="00535438" w:rsidRPr="00F8240E">
        <w:rPr>
          <w:rFonts w:ascii="Times New Roman" w:hAnsi="Times New Roman" w:cs="Times New Roman"/>
          <w:sz w:val="24"/>
          <w:szCs w:val="24"/>
        </w:rPr>
        <w:t>.</w:t>
      </w:r>
      <w:r w:rsidR="00E97F4B" w:rsidRPr="00F8240E">
        <w:rPr>
          <w:rFonts w:ascii="Times New Roman" w:hAnsi="Times New Roman" w:cs="Times New Roman"/>
          <w:sz w:val="24"/>
          <w:szCs w:val="24"/>
        </w:rPr>
        <w:t xml:space="preserve"> </w:t>
      </w:r>
    </w:p>
    <w:p w14:paraId="6E758161" w14:textId="3C4A8015" w:rsidR="00C25CB0" w:rsidRPr="00F8240E" w:rsidRDefault="00E97F4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A starting date of 1980 has been chosen for all forms of analysis on the basis that it was around this date or soon after that governments came to power in most of the six countries committed to a strong liberalising agenda</w:t>
      </w:r>
      <w:r w:rsidR="00B623E9" w:rsidRPr="00F8240E">
        <w:rPr>
          <w:rFonts w:ascii="Times New Roman" w:hAnsi="Times New Roman" w:cs="Times New Roman"/>
          <w:sz w:val="24"/>
          <w:szCs w:val="24"/>
        </w:rPr>
        <w:t xml:space="preserve"> after the economic shocks of the mid/late-1970s</w:t>
      </w:r>
      <w:r w:rsidRPr="00F8240E">
        <w:rPr>
          <w:rFonts w:ascii="Times New Roman" w:hAnsi="Times New Roman" w:cs="Times New Roman"/>
          <w:sz w:val="24"/>
          <w:szCs w:val="24"/>
        </w:rPr>
        <w:t>. Thus, the Reagan presidency started in the US in 1980; Margaret Thatcher came to power in the UK in 1979; the Conservative, Brian Mulroney, became Canadian prime minister in 1984; the liberalising ‘Rodgernomics’ ag</w:t>
      </w:r>
      <w:r w:rsidR="00B623E9" w:rsidRPr="00F8240E">
        <w:rPr>
          <w:rFonts w:ascii="Times New Roman" w:hAnsi="Times New Roman" w:cs="Times New Roman"/>
          <w:sz w:val="24"/>
          <w:szCs w:val="24"/>
        </w:rPr>
        <w:t>enda was adopted by David Lange’s Labour government in New Zealand in 1984; with a similar approach begun from this date in Australia by Paul Keating, the Treasurer in Bob Hawke’s first Labor administration.</w:t>
      </w:r>
      <w:r w:rsidRPr="00F8240E">
        <w:rPr>
          <w:rFonts w:ascii="Times New Roman" w:hAnsi="Times New Roman" w:cs="Times New Roman"/>
          <w:sz w:val="24"/>
          <w:szCs w:val="24"/>
        </w:rPr>
        <w:t xml:space="preserve"> </w:t>
      </w:r>
    </w:p>
    <w:p w14:paraId="66BE32D9" w14:textId="43F8543D" w:rsidR="00711515" w:rsidRPr="00F8240E" w:rsidRDefault="00711515"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 </w:t>
      </w:r>
    </w:p>
    <w:p w14:paraId="6DDD1408" w14:textId="47D3E56B" w:rsidR="003B3CC9" w:rsidRPr="00F8240E" w:rsidRDefault="00B22C7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3.</w:t>
      </w:r>
      <w:r w:rsidR="00D87BD0" w:rsidRPr="00F8240E">
        <w:rPr>
          <w:rFonts w:ascii="Times New Roman" w:hAnsi="Times New Roman" w:cs="Times New Roman"/>
          <w:sz w:val="24"/>
          <w:szCs w:val="24"/>
        </w:rPr>
        <w:t xml:space="preserve"> </w:t>
      </w:r>
      <w:r w:rsidRPr="00F8240E">
        <w:rPr>
          <w:rFonts w:ascii="Times New Roman" w:hAnsi="Times New Roman" w:cs="Times New Roman"/>
          <w:sz w:val="24"/>
          <w:szCs w:val="24"/>
        </w:rPr>
        <w:t>RETRENCHMENT OF LIBERAL PENSION SYSTEMS</w:t>
      </w:r>
    </w:p>
    <w:p w14:paraId="7C4DC0E9" w14:textId="3C0960B1" w:rsidR="00AB58AD" w:rsidRPr="00F8240E" w:rsidRDefault="00B22C7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3.1 </w:t>
      </w:r>
      <w:r w:rsidR="00E2512D" w:rsidRPr="00F8240E">
        <w:rPr>
          <w:rFonts w:ascii="Times New Roman" w:hAnsi="Times New Roman" w:cs="Times New Roman"/>
          <w:sz w:val="24"/>
          <w:szCs w:val="24"/>
        </w:rPr>
        <w:t>Cost Containment</w:t>
      </w:r>
      <w:bookmarkStart w:id="17" w:name="_Hlk510612131"/>
      <w:r w:rsidR="00FA0123" w:rsidRPr="00F8240E">
        <w:rPr>
          <w:rFonts w:ascii="Times New Roman" w:hAnsi="Times New Roman" w:cs="Times New Roman"/>
          <w:sz w:val="24"/>
          <w:szCs w:val="24"/>
        </w:rPr>
        <w:fldChar w:fldCharType="begin"/>
      </w:r>
      <w:r w:rsidR="00FA0123" w:rsidRPr="00F8240E">
        <w:rPr>
          <w:rFonts w:ascii="Times New Roman" w:hAnsi="Times New Roman" w:cs="Times New Roman"/>
          <w:sz w:val="24"/>
          <w:szCs w:val="24"/>
        </w:rPr>
        <w:instrText xml:space="preserve"> LINK </w:instrText>
      </w:r>
      <w:r w:rsidR="007267EE" w:rsidRPr="00F8240E">
        <w:rPr>
          <w:rFonts w:ascii="Times New Roman" w:hAnsi="Times New Roman" w:cs="Times New Roman"/>
          <w:sz w:val="24"/>
          <w:szCs w:val="24"/>
        </w:rPr>
        <w:instrText xml:space="preserve">Excel.Sheet.12 "C:\\Users\\Paul Bridgen\\Documents\\Liberal Welfare States\\FinalData\\RealGDPPenXIncreasesByCountry.xlsx" Sheet1!R4C3:R12C10 </w:instrText>
      </w:r>
      <w:r w:rsidR="00FA0123" w:rsidRPr="00F8240E">
        <w:rPr>
          <w:rFonts w:ascii="Times New Roman" w:hAnsi="Times New Roman" w:cs="Times New Roman"/>
          <w:sz w:val="24"/>
          <w:szCs w:val="24"/>
        </w:rPr>
        <w:instrText xml:space="preserve">\a \f 4 \h </w:instrText>
      </w:r>
      <w:r w:rsidR="004943B5" w:rsidRPr="00F8240E">
        <w:rPr>
          <w:rFonts w:ascii="Times New Roman" w:hAnsi="Times New Roman" w:cs="Times New Roman"/>
          <w:sz w:val="24"/>
          <w:szCs w:val="24"/>
        </w:rPr>
        <w:instrText xml:space="preserve"> \* MERGEFORMAT </w:instrText>
      </w:r>
      <w:r w:rsidR="00FA0123" w:rsidRPr="00F8240E">
        <w:rPr>
          <w:rFonts w:ascii="Times New Roman" w:hAnsi="Times New Roman" w:cs="Times New Roman"/>
          <w:sz w:val="24"/>
          <w:szCs w:val="24"/>
        </w:rPr>
        <w:fldChar w:fldCharType="separate"/>
      </w:r>
    </w:p>
    <w:p w14:paraId="4F457B83" w14:textId="6D659735" w:rsidR="00FA0123" w:rsidRPr="00F8240E" w:rsidRDefault="00FA0123"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fldChar w:fldCharType="end"/>
      </w:r>
      <w:r w:rsidRPr="00F8240E">
        <w:rPr>
          <w:rFonts w:ascii="Times New Roman" w:hAnsi="Times New Roman" w:cs="Times New Roman"/>
          <w:sz w:val="24"/>
          <w:szCs w:val="24"/>
        </w:rPr>
        <w:t xml:space="preserve">Table </w:t>
      </w:r>
      <w:r w:rsidR="00C723C6" w:rsidRPr="00F8240E">
        <w:rPr>
          <w:rFonts w:ascii="Times New Roman" w:hAnsi="Times New Roman" w:cs="Times New Roman"/>
          <w:sz w:val="24"/>
          <w:szCs w:val="24"/>
        </w:rPr>
        <w:t>two</w:t>
      </w:r>
      <w:r w:rsidRPr="00F8240E">
        <w:rPr>
          <w:rFonts w:ascii="Times New Roman" w:hAnsi="Times New Roman" w:cs="Times New Roman"/>
          <w:sz w:val="24"/>
          <w:szCs w:val="24"/>
        </w:rPr>
        <w:t xml:space="preserve"> details</w:t>
      </w:r>
      <w:r w:rsidR="00C25CB0" w:rsidRPr="00F8240E">
        <w:rPr>
          <w:rFonts w:ascii="Times New Roman" w:hAnsi="Times New Roman" w:cs="Times New Roman"/>
          <w:sz w:val="24"/>
          <w:szCs w:val="24"/>
        </w:rPr>
        <w:t xml:space="preserve"> changes in real pension expenditure in our six countries in five yearly periods from 1980 using OECD </w:t>
      </w:r>
      <w:r w:rsidRPr="00F8240E">
        <w:rPr>
          <w:rFonts w:ascii="Times New Roman" w:hAnsi="Times New Roman" w:cs="Times New Roman"/>
          <w:sz w:val="24"/>
          <w:szCs w:val="24"/>
        </w:rPr>
        <w:t xml:space="preserve">data adjusted to reflect </w:t>
      </w:r>
      <w:r w:rsidR="00C25CB0" w:rsidRPr="00F8240E">
        <w:rPr>
          <w:rFonts w:ascii="Times New Roman" w:hAnsi="Times New Roman" w:cs="Times New Roman"/>
          <w:sz w:val="24"/>
          <w:szCs w:val="24"/>
        </w:rPr>
        <w:t>changes in social need</w:t>
      </w:r>
      <w:r w:rsidR="00CB0B13" w:rsidRPr="00F8240E">
        <w:rPr>
          <w:rFonts w:ascii="Times New Roman" w:hAnsi="Times New Roman" w:cs="Times New Roman"/>
          <w:sz w:val="24"/>
          <w:szCs w:val="24"/>
        </w:rPr>
        <w:t>. This adjustment is made</w:t>
      </w:r>
      <w:r w:rsidR="00C25CB0" w:rsidRPr="00F8240E">
        <w:rPr>
          <w:rFonts w:ascii="Times New Roman" w:hAnsi="Times New Roman" w:cs="Times New Roman"/>
          <w:sz w:val="24"/>
          <w:szCs w:val="24"/>
        </w:rPr>
        <w:t xml:space="preserve"> using </w:t>
      </w:r>
      <w:r w:rsidR="00CB0B13" w:rsidRPr="00F8240E">
        <w:rPr>
          <w:rFonts w:ascii="Times New Roman" w:hAnsi="Times New Roman" w:cs="Times New Roman"/>
          <w:sz w:val="24"/>
          <w:szCs w:val="24"/>
        </w:rPr>
        <w:t xml:space="preserve">UN </w:t>
      </w:r>
      <w:r w:rsidR="00C25CB0" w:rsidRPr="00F8240E">
        <w:rPr>
          <w:rFonts w:ascii="Times New Roman" w:hAnsi="Times New Roman" w:cs="Times New Roman"/>
          <w:sz w:val="24"/>
          <w:szCs w:val="24"/>
        </w:rPr>
        <w:t xml:space="preserve">data on the population </w:t>
      </w:r>
      <w:r w:rsidRPr="00F8240E">
        <w:rPr>
          <w:rFonts w:ascii="Times New Roman" w:hAnsi="Times New Roman" w:cs="Times New Roman"/>
          <w:sz w:val="24"/>
          <w:szCs w:val="24"/>
        </w:rPr>
        <w:t xml:space="preserve">over 65 in each country </w:t>
      </w:r>
      <w:r w:rsidR="00C25CB0" w:rsidRPr="00F8240E">
        <w:rPr>
          <w:rFonts w:ascii="Times New Roman" w:hAnsi="Times New Roman" w:cs="Times New Roman"/>
          <w:sz w:val="24"/>
          <w:szCs w:val="24"/>
        </w:rPr>
        <w:t>in the stated year. These results are</w:t>
      </w:r>
      <w:r w:rsidRPr="00F8240E">
        <w:rPr>
          <w:rFonts w:ascii="Times New Roman" w:hAnsi="Times New Roman" w:cs="Times New Roman"/>
          <w:sz w:val="24"/>
          <w:szCs w:val="24"/>
        </w:rPr>
        <w:t xml:space="preserve"> compare</w:t>
      </w:r>
      <w:r w:rsidR="00C25CB0" w:rsidRPr="00F8240E">
        <w:rPr>
          <w:rFonts w:ascii="Times New Roman" w:hAnsi="Times New Roman" w:cs="Times New Roman"/>
          <w:sz w:val="24"/>
          <w:szCs w:val="24"/>
        </w:rPr>
        <w:t>d</w:t>
      </w:r>
      <w:r w:rsidRPr="00F8240E">
        <w:rPr>
          <w:rFonts w:ascii="Times New Roman" w:hAnsi="Times New Roman" w:cs="Times New Roman"/>
          <w:sz w:val="24"/>
          <w:szCs w:val="24"/>
        </w:rPr>
        <w:t xml:space="preserve"> to changes in real GDP per capita. </w:t>
      </w:r>
    </w:p>
    <w:p w14:paraId="6839BE2B" w14:textId="1119D4D8" w:rsidR="001C60C5" w:rsidRPr="00F8240E" w:rsidRDefault="001C60C5" w:rsidP="004943B5">
      <w:pPr>
        <w:spacing w:line="480" w:lineRule="auto"/>
        <w:jc w:val="both"/>
        <w:rPr>
          <w:rFonts w:ascii="Times New Roman" w:hAnsi="Times New Roman" w:cs="Times New Roman"/>
          <w:sz w:val="24"/>
          <w:szCs w:val="24"/>
        </w:rPr>
      </w:pPr>
    </w:p>
    <w:p w14:paraId="27072827" w14:textId="169ABB7D" w:rsidR="00C723C6" w:rsidRPr="00F8240E" w:rsidRDefault="00C723C6"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Table two here</w:t>
      </w:r>
    </w:p>
    <w:p w14:paraId="5C4B2E42" w14:textId="77777777" w:rsidR="00FA0123" w:rsidRPr="00F8240E" w:rsidRDefault="00FA0123" w:rsidP="004943B5">
      <w:pPr>
        <w:spacing w:line="480" w:lineRule="auto"/>
        <w:jc w:val="both"/>
        <w:rPr>
          <w:rFonts w:ascii="Times New Roman" w:hAnsi="Times New Roman" w:cs="Times New Roman"/>
          <w:sz w:val="24"/>
          <w:szCs w:val="24"/>
        </w:rPr>
      </w:pPr>
    </w:p>
    <w:p w14:paraId="4B3A8EDD" w14:textId="0673C677" w:rsidR="00FA0123" w:rsidRPr="00F8240E" w:rsidRDefault="005A1C32"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The results</w:t>
      </w:r>
      <w:r w:rsidR="00590D6E" w:rsidRPr="00F8240E">
        <w:rPr>
          <w:rFonts w:ascii="Times New Roman" w:hAnsi="Times New Roman" w:cs="Times New Roman"/>
          <w:sz w:val="24"/>
          <w:szCs w:val="24"/>
        </w:rPr>
        <w:t xml:space="preserve"> in table </w:t>
      </w:r>
      <w:r w:rsidR="00D87BD0" w:rsidRPr="00F8240E">
        <w:rPr>
          <w:rFonts w:ascii="Times New Roman" w:hAnsi="Times New Roman" w:cs="Times New Roman"/>
          <w:sz w:val="24"/>
          <w:szCs w:val="24"/>
        </w:rPr>
        <w:t>two</w:t>
      </w:r>
      <w:r w:rsidRPr="00F8240E">
        <w:rPr>
          <w:rFonts w:ascii="Times New Roman" w:hAnsi="Times New Roman" w:cs="Times New Roman"/>
          <w:sz w:val="24"/>
          <w:szCs w:val="24"/>
        </w:rPr>
        <w:t xml:space="preserve"> s</w:t>
      </w:r>
      <w:r w:rsidR="00590D6E" w:rsidRPr="00F8240E">
        <w:rPr>
          <w:rFonts w:ascii="Times New Roman" w:hAnsi="Times New Roman" w:cs="Times New Roman"/>
          <w:sz w:val="24"/>
          <w:szCs w:val="24"/>
        </w:rPr>
        <w:t>how</w:t>
      </w:r>
      <w:r w:rsidRPr="00F8240E">
        <w:rPr>
          <w:rFonts w:ascii="Times New Roman" w:hAnsi="Times New Roman" w:cs="Times New Roman"/>
          <w:sz w:val="24"/>
          <w:szCs w:val="24"/>
        </w:rPr>
        <w:t xml:space="preserve"> the six countries were reasonably successful in containing expenditure after 1980, but that this success was more apparent earlier than later. New Zealand show</w:t>
      </w:r>
      <w:r w:rsidR="00892BD8" w:rsidRPr="00F8240E">
        <w:rPr>
          <w:rFonts w:ascii="Times New Roman" w:hAnsi="Times New Roman" w:cs="Times New Roman"/>
          <w:sz w:val="24"/>
          <w:szCs w:val="24"/>
        </w:rPr>
        <w:t>s</w:t>
      </w:r>
      <w:r w:rsidRPr="00F8240E">
        <w:rPr>
          <w:rFonts w:ascii="Times New Roman" w:hAnsi="Times New Roman" w:cs="Times New Roman"/>
          <w:sz w:val="24"/>
          <w:szCs w:val="24"/>
        </w:rPr>
        <w:t xml:space="preserve"> the sharpest falls</w:t>
      </w:r>
      <w:r w:rsidR="0049224C"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49224C" w:rsidRPr="00F8240E">
        <w:rPr>
          <w:rFonts w:ascii="Times New Roman" w:hAnsi="Times New Roman" w:cs="Times New Roman"/>
          <w:sz w:val="24"/>
          <w:szCs w:val="24"/>
        </w:rPr>
        <w:t>r</w:t>
      </w:r>
      <w:r w:rsidR="00FA0123" w:rsidRPr="00F8240E">
        <w:rPr>
          <w:rFonts w:ascii="Times New Roman" w:hAnsi="Times New Roman" w:cs="Times New Roman"/>
          <w:sz w:val="24"/>
          <w:szCs w:val="24"/>
        </w:rPr>
        <w:t xml:space="preserve">eal pension expenditure as a proportion of the population fell </w:t>
      </w:r>
      <w:r w:rsidR="0049224C" w:rsidRPr="00F8240E">
        <w:rPr>
          <w:rFonts w:ascii="Times New Roman" w:hAnsi="Times New Roman" w:cs="Times New Roman"/>
          <w:sz w:val="24"/>
          <w:szCs w:val="24"/>
        </w:rPr>
        <w:t>here</w:t>
      </w:r>
      <w:r w:rsidR="00FA0123" w:rsidRPr="00F8240E">
        <w:rPr>
          <w:rFonts w:ascii="Times New Roman" w:hAnsi="Times New Roman" w:cs="Times New Roman"/>
          <w:sz w:val="24"/>
          <w:szCs w:val="24"/>
        </w:rPr>
        <w:t xml:space="preserve"> in every five-year period but </w:t>
      </w:r>
      <w:r w:rsidR="000E62A8" w:rsidRPr="00F8240E">
        <w:rPr>
          <w:rFonts w:ascii="Times New Roman" w:hAnsi="Times New Roman" w:cs="Times New Roman"/>
          <w:sz w:val="24"/>
          <w:szCs w:val="24"/>
        </w:rPr>
        <w:t>two</w:t>
      </w:r>
      <w:r w:rsidR="00FA0123" w:rsidRPr="00F8240E">
        <w:rPr>
          <w:rFonts w:ascii="Times New Roman" w:hAnsi="Times New Roman" w:cs="Times New Roman"/>
          <w:sz w:val="24"/>
          <w:szCs w:val="24"/>
        </w:rPr>
        <w:t xml:space="preserve"> and in total by just over 126.1 per cent. </w:t>
      </w:r>
      <w:r w:rsidR="001F15A2" w:rsidRPr="00F8240E">
        <w:rPr>
          <w:rFonts w:ascii="Times New Roman" w:hAnsi="Times New Roman" w:cs="Times New Roman"/>
          <w:sz w:val="24"/>
          <w:szCs w:val="24"/>
        </w:rPr>
        <w:t>It fell particularly sharply between 1985 and 1995</w:t>
      </w:r>
      <w:r w:rsidR="0049224C" w:rsidRPr="00F8240E">
        <w:rPr>
          <w:rFonts w:ascii="Times New Roman" w:hAnsi="Times New Roman" w:cs="Times New Roman"/>
          <w:sz w:val="24"/>
          <w:szCs w:val="24"/>
        </w:rPr>
        <w:t xml:space="preserve">. It has risen </w:t>
      </w:r>
      <w:r w:rsidR="001F15A2" w:rsidRPr="00F8240E">
        <w:rPr>
          <w:rFonts w:ascii="Times New Roman" w:hAnsi="Times New Roman" w:cs="Times New Roman"/>
          <w:sz w:val="24"/>
          <w:szCs w:val="24"/>
        </w:rPr>
        <w:t>in more recent years</w:t>
      </w:r>
      <w:r w:rsidR="0049224C" w:rsidRPr="00F8240E">
        <w:rPr>
          <w:rFonts w:ascii="Times New Roman" w:hAnsi="Times New Roman" w:cs="Times New Roman"/>
          <w:sz w:val="24"/>
          <w:szCs w:val="24"/>
        </w:rPr>
        <w:t xml:space="preserve"> but</w:t>
      </w:r>
      <w:r w:rsidR="001F15A2" w:rsidRPr="00F8240E">
        <w:rPr>
          <w:rFonts w:ascii="Times New Roman" w:hAnsi="Times New Roman" w:cs="Times New Roman"/>
          <w:sz w:val="24"/>
          <w:szCs w:val="24"/>
        </w:rPr>
        <w:t xml:space="preserve"> by quite small an amount. In only one five-year period (1980-85) was the rise in real expenditure greater than the rise in GDP/cap</w:t>
      </w:r>
      <w:r w:rsidR="00D87BD0" w:rsidRPr="00F8240E">
        <w:rPr>
          <w:rFonts w:ascii="Times New Roman" w:hAnsi="Times New Roman" w:cs="Times New Roman"/>
          <w:sz w:val="24"/>
          <w:szCs w:val="24"/>
        </w:rPr>
        <w:t>ita</w:t>
      </w:r>
      <w:r w:rsidR="001F15A2" w:rsidRPr="00F8240E">
        <w:rPr>
          <w:rFonts w:ascii="Times New Roman" w:hAnsi="Times New Roman" w:cs="Times New Roman"/>
          <w:sz w:val="24"/>
          <w:szCs w:val="24"/>
        </w:rPr>
        <w:t xml:space="preserve"> and then by less tha</w:t>
      </w:r>
      <w:r w:rsidR="001A483C" w:rsidRPr="00F8240E">
        <w:rPr>
          <w:rFonts w:ascii="Times New Roman" w:hAnsi="Times New Roman" w:cs="Times New Roman"/>
          <w:sz w:val="24"/>
          <w:szCs w:val="24"/>
        </w:rPr>
        <w:t>n</w:t>
      </w:r>
      <w:r w:rsidR="001F15A2" w:rsidRPr="00F8240E">
        <w:rPr>
          <w:rFonts w:ascii="Times New Roman" w:hAnsi="Times New Roman" w:cs="Times New Roman"/>
          <w:sz w:val="24"/>
          <w:szCs w:val="24"/>
        </w:rPr>
        <w:t xml:space="preserve"> one percentage point.</w:t>
      </w:r>
      <w:r w:rsidR="00FA0123" w:rsidRPr="00F8240E">
        <w:rPr>
          <w:rFonts w:ascii="Times New Roman" w:hAnsi="Times New Roman" w:cs="Times New Roman"/>
          <w:sz w:val="24"/>
          <w:szCs w:val="24"/>
        </w:rPr>
        <w:t xml:space="preserve"> Australia </w:t>
      </w:r>
      <w:r w:rsidRPr="00F8240E">
        <w:rPr>
          <w:rFonts w:ascii="Times New Roman" w:hAnsi="Times New Roman" w:cs="Times New Roman"/>
          <w:sz w:val="24"/>
          <w:szCs w:val="24"/>
        </w:rPr>
        <w:t>was</w:t>
      </w:r>
      <w:r w:rsidR="00FA0123" w:rsidRPr="00F8240E">
        <w:rPr>
          <w:rFonts w:ascii="Times New Roman" w:hAnsi="Times New Roman" w:cs="Times New Roman"/>
          <w:sz w:val="24"/>
          <w:szCs w:val="24"/>
        </w:rPr>
        <w:t xml:space="preserve"> second most successful </w:t>
      </w:r>
      <w:r w:rsidR="0049224C" w:rsidRPr="00F8240E">
        <w:rPr>
          <w:rFonts w:ascii="Times New Roman" w:hAnsi="Times New Roman" w:cs="Times New Roman"/>
          <w:sz w:val="24"/>
          <w:szCs w:val="24"/>
        </w:rPr>
        <w:t>at</w:t>
      </w:r>
      <w:r w:rsidR="00FA0123" w:rsidRPr="00F8240E">
        <w:rPr>
          <w:rFonts w:ascii="Times New Roman" w:hAnsi="Times New Roman" w:cs="Times New Roman"/>
          <w:sz w:val="24"/>
          <w:szCs w:val="24"/>
        </w:rPr>
        <w:t xml:space="preserve"> containing public pension costs</w:t>
      </w:r>
      <w:r w:rsidR="0049224C" w:rsidRPr="00F8240E">
        <w:rPr>
          <w:rFonts w:ascii="Times New Roman" w:hAnsi="Times New Roman" w:cs="Times New Roman"/>
          <w:sz w:val="24"/>
          <w:szCs w:val="24"/>
        </w:rPr>
        <w:t>: r</w:t>
      </w:r>
      <w:r w:rsidR="00FA0123" w:rsidRPr="00F8240E">
        <w:rPr>
          <w:rFonts w:ascii="Times New Roman" w:hAnsi="Times New Roman" w:cs="Times New Roman"/>
          <w:sz w:val="24"/>
          <w:szCs w:val="24"/>
        </w:rPr>
        <w:t xml:space="preserve">eal pension expenditure </w:t>
      </w:r>
      <w:r w:rsidR="0049224C" w:rsidRPr="00F8240E">
        <w:rPr>
          <w:rFonts w:ascii="Times New Roman" w:hAnsi="Times New Roman" w:cs="Times New Roman"/>
          <w:sz w:val="24"/>
          <w:szCs w:val="24"/>
        </w:rPr>
        <w:t>per</w:t>
      </w:r>
      <w:r w:rsidR="00FA0123" w:rsidRPr="00F8240E">
        <w:rPr>
          <w:rFonts w:ascii="Times New Roman" w:hAnsi="Times New Roman" w:cs="Times New Roman"/>
          <w:sz w:val="24"/>
          <w:szCs w:val="24"/>
        </w:rPr>
        <w:t xml:space="preserve"> population over 65 declined significantly here during the 1980s. It bounced back</w:t>
      </w:r>
      <w:r w:rsidR="001F15A2" w:rsidRPr="00F8240E">
        <w:rPr>
          <w:rFonts w:ascii="Times New Roman" w:hAnsi="Times New Roman" w:cs="Times New Roman"/>
          <w:sz w:val="24"/>
          <w:szCs w:val="24"/>
        </w:rPr>
        <w:t xml:space="preserve"> strongly</w:t>
      </w:r>
      <w:r w:rsidR="00FA0123" w:rsidRPr="00F8240E">
        <w:rPr>
          <w:rFonts w:ascii="Times New Roman" w:hAnsi="Times New Roman" w:cs="Times New Roman"/>
          <w:sz w:val="24"/>
          <w:szCs w:val="24"/>
        </w:rPr>
        <w:t xml:space="preserve"> in the 1990s but dipped again in the early 2000s. Overall the increase in</w:t>
      </w:r>
      <w:r w:rsidR="001F15A2" w:rsidRPr="00F8240E">
        <w:rPr>
          <w:rFonts w:ascii="Times New Roman" w:hAnsi="Times New Roman" w:cs="Times New Roman"/>
          <w:sz w:val="24"/>
          <w:szCs w:val="24"/>
        </w:rPr>
        <w:t xml:space="preserve"> real</w:t>
      </w:r>
      <w:r w:rsidR="00FA0123" w:rsidRPr="00F8240E">
        <w:rPr>
          <w:rFonts w:ascii="Times New Roman" w:hAnsi="Times New Roman" w:cs="Times New Roman"/>
          <w:sz w:val="24"/>
          <w:szCs w:val="24"/>
        </w:rPr>
        <w:t xml:space="preserve"> expenditure was significantly below the increase in GDP/capita during th</w:t>
      </w:r>
      <w:r w:rsidR="001F15A2" w:rsidRPr="00F8240E">
        <w:rPr>
          <w:rFonts w:ascii="Times New Roman" w:hAnsi="Times New Roman" w:cs="Times New Roman"/>
          <w:sz w:val="24"/>
          <w:szCs w:val="24"/>
        </w:rPr>
        <w:t>e</w:t>
      </w:r>
      <w:r w:rsidR="00FA0123" w:rsidRPr="00F8240E">
        <w:rPr>
          <w:rFonts w:ascii="Times New Roman" w:hAnsi="Times New Roman" w:cs="Times New Roman"/>
          <w:sz w:val="24"/>
          <w:szCs w:val="24"/>
        </w:rPr>
        <w:t xml:space="preserve"> period. In the </w:t>
      </w:r>
      <w:r w:rsidR="001F15A2" w:rsidRPr="00F8240E">
        <w:rPr>
          <w:rFonts w:ascii="Times New Roman" w:hAnsi="Times New Roman" w:cs="Times New Roman"/>
          <w:sz w:val="24"/>
          <w:szCs w:val="24"/>
        </w:rPr>
        <w:t>four</w:t>
      </w:r>
      <w:r w:rsidR="00FA0123" w:rsidRPr="00F8240E">
        <w:rPr>
          <w:rFonts w:ascii="Times New Roman" w:hAnsi="Times New Roman" w:cs="Times New Roman"/>
          <w:sz w:val="24"/>
          <w:szCs w:val="24"/>
        </w:rPr>
        <w:t xml:space="preserve"> other countries</w:t>
      </w:r>
      <w:r w:rsidR="001F15A2" w:rsidRPr="00F8240E">
        <w:rPr>
          <w:rFonts w:ascii="Times New Roman" w:hAnsi="Times New Roman" w:cs="Times New Roman"/>
          <w:sz w:val="24"/>
          <w:szCs w:val="24"/>
        </w:rPr>
        <w:t>,</w:t>
      </w:r>
      <w:r w:rsidR="00EC219F" w:rsidRPr="00F8240E">
        <w:rPr>
          <w:rFonts w:ascii="Times New Roman" w:hAnsi="Times New Roman" w:cs="Times New Roman"/>
          <w:sz w:val="24"/>
          <w:szCs w:val="24"/>
        </w:rPr>
        <w:t xml:space="preserve"> real</w:t>
      </w:r>
      <w:r w:rsidR="001F15A2" w:rsidRPr="00F8240E">
        <w:rPr>
          <w:rFonts w:ascii="Times New Roman" w:hAnsi="Times New Roman" w:cs="Times New Roman"/>
          <w:sz w:val="24"/>
          <w:szCs w:val="24"/>
        </w:rPr>
        <w:t xml:space="preserve"> pension expenditure per population over 65 was more robust, with no </w:t>
      </w:r>
      <w:r w:rsidR="00FA0123" w:rsidRPr="00F8240E">
        <w:rPr>
          <w:rFonts w:ascii="Times New Roman" w:hAnsi="Times New Roman" w:cs="Times New Roman"/>
          <w:sz w:val="24"/>
          <w:szCs w:val="24"/>
        </w:rPr>
        <w:t>five-year period between 1980 and 2010 show</w:t>
      </w:r>
      <w:r w:rsidR="001F15A2" w:rsidRPr="00F8240E">
        <w:rPr>
          <w:rFonts w:ascii="Times New Roman" w:hAnsi="Times New Roman" w:cs="Times New Roman"/>
          <w:sz w:val="24"/>
          <w:szCs w:val="24"/>
        </w:rPr>
        <w:t xml:space="preserve">ing a </w:t>
      </w:r>
      <w:r w:rsidR="00FA0123" w:rsidRPr="00F8240E">
        <w:rPr>
          <w:rFonts w:ascii="Times New Roman" w:hAnsi="Times New Roman" w:cs="Times New Roman"/>
          <w:sz w:val="24"/>
          <w:szCs w:val="24"/>
        </w:rPr>
        <w:t xml:space="preserve">fall. In </w:t>
      </w:r>
      <w:r w:rsidR="001F15A2" w:rsidRPr="00F8240E">
        <w:rPr>
          <w:rFonts w:ascii="Times New Roman" w:hAnsi="Times New Roman" w:cs="Times New Roman"/>
          <w:sz w:val="24"/>
          <w:szCs w:val="24"/>
        </w:rPr>
        <w:t>Ireland, indeed, this metric increased substantially over the period. However, in all cases</w:t>
      </w:r>
      <w:r w:rsidR="001A483C" w:rsidRPr="00F8240E">
        <w:rPr>
          <w:rFonts w:ascii="Times New Roman" w:hAnsi="Times New Roman" w:cs="Times New Roman"/>
          <w:sz w:val="24"/>
          <w:szCs w:val="24"/>
        </w:rPr>
        <w:t xml:space="preserve"> other than Canada</w:t>
      </w:r>
      <w:r w:rsidR="001F15A2" w:rsidRPr="00F8240E">
        <w:rPr>
          <w:rFonts w:ascii="Times New Roman" w:hAnsi="Times New Roman" w:cs="Times New Roman"/>
          <w:sz w:val="24"/>
          <w:szCs w:val="24"/>
        </w:rPr>
        <w:t xml:space="preserve"> this rise</w:t>
      </w:r>
      <w:r w:rsidR="001A483C" w:rsidRPr="00F8240E">
        <w:rPr>
          <w:rFonts w:ascii="Times New Roman" w:hAnsi="Times New Roman" w:cs="Times New Roman"/>
          <w:sz w:val="24"/>
          <w:szCs w:val="24"/>
        </w:rPr>
        <w:t xml:space="preserve"> was lower during the earl</w:t>
      </w:r>
      <w:r w:rsidR="00892BD8" w:rsidRPr="00F8240E">
        <w:rPr>
          <w:rFonts w:ascii="Times New Roman" w:hAnsi="Times New Roman" w:cs="Times New Roman"/>
          <w:sz w:val="24"/>
          <w:szCs w:val="24"/>
        </w:rPr>
        <w:t>ier</w:t>
      </w:r>
      <w:r w:rsidR="001A483C" w:rsidRPr="00F8240E">
        <w:rPr>
          <w:rFonts w:ascii="Times New Roman" w:hAnsi="Times New Roman" w:cs="Times New Roman"/>
          <w:sz w:val="24"/>
          <w:szCs w:val="24"/>
        </w:rPr>
        <w:t xml:space="preserve"> period. Moreover, only in </w:t>
      </w:r>
      <w:r w:rsidR="00FA0123" w:rsidRPr="00F8240E">
        <w:rPr>
          <w:rFonts w:ascii="Times New Roman" w:hAnsi="Times New Roman" w:cs="Times New Roman"/>
          <w:sz w:val="24"/>
          <w:szCs w:val="24"/>
        </w:rPr>
        <w:t xml:space="preserve">the UK </w:t>
      </w:r>
      <w:r w:rsidR="001A483C" w:rsidRPr="00F8240E">
        <w:rPr>
          <w:rFonts w:ascii="Times New Roman" w:hAnsi="Times New Roman" w:cs="Times New Roman"/>
          <w:sz w:val="24"/>
          <w:szCs w:val="24"/>
        </w:rPr>
        <w:t>has</w:t>
      </w:r>
      <w:r w:rsidR="00FA0123" w:rsidRPr="00F8240E">
        <w:rPr>
          <w:rFonts w:ascii="Times New Roman" w:hAnsi="Times New Roman" w:cs="Times New Roman"/>
          <w:sz w:val="24"/>
          <w:szCs w:val="24"/>
        </w:rPr>
        <w:t xml:space="preserve"> </w:t>
      </w:r>
      <w:r w:rsidR="001A483C" w:rsidRPr="00F8240E">
        <w:rPr>
          <w:rFonts w:ascii="Times New Roman" w:hAnsi="Times New Roman" w:cs="Times New Roman"/>
          <w:sz w:val="24"/>
          <w:szCs w:val="24"/>
        </w:rPr>
        <w:t>real expenditure per population over the entire period kept up with the r</w:t>
      </w:r>
      <w:r w:rsidR="00FA0123" w:rsidRPr="00F8240E">
        <w:rPr>
          <w:rFonts w:ascii="Times New Roman" w:hAnsi="Times New Roman" w:cs="Times New Roman"/>
          <w:sz w:val="24"/>
          <w:szCs w:val="24"/>
        </w:rPr>
        <w:t>ise in national income per hea</w:t>
      </w:r>
      <w:r w:rsidR="001A483C" w:rsidRPr="00F8240E">
        <w:rPr>
          <w:rFonts w:ascii="Times New Roman" w:hAnsi="Times New Roman" w:cs="Times New Roman"/>
          <w:sz w:val="24"/>
          <w:szCs w:val="24"/>
        </w:rPr>
        <w:t>d, though the USA comes close.</w:t>
      </w:r>
    </w:p>
    <w:p w14:paraId="20879BEA" w14:textId="58B1D1D8" w:rsidR="00FA0123" w:rsidRPr="00F8240E" w:rsidRDefault="00FA0123"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Overall, therefore, w</w:t>
      </w:r>
      <w:r w:rsidR="001A483C" w:rsidRPr="00F8240E">
        <w:rPr>
          <w:rFonts w:ascii="Times New Roman" w:hAnsi="Times New Roman" w:cs="Times New Roman"/>
          <w:sz w:val="24"/>
          <w:szCs w:val="24"/>
        </w:rPr>
        <w:t>hile we</w:t>
      </w:r>
      <w:r w:rsidRPr="00F8240E">
        <w:rPr>
          <w:rFonts w:ascii="Times New Roman" w:hAnsi="Times New Roman" w:cs="Times New Roman"/>
          <w:sz w:val="24"/>
          <w:szCs w:val="24"/>
        </w:rPr>
        <w:t xml:space="preserve"> see no blanket fall in </w:t>
      </w:r>
      <w:r w:rsidR="001A483C" w:rsidRPr="00F8240E">
        <w:rPr>
          <w:rFonts w:ascii="Times New Roman" w:hAnsi="Times New Roman" w:cs="Times New Roman"/>
          <w:sz w:val="24"/>
          <w:szCs w:val="24"/>
        </w:rPr>
        <w:t xml:space="preserve">real </w:t>
      </w:r>
      <w:r w:rsidRPr="00F8240E">
        <w:rPr>
          <w:rFonts w:ascii="Times New Roman" w:hAnsi="Times New Roman" w:cs="Times New Roman"/>
          <w:sz w:val="24"/>
          <w:szCs w:val="24"/>
        </w:rPr>
        <w:t xml:space="preserve">public pension expenditure </w:t>
      </w:r>
      <w:r w:rsidR="001A483C" w:rsidRPr="00F8240E">
        <w:rPr>
          <w:rFonts w:ascii="Times New Roman" w:hAnsi="Times New Roman" w:cs="Times New Roman"/>
          <w:sz w:val="24"/>
          <w:szCs w:val="24"/>
        </w:rPr>
        <w:t>per population over 65 over the</w:t>
      </w:r>
      <w:r w:rsidR="00D87BD0" w:rsidRPr="00F8240E">
        <w:rPr>
          <w:rFonts w:ascii="Times New Roman" w:hAnsi="Times New Roman" w:cs="Times New Roman"/>
          <w:sz w:val="24"/>
          <w:szCs w:val="24"/>
        </w:rPr>
        <w:t xml:space="preserve"> whole</w:t>
      </w:r>
      <w:r w:rsidR="001A483C" w:rsidRPr="00F8240E">
        <w:rPr>
          <w:rFonts w:ascii="Times New Roman" w:hAnsi="Times New Roman" w:cs="Times New Roman"/>
          <w:sz w:val="24"/>
          <w:szCs w:val="24"/>
        </w:rPr>
        <w:t xml:space="preserve"> period</w:t>
      </w:r>
      <w:r w:rsidRPr="00F8240E">
        <w:rPr>
          <w:rFonts w:ascii="Times New Roman" w:hAnsi="Times New Roman" w:cs="Times New Roman"/>
          <w:sz w:val="24"/>
          <w:szCs w:val="24"/>
        </w:rPr>
        <w:t xml:space="preserve">, </w:t>
      </w:r>
      <w:r w:rsidR="001A483C" w:rsidRPr="00F8240E">
        <w:rPr>
          <w:rFonts w:ascii="Times New Roman" w:hAnsi="Times New Roman" w:cs="Times New Roman"/>
          <w:sz w:val="24"/>
          <w:szCs w:val="24"/>
        </w:rPr>
        <w:t xml:space="preserve">two countries quite successfully contained this cost, the other four </w:t>
      </w:r>
      <w:r w:rsidR="0049224C" w:rsidRPr="00F8240E">
        <w:rPr>
          <w:rFonts w:ascii="Times New Roman" w:hAnsi="Times New Roman" w:cs="Times New Roman"/>
          <w:sz w:val="24"/>
          <w:szCs w:val="24"/>
        </w:rPr>
        <w:t>did</w:t>
      </w:r>
      <w:r w:rsidR="001A483C" w:rsidRPr="00F8240E">
        <w:rPr>
          <w:rFonts w:ascii="Times New Roman" w:hAnsi="Times New Roman" w:cs="Times New Roman"/>
          <w:sz w:val="24"/>
          <w:szCs w:val="24"/>
        </w:rPr>
        <w:t xml:space="preserve"> this in the early part of the period, and in only one country did this metric increase </w:t>
      </w:r>
      <w:r w:rsidR="0049224C" w:rsidRPr="00F8240E">
        <w:rPr>
          <w:rFonts w:ascii="Times New Roman" w:hAnsi="Times New Roman" w:cs="Times New Roman"/>
          <w:sz w:val="24"/>
          <w:szCs w:val="24"/>
        </w:rPr>
        <w:t>consistently with</w:t>
      </w:r>
      <w:r w:rsidR="001A483C" w:rsidRPr="00F8240E">
        <w:rPr>
          <w:rFonts w:ascii="Times New Roman" w:hAnsi="Times New Roman" w:cs="Times New Roman"/>
          <w:sz w:val="24"/>
          <w:szCs w:val="24"/>
        </w:rPr>
        <w:t xml:space="preserve"> the rise in national income per head. </w:t>
      </w:r>
    </w:p>
    <w:bookmarkEnd w:id="17"/>
    <w:p w14:paraId="3B014858" w14:textId="77777777" w:rsidR="00E2512D" w:rsidRPr="00F8240E" w:rsidRDefault="00E2512D" w:rsidP="004943B5">
      <w:pPr>
        <w:spacing w:line="480" w:lineRule="auto"/>
        <w:jc w:val="both"/>
        <w:rPr>
          <w:rFonts w:ascii="Times New Roman" w:hAnsi="Times New Roman" w:cs="Times New Roman"/>
          <w:sz w:val="24"/>
          <w:szCs w:val="24"/>
        </w:rPr>
      </w:pPr>
    </w:p>
    <w:p w14:paraId="5E1BB9EF" w14:textId="4A14274B" w:rsidR="0025298E" w:rsidRPr="00F8240E" w:rsidRDefault="0049224C"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3.2 Decommodification and targeting</w:t>
      </w:r>
    </w:p>
    <w:p w14:paraId="5E6E49CE" w14:textId="185C70CC" w:rsidR="00C21460" w:rsidRPr="00F8240E" w:rsidRDefault="00EB1D12"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In this section we consider how </w:t>
      </w:r>
      <w:r w:rsidR="00A908C0" w:rsidRPr="00F8240E">
        <w:rPr>
          <w:rFonts w:ascii="Times New Roman" w:hAnsi="Times New Roman" w:cs="Times New Roman"/>
          <w:sz w:val="24"/>
          <w:szCs w:val="24"/>
        </w:rPr>
        <w:t xml:space="preserve">efforts to contain costs </w:t>
      </w:r>
      <w:r w:rsidR="0049224C" w:rsidRPr="00F8240E">
        <w:rPr>
          <w:rFonts w:ascii="Times New Roman" w:hAnsi="Times New Roman" w:cs="Times New Roman"/>
          <w:sz w:val="24"/>
          <w:szCs w:val="24"/>
        </w:rPr>
        <w:t xml:space="preserve">in liberal pension systems </w:t>
      </w:r>
      <w:r w:rsidR="00A908C0" w:rsidRPr="00F8240E">
        <w:rPr>
          <w:rFonts w:ascii="Times New Roman" w:hAnsi="Times New Roman" w:cs="Times New Roman"/>
          <w:sz w:val="24"/>
          <w:szCs w:val="24"/>
        </w:rPr>
        <w:t>map</w:t>
      </w:r>
      <w:r w:rsidR="00612A44" w:rsidRPr="00F8240E">
        <w:rPr>
          <w:rFonts w:ascii="Times New Roman" w:hAnsi="Times New Roman" w:cs="Times New Roman"/>
          <w:sz w:val="24"/>
          <w:szCs w:val="24"/>
        </w:rPr>
        <w:t xml:space="preserve"> </w:t>
      </w:r>
      <w:r w:rsidR="00A908C0" w:rsidRPr="00F8240E">
        <w:rPr>
          <w:rFonts w:ascii="Times New Roman" w:hAnsi="Times New Roman" w:cs="Times New Roman"/>
          <w:sz w:val="24"/>
          <w:szCs w:val="24"/>
        </w:rPr>
        <w:t xml:space="preserve">onto changes in </w:t>
      </w:r>
      <w:r w:rsidR="00567742" w:rsidRPr="00F8240E">
        <w:rPr>
          <w:rFonts w:ascii="Times New Roman" w:hAnsi="Times New Roman" w:cs="Times New Roman"/>
          <w:sz w:val="24"/>
          <w:szCs w:val="24"/>
        </w:rPr>
        <w:t>the</w:t>
      </w:r>
      <w:r w:rsidR="0049224C" w:rsidRPr="00F8240E">
        <w:rPr>
          <w:rFonts w:ascii="Times New Roman" w:hAnsi="Times New Roman" w:cs="Times New Roman"/>
          <w:sz w:val="24"/>
          <w:szCs w:val="24"/>
        </w:rPr>
        <w:t>ir</w:t>
      </w:r>
      <w:r w:rsidR="00567742" w:rsidRPr="00F8240E">
        <w:rPr>
          <w:rFonts w:ascii="Times New Roman" w:hAnsi="Times New Roman" w:cs="Times New Roman"/>
          <w:sz w:val="24"/>
          <w:szCs w:val="24"/>
        </w:rPr>
        <w:t xml:space="preserve"> structure</w:t>
      </w:r>
      <w:r w:rsidR="00A908C0" w:rsidRPr="00F8240E">
        <w:rPr>
          <w:rFonts w:ascii="Times New Roman" w:hAnsi="Times New Roman" w:cs="Times New Roman"/>
          <w:sz w:val="24"/>
          <w:szCs w:val="24"/>
        </w:rPr>
        <w:t xml:space="preserve">. To what extent was system change </w:t>
      </w:r>
      <w:r w:rsidR="00612A44" w:rsidRPr="00F8240E">
        <w:rPr>
          <w:rFonts w:ascii="Times New Roman" w:hAnsi="Times New Roman" w:cs="Times New Roman"/>
          <w:sz w:val="24"/>
          <w:szCs w:val="24"/>
        </w:rPr>
        <w:t>re</w:t>
      </w:r>
      <w:r w:rsidR="00A908C0" w:rsidRPr="00F8240E">
        <w:rPr>
          <w:rFonts w:ascii="Times New Roman" w:hAnsi="Times New Roman" w:cs="Times New Roman"/>
          <w:sz w:val="24"/>
          <w:szCs w:val="24"/>
        </w:rPr>
        <w:t>commodify</w:t>
      </w:r>
      <w:r w:rsidR="0049224C" w:rsidRPr="00F8240E">
        <w:rPr>
          <w:rFonts w:ascii="Times New Roman" w:hAnsi="Times New Roman" w:cs="Times New Roman"/>
          <w:sz w:val="24"/>
          <w:szCs w:val="24"/>
        </w:rPr>
        <w:t>i</w:t>
      </w:r>
      <w:r w:rsidR="00A908C0" w:rsidRPr="00F8240E">
        <w:rPr>
          <w:rFonts w:ascii="Times New Roman" w:hAnsi="Times New Roman" w:cs="Times New Roman"/>
          <w:sz w:val="24"/>
          <w:szCs w:val="24"/>
        </w:rPr>
        <w:t xml:space="preserve">ng based on replacement rate data? When it was, </w:t>
      </w:r>
      <w:r w:rsidR="008F6D03" w:rsidRPr="00F8240E">
        <w:rPr>
          <w:rFonts w:ascii="Times New Roman" w:hAnsi="Times New Roman" w:cs="Times New Roman"/>
          <w:sz w:val="24"/>
          <w:szCs w:val="24"/>
        </w:rPr>
        <w:t>on which groups w</w:t>
      </w:r>
      <w:r w:rsidR="00A908C0" w:rsidRPr="00F8240E">
        <w:rPr>
          <w:rFonts w:ascii="Times New Roman" w:hAnsi="Times New Roman" w:cs="Times New Roman"/>
          <w:sz w:val="24"/>
          <w:szCs w:val="24"/>
        </w:rPr>
        <w:t xml:space="preserve">as </w:t>
      </w:r>
      <w:r w:rsidR="00612A44" w:rsidRPr="00F8240E">
        <w:rPr>
          <w:rFonts w:ascii="Times New Roman" w:hAnsi="Times New Roman" w:cs="Times New Roman"/>
          <w:sz w:val="24"/>
          <w:szCs w:val="24"/>
        </w:rPr>
        <w:t>re</w:t>
      </w:r>
      <w:r w:rsidR="00A908C0" w:rsidRPr="00F8240E">
        <w:rPr>
          <w:rFonts w:ascii="Times New Roman" w:hAnsi="Times New Roman" w:cs="Times New Roman"/>
          <w:sz w:val="24"/>
          <w:szCs w:val="24"/>
        </w:rPr>
        <w:t>commmodification</w:t>
      </w:r>
      <w:r w:rsidR="008F6D03" w:rsidRPr="00F8240E">
        <w:rPr>
          <w:rFonts w:ascii="Times New Roman" w:hAnsi="Times New Roman" w:cs="Times New Roman"/>
          <w:sz w:val="24"/>
          <w:szCs w:val="24"/>
        </w:rPr>
        <w:t xml:space="preserve"> targeted? </w:t>
      </w:r>
      <w:r w:rsidR="00EC219F" w:rsidRPr="00F8240E">
        <w:rPr>
          <w:rFonts w:ascii="Times New Roman" w:hAnsi="Times New Roman" w:cs="Times New Roman"/>
          <w:sz w:val="24"/>
          <w:szCs w:val="24"/>
        </w:rPr>
        <w:t xml:space="preserve">We start </w:t>
      </w:r>
      <w:r w:rsidR="008F6D03" w:rsidRPr="00F8240E">
        <w:rPr>
          <w:rFonts w:ascii="Times New Roman" w:hAnsi="Times New Roman" w:cs="Times New Roman"/>
          <w:sz w:val="24"/>
          <w:szCs w:val="24"/>
        </w:rPr>
        <w:t xml:space="preserve">with the two countries </w:t>
      </w:r>
      <w:r w:rsidR="00EC219F" w:rsidRPr="00F8240E">
        <w:rPr>
          <w:rFonts w:ascii="Times New Roman" w:hAnsi="Times New Roman" w:cs="Times New Roman"/>
          <w:sz w:val="24"/>
          <w:szCs w:val="24"/>
        </w:rPr>
        <w:t>where</w:t>
      </w:r>
      <w:r w:rsidR="008F6D03" w:rsidRPr="00F8240E">
        <w:rPr>
          <w:rFonts w:ascii="Times New Roman" w:hAnsi="Times New Roman" w:cs="Times New Roman"/>
          <w:sz w:val="24"/>
          <w:szCs w:val="24"/>
        </w:rPr>
        <w:t xml:space="preserve"> cost containment was most successful – New Zealand and Australia. </w:t>
      </w:r>
    </w:p>
    <w:p w14:paraId="5E6120F0" w14:textId="77777777" w:rsidR="009B2AED" w:rsidRPr="00F8240E" w:rsidRDefault="009B2AED" w:rsidP="004943B5">
      <w:pPr>
        <w:spacing w:line="480" w:lineRule="auto"/>
        <w:jc w:val="both"/>
        <w:rPr>
          <w:rFonts w:ascii="Times New Roman" w:hAnsi="Times New Roman" w:cs="Times New Roman"/>
          <w:i/>
          <w:sz w:val="24"/>
          <w:szCs w:val="24"/>
        </w:rPr>
      </w:pPr>
    </w:p>
    <w:p w14:paraId="29A1EEC2" w14:textId="14F4E0B5" w:rsidR="00E33E1C" w:rsidRPr="00F8240E" w:rsidRDefault="0049224C" w:rsidP="00E33E1C">
      <w:pPr>
        <w:spacing w:line="480" w:lineRule="auto"/>
        <w:jc w:val="both"/>
        <w:rPr>
          <w:rFonts w:ascii="Times New Roman" w:hAnsi="Times New Roman" w:cs="Times New Roman"/>
          <w:sz w:val="24"/>
          <w:szCs w:val="24"/>
        </w:rPr>
      </w:pPr>
      <w:bookmarkStart w:id="18" w:name="_Hlk512002600"/>
      <w:r w:rsidRPr="00F8240E">
        <w:rPr>
          <w:rFonts w:ascii="Times New Roman" w:hAnsi="Times New Roman" w:cs="Times New Roman"/>
          <w:sz w:val="24"/>
          <w:szCs w:val="24"/>
        </w:rPr>
        <w:t xml:space="preserve">3.2.1 </w:t>
      </w:r>
      <w:r w:rsidR="00E33E1C" w:rsidRPr="00F8240E">
        <w:rPr>
          <w:rFonts w:ascii="Times New Roman" w:hAnsi="Times New Roman" w:cs="Times New Roman"/>
          <w:sz w:val="24"/>
          <w:szCs w:val="24"/>
        </w:rPr>
        <w:t>New Zealand</w:t>
      </w:r>
    </w:p>
    <w:p w14:paraId="44514D1C" w14:textId="6646163B" w:rsidR="00E33E1C" w:rsidRPr="00F8240E" w:rsidRDefault="00E33E1C" w:rsidP="00E33E1C">
      <w:pPr>
        <w:spacing w:line="480" w:lineRule="auto"/>
        <w:jc w:val="both"/>
        <w:rPr>
          <w:rFonts w:ascii="Times New Roman" w:hAnsi="Times New Roman" w:cs="Times New Roman"/>
          <w:sz w:val="24"/>
          <w:szCs w:val="24"/>
        </w:rPr>
      </w:pPr>
      <w:bookmarkStart w:id="19" w:name="_Hlk506275428"/>
      <w:r w:rsidRPr="00F8240E">
        <w:rPr>
          <w:rFonts w:ascii="Times New Roman" w:hAnsi="Times New Roman" w:cs="Times New Roman"/>
          <w:sz w:val="24"/>
          <w:szCs w:val="24"/>
        </w:rPr>
        <w:t xml:space="preserve">New Zealand’s initial success in containing costs was achieved by curtailing </w:t>
      </w:r>
      <w:r w:rsidR="00480A64" w:rsidRPr="00F8240E">
        <w:rPr>
          <w:rFonts w:ascii="Times New Roman" w:hAnsi="Times New Roman" w:cs="Times New Roman"/>
          <w:sz w:val="24"/>
          <w:szCs w:val="24"/>
        </w:rPr>
        <w:t>earlier expansionary reforms</w:t>
      </w:r>
      <w:r w:rsidRPr="00F8240E">
        <w:rPr>
          <w:rFonts w:ascii="Times New Roman" w:hAnsi="Times New Roman" w:cs="Times New Roman"/>
          <w:sz w:val="24"/>
          <w:szCs w:val="24"/>
        </w:rPr>
        <w:t xml:space="preserve">. This involved </w:t>
      </w:r>
      <w:r w:rsidR="00C92FAF" w:rsidRPr="00F8240E">
        <w:rPr>
          <w:rFonts w:ascii="Times New Roman" w:hAnsi="Times New Roman" w:cs="Times New Roman"/>
          <w:sz w:val="24"/>
          <w:szCs w:val="24"/>
        </w:rPr>
        <w:t>re</w:t>
      </w:r>
      <w:r w:rsidRPr="00F8240E">
        <w:rPr>
          <w:rFonts w:ascii="Times New Roman" w:hAnsi="Times New Roman" w:cs="Times New Roman"/>
          <w:sz w:val="24"/>
          <w:szCs w:val="24"/>
        </w:rPr>
        <w:t>commodifying reforms affecting all recipients but with a focus on richer groups (Starke</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2008). The former involved indexation changes, with benefits shifted in 1979 from gross to net average wages (Kritzer</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2007; Harris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2012). A decade later the link between National Superannuation benefits and wages was loosened (Starke</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2008; Preston</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2001). The effects of the</w:t>
      </w:r>
      <w:r w:rsidR="00480A64" w:rsidRPr="00F8240E">
        <w:rPr>
          <w:rFonts w:ascii="Times New Roman" w:hAnsi="Times New Roman" w:cs="Times New Roman"/>
          <w:sz w:val="24"/>
          <w:szCs w:val="24"/>
        </w:rPr>
        <w:t xml:space="preserve">se </w:t>
      </w:r>
      <w:r w:rsidRPr="00F8240E">
        <w:rPr>
          <w:rFonts w:ascii="Times New Roman" w:hAnsi="Times New Roman" w:cs="Times New Roman"/>
          <w:sz w:val="24"/>
          <w:szCs w:val="24"/>
        </w:rPr>
        <w:t xml:space="preserve">changes are evident in the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CWED replacement rate data</w:t>
      </w:r>
      <w:r w:rsidR="00480A64" w:rsidRPr="00F8240E">
        <w:rPr>
          <w:rFonts w:ascii="Times New Roman" w:hAnsi="Times New Roman" w:cs="Times New Roman"/>
          <w:sz w:val="24"/>
          <w:szCs w:val="24"/>
        </w:rPr>
        <w:t xml:space="preserve"> which</w:t>
      </w:r>
      <w:r w:rsidRPr="00F8240E">
        <w:rPr>
          <w:rFonts w:ascii="Times New Roman" w:hAnsi="Times New Roman" w:cs="Times New Roman"/>
          <w:sz w:val="24"/>
          <w:szCs w:val="24"/>
        </w:rPr>
        <w:t xml:space="preserve"> shows replacement rates declining up to 1983, then on a bumpy trajectory up to 1990, before declining steadily up to 1998. </w:t>
      </w:r>
    </w:p>
    <w:p w14:paraId="7E0813B2" w14:textId="77777777" w:rsidR="00E33E1C" w:rsidRPr="00F8240E" w:rsidRDefault="00E33E1C" w:rsidP="00E33E1C">
      <w:pPr>
        <w:spacing w:line="480" w:lineRule="auto"/>
        <w:jc w:val="both"/>
        <w:rPr>
          <w:rFonts w:ascii="Times New Roman" w:hAnsi="Times New Roman" w:cs="Times New Roman"/>
          <w:sz w:val="24"/>
          <w:szCs w:val="24"/>
        </w:rPr>
      </w:pPr>
    </w:p>
    <w:p w14:paraId="16E87C6B" w14:textId="3CF919E6" w:rsidR="00E33E1C" w:rsidRPr="00F8240E" w:rsidRDefault="00E33E1C" w:rsidP="00E33E1C">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Figure</w:t>
      </w:r>
      <w:r w:rsidR="00CA5791" w:rsidRPr="00F8240E">
        <w:rPr>
          <w:rFonts w:ascii="Times New Roman" w:hAnsi="Times New Roman" w:cs="Times New Roman"/>
          <w:sz w:val="24"/>
          <w:szCs w:val="24"/>
        </w:rPr>
        <w:t xml:space="preserve"> one here</w:t>
      </w:r>
    </w:p>
    <w:p w14:paraId="6FF9C5F2" w14:textId="77777777" w:rsidR="00E33E1C" w:rsidRPr="00F8240E" w:rsidRDefault="00E33E1C" w:rsidP="00E33E1C">
      <w:pPr>
        <w:spacing w:line="480" w:lineRule="auto"/>
        <w:jc w:val="both"/>
        <w:rPr>
          <w:rFonts w:ascii="Times New Roman" w:hAnsi="Times New Roman" w:cs="Times New Roman"/>
          <w:sz w:val="24"/>
          <w:szCs w:val="24"/>
        </w:rPr>
      </w:pPr>
    </w:p>
    <w:p w14:paraId="5C2BD424" w14:textId="3412235D" w:rsidR="00E33E1C" w:rsidRPr="00F8240E" w:rsidRDefault="00E33E1C" w:rsidP="00E33E1C">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Increased targeting reinforced </w:t>
      </w:r>
      <w:r w:rsidR="00C92FAF" w:rsidRPr="00F8240E">
        <w:rPr>
          <w:rFonts w:ascii="Times New Roman" w:hAnsi="Times New Roman" w:cs="Times New Roman"/>
          <w:sz w:val="24"/>
          <w:szCs w:val="24"/>
        </w:rPr>
        <w:t>re</w:t>
      </w:r>
      <w:r w:rsidRPr="00F8240E">
        <w:rPr>
          <w:rFonts w:ascii="Times New Roman" w:hAnsi="Times New Roman" w:cs="Times New Roman"/>
          <w:sz w:val="24"/>
          <w:szCs w:val="24"/>
        </w:rPr>
        <w:t>commodification for richer groups. This began in 1984 with the introduction of a tax surcharge. This added a 20 per cent tax (25 per cent from the early 1990s) to any additional income pensioners had above the level of the public pension, with the result that in its first year of operation ten per cent of all pensioners received no National Superannuation benefit (Starke</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2008: 12). </w:t>
      </w:r>
    </w:p>
    <w:p w14:paraId="458F1348" w14:textId="15B87A2D" w:rsidR="009B2AED" w:rsidRPr="00F8240E" w:rsidRDefault="00E33E1C" w:rsidP="00E33E1C">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However, </w:t>
      </w:r>
      <w:r w:rsidR="00C92FAF" w:rsidRPr="00F8240E">
        <w:rPr>
          <w:rFonts w:ascii="Times New Roman" w:hAnsi="Times New Roman" w:cs="Times New Roman"/>
          <w:sz w:val="24"/>
          <w:szCs w:val="24"/>
        </w:rPr>
        <w:t>re</w:t>
      </w:r>
      <w:r w:rsidRPr="00F8240E">
        <w:rPr>
          <w:rFonts w:ascii="Times New Roman" w:hAnsi="Times New Roman" w:cs="Times New Roman"/>
          <w:sz w:val="24"/>
          <w:szCs w:val="24"/>
        </w:rPr>
        <w:t xml:space="preserve">commodification peaked around the mid-1990s. A strong political reaction against targeting, manifested particularly by the rise of </w:t>
      </w:r>
      <w:bookmarkEnd w:id="19"/>
      <w:r w:rsidRPr="00F8240E">
        <w:rPr>
          <w:rFonts w:ascii="Times New Roman" w:hAnsi="Times New Roman" w:cs="Times New Roman"/>
          <w:sz w:val="24"/>
          <w:szCs w:val="24"/>
        </w:rPr>
        <w:t>a new populist political party – New Zealand First -, saw the tax surcharge abolished in 1996 (Starke</w:t>
      </w:r>
      <w:r w:rsidR="00D01C3B" w:rsidRPr="00F8240E">
        <w:rPr>
          <w:rFonts w:ascii="Times New Roman" w:hAnsi="Times New Roman" w:cs="Times New Roman"/>
          <w:sz w:val="24"/>
          <w:szCs w:val="24"/>
        </w:rPr>
        <w:t>,</w:t>
      </w:r>
      <w:r w:rsidRPr="00F8240E">
        <w:rPr>
          <w:rFonts w:ascii="Times New Roman" w:hAnsi="Times New Roman" w:cs="Times New Roman"/>
          <w:sz w:val="24"/>
          <w:szCs w:val="24"/>
        </w:rPr>
        <w:t xml:space="preserve"> 2008). Further tightening of indexation has also generally been resisted, with moves in the reverse direction occurring for a brief period under Helen Clark’s </w:t>
      </w:r>
      <w:r w:rsidR="00770B82" w:rsidRPr="00F8240E">
        <w:rPr>
          <w:rFonts w:ascii="Times New Roman" w:hAnsi="Times New Roman" w:cs="Times New Roman"/>
          <w:sz w:val="24"/>
          <w:szCs w:val="24"/>
        </w:rPr>
        <w:t>Labour</w:t>
      </w:r>
      <w:r w:rsidRPr="00F8240E">
        <w:rPr>
          <w:rFonts w:ascii="Times New Roman" w:hAnsi="Times New Roman" w:cs="Times New Roman"/>
          <w:sz w:val="24"/>
          <w:szCs w:val="24"/>
        </w:rPr>
        <w:t xml:space="preserve"> government (Kritzer</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2007</w:t>
      </w:r>
      <w:r w:rsidR="00DB605D" w:rsidRPr="00F8240E">
        <w:rPr>
          <w:rFonts w:ascii="Times New Roman" w:hAnsi="Times New Roman" w:cs="Times New Roman"/>
          <w:sz w:val="24"/>
          <w:szCs w:val="24"/>
        </w:rPr>
        <w:t>; Ashton &amp; St John, 2008).</w:t>
      </w:r>
      <w:r w:rsidRPr="00F8240E">
        <w:rPr>
          <w:rFonts w:ascii="Times New Roman" w:hAnsi="Times New Roman" w:cs="Times New Roman"/>
          <w:sz w:val="24"/>
          <w:szCs w:val="24"/>
        </w:rPr>
        <w:t xml:space="preserve"> Thus, after 2001,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 xml:space="preserve">CWED replacement rates show a steady rise, finishing in 2010 slightly above where they were in 1980. </w:t>
      </w:r>
    </w:p>
    <w:p w14:paraId="3AE692BC" w14:textId="77777777" w:rsidR="00E33E1C" w:rsidRPr="00F8240E" w:rsidRDefault="00E33E1C" w:rsidP="00E33E1C">
      <w:pPr>
        <w:spacing w:line="480" w:lineRule="auto"/>
        <w:jc w:val="both"/>
        <w:rPr>
          <w:rFonts w:ascii="Times New Roman" w:hAnsi="Times New Roman" w:cs="Times New Roman"/>
          <w:i/>
          <w:sz w:val="24"/>
          <w:szCs w:val="24"/>
        </w:rPr>
      </w:pPr>
    </w:p>
    <w:p w14:paraId="59DB0961" w14:textId="43B29144" w:rsidR="00542558" w:rsidRPr="00F8240E" w:rsidRDefault="00480A64" w:rsidP="00542558">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3.2.2 </w:t>
      </w:r>
      <w:r w:rsidR="00542558" w:rsidRPr="00F8240E">
        <w:rPr>
          <w:rFonts w:ascii="Times New Roman" w:hAnsi="Times New Roman" w:cs="Times New Roman"/>
          <w:sz w:val="24"/>
          <w:szCs w:val="24"/>
        </w:rPr>
        <w:t>Australia</w:t>
      </w:r>
    </w:p>
    <w:p w14:paraId="4303A814" w14:textId="4C929C3C" w:rsidR="00542558" w:rsidRPr="00F8240E" w:rsidRDefault="00542558" w:rsidP="00542558">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Re-commodification of public provision in Australia also involved reversals to the </w:t>
      </w:r>
      <w:r w:rsidR="00480A64" w:rsidRPr="00F8240E">
        <w:rPr>
          <w:rFonts w:ascii="Times New Roman" w:hAnsi="Times New Roman" w:cs="Times New Roman"/>
          <w:sz w:val="24"/>
          <w:szCs w:val="24"/>
        </w:rPr>
        <w:t xml:space="preserve">earlier </w:t>
      </w:r>
      <w:r w:rsidRPr="00F8240E">
        <w:rPr>
          <w:rFonts w:ascii="Times New Roman" w:hAnsi="Times New Roman" w:cs="Times New Roman"/>
          <w:sz w:val="24"/>
          <w:szCs w:val="24"/>
        </w:rPr>
        <w:t>changes. This mainly focused on wealthier citizens, with means-testing re-introduced in 1983 and asset-testing arrangements added in 1984 (Nielson</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2010). For those receiving public provision, benefit levels were protected. Thus,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 xml:space="preserve">CWED replacement rates for the average </w:t>
      </w:r>
      <w:r w:rsidR="00967647" w:rsidRPr="00F8240E">
        <w:rPr>
          <w:rFonts w:ascii="Times New Roman" w:hAnsi="Times New Roman" w:cs="Times New Roman"/>
          <w:sz w:val="24"/>
          <w:szCs w:val="24"/>
        </w:rPr>
        <w:t>production</w:t>
      </w:r>
      <w:r w:rsidRPr="00F8240E">
        <w:rPr>
          <w:rFonts w:ascii="Times New Roman" w:hAnsi="Times New Roman" w:cs="Times New Roman"/>
          <w:sz w:val="24"/>
          <w:szCs w:val="24"/>
        </w:rPr>
        <w:t xml:space="preserve"> worker</w:t>
      </w:r>
      <w:r w:rsidRPr="00F8240E">
        <w:rPr>
          <w:rFonts w:ascii="Times New Roman" w:hAnsi="Times New Roman" w:cs="Times New Roman"/>
          <w:sz w:val="24"/>
          <w:szCs w:val="24"/>
          <w:vertAlign w:val="superscript"/>
        </w:rPr>
        <w:endnoteReference w:id="5"/>
      </w:r>
      <w:r w:rsidRPr="00F8240E">
        <w:rPr>
          <w:rFonts w:ascii="Times New Roman" w:hAnsi="Times New Roman" w:cs="Times New Roman"/>
          <w:sz w:val="24"/>
          <w:szCs w:val="24"/>
        </w:rPr>
        <w:t xml:space="preserve"> increased slightly </w:t>
      </w:r>
      <w:r w:rsidR="00871A0C" w:rsidRPr="00F8240E">
        <w:rPr>
          <w:rFonts w:ascii="Times New Roman" w:hAnsi="Times New Roman" w:cs="Times New Roman"/>
          <w:sz w:val="24"/>
          <w:szCs w:val="24"/>
        </w:rPr>
        <w:t>from 1980</w:t>
      </w:r>
      <w:r w:rsidRPr="00F8240E">
        <w:rPr>
          <w:rFonts w:ascii="Times New Roman" w:hAnsi="Times New Roman" w:cs="Times New Roman"/>
          <w:sz w:val="24"/>
          <w:szCs w:val="24"/>
        </w:rPr>
        <w:t xml:space="preserve"> to 199</w:t>
      </w:r>
      <w:r w:rsidR="00871A0C" w:rsidRPr="00F8240E">
        <w:rPr>
          <w:rFonts w:ascii="Times New Roman" w:hAnsi="Times New Roman" w:cs="Times New Roman"/>
          <w:sz w:val="24"/>
          <w:szCs w:val="24"/>
        </w:rPr>
        <w:t>1</w:t>
      </w:r>
      <w:r w:rsidRPr="00F8240E">
        <w:rPr>
          <w:rFonts w:ascii="Times New Roman" w:hAnsi="Times New Roman" w:cs="Times New Roman"/>
          <w:sz w:val="24"/>
          <w:szCs w:val="24"/>
        </w:rPr>
        <w:t>, before dipping slightly thereafter up to 2005</w:t>
      </w:r>
      <w:r w:rsidR="005072F3" w:rsidRPr="00F8240E">
        <w:rPr>
          <w:rFonts w:ascii="Times New Roman" w:hAnsi="Times New Roman" w:cs="Times New Roman"/>
          <w:sz w:val="24"/>
          <w:szCs w:val="24"/>
        </w:rPr>
        <w:t xml:space="preserve"> (see figure two)</w:t>
      </w:r>
      <w:r w:rsidRPr="00F8240E">
        <w:rPr>
          <w:rFonts w:ascii="Times New Roman" w:hAnsi="Times New Roman" w:cs="Times New Roman"/>
          <w:sz w:val="24"/>
          <w:szCs w:val="24"/>
        </w:rPr>
        <w:t xml:space="preserve">. </w:t>
      </w:r>
    </w:p>
    <w:p w14:paraId="7E53D8EF" w14:textId="77777777" w:rsidR="00542558" w:rsidRPr="00F8240E" w:rsidRDefault="00542558" w:rsidP="00542558">
      <w:pPr>
        <w:spacing w:line="480" w:lineRule="auto"/>
        <w:jc w:val="both"/>
        <w:rPr>
          <w:rFonts w:ascii="Times New Roman" w:hAnsi="Times New Roman" w:cs="Times New Roman"/>
          <w:sz w:val="24"/>
          <w:szCs w:val="24"/>
        </w:rPr>
      </w:pPr>
    </w:p>
    <w:p w14:paraId="71B64893" w14:textId="71805A69" w:rsidR="00542558" w:rsidRPr="00F8240E" w:rsidRDefault="00542558" w:rsidP="00542558">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Figure</w:t>
      </w:r>
      <w:r w:rsidR="00CA5791" w:rsidRPr="00F8240E">
        <w:rPr>
          <w:rFonts w:ascii="Times New Roman" w:hAnsi="Times New Roman" w:cs="Times New Roman"/>
          <w:sz w:val="24"/>
          <w:szCs w:val="24"/>
        </w:rPr>
        <w:t xml:space="preserve"> two here </w:t>
      </w:r>
    </w:p>
    <w:p w14:paraId="790B2410" w14:textId="77777777" w:rsidR="00542558" w:rsidRPr="00F8240E" w:rsidRDefault="00542558" w:rsidP="00542558">
      <w:pPr>
        <w:spacing w:line="480" w:lineRule="auto"/>
        <w:jc w:val="both"/>
        <w:rPr>
          <w:rFonts w:ascii="Times New Roman" w:hAnsi="Times New Roman" w:cs="Times New Roman"/>
          <w:sz w:val="24"/>
          <w:szCs w:val="24"/>
        </w:rPr>
      </w:pPr>
    </w:p>
    <w:p w14:paraId="3B7372F9" w14:textId="08F54CCC" w:rsidR="00542558" w:rsidRPr="00F8240E" w:rsidRDefault="00542558" w:rsidP="00542558">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Further attempts to extend re-commodification for wealthier citizens were made through tightening of the income and asset test in the late 1990s as pension expenditure began to rise, but in recent years, this has been reversed. The so-called </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Santa Claus</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 xml:space="preserve"> budget of 2006 saw the asset test relaxed (Gelepithis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w:t>
      </w:r>
      <w:r w:rsidR="009E2CD8" w:rsidRPr="00F8240E">
        <w:rPr>
          <w:rFonts w:ascii="Times New Roman" w:hAnsi="Times New Roman" w:cs="Times New Roman"/>
          <w:sz w:val="24"/>
          <w:szCs w:val="24"/>
        </w:rPr>
        <w:t>4</w:t>
      </w:r>
      <w:r w:rsidRPr="00F8240E">
        <w:rPr>
          <w:rFonts w:ascii="Times New Roman" w:hAnsi="Times New Roman" w:cs="Times New Roman"/>
          <w:sz w:val="24"/>
          <w:szCs w:val="24"/>
        </w:rPr>
        <w:t xml:space="preserve">) and in 2009 further easing took place. The latter year also saw the </w:t>
      </w:r>
      <w:r w:rsidR="00770B82" w:rsidRPr="00F8240E">
        <w:rPr>
          <w:rFonts w:ascii="Times New Roman" w:hAnsi="Times New Roman" w:cs="Times New Roman"/>
          <w:sz w:val="24"/>
          <w:szCs w:val="24"/>
        </w:rPr>
        <w:t>Labor</w:t>
      </w:r>
      <w:r w:rsidRPr="00F8240E">
        <w:rPr>
          <w:rFonts w:ascii="Times New Roman" w:hAnsi="Times New Roman" w:cs="Times New Roman"/>
          <w:sz w:val="24"/>
          <w:szCs w:val="24"/>
        </w:rPr>
        <w:t xml:space="preserve"> government increase the </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adequacy benchmark</w:t>
      </w:r>
      <w:r w:rsidR="00CB30A7" w:rsidRPr="00F8240E">
        <w:rPr>
          <w:rFonts w:ascii="Times New Roman" w:hAnsi="Times New Roman" w:cs="Times New Roman"/>
          <w:sz w:val="24"/>
          <w:szCs w:val="24"/>
        </w:rPr>
        <w:t>”</w:t>
      </w:r>
      <w:r w:rsidRPr="00F8240E">
        <w:rPr>
          <w:rFonts w:ascii="Times New Roman" w:hAnsi="Times New Roman" w:cs="Times New Roman"/>
          <w:sz w:val="24"/>
          <w:szCs w:val="24"/>
        </w:rPr>
        <w:t xml:space="preserve"> of the Age Pension from 25 per cent of average wages to 27.7 per cent, making indexing arrangements more generous (Nielson</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2010: 14). These changes explain the rise in pension expenditure since 2005 and the very sharp increase in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CWED replacement rates between 20</w:t>
      </w:r>
      <w:r w:rsidR="00871A0C" w:rsidRPr="00F8240E">
        <w:rPr>
          <w:rFonts w:ascii="Times New Roman" w:hAnsi="Times New Roman" w:cs="Times New Roman"/>
          <w:sz w:val="24"/>
          <w:szCs w:val="24"/>
        </w:rPr>
        <w:t>08</w:t>
      </w:r>
      <w:r w:rsidRPr="00F8240E">
        <w:rPr>
          <w:rFonts w:ascii="Times New Roman" w:hAnsi="Times New Roman" w:cs="Times New Roman"/>
          <w:sz w:val="24"/>
          <w:szCs w:val="24"/>
        </w:rPr>
        <w:t xml:space="preserve"> and 2010</w:t>
      </w:r>
      <w:r w:rsidR="005072F3" w:rsidRPr="00F8240E">
        <w:rPr>
          <w:rFonts w:ascii="Times New Roman" w:hAnsi="Times New Roman" w:cs="Times New Roman"/>
          <w:sz w:val="24"/>
          <w:szCs w:val="24"/>
        </w:rPr>
        <w:t xml:space="preserve"> (see figure two)</w:t>
      </w:r>
      <w:r w:rsidRPr="00F8240E">
        <w:rPr>
          <w:rFonts w:ascii="Times New Roman" w:hAnsi="Times New Roman" w:cs="Times New Roman"/>
          <w:sz w:val="24"/>
          <w:szCs w:val="24"/>
        </w:rPr>
        <w:t xml:space="preserve">. </w:t>
      </w:r>
      <w:r w:rsidR="005072F3" w:rsidRPr="00F8240E">
        <w:rPr>
          <w:rFonts w:ascii="Times New Roman" w:hAnsi="Times New Roman" w:cs="Times New Roman"/>
          <w:sz w:val="24"/>
          <w:szCs w:val="24"/>
        </w:rPr>
        <w:t>To</w:t>
      </w:r>
      <w:r w:rsidR="005A1B6A" w:rsidRPr="00F8240E">
        <w:rPr>
          <w:rFonts w:ascii="Times New Roman" w:hAnsi="Times New Roman" w:cs="Times New Roman"/>
          <w:sz w:val="24"/>
          <w:szCs w:val="24"/>
        </w:rPr>
        <w:t xml:space="preserve"> contain the former, an incremental increase in the pension age was announced in 2017, to 70 by 2035 (Collett, 2017)</w:t>
      </w:r>
      <w:r w:rsidR="005072F3" w:rsidRPr="00F8240E">
        <w:rPr>
          <w:rFonts w:ascii="Times New Roman" w:hAnsi="Times New Roman" w:cs="Times New Roman"/>
          <w:sz w:val="24"/>
          <w:szCs w:val="24"/>
        </w:rPr>
        <w:t>.</w:t>
      </w:r>
    </w:p>
    <w:p w14:paraId="0547168C" w14:textId="77777777" w:rsidR="009B2AED" w:rsidRPr="00F8240E" w:rsidRDefault="009B2AED" w:rsidP="004943B5">
      <w:pPr>
        <w:spacing w:line="480" w:lineRule="auto"/>
        <w:jc w:val="both"/>
        <w:rPr>
          <w:rFonts w:ascii="Times New Roman" w:hAnsi="Times New Roman" w:cs="Times New Roman"/>
          <w:i/>
          <w:sz w:val="24"/>
          <w:szCs w:val="24"/>
        </w:rPr>
      </w:pPr>
    </w:p>
    <w:p w14:paraId="677125A7" w14:textId="493E5825" w:rsidR="003F0A4E" w:rsidRPr="00F8240E" w:rsidRDefault="00480A64"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3.2.3 </w:t>
      </w:r>
      <w:r w:rsidR="003F0A4E" w:rsidRPr="00F8240E">
        <w:rPr>
          <w:rFonts w:ascii="Times New Roman" w:hAnsi="Times New Roman" w:cs="Times New Roman"/>
          <w:sz w:val="24"/>
          <w:szCs w:val="24"/>
        </w:rPr>
        <w:t>United Kingdom</w:t>
      </w:r>
    </w:p>
    <w:p w14:paraId="7ABE6CB4" w14:textId="06779E1B" w:rsidR="003F0A4E" w:rsidRPr="00F8240E" w:rsidRDefault="003F0A4E"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 pension expenditure data showed levels of spending robust in the UK throughout the period but this masks quite significant re-commodification, particularly earlier in the period. This </w:t>
      </w:r>
      <w:r w:rsidR="00967647" w:rsidRPr="00F8240E">
        <w:rPr>
          <w:rFonts w:ascii="Times New Roman" w:hAnsi="Times New Roman" w:cs="Times New Roman"/>
          <w:sz w:val="24"/>
          <w:szCs w:val="24"/>
        </w:rPr>
        <w:t>re-commodification was</w:t>
      </w:r>
      <w:r w:rsidR="00C92FAF"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general and targeted. </w:t>
      </w:r>
      <w:r w:rsidR="00480A64" w:rsidRPr="00F8240E">
        <w:rPr>
          <w:rFonts w:ascii="Times New Roman" w:hAnsi="Times New Roman" w:cs="Times New Roman"/>
          <w:sz w:val="24"/>
          <w:szCs w:val="24"/>
        </w:rPr>
        <w:t xml:space="preserve">On </w:t>
      </w:r>
      <w:r w:rsidRPr="00F8240E">
        <w:rPr>
          <w:rFonts w:ascii="Times New Roman" w:hAnsi="Times New Roman" w:cs="Times New Roman"/>
          <w:sz w:val="24"/>
          <w:szCs w:val="24"/>
        </w:rPr>
        <w:t xml:space="preserve">the former, wage indexation of the BSP was removed </w:t>
      </w:r>
      <w:r w:rsidR="003359C5" w:rsidRPr="00F8240E">
        <w:rPr>
          <w:rFonts w:ascii="Times New Roman" w:hAnsi="Times New Roman" w:cs="Times New Roman"/>
          <w:sz w:val="24"/>
          <w:szCs w:val="24"/>
        </w:rPr>
        <w:t xml:space="preserve">in 1979 </w:t>
      </w:r>
      <w:r w:rsidRPr="00F8240E">
        <w:rPr>
          <w:rFonts w:ascii="Times New Roman" w:hAnsi="Times New Roman" w:cs="Times New Roman"/>
          <w:sz w:val="24"/>
          <w:szCs w:val="24"/>
        </w:rPr>
        <w:t>and replaced with a link to prices (Timmins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1995:375). </w:t>
      </w:r>
      <w:r w:rsidR="003359C5" w:rsidRPr="00F8240E">
        <w:rPr>
          <w:rFonts w:ascii="Times New Roman" w:hAnsi="Times New Roman" w:cs="Times New Roman"/>
          <w:sz w:val="24"/>
          <w:szCs w:val="24"/>
        </w:rPr>
        <w:t xml:space="preserve">Targeted recommodification took the form of a scaling back in </w:t>
      </w:r>
      <w:r w:rsidRPr="00F8240E">
        <w:rPr>
          <w:rFonts w:ascii="Times New Roman" w:hAnsi="Times New Roman" w:cs="Times New Roman"/>
          <w:sz w:val="24"/>
          <w:szCs w:val="24"/>
        </w:rPr>
        <w:t>1983</w:t>
      </w:r>
      <w:r w:rsidR="003359C5" w:rsidRPr="00F8240E">
        <w:rPr>
          <w:rFonts w:ascii="Times New Roman" w:hAnsi="Times New Roman" w:cs="Times New Roman"/>
          <w:sz w:val="24"/>
          <w:szCs w:val="24"/>
        </w:rPr>
        <w:t xml:space="preserve"> of</w:t>
      </w:r>
      <w:r w:rsidRPr="00F8240E">
        <w:rPr>
          <w:rFonts w:ascii="Times New Roman" w:hAnsi="Times New Roman" w:cs="Times New Roman"/>
          <w:sz w:val="24"/>
          <w:szCs w:val="24"/>
        </w:rPr>
        <w:t xml:space="preserve"> accrual arrangements for SERPs (Timmins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1995: 402).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CWED replacement rates do not</w:t>
      </w:r>
      <w:r w:rsidR="00871A0C" w:rsidRPr="00F8240E">
        <w:rPr>
          <w:rFonts w:ascii="Times New Roman" w:hAnsi="Times New Roman" w:cs="Times New Roman"/>
          <w:sz w:val="24"/>
          <w:szCs w:val="24"/>
        </w:rPr>
        <w:t xml:space="preserve"> fully</w:t>
      </w:r>
      <w:r w:rsidRPr="00F8240E">
        <w:rPr>
          <w:rFonts w:ascii="Times New Roman" w:hAnsi="Times New Roman" w:cs="Times New Roman"/>
          <w:sz w:val="24"/>
          <w:szCs w:val="24"/>
        </w:rPr>
        <w:t xml:space="preserve"> reflect these changes because increasing numbers of workers throughout the 1980s retired having built up SERPs entitlements, and even with its curtailment, this continued up to 1999</w:t>
      </w:r>
      <w:r w:rsidR="005072F3" w:rsidRPr="00F8240E">
        <w:rPr>
          <w:rFonts w:ascii="Times New Roman" w:hAnsi="Times New Roman" w:cs="Times New Roman"/>
          <w:sz w:val="24"/>
          <w:szCs w:val="24"/>
        </w:rPr>
        <w:t xml:space="preserve"> (see figure three)</w:t>
      </w:r>
      <w:r w:rsidRPr="00F8240E">
        <w:rPr>
          <w:rFonts w:ascii="Times New Roman" w:hAnsi="Times New Roman" w:cs="Times New Roman"/>
          <w:sz w:val="24"/>
          <w:szCs w:val="24"/>
        </w:rPr>
        <w:t>. This situation also explains</w:t>
      </w:r>
      <w:r w:rsidR="00480A64" w:rsidRPr="00F8240E">
        <w:rPr>
          <w:rFonts w:ascii="Times New Roman" w:hAnsi="Times New Roman" w:cs="Times New Roman"/>
          <w:sz w:val="24"/>
          <w:szCs w:val="24"/>
        </w:rPr>
        <w:t xml:space="preserve"> the</w:t>
      </w:r>
      <w:r w:rsidRPr="00F8240E">
        <w:rPr>
          <w:rFonts w:ascii="Times New Roman" w:hAnsi="Times New Roman" w:cs="Times New Roman"/>
          <w:sz w:val="24"/>
          <w:szCs w:val="24"/>
        </w:rPr>
        <w:t xml:space="preserve"> robust expenditure data during this period.</w:t>
      </w:r>
    </w:p>
    <w:p w14:paraId="5E1AD49C" w14:textId="13BEC121" w:rsidR="003F0A4E" w:rsidRPr="00F8240E" w:rsidRDefault="003359C5" w:rsidP="003F0A4E">
      <w:pPr>
        <w:spacing w:line="480" w:lineRule="auto"/>
        <w:jc w:val="both"/>
        <w:rPr>
          <w:rFonts w:ascii="Times New Roman" w:eastAsia="Times New Roman" w:hAnsi="Times New Roman" w:cs="Times New Roman"/>
          <w:sz w:val="24"/>
          <w:szCs w:val="24"/>
          <w:bdr w:val="none" w:sz="0" w:space="0" w:color="auto" w:frame="1"/>
          <w:lang w:eastAsia="en-GB"/>
        </w:rPr>
      </w:pPr>
      <w:r w:rsidRPr="00F8240E">
        <w:rPr>
          <w:rFonts w:ascii="Times New Roman" w:eastAsia="Times New Roman" w:hAnsi="Times New Roman" w:cs="Times New Roman"/>
          <w:sz w:val="24"/>
          <w:szCs w:val="24"/>
          <w:bdr w:val="none" w:sz="0" w:space="0" w:color="auto" w:frame="1"/>
          <w:lang w:eastAsia="en-GB"/>
        </w:rPr>
        <w:t>U</w:t>
      </w:r>
      <w:r w:rsidR="003F0A4E" w:rsidRPr="00F8240E">
        <w:rPr>
          <w:rFonts w:ascii="Times New Roman" w:eastAsia="Times New Roman" w:hAnsi="Times New Roman" w:cs="Times New Roman"/>
          <w:sz w:val="24"/>
          <w:szCs w:val="24"/>
          <w:bdr w:val="none" w:sz="0" w:space="0" w:color="auto" w:frame="1"/>
          <w:lang w:eastAsia="en-GB"/>
        </w:rPr>
        <w:t>nder the Blair government</w:t>
      </w:r>
      <w:r w:rsidRPr="00F8240E">
        <w:rPr>
          <w:rFonts w:ascii="Times New Roman" w:eastAsia="Times New Roman" w:hAnsi="Times New Roman" w:cs="Times New Roman"/>
          <w:sz w:val="24"/>
          <w:szCs w:val="24"/>
          <w:bdr w:val="none" w:sz="0" w:space="0" w:color="auto" w:frame="1"/>
          <w:lang w:eastAsia="en-GB"/>
        </w:rPr>
        <w:t xml:space="preserve">, </w:t>
      </w:r>
      <w:r w:rsidR="00967647" w:rsidRPr="00F8240E">
        <w:rPr>
          <w:rFonts w:ascii="Times New Roman" w:eastAsia="Times New Roman" w:hAnsi="Times New Roman" w:cs="Times New Roman"/>
          <w:sz w:val="24"/>
          <w:szCs w:val="24"/>
          <w:bdr w:val="none" w:sz="0" w:space="0" w:color="auto" w:frame="1"/>
          <w:lang w:eastAsia="en-GB"/>
        </w:rPr>
        <w:t>provision above the minimum standard was further curtailed in 1999 but</w:t>
      </w:r>
      <w:r w:rsidRPr="00F8240E">
        <w:rPr>
          <w:rFonts w:ascii="Times New Roman" w:eastAsia="Times New Roman" w:hAnsi="Times New Roman" w:cs="Times New Roman"/>
          <w:sz w:val="24"/>
          <w:szCs w:val="24"/>
          <w:bdr w:val="none" w:sz="0" w:space="0" w:color="auto" w:frame="1"/>
          <w:lang w:eastAsia="en-GB"/>
        </w:rPr>
        <w:t xml:space="preserve"> provision for the poorest </w:t>
      </w:r>
      <w:r w:rsidR="00967647" w:rsidRPr="00F8240E">
        <w:rPr>
          <w:rFonts w:ascii="Times New Roman" w:eastAsia="Times New Roman" w:hAnsi="Times New Roman" w:cs="Times New Roman"/>
          <w:sz w:val="24"/>
          <w:szCs w:val="24"/>
          <w:bdr w:val="none" w:sz="0" w:space="0" w:color="auto" w:frame="1"/>
          <w:lang w:eastAsia="en-GB"/>
        </w:rPr>
        <w:t xml:space="preserve">was boosted </w:t>
      </w:r>
      <w:r w:rsidRPr="00F8240E">
        <w:rPr>
          <w:rFonts w:ascii="Times New Roman" w:eastAsia="Times New Roman" w:hAnsi="Times New Roman" w:cs="Times New Roman"/>
          <w:sz w:val="24"/>
          <w:szCs w:val="24"/>
          <w:bdr w:val="none" w:sz="0" w:space="0" w:color="auto" w:frame="1"/>
          <w:lang w:eastAsia="en-GB"/>
        </w:rPr>
        <w:t xml:space="preserve">using a more generous means-tested benefit, Pension Credit </w:t>
      </w:r>
      <w:r w:rsidR="003F0A4E" w:rsidRPr="00F8240E">
        <w:rPr>
          <w:rFonts w:ascii="Times New Roman" w:eastAsia="Times New Roman" w:hAnsi="Times New Roman" w:cs="Times New Roman"/>
          <w:sz w:val="24"/>
          <w:szCs w:val="24"/>
          <w:bdr w:val="none" w:sz="0" w:space="0" w:color="auto" w:frame="1"/>
          <w:lang w:eastAsia="en-GB"/>
        </w:rPr>
        <w:t>(Bridgen</w:t>
      </w:r>
      <w:r w:rsidR="00770B82" w:rsidRPr="00F8240E">
        <w:rPr>
          <w:rFonts w:ascii="Times New Roman" w:eastAsia="Times New Roman" w:hAnsi="Times New Roman" w:cs="Times New Roman"/>
          <w:sz w:val="24"/>
          <w:szCs w:val="24"/>
          <w:bdr w:val="none" w:sz="0" w:space="0" w:color="auto" w:frame="1"/>
          <w:lang w:eastAsia="en-GB"/>
        </w:rPr>
        <w:t>,</w:t>
      </w:r>
      <w:r w:rsidR="003F0A4E" w:rsidRPr="00F8240E">
        <w:rPr>
          <w:rFonts w:ascii="Times New Roman" w:eastAsia="Times New Roman" w:hAnsi="Times New Roman" w:cs="Times New Roman"/>
          <w:sz w:val="24"/>
          <w:szCs w:val="24"/>
          <w:bdr w:val="none" w:sz="0" w:space="0" w:color="auto" w:frame="1"/>
          <w:lang w:eastAsia="en-GB"/>
        </w:rPr>
        <w:t xml:space="preserve"> 2010). Th</w:t>
      </w:r>
      <w:r w:rsidRPr="00F8240E">
        <w:rPr>
          <w:rFonts w:ascii="Times New Roman" w:eastAsia="Times New Roman" w:hAnsi="Times New Roman" w:cs="Times New Roman"/>
          <w:sz w:val="24"/>
          <w:szCs w:val="24"/>
          <w:bdr w:val="none" w:sz="0" w:space="0" w:color="auto" w:frame="1"/>
          <w:lang w:eastAsia="en-GB"/>
        </w:rPr>
        <w:t xml:space="preserve">e </w:t>
      </w:r>
      <w:r w:rsidR="00967647" w:rsidRPr="00F8240E">
        <w:rPr>
          <w:rFonts w:ascii="Times New Roman" w:eastAsia="Times New Roman" w:hAnsi="Times New Roman" w:cs="Times New Roman"/>
          <w:sz w:val="24"/>
          <w:szCs w:val="24"/>
          <w:bdr w:val="none" w:sz="0" w:space="0" w:color="auto" w:frame="1"/>
          <w:lang w:eastAsia="en-GB"/>
        </w:rPr>
        <w:t>latter</w:t>
      </w:r>
      <w:r w:rsidR="00892BD8" w:rsidRPr="00F8240E">
        <w:rPr>
          <w:rFonts w:ascii="Times New Roman" w:eastAsia="Times New Roman" w:hAnsi="Times New Roman" w:cs="Times New Roman"/>
          <w:sz w:val="24"/>
          <w:szCs w:val="24"/>
          <w:bdr w:val="none" w:sz="0" w:space="0" w:color="auto" w:frame="1"/>
          <w:lang w:eastAsia="en-GB"/>
        </w:rPr>
        <w:t xml:space="preserve"> is</w:t>
      </w:r>
      <w:r w:rsidR="003F0A4E" w:rsidRPr="00F8240E">
        <w:rPr>
          <w:rFonts w:ascii="Times New Roman" w:eastAsia="Times New Roman" w:hAnsi="Times New Roman" w:cs="Times New Roman"/>
          <w:sz w:val="24"/>
          <w:szCs w:val="24"/>
          <w:bdr w:val="none" w:sz="0" w:space="0" w:color="auto" w:frame="1"/>
          <w:lang w:eastAsia="en-GB"/>
        </w:rPr>
        <w:t xml:space="preserve"> reflected in the </w:t>
      </w:r>
      <w:r w:rsidR="00967647" w:rsidRPr="00F8240E">
        <w:rPr>
          <w:rFonts w:ascii="Times New Roman" w:eastAsia="Times New Roman" w:hAnsi="Times New Roman" w:cs="Times New Roman"/>
          <w:sz w:val="24"/>
          <w:szCs w:val="24"/>
          <w:bdr w:val="none" w:sz="0" w:space="0" w:color="auto" w:frame="1"/>
          <w:lang w:eastAsia="en-GB"/>
        </w:rPr>
        <w:t xml:space="preserve">minimum </w:t>
      </w:r>
      <w:r w:rsidR="003F0A4E" w:rsidRPr="00F8240E">
        <w:rPr>
          <w:rFonts w:ascii="Times New Roman" w:eastAsia="Times New Roman" w:hAnsi="Times New Roman" w:cs="Times New Roman"/>
          <w:sz w:val="24"/>
          <w:szCs w:val="24"/>
          <w:bdr w:val="none" w:sz="0" w:space="0" w:color="auto" w:frame="1"/>
          <w:lang w:eastAsia="en-GB"/>
        </w:rPr>
        <w:t>CWED replacement rates which rise markedly from the late 1990s to 2010</w:t>
      </w:r>
      <w:r w:rsidR="005072F3" w:rsidRPr="00F8240E">
        <w:rPr>
          <w:rFonts w:ascii="Times New Roman" w:eastAsia="Times New Roman" w:hAnsi="Times New Roman" w:cs="Times New Roman"/>
          <w:sz w:val="24"/>
          <w:szCs w:val="24"/>
          <w:bdr w:val="none" w:sz="0" w:space="0" w:color="auto" w:frame="1"/>
          <w:lang w:eastAsia="en-GB"/>
        </w:rPr>
        <w:t xml:space="preserve"> (see figure three)</w:t>
      </w:r>
      <w:r w:rsidR="003F0A4E" w:rsidRPr="00F8240E">
        <w:rPr>
          <w:rFonts w:ascii="Times New Roman" w:eastAsia="Times New Roman" w:hAnsi="Times New Roman" w:cs="Times New Roman"/>
          <w:sz w:val="24"/>
          <w:szCs w:val="24"/>
          <w:bdr w:val="none" w:sz="0" w:space="0" w:color="auto" w:frame="1"/>
          <w:lang w:eastAsia="en-GB"/>
        </w:rPr>
        <w:t>.</w:t>
      </w:r>
    </w:p>
    <w:p w14:paraId="465B5B5C" w14:textId="77777777" w:rsidR="003F0A4E" w:rsidRPr="00F8240E" w:rsidRDefault="003F0A4E" w:rsidP="003F0A4E">
      <w:pPr>
        <w:spacing w:line="480" w:lineRule="auto"/>
        <w:jc w:val="both"/>
        <w:rPr>
          <w:rFonts w:ascii="Times New Roman" w:eastAsia="Times New Roman" w:hAnsi="Times New Roman" w:cs="Times New Roman"/>
          <w:bCs/>
          <w:color w:val="333333"/>
          <w:kern w:val="36"/>
          <w:sz w:val="24"/>
          <w:szCs w:val="24"/>
          <w:lang w:eastAsia="en-GB"/>
        </w:rPr>
      </w:pPr>
    </w:p>
    <w:p w14:paraId="0C62423A" w14:textId="77777777" w:rsidR="0097259A" w:rsidRPr="00F8240E" w:rsidRDefault="0097259A" w:rsidP="0097259A">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Figure three here</w:t>
      </w:r>
    </w:p>
    <w:p w14:paraId="0FBE2370" w14:textId="77777777" w:rsidR="0097259A" w:rsidRPr="00F8240E" w:rsidRDefault="0097259A" w:rsidP="003F0A4E">
      <w:pPr>
        <w:spacing w:line="480" w:lineRule="auto"/>
        <w:jc w:val="both"/>
        <w:rPr>
          <w:rFonts w:ascii="Times New Roman" w:eastAsia="Times New Roman" w:hAnsi="Times New Roman" w:cs="Times New Roman"/>
          <w:bCs/>
          <w:color w:val="333333"/>
          <w:kern w:val="36"/>
          <w:sz w:val="24"/>
          <w:szCs w:val="24"/>
          <w:lang w:eastAsia="en-GB"/>
        </w:rPr>
      </w:pPr>
    </w:p>
    <w:p w14:paraId="1E896A3A" w14:textId="5D13B236" w:rsidR="003F0A4E" w:rsidRPr="00F8240E" w:rsidRDefault="00480A64"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Since</w:t>
      </w:r>
      <w:r w:rsidR="003359C5" w:rsidRPr="00F8240E">
        <w:rPr>
          <w:rFonts w:ascii="Times New Roman" w:hAnsi="Times New Roman" w:cs="Times New Roman"/>
          <w:sz w:val="24"/>
          <w:szCs w:val="24"/>
        </w:rPr>
        <w:t xml:space="preserve"> the report of</w:t>
      </w:r>
      <w:r w:rsidR="003F0A4E" w:rsidRPr="00F8240E">
        <w:rPr>
          <w:rFonts w:ascii="Times New Roman" w:hAnsi="Times New Roman" w:cs="Times New Roman"/>
          <w:sz w:val="24"/>
          <w:szCs w:val="24"/>
        </w:rPr>
        <w:t xml:space="preserve"> a special Pensions Commission, set up in 2002 by the Blair government (Meyer</w:t>
      </w:r>
      <w:r w:rsidR="00172BF2" w:rsidRPr="00F8240E">
        <w:rPr>
          <w:rFonts w:ascii="Times New Roman" w:hAnsi="Times New Roman" w:cs="Times New Roman"/>
          <w:sz w:val="24"/>
          <w:szCs w:val="24"/>
        </w:rPr>
        <w:t xml:space="preserve"> &amp; </w:t>
      </w:r>
      <w:r w:rsidR="003F0A4E" w:rsidRPr="00F8240E">
        <w:rPr>
          <w:rFonts w:ascii="Times New Roman" w:hAnsi="Times New Roman" w:cs="Times New Roman"/>
          <w:sz w:val="24"/>
          <w:szCs w:val="24"/>
        </w:rPr>
        <w:t>Bridgen</w:t>
      </w:r>
      <w:r w:rsidR="00770B82" w:rsidRPr="00F8240E">
        <w:rPr>
          <w:rFonts w:ascii="Times New Roman" w:hAnsi="Times New Roman" w:cs="Times New Roman"/>
          <w:sz w:val="24"/>
          <w:szCs w:val="24"/>
        </w:rPr>
        <w:t>,</w:t>
      </w:r>
      <w:r w:rsidR="003F0A4E" w:rsidRPr="00F8240E">
        <w:rPr>
          <w:rFonts w:ascii="Times New Roman" w:hAnsi="Times New Roman" w:cs="Times New Roman"/>
          <w:sz w:val="24"/>
          <w:szCs w:val="24"/>
        </w:rPr>
        <w:t xml:space="preserve"> 2011),</w:t>
      </w:r>
      <w:r w:rsidR="00C92FAF" w:rsidRPr="00F8240E">
        <w:rPr>
          <w:rFonts w:ascii="Times New Roman" w:hAnsi="Times New Roman" w:cs="Times New Roman"/>
          <w:sz w:val="24"/>
          <w:szCs w:val="24"/>
        </w:rPr>
        <w:t xml:space="preserve"> </w:t>
      </w:r>
      <w:r w:rsidRPr="00F8240E">
        <w:rPr>
          <w:rFonts w:ascii="Times New Roman" w:hAnsi="Times New Roman" w:cs="Times New Roman"/>
          <w:sz w:val="24"/>
          <w:szCs w:val="24"/>
        </w:rPr>
        <w:t>greater</w:t>
      </w:r>
      <w:r w:rsidR="00612A44" w:rsidRPr="00F8240E">
        <w:rPr>
          <w:rFonts w:ascii="Times New Roman" w:hAnsi="Times New Roman" w:cs="Times New Roman"/>
          <w:sz w:val="24"/>
          <w:szCs w:val="24"/>
        </w:rPr>
        <w:t xml:space="preserve"> emphasis has been </w:t>
      </w:r>
      <w:r w:rsidRPr="00F8240E">
        <w:rPr>
          <w:rFonts w:ascii="Times New Roman" w:hAnsi="Times New Roman" w:cs="Times New Roman"/>
          <w:sz w:val="24"/>
          <w:szCs w:val="24"/>
        </w:rPr>
        <w:t xml:space="preserve">placed </w:t>
      </w:r>
      <w:r w:rsidR="00612A44" w:rsidRPr="00F8240E">
        <w:rPr>
          <w:rFonts w:ascii="Times New Roman" w:hAnsi="Times New Roman" w:cs="Times New Roman"/>
          <w:sz w:val="24"/>
          <w:szCs w:val="24"/>
        </w:rPr>
        <w:t xml:space="preserve">on the </w:t>
      </w:r>
      <w:r w:rsidR="00F864DC" w:rsidRPr="00F8240E">
        <w:rPr>
          <w:rFonts w:ascii="Times New Roman" w:hAnsi="Times New Roman" w:cs="Times New Roman"/>
          <w:sz w:val="24"/>
          <w:szCs w:val="24"/>
        </w:rPr>
        <w:t>BSP rather than</w:t>
      </w:r>
      <w:r w:rsidR="003359C5" w:rsidRPr="00F8240E">
        <w:rPr>
          <w:rFonts w:ascii="Times New Roman" w:hAnsi="Times New Roman" w:cs="Times New Roman"/>
          <w:sz w:val="24"/>
          <w:szCs w:val="24"/>
        </w:rPr>
        <w:t xml:space="preserve"> means-testing. Thus,</w:t>
      </w:r>
      <w:r w:rsidR="003F0A4E" w:rsidRPr="00F8240E">
        <w:rPr>
          <w:rFonts w:ascii="Times New Roman" w:hAnsi="Times New Roman" w:cs="Times New Roman"/>
          <w:sz w:val="24"/>
          <w:szCs w:val="24"/>
        </w:rPr>
        <w:t xml:space="preserve"> the earnings link for the </w:t>
      </w:r>
      <w:r w:rsidR="003359C5" w:rsidRPr="00F8240E">
        <w:rPr>
          <w:rFonts w:ascii="Times New Roman" w:hAnsi="Times New Roman" w:cs="Times New Roman"/>
          <w:sz w:val="24"/>
          <w:szCs w:val="24"/>
        </w:rPr>
        <w:t>BSP was re-introduced</w:t>
      </w:r>
      <w:r w:rsidR="003F0A4E" w:rsidRPr="00F8240E">
        <w:rPr>
          <w:rFonts w:ascii="Times New Roman" w:hAnsi="Times New Roman" w:cs="Times New Roman"/>
          <w:sz w:val="24"/>
          <w:szCs w:val="24"/>
        </w:rPr>
        <w:t xml:space="preserve"> from 2012 (Bridgen</w:t>
      </w:r>
      <w:r w:rsidR="00770B82" w:rsidRPr="00F8240E">
        <w:rPr>
          <w:rFonts w:ascii="Times New Roman" w:hAnsi="Times New Roman" w:cs="Times New Roman"/>
          <w:sz w:val="24"/>
          <w:szCs w:val="24"/>
        </w:rPr>
        <w:t>,</w:t>
      </w:r>
      <w:r w:rsidR="003F0A4E" w:rsidRPr="00F8240E">
        <w:rPr>
          <w:rFonts w:ascii="Times New Roman" w:hAnsi="Times New Roman" w:cs="Times New Roman"/>
          <w:sz w:val="24"/>
          <w:szCs w:val="24"/>
        </w:rPr>
        <w:t xml:space="preserve"> 2012)</w:t>
      </w:r>
      <w:r w:rsidR="00967647" w:rsidRPr="00F8240E">
        <w:rPr>
          <w:rFonts w:ascii="Times New Roman" w:hAnsi="Times New Roman" w:cs="Times New Roman"/>
          <w:sz w:val="24"/>
          <w:szCs w:val="24"/>
        </w:rPr>
        <w:t>, a</w:t>
      </w:r>
      <w:r w:rsidR="003F0A4E" w:rsidRPr="00F8240E">
        <w:rPr>
          <w:rFonts w:ascii="Times New Roman" w:hAnsi="Times New Roman" w:cs="Times New Roman"/>
          <w:sz w:val="24"/>
          <w:szCs w:val="24"/>
        </w:rPr>
        <w:t xml:space="preserve"> reform </w:t>
      </w:r>
      <w:r w:rsidR="00967647" w:rsidRPr="00F8240E">
        <w:rPr>
          <w:rFonts w:ascii="Times New Roman" w:hAnsi="Times New Roman" w:cs="Times New Roman"/>
          <w:sz w:val="24"/>
          <w:szCs w:val="24"/>
        </w:rPr>
        <w:t>financed</w:t>
      </w:r>
      <w:r w:rsidR="003F0A4E" w:rsidRPr="00F8240E">
        <w:rPr>
          <w:rFonts w:ascii="Times New Roman" w:hAnsi="Times New Roman" w:cs="Times New Roman"/>
          <w:sz w:val="24"/>
          <w:szCs w:val="24"/>
        </w:rPr>
        <w:t xml:space="preserve"> by transforming what was left of SERPs into a flat-rate pension</w:t>
      </w:r>
      <w:r w:rsidR="00967647" w:rsidRPr="00F8240E">
        <w:rPr>
          <w:rFonts w:ascii="Times New Roman" w:hAnsi="Times New Roman" w:cs="Times New Roman"/>
          <w:sz w:val="24"/>
          <w:szCs w:val="24"/>
        </w:rPr>
        <w:t xml:space="preserve"> (</w:t>
      </w:r>
      <w:r w:rsidR="00F864DC" w:rsidRPr="00F8240E">
        <w:rPr>
          <w:rFonts w:ascii="Times New Roman" w:hAnsi="Times New Roman" w:cs="Times New Roman"/>
          <w:sz w:val="24"/>
          <w:szCs w:val="24"/>
        </w:rPr>
        <w:t>which was later combined with the BSP</w:t>
      </w:r>
      <w:r w:rsidR="00967647" w:rsidRPr="00F8240E">
        <w:rPr>
          <w:rFonts w:ascii="Times New Roman" w:hAnsi="Times New Roman" w:cs="Times New Roman"/>
          <w:sz w:val="24"/>
          <w:szCs w:val="24"/>
        </w:rPr>
        <w:t xml:space="preserve">) </w:t>
      </w:r>
      <w:r w:rsidR="003F0A4E" w:rsidRPr="00F8240E">
        <w:rPr>
          <w:rFonts w:ascii="Times New Roman" w:hAnsi="Times New Roman" w:cs="Times New Roman"/>
          <w:sz w:val="24"/>
          <w:szCs w:val="24"/>
        </w:rPr>
        <w:t xml:space="preserve">and increasing the state pension age. </w:t>
      </w:r>
    </w:p>
    <w:p w14:paraId="1241B7B2" w14:textId="77777777" w:rsidR="00C21460" w:rsidRPr="00F8240E" w:rsidRDefault="00C21460" w:rsidP="004943B5">
      <w:pPr>
        <w:spacing w:line="480" w:lineRule="auto"/>
        <w:jc w:val="both"/>
        <w:rPr>
          <w:rFonts w:ascii="Times New Roman" w:hAnsi="Times New Roman" w:cs="Times New Roman"/>
          <w:i/>
          <w:sz w:val="24"/>
          <w:szCs w:val="24"/>
        </w:rPr>
      </w:pPr>
    </w:p>
    <w:p w14:paraId="7E4A039A" w14:textId="28CF5BB3" w:rsidR="003F0A4E" w:rsidRPr="00F8240E" w:rsidRDefault="00F21852"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3.2.4 </w:t>
      </w:r>
      <w:r w:rsidR="003F0A4E" w:rsidRPr="00F8240E">
        <w:rPr>
          <w:rFonts w:ascii="Times New Roman" w:hAnsi="Times New Roman" w:cs="Times New Roman"/>
          <w:sz w:val="24"/>
          <w:szCs w:val="24"/>
        </w:rPr>
        <w:t>Canada</w:t>
      </w:r>
    </w:p>
    <w:p w14:paraId="78792155" w14:textId="4B190592" w:rsidR="003F0A4E" w:rsidRPr="00F8240E" w:rsidRDefault="003F0A4E"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 consistent rise shown above in Canadian public pension expenditure since 1980 mainly reflects the gradual coming to maturity of the second pillar pension (Canada/Quebec Pension Plans). This situation is also reflected in the </w:t>
      </w:r>
      <w:r w:rsidR="00967647"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 xml:space="preserve">CWED replacement rates which rise consistently for most of the period as entitlements are increasingly secured from the C/QPP. By 2010, they are 17 percentage points higher than they were in 1980. </w:t>
      </w:r>
      <w:r w:rsidR="00F21852" w:rsidRPr="00F8240E">
        <w:rPr>
          <w:rFonts w:ascii="Times New Roman" w:hAnsi="Times New Roman" w:cs="Times New Roman"/>
          <w:sz w:val="24"/>
          <w:szCs w:val="24"/>
        </w:rPr>
        <w:t xml:space="preserve">The Canadian system generally </w:t>
      </w:r>
      <w:r w:rsidRPr="00F8240E">
        <w:rPr>
          <w:rFonts w:ascii="Times New Roman" w:hAnsi="Times New Roman" w:cs="Times New Roman"/>
          <w:sz w:val="24"/>
          <w:szCs w:val="24"/>
        </w:rPr>
        <w:t xml:space="preserve">underwent few major changes during the period. The only formal recommodifications that occurred were focused on wealthier citizens and of a relatively minor nature. Thus, in 1989 a tax-based ‘clawback’ arrangement for the OAS was introduced affecting </w:t>
      </w:r>
      <w:r w:rsidR="005D039F" w:rsidRPr="00F8240E">
        <w:rPr>
          <w:rFonts w:ascii="Times New Roman" w:hAnsi="Times New Roman" w:cs="Times New Roman"/>
          <w:sz w:val="24"/>
          <w:szCs w:val="24"/>
        </w:rPr>
        <w:t xml:space="preserve">only five per cent of </w:t>
      </w:r>
      <w:r w:rsidRPr="00F8240E">
        <w:rPr>
          <w:rFonts w:ascii="Times New Roman" w:hAnsi="Times New Roman" w:cs="Times New Roman"/>
          <w:sz w:val="24"/>
          <w:szCs w:val="24"/>
        </w:rPr>
        <w:t>income earn</w:t>
      </w:r>
      <w:r w:rsidR="005D039F" w:rsidRPr="00F8240E">
        <w:rPr>
          <w:rFonts w:ascii="Times New Roman" w:hAnsi="Times New Roman" w:cs="Times New Roman"/>
          <w:sz w:val="24"/>
          <w:szCs w:val="24"/>
        </w:rPr>
        <w:t>e</w:t>
      </w:r>
      <w:r w:rsidRPr="00F8240E">
        <w:rPr>
          <w:rFonts w:ascii="Times New Roman" w:hAnsi="Times New Roman" w:cs="Times New Roman"/>
          <w:sz w:val="24"/>
          <w:szCs w:val="24"/>
        </w:rPr>
        <w:t>rs at the top end by 2001 (Myles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2013: 320-4). In addition, in the early 1990s employees’ C/QPP’s contributions were increased and the calculation of earnings-related benefits altered, mainly affecting higher income recipients (Myles</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2013, 327). </w:t>
      </w:r>
    </w:p>
    <w:p w14:paraId="452585BA" w14:textId="690151E3" w:rsidR="003F0A4E" w:rsidRPr="00F8240E" w:rsidRDefault="003F0A4E"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However, for workers mainly reliant on the OAS and </w:t>
      </w:r>
      <w:r w:rsidR="00967647" w:rsidRPr="00F8240E">
        <w:rPr>
          <w:rFonts w:ascii="Times New Roman" w:hAnsi="Times New Roman" w:cs="Times New Roman"/>
          <w:sz w:val="24"/>
          <w:szCs w:val="24"/>
        </w:rPr>
        <w:t>its means-tested supplement</w:t>
      </w:r>
      <w:r w:rsidRPr="00F8240E">
        <w:rPr>
          <w:rFonts w:ascii="Times New Roman" w:hAnsi="Times New Roman" w:cs="Times New Roman"/>
          <w:sz w:val="24"/>
          <w:szCs w:val="24"/>
        </w:rPr>
        <w:t xml:space="preserve">, some recommodification by drift did occur during the period. Replacement rates for this benefit, which was indexed to inflation, fell very slightly during the </w:t>
      </w:r>
      <w:r w:rsidR="00871A0C" w:rsidRPr="00F8240E">
        <w:rPr>
          <w:rFonts w:ascii="Times New Roman" w:hAnsi="Times New Roman" w:cs="Times New Roman"/>
          <w:sz w:val="24"/>
          <w:szCs w:val="24"/>
        </w:rPr>
        <w:t>mid-</w:t>
      </w:r>
      <w:r w:rsidRPr="00F8240E">
        <w:rPr>
          <w:rFonts w:ascii="Times New Roman" w:hAnsi="Times New Roman" w:cs="Times New Roman"/>
          <w:sz w:val="24"/>
          <w:szCs w:val="24"/>
        </w:rPr>
        <w:t>1980s</w:t>
      </w:r>
      <w:r w:rsidR="00871A0C" w:rsidRPr="00F8240E">
        <w:rPr>
          <w:rFonts w:ascii="Times New Roman" w:hAnsi="Times New Roman" w:cs="Times New Roman"/>
          <w:sz w:val="24"/>
          <w:szCs w:val="24"/>
        </w:rPr>
        <w:t xml:space="preserve"> to the early 2000s</w:t>
      </w:r>
      <w:r w:rsidRPr="00F8240E">
        <w:rPr>
          <w:rFonts w:ascii="Times New Roman" w:hAnsi="Times New Roman" w:cs="Times New Roman"/>
          <w:sz w:val="24"/>
          <w:szCs w:val="24"/>
        </w:rPr>
        <w:t xml:space="preserve"> as increases in benefits marginally failed to keep up with wage rises, but they rose up to 2010, finishing the period above the</w:t>
      </w:r>
      <w:r w:rsidR="00871A0C" w:rsidRPr="00F8240E">
        <w:rPr>
          <w:rFonts w:ascii="Times New Roman" w:hAnsi="Times New Roman" w:cs="Times New Roman"/>
          <w:sz w:val="24"/>
          <w:szCs w:val="24"/>
        </w:rPr>
        <w:t xml:space="preserve">ir level in 1984 </w:t>
      </w:r>
      <w:r w:rsidR="005072F3" w:rsidRPr="00F8240E">
        <w:rPr>
          <w:rFonts w:ascii="Times New Roman" w:hAnsi="Times New Roman" w:cs="Times New Roman"/>
          <w:sz w:val="24"/>
          <w:szCs w:val="24"/>
        </w:rPr>
        <w:t>(see figure four)</w:t>
      </w:r>
      <w:r w:rsidRPr="00F8240E">
        <w:rPr>
          <w:rFonts w:ascii="Times New Roman" w:hAnsi="Times New Roman" w:cs="Times New Roman"/>
          <w:sz w:val="24"/>
          <w:szCs w:val="24"/>
        </w:rPr>
        <w:t>.</w:t>
      </w:r>
    </w:p>
    <w:p w14:paraId="4B88004B" w14:textId="77777777" w:rsidR="003F0A4E" w:rsidRPr="00F8240E" w:rsidRDefault="003F0A4E" w:rsidP="003F0A4E">
      <w:pPr>
        <w:spacing w:line="480" w:lineRule="auto"/>
        <w:jc w:val="both"/>
        <w:rPr>
          <w:rFonts w:ascii="Times New Roman" w:hAnsi="Times New Roman" w:cs="Times New Roman"/>
          <w:sz w:val="24"/>
          <w:szCs w:val="24"/>
        </w:rPr>
      </w:pPr>
    </w:p>
    <w:p w14:paraId="3B802147" w14:textId="6ECC45C2" w:rsidR="003F0A4E" w:rsidRPr="00F8240E" w:rsidRDefault="003F0A4E"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Figure</w:t>
      </w:r>
      <w:r w:rsidR="00CA5791" w:rsidRPr="00F8240E">
        <w:rPr>
          <w:rFonts w:ascii="Times New Roman" w:hAnsi="Times New Roman" w:cs="Times New Roman"/>
          <w:sz w:val="24"/>
          <w:szCs w:val="24"/>
        </w:rPr>
        <w:t xml:space="preserve"> </w:t>
      </w:r>
      <w:r w:rsidR="00797316" w:rsidRPr="00F8240E">
        <w:rPr>
          <w:rFonts w:ascii="Times New Roman" w:hAnsi="Times New Roman" w:cs="Times New Roman"/>
          <w:sz w:val="24"/>
          <w:szCs w:val="24"/>
        </w:rPr>
        <w:t>four</w:t>
      </w:r>
      <w:r w:rsidR="00CA5791" w:rsidRPr="00F8240E">
        <w:rPr>
          <w:rFonts w:ascii="Times New Roman" w:hAnsi="Times New Roman" w:cs="Times New Roman"/>
          <w:sz w:val="24"/>
          <w:szCs w:val="24"/>
        </w:rPr>
        <w:t xml:space="preserve"> here</w:t>
      </w:r>
    </w:p>
    <w:p w14:paraId="3D896714" w14:textId="77777777" w:rsidR="003F0A4E" w:rsidRPr="00F8240E" w:rsidRDefault="003F0A4E" w:rsidP="003F0A4E">
      <w:pPr>
        <w:spacing w:line="480" w:lineRule="auto"/>
        <w:jc w:val="both"/>
        <w:rPr>
          <w:rFonts w:ascii="Times New Roman" w:hAnsi="Times New Roman" w:cs="Times New Roman"/>
          <w:sz w:val="24"/>
          <w:szCs w:val="24"/>
        </w:rPr>
      </w:pPr>
    </w:p>
    <w:p w14:paraId="5B442C47" w14:textId="4ED7B476" w:rsidR="003F0A4E" w:rsidRPr="00F8240E" w:rsidRDefault="003F0A4E" w:rsidP="003F0A4E">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Recent years have seen some reversals, particularly for wealthier citizens. Thus, significant phased reforms to C/QPP in 2016, mean replacement rates should rise to one-third of a worker’s average monthly pensionable earnings by 2025. This will be financed in part by increased employee contributions (OECD</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2017). In addition, a proposed increase in the retirement age has been reversed. </w:t>
      </w:r>
    </w:p>
    <w:p w14:paraId="34BE1D3A" w14:textId="77777777" w:rsidR="00C21460" w:rsidRPr="00F8240E" w:rsidRDefault="00C21460" w:rsidP="004943B5">
      <w:pPr>
        <w:spacing w:line="480" w:lineRule="auto"/>
        <w:jc w:val="both"/>
        <w:rPr>
          <w:rFonts w:ascii="Times New Roman" w:hAnsi="Times New Roman" w:cs="Times New Roman"/>
          <w:sz w:val="24"/>
          <w:szCs w:val="24"/>
        </w:rPr>
      </w:pPr>
    </w:p>
    <w:p w14:paraId="7C740CA3" w14:textId="7B62D27B" w:rsidR="00C21460" w:rsidRPr="00F8240E" w:rsidRDefault="00F21852"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3.2.5 </w:t>
      </w:r>
      <w:r w:rsidR="00C21460" w:rsidRPr="00F8240E">
        <w:rPr>
          <w:rFonts w:ascii="Times New Roman" w:hAnsi="Times New Roman" w:cs="Times New Roman"/>
          <w:sz w:val="24"/>
          <w:szCs w:val="24"/>
        </w:rPr>
        <w:t>Ireland</w:t>
      </w:r>
    </w:p>
    <w:p w14:paraId="5ED4147F" w14:textId="4636A459" w:rsidR="00C21460" w:rsidRPr="00F8240E" w:rsidRDefault="00C2146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In structural terms, th</w:t>
      </w:r>
      <w:r w:rsidR="005A2D58" w:rsidRPr="00F8240E">
        <w:rPr>
          <w:rFonts w:ascii="Times New Roman" w:hAnsi="Times New Roman" w:cs="Times New Roman"/>
          <w:sz w:val="24"/>
          <w:szCs w:val="24"/>
        </w:rPr>
        <w:t xml:space="preserve">e Irish </w:t>
      </w:r>
      <w:r w:rsidRPr="00F8240E">
        <w:rPr>
          <w:rFonts w:ascii="Times New Roman" w:hAnsi="Times New Roman" w:cs="Times New Roman"/>
          <w:sz w:val="24"/>
          <w:szCs w:val="24"/>
        </w:rPr>
        <w:t>system</w:t>
      </w:r>
      <w:r w:rsidR="00324D70"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remained largely unchanged </w:t>
      </w:r>
      <w:r w:rsidR="00324D70" w:rsidRPr="00F8240E">
        <w:rPr>
          <w:rFonts w:ascii="Times New Roman" w:hAnsi="Times New Roman" w:cs="Times New Roman"/>
          <w:sz w:val="24"/>
          <w:szCs w:val="24"/>
        </w:rPr>
        <w:t>between 1980 and 2010</w:t>
      </w:r>
      <w:r w:rsidRPr="00F8240E">
        <w:rPr>
          <w:rFonts w:ascii="Times New Roman" w:hAnsi="Times New Roman" w:cs="Times New Roman"/>
          <w:sz w:val="24"/>
          <w:szCs w:val="24"/>
        </w:rPr>
        <w:t xml:space="preserve">. </w:t>
      </w:r>
      <w:r w:rsidR="005A2D58" w:rsidRPr="00F8240E">
        <w:rPr>
          <w:rFonts w:ascii="Times New Roman" w:hAnsi="Times New Roman" w:cs="Times New Roman"/>
          <w:sz w:val="24"/>
          <w:szCs w:val="24"/>
        </w:rPr>
        <w:t>The</w:t>
      </w:r>
      <w:r w:rsidR="00324D70" w:rsidRPr="00F8240E">
        <w:rPr>
          <w:rFonts w:ascii="Times New Roman" w:hAnsi="Times New Roman" w:cs="Times New Roman"/>
          <w:sz w:val="24"/>
          <w:szCs w:val="24"/>
        </w:rPr>
        <w:t xml:space="preserve"> rapid rise in pension expenditure detailed above was largely a consequence of </w:t>
      </w:r>
      <w:r w:rsidR="00F21852" w:rsidRPr="00F8240E">
        <w:rPr>
          <w:rFonts w:ascii="Times New Roman" w:hAnsi="Times New Roman" w:cs="Times New Roman"/>
          <w:sz w:val="24"/>
          <w:szCs w:val="24"/>
        </w:rPr>
        <w:t xml:space="preserve">Ireland’s </w:t>
      </w:r>
      <w:r w:rsidR="00324D70" w:rsidRPr="00F8240E">
        <w:rPr>
          <w:rFonts w:ascii="Times New Roman" w:hAnsi="Times New Roman" w:cs="Times New Roman"/>
          <w:sz w:val="24"/>
          <w:szCs w:val="24"/>
        </w:rPr>
        <w:t>substantial economic growth during this period, combined with</w:t>
      </w:r>
      <w:r w:rsidR="005D039F" w:rsidRPr="00F8240E">
        <w:rPr>
          <w:rFonts w:ascii="Times New Roman" w:hAnsi="Times New Roman" w:cs="Times New Roman"/>
          <w:sz w:val="24"/>
          <w:szCs w:val="24"/>
        </w:rPr>
        <w:t xml:space="preserve"> decommodifying </w:t>
      </w:r>
      <w:r w:rsidR="00324D70" w:rsidRPr="00F8240E">
        <w:rPr>
          <w:rFonts w:ascii="Times New Roman" w:hAnsi="Times New Roman" w:cs="Times New Roman"/>
          <w:sz w:val="24"/>
          <w:szCs w:val="24"/>
        </w:rPr>
        <w:t>indexation changes in the late 1990s t</w:t>
      </w:r>
      <w:r w:rsidR="00F21852" w:rsidRPr="00F8240E">
        <w:rPr>
          <w:rFonts w:ascii="Times New Roman" w:hAnsi="Times New Roman" w:cs="Times New Roman"/>
          <w:sz w:val="24"/>
          <w:szCs w:val="24"/>
        </w:rPr>
        <w:t>hat</w:t>
      </w:r>
      <w:r w:rsidR="00324D70" w:rsidRPr="00F8240E">
        <w:rPr>
          <w:rFonts w:ascii="Times New Roman" w:hAnsi="Times New Roman" w:cs="Times New Roman"/>
          <w:sz w:val="24"/>
          <w:szCs w:val="24"/>
        </w:rPr>
        <w:t xml:space="preserve"> ensure</w:t>
      </w:r>
      <w:r w:rsidR="00F21852" w:rsidRPr="00F8240E">
        <w:rPr>
          <w:rFonts w:ascii="Times New Roman" w:hAnsi="Times New Roman" w:cs="Times New Roman"/>
          <w:sz w:val="24"/>
          <w:szCs w:val="24"/>
        </w:rPr>
        <w:t>d</w:t>
      </w:r>
      <w:r w:rsidR="00324D70" w:rsidRPr="00F8240E">
        <w:rPr>
          <w:rFonts w:ascii="Times New Roman" w:hAnsi="Times New Roman" w:cs="Times New Roman"/>
          <w:sz w:val="24"/>
          <w:szCs w:val="24"/>
        </w:rPr>
        <w:t xml:space="preserve"> pensioners received a bigger share of this growth. Changes to </w:t>
      </w:r>
      <w:r w:rsidR="00911EFC" w:rsidRPr="00F8240E">
        <w:rPr>
          <w:rFonts w:ascii="Times New Roman" w:hAnsi="Times New Roman" w:cs="Times New Roman"/>
          <w:sz w:val="24"/>
          <w:szCs w:val="24"/>
        </w:rPr>
        <w:t xml:space="preserve">standard </w:t>
      </w:r>
      <w:r w:rsidR="00324D70" w:rsidRPr="00F8240E">
        <w:rPr>
          <w:rFonts w:ascii="Times New Roman" w:hAnsi="Times New Roman" w:cs="Times New Roman"/>
          <w:sz w:val="24"/>
          <w:szCs w:val="24"/>
        </w:rPr>
        <w:t>CWED replacement rates</w:t>
      </w:r>
      <w:r w:rsidR="00B1137B" w:rsidRPr="00F8240E">
        <w:rPr>
          <w:rFonts w:ascii="Times New Roman" w:hAnsi="Times New Roman" w:cs="Times New Roman"/>
          <w:sz w:val="24"/>
          <w:szCs w:val="24"/>
        </w:rPr>
        <w:t xml:space="preserve"> </w:t>
      </w:r>
      <w:r w:rsidR="00911EFC" w:rsidRPr="00F8240E">
        <w:rPr>
          <w:rFonts w:ascii="Times New Roman" w:hAnsi="Times New Roman" w:cs="Times New Roman"/>
          <w:sz w:val="24"/>
          <w:szCs w:val="24"/>
        </w:rPr>
        <w:t>reflect</w:t>
      </w:r>
      <w:r w:rsidR="00324D70" w:rsidRPr="00F8240E">
        <w:rPr>
          <w:rFonts w:ascii="Times New Roman" w:hAnsi="Times New Roman" w:cs="Times New Roman"/>
          <w:sz w:val="24"/>
          <w:szCs w:val="24"/>
        </w:rPr>
        <w:t xml:space="preserve"> these developments</w:t>
      </w:r>
      <w:r w:rsidR="005072F3" w:rsidRPr="00F8240E">
        <w:rPr>
          <w:rFonts w:ascii="Times New Roman" w:hAnsi="Times New Roman" w:cs="Times New Roman"/>
          <w:sz w:val="24"/>
          <w:szCs w:val="24"/>
        </w:rPr>
        <w:t xml:space="preserve"> (see figure five)</w:t>
      </w:r>
      <w:r w:rsidR="00324D70" w:rsidRPr="00F8240E">
        <w:rPr>
          <w:rFonts w:ascii="Times New Roman" w:hAnsi="Times New Roman" w:cs="Times New Roman"/>
          <w:sz w:val="24"/>
          <w:szCs w:val="24"/>
        </w:rPr>
        <w:t xml:space="preserve">. They </w:t>
      </w:r>
      <w:r w:rsidR="005D039F" w:rsidRPr="00F8240E">
        <w:rPr>
          <w:rFonts w:ascii="Times New Roman" w:hAnsi="Times New Roman" w:cs="Times New Roman"/>
          <w:sz w:val="24"/>
          <w:szCs w:val="24"/>
        </w:rPr>
        <w:t>drifted up and down</w:t>
      </w:r>
      <w:r w:rsidR="005A2D58"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during </w:t>
      </w:r>
      <w:r w:rsidR="005A2D58" w:rsidRPr="00F8240E">
        <w:rPr>
          <w:rFonts w:ascii="Times New Roman" w:hAnsi="Times New Roman" w:cs="Times New Roman"/>
          <w:sz w:val="24"/>
          <w:szCs w:val="24"/>
        </w:rPr>
        <w:t>the 1980s and 1990s</w:t>
      </w:r>
      <w:r w:rsidRPr="00F8240E">
        <w:rPr>
          <w:rFonts w:ascii="Times New Roman" w:hAnsi="Times New Roman" w:cs="Times New Roman"/>
          <w:sz w:val="24"/>
          <w:szCs w:val="24"/>
        </w:rPr>
        <w:t xml:space="preserve"> </w:t>
      </w:r>
      <w:r w:rsidR="00F62469" w:rsidRPr="00F8240E">
        <w:rPr>
          <w:rFonts w:ascii="Times New Roman" w:hAnsi="Times New Roman" w:cs="Times New Roman"/>
          <w:sz w:val="24"/>
          <w:szCs w:val="24"/>
        </w:rPr>
        <w:t>due</w:t>
      </w:r>
      <w:r w:rsidR="00A0382E" w:rsidRPr="00F8240E">
        <w:rPr>
          <w:rFonts w:ascii="Times New Roman" w:hAnsi="Times New Roman" w:cs="Times New Roman"/>
          <w:sz w:val="24"/>
          <w:szCs w:val="24"/>
        </w:rPr>
        <w:t xml:space="preserve"> to</w:t>
      </w:r>
      <w:r w:rsidRPr="00F8240E">
        <w:rPr>
          <w:rFonts w:ascii="Times New Roman" w:hAnsi="Times New Roman" w:cs="Times New Roman"/>
          <w:sz w:val="24"/>
          <w:szCs w:val="24"/>
        </w:rPr>
        <w:t xml:space="preserve"> the interaction of year-by-year indexing decisions</w:t>
      </w:r>
      <w:r w:rsidR="005072F3"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and broader economic conditions. Thus, the value of pensions in relation to average wages </w:t>
      </w:r>
      <w:r w:rsidR="00324D70" w:rsidRPr="00F8240E">
        <w:rPr>
          <w:rFonts w:ascii="Times New Roman" w:hAnsi="Times New Roman" w:cs="Times New Roman"/>
          <w:sz w:val="24"/>
          <w:szCs w:val="24"/>
        </w:rPr>
        <w:t>increased up to the mid-</w:t>
      </w:r>
      <w:r w:rsidRPr="00F8240E">
        <w:rPr>
          <w:rFonts w:ascii="Times New Roman" w:hAnsi="Times New Roman" w:cs="Times New Roman"/>
          <w:sz w:val="24"/>
          <w:szCs w:val="24"/>
        </w:rPr>
        <w:t>1980s</w:t>
      </w:r>
      <w:r w:rsidR="00F21852" w:rsidRPr="00F8240E">
        <w:rPr>
          <w:rFonts w:ascii="Times New Roman" w:hAnsi="Times New Roman" w:cs="Times New Roman"/>
          <w:sz w:val="24"/>
          <w:szCs w:val="24"/>
        </w:rPr>
        <w:t>,</w:t>
      </w:r>
      <w:r w:rsidRPr="00F8240E">
        <w:rPr>
          <w:rFonts w:ascii="Times New Roman" w:hAnsi="Times New Roman" w:cs="Times New Roman"/>
          <w:sz w:val="24"/>
          <w:szCs w:val="24"/>
        </w:rPr>
        <w:t xml:space="preserve"> during a period of very high inflation</w:t>
      </w:r>
      <w:r w:rsidR="00F21852" w:rsidRPr="00F8240E">
        <w:rPr>
          <w:rFonts w:ascii="Times New Roman" w:hAnsi="Times New Roman" w:cs="Times New Roman"/>
          <w:sz w:val="24"/>
          <w:szCs w:val="24"/>
        </w:rPr>
        <w:t>, but</w:t>
      </w:r>
      <w:r w:rsidRPr="00F8240E">
        <w:rPr>
          <w:rFonts w:ascii="Times New Roman" w:hAnsi="Times New Roman" w:cs="Times New Roman"/>
          <w:sz w:val="24"/>
          <w:szCs w:val="24"/>
        </w:rPr>
        <w:t xml:space="preserve"> began to drift</w:t>
      </w:r>
      <w:r w:rsidR="005D039F" w:rsidRPr="00F8240E">
        <w:rPr>
          <w:rFonts w:ascii="Times New Roman" w:hAnsi="Times New Roman" w:cs="Times New Roman"/>
          <w:sz w:val="24"/>
          <w:szCs w:val="24"/>
        </w:rPr>
        <w:t xml:space="preserve"> downwards</w:t>
      </w:r>
      <w:r w:rsidRPr="00F8240E">
        <w:rPr>
          <w:rFonts w:ascii="Times New Roman" w:hAnsi="Times New Roman" w:cs="Times New Roman"/>
          <w:sz w:val="24"/>
          <w:szCs w:val="24"/>
        </w:rPr>
        <w:t xml:space="preserve"> as Ireland experienced a period of rapid economic expansion and average incomes grew very rapidly (Hughes</w:t>
      </w:r>
      <w:r w:rsidR="00CA5791" w:rsidRPr="00F8240E">
        <w:rPr>
          <w:rFonts w:ascii="Times New Roman" w:hAnsi="Times New Roman" w:cs="Times New Roman"/>
          <w:sz w:val="24"/>
          <w:szCs w:val="24"/>
        </w:rPr>
        <w:t xml:space="preserve"> &amp; </w:t>
      </w:r>
      <w:r w:rsidRPr="00F8240E">
        <w:rPr>
          <w:rFonts w:ascii="Times New Roman" w:hAnsi="Times New Roman" w:cs="Times New Roman"/>
          <w:sz w:val="24"/>
          <w:szCs w:val="24"/>
        </w:rPr>
        <w:t>Stewart 211</w:t>
      </w:r>
      <w:r w:rsidR="00CA5791" w:rsidRPr="00F8240E">
        <w:rPr>
          <w:rFonts w:ascii="Times New Roman" w:hAnsi="Times New Roman" w:cs="Times New Roman"/>
          <w:sz w:val="24"/>
          <w:szCs w:val="24"/>
        </w:rPr>
        <w:t>1</w:t>
      </w:r>
      <w:r w:rsidRPr="00F8240E">
        <w:rPr>
          <w:rFonts w:ascii="Times New Roman" w:hAnsi="Times New Roman" w:cs="Times New Roman"/>
          <w:sz w:val="24"/>
          <w:szCs w:val="24"/>
        </w:rPr>
        <w:t>: 82). In the late 1990s, concerns about the impact of policy drift on pensioner poverty led to a political consensus in favour of benefit rises (Hughes</w:t>
      </w:r>
      <w:r w:rsidR="00CA5791" w:rsidRPr="00F8240E">
        <w:rPr>
          <w:rFonts w:ascii="Times New Roman" w:hAnsi="Times New Roman" w:cs="Times New Roman"/>
          <w:sz w:val="24"/>
          <w:szCs w:val="24"/>
        </w:rPr>
        <w:t>, 2009)</w:t>
      </w:r>
      <w:r w:rsidRPr="00F8240E">
        <w:rPr>
          <w:rFonts w:ascii="Times New Roman" w:hAnsi="Times New Roman" w:cs="Times New Roman"/>
          <w:sz w:val="24"/>
          <w:szCs w:val="24"/>
        </w:rPr>
        <w:t xml:space="preserve">. This was maintained by </w:t>
      </w:r>
      <w:r w:rsidR="00F21852" w:rsidRPr="00F8240E">
        <w:rPr>
          <w:rFonts w:ascii="Times New Roman" w:hAnsi="Times New Roman" w:cs="Times New Roman"/>
          <w:sz w:val="24"/>
          <w:szCs w:val="24"/>
        </w:rPr>
        <w:t xml:space="preserve">all </w:t>
      </w:r>
      <w:r w:rsidRPr="00F8240E">
        <w:rPr>
          <w:rFonts w:ascii="Times New Roman" w:hAnsi="Times New Roman" w:cs="Times New Roman"/>
          <w:sz w:val="24"/>
          <w:szCs w:val="24"/>
        </w:rPr>
        <w:t>governments up to 2012</w:t>
      </w:r>
      <w:r w:rsidR="00A81E22" w:rsidRPr="00F8240E">
        <w:rPr>
          <w:rFonts w:ascii="Times New Roman" w:hAnsi="Times New Roman" w:cs="Times New Roman"/>
          <w:sz w:val="24"/>
          <w:szCs w:val="24"/>
        </w:rPr>
        <w:t xml:space="preserve"> (OECD, 2013: 25)</w:t>
      </w:r>
      <w:r w:rsidR="00AD5F45" w:rsidRPr="00F8240E">
        <w:rPr>
          <w:rFonts w:ascii="Times New Roman" w:hAnsi="Times New Roman" w:cs="Times New Roman"/>
          <w:sz w:val="24"/>
          <w:szCs w:val="24"/>
        </w:rPr>
        <w:t xml:space="preserve">, though it was accompanied by an increase in the </w:t>
      </w:r>
      <w:r w:rsidR="00A81E22" w:rsidRPr="00F8240E">
        <w:rPr>
          <w:rFonts w:ascii="Times New Roman" w:hAnsi="Times New Roman" w:cs="Times New Roman"/>
          <w:sz w:val="24"/>
          <w:szCs w:val="24"/>
        </w:rPr>
        <w:t xml:space="preserve">pubic pension age from 2014 </w:t>
      </w:r>
      <w:r w:rsidR="005072F3" w:rsidRPr="00F8240E">
        <w:rPr>
          <w:rFonts w:ascii="Times New Roman" w:hAnsi="Times New Roman" w:cs="Times New Roman"/>
          <w:sz w:val="24"/>
          <w:szCs w:val="24"/>
        </w:rPr>
        <w:t xml:space="preserve">due to </w:t>
      </w:r>
      <w:r w:rsidR="00A81E22" w:rsidRPr="00F8240E">
        <w:rPr>
          <w:rFonts w:ascii="Times New Roman" w:hAnsi="Times New Roman" w:cs="Times New Roman"/>
          <w:sz w:val="24"/>
          <w:szCs w:val="24"/>
        </w:rPr>
        <w:t>the economic impact on Ireland of the financial crisis (O’Brien, 2014)</w:t>
      </w:r>
      <w:r w:rsidRPr="00F8240E">
        <w:rPr>
          <w:rFonts w:ascii="Times New Roman" w:hAnsi="Times New Roman" w:cs="Times New Roman"/>
          <w:sz w:val="24"/>
          <w:szCs w:val="24"/>
        </w:rPr>
        <w:t>. This is evident in the</w:t>
      </w:r>
      <w:r w:rsidR="000C2F56" w:rsidRPr="00F8240E">
        <w:rPr>
          <w:rFonts w:ascii="Times New Roman" w:hAnsi="Times New Roman" w:cs="Times New Roman"/>
          <w:sz w:val="24"/>
          <w:szCs w:val="24"/>
        </w:rPr>
        <w:t xml:space="preserve"> CWED</w:t>
      </w:r>
      <w:r w:rsidRPr="00F8240E">
        <w:rPr>
          <w:rFonts w:ascii="Times New Roman" w:hAnsi="Times New Roman" w:cs="Times New Roman"/>
          <w:sz w:val="24"/>
          <w:szCs w:val="24"/>
        </w:rPr>
        <w:t xml:space="preserve"> data which shows </w:t>
      </w:r>
      <w:r w:rsidR="00911EFC" w:rsidRPr="00F8240E">
        <w:rPr>
          <w:rFonts w:ascii="Times New Roman" w:hAnsi="Times New Roman" w:cs="Times New Roman"/>
          <w:sz w:val="24"/>
          <w:szCs w:val="24"/>
        </w:rPr>
        <w:t xml:space="preserve">standard </w:t>
      </w:r>
      <w:r w:rsidRPr="00F8240E">
        <w:rPr>
          <w:rFonts w:ascii="Times New Roman" w:hAnsi="Times New Roman" w:cs="Times New Roman"/>
          <w:sz w:val="24"/>
          <w:szCs w:val="24"/>
        </w:rPr>
        <w:t>replacement rates rising by more than t</w:t>
      </w:r>
      <w:r w:rsidR="000C2F56" w:rsidRPr="00F8240E">
        <w:rPr>
          <w:rFonts w:ascii="Times New Roman" w:hAnsi="Times New Roman" w:cs="Times New Roman"/>
          <w:sz w:val="24"/>
          <w:szCs w:val="24"/>
        </w:rPr>
        <w:t>welve</w:t>
      </w:r>
      <w:r w:rsidRPr="00F8240E">
        <w:rPr>
          <w:rFonts w:ascii="Times New Roman" w:hAnsi="Times New Roman" w:cs="Times New Roman"/>
          <w:sz w:val="24"/>
          <w:szCs w:val="24"/>
        </w:rPr>
        <w:t xml:space="preserve"> percent</w:t>
      </w:r>
      <w:r w:rsidR="000C2F56" w:rsidRPr="00F8240E">
        <w:rPr>
          <w:rFonts w:ascii="Times New Roman" w:hAnsi="Times New Roman" w:cs="Times New Roman"/>
          <w:sz w:val="24"/>
          <w:szCs w:val="24"/>
        </w:rPr>
        <w:t>age points</w:t>
      </w:r>
      <w:r w:rsidRPr="00F8240E">
        <w:rPr>
          <w:rFonts w:ascii="Times New Roman" w:hAnsi="Times New Roman" w:cs="Times New Roman"/>
          <w:sz w:val="24"/>
          <w:szCs w:val="24"/>
        </w:rPr>
        <w:t xml:space="preserve"> between </w:t>
      </w:r>
      <w:r w:rsidR="000C2F56" w:rsidRPr="00F8240E">
        <w:rPr>
          <w:rFonts w:ascii="Times New Roman" w:hAnsi="Times New Roman" w:cs="Times New Roman"/>
          <w:sz w:val="24"/>
          <w:szCs w:val="24"/>
        </w:rPr>
        <w:t>1999</w:t>
      </w:r>
      <w:r w:rsidRPr="00F8240E">
        <w:rPr>
          <w:rFonts w:ascii="Times New Roman" w:hAnsi="Times New Roman" w:cs="Times New Roman"/>
          <w:sz w:val="24"/>
          <w:szCs w:val="24"/>
        </w:rPr>
        <w:t xml:space="preserve"> and 2010.</w:t>
      </w:r>
      <w:r w:rsidR="00B1137B" w:rsidRPr="00F8240E">
        <w:rPr>
          <w:rFonts w:ascii="Times New Roman" w:hAnsi="Times New Roman" w:cs="Times New Roman"/>
          <w:sz w:val="24"/>
          <w:szCs w:val="24"/>
        </w:rPr>
        <w:t xml:space="preserve"> Means-tested support, available to those retiring without entitlement to the Irish B</w:t>
      </w:r>
      <w:r w:rsidR="00911EFC" w:rsidRPr="00F8240E">
        <w:rPr>
          <w:rFonts w:ascii="Times New Roman" w:hAnsi="Times New Roman" w:cs="Times New Roman"/>
          <w:sz w:val="24"/>
          <w:szCs w:val="24"/>
        </w:rPr>
        <w:t xml:space="preserve">asic </w:t>
      </w:r>
      <w:r w:rsidR="00B1137B" w:rsidRPr="00F8240E">
        <w:rPr>
          <w:rFonts w:ascii="Times New Roman" w:hAnsi="Times New Roman" w:cs="Times New Roman"/>
          <w:sz w:val="24"/>
          <w:szCs w:val="24"/>
        </w:rPr>
        <w:t>S</w:t>
      </w:r>
      <w:r w:rsidR="00911EFC" w:rsidRPr="00F8240E">
        <w:rPr>
          <w:rFonts w:ascii="Times New Roman" w:hAnsi="Times New Roman" w:cs="Times New Roman"/>
          <w:sz w:val="24"/>
          <w:szCs w:val="24"/>
        </w:rPr>
        <w:t xml:space="preserve">tate </w:t>
      </w:r>
      <w:r w:rsidR="00B1137B" w:rsidRPr="00F8240E">
        <w:rPr>
          <w:rFonts w:ascii="Times New Roman" w:hAnsi="Times New Roman" w:cs="Times New Roman"/>
          <w:sz w:val="24"/>
          <w:szCs w:val="24"/>
        </w:rPr>
        <w:t>P</w:t>
      </w:r>
      <w:r w:rsidR="00911EFC" w:rsidRPr="00F8240E">
        <w:rPr>
          <w:rFonts w:ascii="Times New Roman" w:hAnsi="Times New Roman" w:cs="Times New Roman"/>
          <w:sz w:val="24"/>
          <w:szCs w:val="24"/>
        </w:rPr>
        <w:t>ension</w:t>
      </w:r>
      <w:r w:rsidR="00B1137B" w:rsidRPr="00F8240E">
        <w:rPr>
          <w:rFonts w:ascii="Times New Roman" w:hAnsi="Times New Roman" w:cs="Times New Roman"/>
          <w:sz w:val="24"/>
          <w:szCs w:val="24"/>
        </w:rPr>
        <w:t xml:space="preserve">, followed an almost identical trajectory but </w:t>
      </w:r>
      <w:r w:rsidR="00871A0C" w:rsidRPr="00F8240E">
        <w:rPr>
          <w:rFonts w:ascii="Times New Roman" w:hAnsi="Times New Roman" w:cs="Times New Roman"/>
          <w:sz w:val="24"/>
          <w:szCs w:val="24"/>
        </w:rPr>
        <w:t xml:space="preserve">generally </w:t>
      </w:r>
      <w:r w:rsidR="00B1137B" w:rsidRPr="00F8240E">
        <w:rPr>
          <w:rFonts w:ascii="Times New Roman" w:hAnsi="Times New Roman" w:cs="Times New Roman"/>
          <w:sz w:val="24"/>
          <w:szCs w:val="24"/>
        </w:rPr>
        <w:t>at a replacement rate about five percentage points lower</w:t>
      </w:r>
      <w:r w:rsidR="005072F3" w:rsidRPr="00F8240E">
        <w:rPr>
          <w:rFonts w:ascii="Times New Roman" w:hAnsi="Times New Roman" w:cs="Times New Roman"/>
          <w:sz w:val="24"/>
          <w:szCs w:val="24"/>
        </w:rPr>
        <w:t xml:space="preserve"> (see figure five)</w:t>
      </w:r>
      <w:r w:rsidR="005D039F" w:rsidRPr="00F8240E">
        <w:rPr>
          <w:rFonts w:ascii="Times New Roman" w:hAnsi="Times New Roman" w:cs="Times New Roman"/>
          <w:sz w:val="24"/>
          <w:szCs w:val="24"/>
        </w:rPr>
        <w:t>.</w:t>
      </w:r>
    </w:p>
    <w:p w14:paraId="4E9579B1" w14:textId="77777777" w:rsidR="00A0382E" w:rsidRPr="00F8240E" w:rsidRDefault="00A0382E" w:rsidP="004943B5">
      <w:pPr>
        <w:spacing w:line="480" w:lineRule="auto"/>
        <w:jc w:val="both"/>
        <w:rPr>
          <w:rFonts w:ascii="Times New Roman" w:hAnsi="Times New Roman" w:cs="Times New Roman"/>
          <w:sz w:val="24"/>
          <w:szCs w:val="24"/>
        </w:rPr>
      </w:pPr>
    </w:p>
    <w:p w14:paraId="24101E05" w14:textId="6A4F0F0A" w:rsidR="00C21460" w:rsidRPr="00F8240E" w:rsidRDefault="000C2F56"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Figure</w:t>
      </w:r>
      <w:r w:rsidR="00CA5791" w:rsidRPr="00F8240E">
        <w:rPr>
          <w:rFonts w:ascii="Times New Roman" w:hAnsi="Times New Roman" w:cs="Times New Roman"/>
          <w:sz w:val="24"/>
          <w:szCs w:val="24"/>
        </w:rPr>
        <w:t xml:space="preserve"> </w:t>
      </w:r>
      <w:r w:rsidR="00797316" w:rsidRPr="00F8240E">
        <w:rPr>
          <w:rFonts w:ascii="Times New Roman" w:hAnsi="Times New Roman" w:cs="Times New Roman"/>
          <w:sz w:val="24"/>
          <w:szCs w:val="24"/>
        </w:rPr>
        <w:t>five</w:t>
      </w:r>
      <w:r w:rsidR="00CA5791" w:rsidRPr="00F8240E">
        <w:rPr>
          <w:rFonts w:ascii="Times New Roman" w:hAnsi="Times New Roman" w:cs="Times New Roman"/>
          <w:sz w:val="24"/>
          <w:szCs w:val="24"/>
        </w:rPr>
        <w:t xml:space="preserve"> here</w:t>
      </w:r>
    </w:p>
    <w:p w14:paraId="68AD959E" w14:textId="77777777" w:rsidR="00C21460" w:rsidRPr="00F8240E" w:rsidRDefault="00C21460" w:rsidP="004943B5">
      <w:pPr>
        <w:spacing w:line="480" w:lineRule="auto"/>
        <w:jc w:val="both"/>
        <w:rPr>
          <w:rFonts w:ascii="Times New Roman" w:hAnsi="Times New Roman" w:cs="Times New Roman"/>
          <w:sz w:val="24"/>
          <w:szCs w:val="24"/>
        </w:rPr>
      </w:pPr>
    </w:p>
    <w:p w14:paraId="6651AB4F" w14:textId="3CC04772" w:rsidR="00C21460" w:rsidRPr="00F8240E" w:rsidRDefault="00891774"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3.2.6: USA</w:t>
      </w:r>
    </w:p>
    <w:p w14:paraId="6625D887" w14:textId="706162AE" w:rsidR="00C21460" w:rsidRPr="00F8240E" w:rsidRDefault="00911EFC" w:rsidP="00EE1220">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The g</w:t>
      </w:r>
      <w:r w:rsidR="00551CDF" w:rsidRPr="00F8240E">
        <w:rPr>
          <w:rFonts w:ascii="Times New Roman" w:hAnsi="Times New Roman" w:cs="Times New Roman"/>
          <w:sz w:val="24"/>
          <w:szCs w:val="24"/>
        </w:rPr>
        <w:t xml:space="preserve">enerally stable </w:t>
      </w:r>
      <w:r w:rsidRPr="00F8240E">
        <w:rPr>
          <w:rFonts w:ascii="Times New Roman" w:hAnsi="Times New Roman" w:cs="Times New Roman"/>
          <w:sz w:val="24"/>
          <w:szCs w:val="24"/>
        </w:rPr>
        <w:t xml:space="preserve">level of </w:t>
      </w:r>
      <w:r w:rsidR="00F21852" w:rsidRPr="00F8240E">
        <w:rPr>
          <w:rFonts w:ascii="Times New Roman" w:hAnsi="Times New Roman" w:cs="Times New Roman"/>
          <w:sz w:val="24"/>
          <w:szCs w:val="24"/>
        </w:rPr>
        <w:t xml:space="preserve">US </w:t>
      </w:r>
      <w:r w:rsidR="00551CDF" w:rsidRPr="00F8240E">
        <w:rPr>
          <w:rFonts w:ascii="Times New Roman" w:hAnsi="Times New Roman" w:cs="Times New Roman"/>
          <w:sz w:val="24"/>
          <w:szCs w:val="24"/>
        </w:rPr>
        <w:t xml:space="preserve">public pension expenditure was also </w:t>
      </w:r>
      <w:r w:rsidR="00892BD8" w:rsidRPr="00F8240E">
        <w:rPr>
          <w:rFonts w:ascii="Times New Roman" w:hAnsi="Times New Roman" w:cs="Times New Roman"/>
          <w:sz w:val="24"/>
          <w:szCs w:val="24"/>
        </w:rPr>
        <w:t xml:space="preserve">accompanied </w:t>
      </w:r>
      <w:r w:rsidR="00551CDF" w:rsidRPr="00F8240E">
        <w:rPr>
          <w:rFonts w:ascii="Times New Roman" w:hAnsi="Times New Roman" w:cs="Times New Roman"/>
          <w:sz w:val="24"/>
          <w:szCs w:val="24"/>
        </w:rPr>
        <w:t xml:space="preserve">by structural stability. After a significant </w:t>
      </w:r>
      <w:r w:rsidR="005D039F" w:rsidRPr="00F8240E">
        <w:rPr>
          <w:rFonts w:ascii="Times New Roman" w:hAnsi="Times New Roman" w:cs="Times New Roman"/>
          <w:sz w:val="24"/>
          <w:szCs w:val="24"/>
        </w:rPr>
        <w:t>re</w:t>
      </w:r>
      <w:r w:rsidR="00551CDF" w:rsidRPr="00F8240E">
        <w:rPr>
          <w:rFonts w:ascii="Times New Roman" w:hAnsi="Times New Roman" w:cs="Times New Roman"/>
          <w:sz w:val="24"/>
          <w:szCs w:val="24"/>
        </w:rPr>
        <w:t xml:space="preserve">-commodifying reform under the Reagan presidency in the early </w:t>
      </w:r>
      <w:r w:rsidR="00C21460" w:rsidRPr="00F8240E">
        <w:rPr>
          <w:rFonts w:ascii="Times New Roman" w:hAnsi="Times New Roman" w:cs="Times New Roman"/>
          <w:sz w:val="24"/>
          <w:szCs w:val="24"/>
        </w:rPr>
        <w:t>1980s</w:t>
      </w:r>
      <w:r w:rsidR="00551CDF" w:rsidRPr="00F8240E">
        <w:rPr>
          <w:rFonts w:ascii="Times New Roman" w:hAnsi="Times New Roman" w:cs="Times New Roman"/>
          <w:sz w:val="24"/>
          <w:szCs w:val="24"/>
        </w:rPr>
        <w:t xml:space="preserve">, </w:t>
      </w:r>
      <w:r w:rsidR="00C21460" w:rsidRPr="00F8240E">
        <w:rPr>
          <w:rFonts w:ascii="Times New Roman" w:hAnsi="Times New Roman" w:cs="Times New Roman"/>
          <w:sz w:val="24"/>
          <w:szCs w:val="24"/>
        </w:rPr>
        <w:t xml:space="preserve">few further reforms occurred. </w:t>
      </w:r>
      <w:r w:rsidR="005D039F" w:rsidRPr="00F8240E">
        <w:rPr>
          <w:rFonts w:ascii="Times New Roman" w:hAnsi="Times New Roman" w:cs="Times New Roman"/>
          <w:sz w:val="24"/>
          <w:szCs w:val="24"/>
        </w:rPr>
        <w:t>T</w:t>
      </w:r>
      <w:r w:rsidR="00C21460" w:rsidRPr="00F8240E">
        <w:rPr>
          <w:rFonts w:ascii="Times New Roman" w:hAnsi="Times New Roman" w:cs="Times New Roman"/>
          <w:sz w:val="24"/>
          <w:szCs w:val="24"/>
        </w:rPr>
        <w:t>he Reagan re</w:t>
      </w:r>
      <w:r w:rsidR="005D039F" w:rsidRPr="00F8240E">
        <w:rPr>
          <w:rFonts w:ascii="Times New Roman" w:hAnsi="Times New Roman" w:cs="Times New Roman"/>
          <w:sz w:val="24"/>
          <w:szCs w:val="24"/>
        </w:rPr>
        <w:t xml:space="preserve">commodification had a general and targeted element. The former involved </w:t>
      </w:r>
      <w:r w:rsidR="00C21460" w:rsidRPr="00F8240E">
        <w:rPr>
          <w:rFonts w:ascii="Times New Roman" w:hAnsi="Times New Roman" w:cs="Times New Roman"/>
          <w:sz w:val="24"/>
          <w:szCs w:val="24"/>
        </w:rPr>
        <w:t xml:space="preserve">a six-month delay in </w:t>
      </w:r>
      <w:r w:rsidR="005D039F" w:rsidRPr="00F8240E">
        <w:rPr>
          <w:rFonts w:ascii="Times New Roman" w:hAnsi="Times New Roman" w:cs="Times New Roman"/>
          <w:sz w:val="24"/>
          <w:szCs w:val="24"/>
        </w:rPr>
        <w:t>Social Security</w:t>
      </w:r>
      <w:r w:rsidR="00C21460" w:rsidRPr="00F8240E">
        <w:rPr>
          <w:rFonts w:ascii="Times New Roman" w:hAnsi="Times New Roman" w:cs="Times New Roman"/>
          <w:sz w:val="24"/>
          <w:szCs w:val="24"/>
        </w:rPr>
        <w:t xml:space="preserve"> cost of living adjustment</w:t>
      </w:r>
      <w:r w:rsidR="008B64AC" w:rsidRPr="00F8240E">
        <w:rPr>
          <w:rFonts w:ascii="Times New Roman" w:hAnsi="Times New Roman" w:cs="Times New Roman"/>
          <w:sz w:val="24"/>
          <w:szCs w:val="24"/>
        </w:rPr>
        <w:t>s</w:t>
      </w:r>
      <w:r w:rsidR="00C21460" w:rsidRPr="00F8240E">
        <w:rPr>
          <w:rFonts w:ascii="Times New Roman" w:hAnsi="Times New Roman" w:cs="Times New Roman"/>
          <w:sz w:val="24"/>
          <w:szCs w:val="24"/>
        </w:rPr>
        <w:t xml:space="preserve"> (COLA)</w:t>
      </w:r>
      <w:r w:rsidR="005D039F" w:rsidRPr="00F8240E">
        <w:rPr>
          <w:rFonts w:ascii="Times New Roman" w:hAnsi="Times New Roman" w:cs="Times New Roman"/>
          <w:sz w:val="24"/>
          <w:szCs w:val="24"/>
        </w:rPr>
        <w:t xml:space="preserve">; the latter involved </w:t>
      </w:r>
      <w:r w:rsidR="00C21460" w:rsidRPr="00F8240E">
        <w:rPr>
          <w:rFonts w:ascii="Times New Roman" w:hAnsi="Times New Roman" w:cs="Times New Roman"/>
          <w:sz w:val="24"/>
          <w:szCs w:val="24"/>
        </w:rPr>
        <w:t>the taxing of pensions such that individuals with gross incomes over $25,000 had to pay tax on 50 per cent of their pension (Pierson</w:t>
      </w:r>
      <w:r w:rsidR="00770B82" w:rsidRPr="00F8240E">
        <w:rPr>
          <w:rFonts w:ascii="Times New Roman" w:hAnsi="Times New Roman" w:cs="Times New Roman"/>
          <w:sz w:val="24"/>
          <w:szCs w:val="24"/>
        </w:rPr>
        <w:t>,</w:t>
      </w:r>
      <w:r w:rsidR="00C21460" w:rsidRPr="00F8240E">
        <w:rPr>
          <w:rFonts w:ascii="Times New Roman" w:hAnsi="Times New Roman" w:cs="Times New Roman"/>
          <w:sz w:val="24"/>
          <w:szCs w:val="24"/>
        </w:rPr>
        <w:t xml:space="preserve"> 199</w:t>
      </w:r>
      <w:r w:rsidR="001638FE" w:rsidRPr="00F8240E">
        <w:rPr>
          <w:rFonts w:ascii="Times New Roman" w:hAnsi="Times New Roman" w:cs="Times New Roman"/>
          <w:sz w:val="24"/>
          <w:szCs w:val="24"/>
        </w:rPr>
        <w:t>4:</w:t>
      </w:r>
      <w:r w:rsidR="00C21460" w:rsidRPr="00F8240E">
        <w:rPr>
          <w:rFonts w:ascii="Times New Roman" w:hAnsi="Times New Roman" w:cs="Times New Roman"/>
          <w:sz w:val="24"/>
          <w:szCs w:val="24"/>
        </w:rPr>
        <w:t xml:space="preserve"> 67)</w:t>
      </w:r>
      <w:r w:rsidR="008B64AC" w:rsidRPr="00F8240E">
        <w:rPr>
          <w:rFonts w:ascii="Times New Roman" w:hAnsi="Times New Roman" w:cs="Times New Roman"/>
          <w:sz w:val="24"/>
          <w:szCs w:val="24"/>
        </w:rPr>
        <w:t>, affecting b</w:t>
      </w:r>
      <w:r w:rsidR="00C21460" w:rsidRPr="00F8240E">
        <w:rPr>
          <w:rFonts w:ascii="Times New Roman" w:hAnsi="Times New Roman" w:cs="Times New Roman"/>
          <w:sz w:val="24"/>
          <w:szCs w:val="24"/>
        </w:rPr>
        <w:t xml:space="preserve">y the early 1990s under 20 per cent of pensioners. </w:t>
      </w:r>
      <w:r w:rsidR="005D039F" w:rsidRPr="00F8240E">
        <w:rPr>
          <w:rFonts w:ascii="Times New Roman" w:hAnsi="Times New Roman" w:cs="Times New Roman"/>
          <w:sz w:val="24"/>
          <w:szCs w:val="24"/>
        </w:rPr>
        <w:t>A</w:t>
      </w:r>
      <w:r w:rsidR="00C21460" w:rsidRPr="00F8240E">
        <w:rPr>
          <w:rFonts w:ascii="Times New Roman" w:hAnsi="Times New Roman" w:cs="Times New Roman"/>
          <w:sz w:val="24"/>
          <w:szCs w:val="24"/>
        </w:rPr>
        <w:t xml:space="preserve"> secondary threshold </w:t>
      </w:r>
      <w:r w:rsidR="005D039F" w:rsidRPr="00F8240E">
        <w:rPr>
          <w:rFonts w:ascii="Times New Roman" w:hAnsi="Times New Roman" w:cs="Times New Roman"/>
          <w:sz w:val="24"/>
          <w:szCs w:val="24"/>
        </w:rPr>
        <w:t xml:space="preserve">of $34,000 </w:t>
      </w:r>
      <w:r w:rsidR="00C21460" w:rsidRPr="00F8240E">
        <w:rPr>
          <w:rFonts w:ascii="Times New Roman" w:hAnsi="Times New Roman" w:cs="Times New Roman"/>
          <w:sz w:val="24"/>
          <w:szCs w:val="24"/>
        </w:rPr>
        <w:t xml:space="preserve">was added </w:t>
      </w:r>
      <w:r w:rsidR="005D039F" w:rsidRPr="00F8240E">
        <w:rPr>
          <w:rFonts w:ascii="Times New Roman" w:hAnsi="Times New Roman" w:cs="Times New Roman"/>
          <w:sz w:val="24"/>
          <w:szCs w:val="24"/>
        </w:rPr>
        <w:t xml:space="preserve">in 1993, </w:t>
      </w:r>
      <w:r w:rsidR="00C21460" w:rsidRPr="00F8240E">
        <w:rPr>
          <w:rFonts w:ascii="Times New Roman" w:hAnsi="Times New Roman" w:cs="Times New Roman"/>
          <w:sz w:val="24"/>
          <w:szCs w:val="24"/>
        </w:rPr>
        <w:t xml:space="preserve">above </w:t>
      </w:r>
      <w:r w:rsidR="00E4725E" w:rsidRPr="00F8240E">
        <w:rPr>
          <w:rFonts w:ascii="Times New Roman" w:hAnsi="Times New Roman" w:cs="Times New Roman"/>
          <w:sz w:val="24"/>
          <w:szCs w:val="24"/>
        </w:rPr>
        <w:t xml:space="preserve">which </w:t>
      </w:r>
      <w:r w:rsidR="005D039F" w:rsidRPr="00F8240E">
        <w:rPr>
          <w:rFonts w:ascii="Times New Roman" w:hAnsi="Times New Roman" w:cs="Times New Roman"/>
          <w:sz w:val="24"/>
          <w:szCs w:val="24"/>
        </w:rPr>
        <w:t xml:space="preserve">tax was payable on </w:t>
      </w:r>
      <w:r w:rsidR="00C21460" w:rsidRPr="00F8240E">
        <w:rPr>
          <w:rFonts w:ascii="Times New Roman" w:hAnsi="Times New Roman" w:cs="Times New Roman"/>
          <w:sz w:val="24"/>
          <w:szCs w:val="24"/>
        </w:rPr>
        <w:t>85 per cent of the</w:t>
      </w:r>
      <w:r w:rsidR="005D039F" w:rsidRPr="00F8240E">
        <w:rPr>
          <w:rFonts w:ascii="Times New Roman" w:hAnsi="Times New Roman" w:cs="Times New Roman"/>
          <w:sz w:val="24"/>
          <w:szCs w:val="24"/>
        </w:rPr>
        <w:t xml:space="preserve"> individual’s</w:t>
      </w:r>
      <w:r w:rsidR="00C21460" w:rsidRPr="00F8240E">
        <w:rPr>
          <w:rFonts w:ascii="Times New Roman" w:hAnsi="Times New Roman" w:cs="Times New Roman"/>
          <w:sz w:val="24"/>
          <w:szCs w:val="24"/>
        </w:rPr>
        <w:t xml:space="preserve"> pension (De Witt</w:t>
      </w:r>
      <w:r w:rsidR="00770B82" w:rsidRPr="00F8240E">
        <w:rPr>
          <w:rFonts w:ascii="Times New Roman" w:hAnsi="Times New Roman" w:cs="Times New Roman"/>
          <w:sz w:val="24"/>
          <w:szCs w:val="24"/>
        </w:rPr>
        <w:t>,</w:t>
      </w:r>
      <w:r w:rsidR="00C21460" w:rsidRPr="00F8240E">
        <w:rPr>
          <w:rFonts w:ascii="Times New Roman" w:hAnsi="Times New Roman" w:cs="Times New Roman"/>
          <w:sz w:val="24"/>
          <w:szCs w:val="24"/>
        </w:rPr>
        <w:t xml:space="preserve"> </w:t>
      </w:r>
      <w:r w:rsidR="00DB605D" w:rsidRPr="00F8240E">
        <w:rPr>
          <w:rFonts w:ascii="Times New Roman" w:hAnsi="Times New Roman" w:cs="Times New Roman"/>
          <w:sz w:val="24"/>
          <w:szCs w:val="24"/>
        </w:rPr>
        <w:t>2010</w:t>
      </w:r>
      <w:r w:rsidR="00C21460" w:rsidRPr="00F8240E">
        <w:rPr>
          <w:rFonts w:ascii="Times New Roman" w:hAnsi="Times New Roman" w:cs="Times New Roman"/>
          <w:sz w:val="24"/>
          <w:szCs w:val="24"/>
        </w:rPr>
        <w:t xml:space="preserve">).  </w:t>
      </w:r>
      <w:r w:rsidR="00551CDF" w:rsidRPr="00F8240E">
        <w:rPr>
          <w:rFonts w:ascii="Times New Roman" w:hAnsi="Times New Roman" w:cs="Times New Roman"/>
          <w:sz w:val="24"/>
          <w:szCs w:val="24"/>
        </w:rPr>
        <w:t>More ambitious reform</w:t>
      </w:r>
      <w:r w:rsidR="00C21460" w:rsidRPr="00F8240E">
        <w:rPr>
          <w:rFonts w:ascii="Times New Roman" w:hAnsi="Times New Roman" w:cs="Times New Roman"/>
          <w:sz w:val="24"/>
          <w:szCs w:val="24"/>
        </w:rPr>
        <w:t xml:space="preserve"> efforts came to nothing</w:t>
      </w:r>
      <w:r w:rsidR="008B64AC" w:rsidRPr="00F8240E">
        <w:rPr>
          <w:rFonts w:ascii="Times New Roman" w:hAnsi="Times New Roman" w:cs="Times New Roman"/>
          <w:sz w:val="24"/>
          <w:szCs w:val="24"/>
        </w:rPr>
        <w:t xml:space="preserve">, and </w:t>
      </w:r>
      <w:r w:rsidR="00C21460" w:rsidRPr="00F8240E">
        <w:rPr>
          <w:rFonts w:ascii="Times New Roman" w:hAnsi="Times New Roman" w:cs="Times New Roman"/>
          <w:sz w:val="24"/>
          <w:szCs w:val="24"/>
        </w:rPr>
        <w:t>after the early 1980s</w:t>
      </w:r>
      <w:r w:rsidR="008B64AC" w:rsidRPr="00F8240E">
        <w:rPr>
          <w:rFonts w:ascii="Times New Roman" w:hAnsi="Times New Roman" w:cs="Times New Roman"/>
          <w:sz w:val="24"/>
          <w:szCs w:val="24"/>
        </w:rPr>
        <w:t xml:space="preserve"> </w:t>
      </w:r>
      <w:r w:rsidR="00C21460" w:rsidRPr="00F8240E">
        <w:rPr>
          <w:rFonts w:ascii="Times New Roman" w:hAnsi="Times New Roman" w:cs="Times New Roman"/>
          <w:sz w:val="24"/>
          <w:szCs w:val="24"/>
        </w:rPr>
        <w:t xml:space="preserve">pension indexing in line with inflation ensured </w:t>
      </w:r>
      <w:r w:rsidRPr="00F8240E">
        <w:rPr>
          <w:rFonts w:ascii="Times New Roman" w:hAnsi="Times New Roman" w:cs="Times New Roman"/>
          <w:sz w:val="24"/>
          <w:szCs w:val="24"/>
        </w:rPr>
        <w:t xml:space="preserve">standard </w:t>
      </w:r>
      <w:r w:rsidR="00C21460" w:rsidRPr="00F8240E">
        <w:rPr>
          <w:rFonts w:ascii="Times New Roman" w:hAnsi="Times New Roman" w:cs="Times New Roman"/>
          <w:sz w:val="24"/>
          <w:szCs w:val="24"/>
        </w:rPr>
        <w:t xml:space="preserve">replacement rates remained steady, and even rose somewhat from the mid-1990s given that real </w:t>
      </w:r>
      <w:r w:rsidR="00CA6988" w:rsidRPr="00F8240E">
        <w:rPr>
          <w:rFonts w:ascii="Times New Roman" w:hAnsi="Times New Roman" w:cs="Times New Roman"/>
          <w:sz w:val="24"/>
          <w:szCs w:val="24"/>
        </w:rPr>
        <w:t xml:space="preserve">median </w:t>
      </w:r>
      <w:r w:rsidR="00C21460" w:rsidRPr="00F8240E">
        <w:rPr>
          <w:rFonts w:ascii="Times New Roman" w:hAnsi="Times New Roman" w:cs="Times New Roman"/>
          <w:sz w:val="24"/>
          <w:szCs w:val="24"/>
        </w:rPr>
        <w:t xml:space="preserve">wages for middle income earners </w:t>
      </w:r>
      <w:r w:rsidR="00CA6988" w:rsidRPr="00F8240E">
        <w:rPr>
          <w:rFonts w:ascii="Times New Roman" w:hAnsi="Times New Roman" w:cs="Times New Roman"/>
          <w:sz w:val="24"/>
          <w:szCs w:val="24"/>
        </w:rPr>
        <w:t>were largely stagnant during this period</w:t>
      </w:r>
      <w:r w:rsidR="00C21460" w:rsidRPr="00F8240E">
        <w:rPr>
          <w:rFonts w:ascii="Times New Roman" w:hAnsi="Times New Roman" w:cs="Times New Roman"/>
          <w:sz w:val="24"/>
          <w:szCs w:val="24"/>
        </w:rPr>
        <w:t xml:space="preserve"> (</w:t>
      </w:r>
      <w:r w:rsidR="00CA6988" w:rsidRPr="00F8240E">
        <w:rPr>
          <w:rFonts w:ascii="Times New Roman" w:hAnsi="Times New Roman" w:cs="Times New Roman"/>
          <w:sz w:val="24"/>
          <w:szCs w:val="24"/>
        </w:rPr>
        <w:t>Semega</w:t>
      </w:r>
      <w:r w:rsidR="003B0CC0" w:rsidRPr="00F8240E">
        <w:rPr>
          <w:rFonts w:ascii="Times New Roman" w:hAnsi="Times New Roman" w:cs="Times New Roman"/>
          <w:sz w:val="24"/>
          <w:szCs w:val="24"/>
        </w:rPr>
        <w:t xml:space="preserve"> et al</w:t>
      </w:r>
      <w:r w:rsidR="00770B82" w:rsidRPr="00F8240E">
        <w:rPr>
          <w:rFonts w:ascii="Times New Roman" w:hAnsi="Times New Roman" w:cs="Times New Roman"/>
          <w:sz w:val="24"/>
          <w:szCs w:val="24"/>
        </w:rPr>
        <w:t>,</w:t>
      </w:r>
      <w:r w:rsidR="003B0CC0" w:rsidRPr="00F8240E">
        <w:rPr>
          <w:rFonts w:ascii="Times New Roman" w:hAnsi="Times New Roman" w:cs="Times New Roman"/>
          <w:sz w:val="24"/>
          <w:szCs w:val="24"/>
        </w:rPr>
        <w:t xml:space="preserve"> </w:t>
      </w:r>
      <w:r w:rsidR="00CA6988" w:rsidRPr="00F8240E">
        <w:rPr>
          <w:rFonts w:ascii="Times New Roman" w:hAnsi="Times New Roman" w:cs="Times New Roman"/>
          <w:sz w:val="24"/>
          <w:szCs w:val="24"/>
        </w:rPr>
        <w:t>2017)</w:t>
      </w:r>
      <w:r w:rsidR="008B64AC" w:rsidRPr="00F8240E">
        <w:rPr>
          <w:rFonts w:ascii="Times New Roman" w:hAnsi="Times New Roman" w:cs="Times New Roman"/>
          <w:sz w:val="24"/>
          <w:szCs w:val="24"/>
        </w:rPr>
        <w:t>.</w:t>
      </w:r>
    </w:p>
    <w:p w14:paraId="6E0DD21B" w14:textId="72D3485E" w:rsidR="00EE1220" w:rsidRPr="00F8240E" w:rsidRDefault="00EE1220"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Re</w:t>
      </w:r>
      <w:r w:rsidR="00E4725E" w:rsidRPr="00F8240E">
        <w:rPr>
          <w:rFonts w:ascii="Times New Roman" w:hAnsi="Times New Roman" w:cs="Times New Roman"/>
          <w:sz w:val="24"/>
          <w:szCs w:val="24"/>
        </w:rPr>
        <w:t>commodification</w:t>
      </w:r>
      <w:r w:rsidRPr="00F8240E">
        <w:rPr>
          <w:rFonts w:ascii="Times New Roman" w:hAnsi="Times New Roman" w:cs="Times New Roman"/>
          <w:sz w:val="24"/>
          <w:szCs w:val="24"/>
        </w:rPr>
        <w:t xml:space="preserve"> focused </w:t>
      </w:r>
      <w:r w:rsidR="00E4725E" w:rsidRPr="00F8240E">
        <w:rPr>
          <w:rFonts w:ascii="Times New Roman" w:hAnsi="Times New Roman" w:cs="Times New Roman"/>
          <w:sz w:val="24"/>
          <w:szCs w:val="24"/>
        </w:rPr>
        <w:t>instead</w:t>
      </w:r>
      <w:r w:rsidRPr="00F8240E">
        <w:rPr>
          <w:rFonts w:ascii="Times New Roman" w:hAnsi="Times New Roman" w:cs="Times New Roman"/>
          <w:sz w:val="24"/>
          <w:szCs w:val="24"/>
        </w:rPr>
        <w:t xml:space="preserve"> on the means-tested supplement to Social Security, access to – and the generosity of - which was made increasingly stringent (see figure</w:t>
      </w:r>
      <w:r w:rsidR="005072F3" w:rsidRPr="00F8240E">
        <w:rPr>
          <w:rFonts w:ascii="Times New Roman" w:hAnsi="Times New Roman" w:cs="Times New Roman"/>
          <w:sz w:val="24"/>
          <w:szCs w:val="24"/>
        </w:rPr>
        <w:t xml:space="preserve"> six</w:t>
      </w:r>
      <w:r w:rsidRPr="00F8240E">
        <w:rPr>
          <w:rFonts w:ascii="Times New Roman" w:hAnsi="Times New Roman" w:cs="Times New Roman"/>
          <w:sz w:val="24"/>
          <w:szCs w:val="24"/>
        </w:rPr>
        <w:t>; Lain et al</w:t>
      </w:r>
      <w:r w:rsidR="00770B82" w:rsidRPr="00F8240E">
        <w:rPr>
          <w:rFonts w:ascii="Times New Roman" w:hAnsi="Times New Roman" w:cs="Times New Roman"/>
          <w:sz w:val="24"/>
          <w:szCs w:val="24"/>
        </w:rPr>
        <w:t>,</w:t>
      </w:r>
      <w:r w:rsidRPr="00F8240E">
        <w:rPr>
          <w:rFonts w:ascii="Times New Roman" w:hAnsi="Times New Roman" w:cs="Times New Roman"/>
          <w:sz w:val="24"/>
          <w:szCs w:val="24"/>
        </w:rPr>
        <w:t xml:space="preserve"> 2013).</w:t>
      </w:r>
      <w:r w:rsidR="00E4725E" w:rsidRPr="00F8240E">
        <w:rPr>
          <w:rFonts w:ascii="Times New Roman" w:hAnsi="Times New Roman" w:cs="Times New Roman"/>
          <w:sz w:val="24"/>
          <w:szCs w:val="24"/>
        </w:rPr>
        <w:t xml:space="preserve"> This is evident in the CWED replacement rates of the minimum pension</w:t>
      </w:r>
      <w:r w:rsidR="005072F3" w:rsidRPr="00F8240E">
        <w:rPr>
          <w:rFonts w:ascii="Times New Roman" w:hAnsi="Times New Roman" w:cs="Times New Roman"/>
          <w:sz w:val="24"/>
          <w:szCs w:val="24"/>
        </w:rPr>
        <w:t xml:space="preserve"> (see figure six)</w:t>
      </w:r>
      <w:r w:rsidR="00E4725E" w:rsidRPr="00F8240E">
        <w:rPr>
          <w:rFonts w:ascii="Times New Roman" w:hAnsi="Times New Roman" w:cs="Times New Roman"/>
          <w:sz w:val="24"/>
          <w:szCs w:val="24"/>
        </w:rPr>
        <w:t>.</w:t>
      </w:r>
    </w:p>
    <w:p w14:paraId="4C8119E6" w14:textId="77777777" w:rsidR="00797316" w:rsidRPr="00F8240E" w:rsidRDefault="00797316" w:rsidP="00797316">
      <w:pPr>
        <w:spacing w:line="480" w:lineRule="auto"/>
        <w:jc w:val="both"/>
        <w:rPr>
          <w:rFonts w:ascii="Times New Roman" w:hAnsi="Times New Roman" w:cs="Times New Roman"/>
          <w:sz w:val="24"/>
          <w:szCs w:val="24"/>
        </w:rPr>
      </w:pPr>
    </w:p>
    <w:p w14:paraId="392BEB67" w14:textId="64F2AA6E" w:rsidR="00797316" w:rsidRPr="00F8240E" w:rsidRDefault="00797316" w:rsidP="00797316">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Figure six here </w:t>
      </w:r>
    </w:p>
    <w:bookmarkEnd w:id="18"/>
    <w:p w14:paraId="54F0A349" w14:textId="13A0C352" w:rsidR="00C21460" w:rsidRPr="00F8240E" w:rsidRDefault="00C21460" w:rsidP="004943B5">
      <w:pPr>
        <w:spacing w:line="480" w:lineRule="auto"/>
        <w:jc w:val="both"/>
        <w:rPr>
          <w:rFonts w:ascii="Times New Roman" w:hAnsi="Times New Roman" w:cs="Times New Roman"/>
          <w:i/>
          <w:sz w:val="24"/>
          <w:szCs w:val="24"/>
        </w:rPr>
      </w:pPr>
    </w:p>
    <w:p w14:paraId="1971E760" w14:textId="2EF05E3A" w:rsidR="00E2512D" w:rsidRPr="00F8240E" w:rsidRDefault="008B64AC"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3.3 </w:t>
      </w:r>
      <w:r w:rsidR="002A549D" w:rsidRPr="00F8240E">
        <w:rPr>
          <w:rFonts w:ascii="Times New Roman" w:hAnsi="Times New Roman" w:cs="Times New Roman"/>
          <w:sz w:val="24"/>
          <w:szCs w:val="24"/>
        </w:rPr>
        <w:t>Capitalisation</w:t>
      </w:r>
    </w:p>
    <w:p w14:paraId="1D9635EF" w14:textId="63B08003" w:rsidR="00E73BBC" w:rsidRPr="00F8240E" w:rsidRDefault="00E73BBC"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Attempts to expand private savings have occurred in all six countries since 1980. In most countries, these efforts </w:t>
      </w:r>
      <w:r w:rsidR="000F4924" w:rsidRPr="00F8240E">
        <w:rPr>
          <w:rFonts w:ascii="Times New Roman" w:hAnsi="Times New Roman" w:cs="Times New Roman"/>
          <w:sz w:val="24"/>
          <w:szCs w:val="24"/>
        </w:rPr>
        <w:t>were</w:t>
      </w:r>
      <w:r w:rsidRPr="00F8240E">
        <w:rPr>
          <w:rFonts w:ascii="Times New Roman" w:hAnsi="Times New Roman" w:cs="Times New Roman"/>
          <w:sz w:val="24"/>
          <w:szCs w:val="24"/>
        </w:rPr>
        <w:t xml:space="preserve"> limited, until recently, to fiscal incentives and market regulation, with emphasis </w:t>
      </w:r>
      <w:r w:rsidR="00EC3CDC" w:rsidRPr="00F8240E">
        <w:rPr>
          <w:rFonts w:ascii="Times New Roman" w:hAnsi="Times New Roman" w:cs="Times New Roman"/>
          <w:sz w:val="24"/>
          <w:szCs w:val="24"/>
        </w:rPr>
        <w:t>generally</w:t>
      </w:r>
      <w:r w:rsidRPr="00F8240E">
        <w:rPr>
          <w:rFonts w:ascii="Times New Roman" w:hAnsi="Times New Roman" w:cs="Times New Roman"/>
          <w:sz w:val="24"/>
          <w:szCs w:val="24"/>
        </w:rPr>
        <w:t xml:space="preserve"> placed on encouraging more individual</w:t>
      </w:r>
      <w:r w:rsidR="00770B82" w:rsidRPr="00F8240E">
        <w:rPr>
          <w:rFonts w:ascii="Times New Roman" w:hAnsi="Times New Roman" w:cs="Times New Roman"/>
          <w:sz w:val="24"/>
          <w:szCs w:val="24"/>
        </w:rPr>
        <w:t>ize</w:t>
      </w:r>
      <w:r w:rsidRPr="00F8240E">
        <w:rPr>
          <w:rFonts w:ascii="Times New Roman" w:hAnsi="Times New Roman" w:cs="Times New Roman"/>
          <w:sz w:val="24"/>
          <w:szCs w:val="24"/>
        </w:rPr>
        <w:t xml:space="preserve">d forms of private saving, separate from existing occupational provision. This approach has been particularly evident in Canada, Ireland, the UK and the USA where a range of fiscal and regulatory initiatives were taken </w:t>
      </w:r>
      <w:r w:rsidR="00F315F1" w:rsidRPr="00F8240E">
        <w:rPr>
          <w:rFonts w:ascii="Times New Roman" w:hAnsi="Times New Roman" w:cs="Times New Roman"/>
          <w:sz w:val="24"/>
          <w:szCs w:val="24"/>
        </w:rPr>
        <w:t xml:space="preserve">at various times </w:t>
      </w:r>
      <w:r w:rsidRPr="00F8240E">
        <w:rPr>
          <w:rFonts w:ascii="Times New Roman" w:hAnsi="Times New Roman" w:cs="Times New Roman"/>
          <w:sz w:val="24"/>
          <w:szCs w:val="24"/>
        </w:rPr>
        <w:t>between 1980 and the early 2000s to promote increased saving in personal pension products.</w:t>
      </w:r>
      <w:r w:rsidR="002A53A5" w:rsidRPr="00F8240E">
        <w:rPr>
          <w:rFonts w:ascii="Times New Roman" w:hAnsi="Times New Roman" w:cs="Times New Roman"/>
          <w:sz w:val="24"/>
          <w:szCs w:val="24"/>
        </w:rPr>
        <w:t xml:space="preserve"> </w:t>
      </w:r>
    </w:p>
    <w:p w14:paraId="649CC13D" w14:textId="67D6A04B" w:rsidR="00A21E5D" w:rsidRPr="00F8240E" w:rsidRDefault="00E73BBC"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Limitations of space preclude a full description of these efforts and their outcome</w:t>
      </w:r>
      <w:r w:rsidR="008B64AC" w:rsidRPr="00F8240E">
        <w:rPr>
          <w:rFonts w:ascii="Times New Roman" w:hAnsi="Times New Roman" w:cs="Times New Roman"/>
          <w:sz w:val="24"/>
          <w:szCs w:val="24"/>
        </w:rPr>
        <w:t>,</w:t>
      </w:r>
      <w:r w:rsidRPr="00F8240E">
        <w:rPr>
          <w:rStyle w:val="EndnoteReference"/>
          <w:rFonts w:ascii="Times New Roman" w:hAnsi="Times New Roman" w:cs="Times New Roman"/>
          <w:sz w:val="24"/>
          <w:szCs w:val="24"/>
        </w:rPr>
        <w:endnoteReference w:id="6"/>
      </w:r>
      <w:r w:rsidRPr="00F8240E">
        <w:rPr>
          <w:rFonts w:ascii="Times New Roman" w:hAnsi="Times New Roman" w:cs="Times New Roman"/>
          <w:sz w:val="24"/>
          <w:szCs w:val="24"/>
        </w:rPr>
        <w:t xml:space="preserve"> but what is clear in terms of the concerns of this paper is</w:t>
      </w:r>
      <w:r w:rsidR="002A53A5" w:rsidRPr="00F8240E">
        <w:rPr>
          <w:rFonts w:ascii="Times New Roman" w:hAnsi="Times New Roman" w:cs="Times New Roman"/>
          <w:sz w:val="24"/>
          <w:szCs w:val="24"/>
        </w:rPr>
        <w:t xml:space="preserve"> that</w:t>
      </w:r>
      <w:r w:rsidR="009443E2" w:rsidRPr="00F8240E">
        <w:rPr>
          <w:rFonts w:ascii="Times New Roman" w:hAnsi="Times New Roman" w:cs="Times New Roman"/>
          <w:sz w:val="24"/>
          <w:szCs w:val="24"/>
        </w:rPr>
        <w:t xml:space="preserve"> in Canada, the UK and the USA</w:t>
      </w:r>
      <w:r w:rsidR="002A53A5" w:rsidRPr="00F8240E">
        <w:rPr>
          <w:rFonts w:ascii="Times New Roman" w:hAnsi="Times New Roman" w:cs="Times New Roman"/>
          <w:sz w:val="24"/>
          <w:szCs w:val="24"/>
        </w:rPr>
        <w:t>, these initiatives</w:t>
      </w:r>
      <w:r w:rsidRPr="00F8240E">
        <w:rPr>
          <w:rFonts w:ascii="Times New Roman" w:hAnsi="Times New Roman" w:cs="Times New Roman"/>
          <w:sz w:val="24"/>
          <w:szCs w:val="24"/>
        </w:rPr>
        <w:t xml:space="preserve"> </w:t>
      </w:r>
      <w:r w:rsidR="002A53A5" w:rsidRPr="00F8240E">
        <w:rPr>
          <w:rFonts w:ascii="Times New Roman" w:hAnsi="Times New Roman" w:cs="Times New Roman"/>
          <w:sz w:val="24"/>
          <w:szCs w:val="24"/>
        </w:rPr>
        <w:t>were explicitly regarded (particularly on the political right) as substitut</w:t>
      </w:r>
      <w:r w:rsidR="00911BA4" w:rsidRPr="00F8240E">
        <w:rPr>
          <w:rFonts w:ascii="Times New Roman" w:hAnsi="Times New Roman" w:cs="Times New Roman"/>
          <w:sz w:val="24"/>
          <w:szCs w:val="24"/>
        </w:rPr>
        <w:t>ive of</w:t>
      </w:r>
      <w:r w:rsidR="002A53A5" w:rsidRPr="00F8240E">
        <w:rPr>
          <w:rFonts w:ascii="Times New Roman" w:hAnsi="Times New Roman" w:cs="Times New Roman"/>
          <w:sz w:val="24"/>
          <w:szCs w:val="24"/>
        </w:rPr>
        <w:t>, rather than complement</w:t>
      </w:r>
      <w:r w:rsidR="00911BA4" w:rsidRPr="00F8240E">
        <w:rPr>
          <w:rFonts w:ascii="Times New Roman" w:hAnsi="Times New Roman" w:cs="Times New Roman"/>
          <w:sz w:val="24"/>
          <w:szCs w:val="24"/>
        </w:rPr>
        <w:t xml:space="preserve">ary to, </w:t>
      </w:r>
      <w:r w:rsidR="002A53A5" w:rsidRPr="00F8240E">
        <w:rPr>
          <w:rFonts w:ascii="Times New Roman" w:hAnsi="Times New Roman" w:cs="Times New Roman"/>
          <w:sz w:val="24"/>
          <w:szCs w:val="24"/>
        </w:rPr>
        <w:t xml:space="preserve">public provision. In the USA </w:t>
      </w:r>
      <w:r w:rsidR="00A21E5D" w:rsidRPr="00F8240E">
        <w:rPr>
          <w:rFonts w:ascii="Times New Roman" w:hAnsi="Times New Roman" w:cs="Times New Roman"/>
          <w:sz w:val="24"/>
          <w:szCs w:val="24"/>
        </w:rPr>
        <w:t xml:space="preserve">the rise of IRAs and 401(k) pensions </w:t>
      </w:r>
      <w:r w:rsidR="002A53A5" w:rsidRPr="00F8240E">
        <w:rPr>
          <w:rFonts w:ascii="Times New Roman" w:hAnsi="Times New Roman" w:cs="Times New Roman"/>
          <w:sz w:val="24"/>
          <w:szCs w:val="24"/>
        </w:rPr>
        <w:t>successfully increased</w:t>
      </w:r>
      <w:r w:rsidR="00A21E5D" w:rsidRPr="00F8240E">
        <w:rPr>
          <w:rFonts w:ascii="Times New Roman" w:hAnsi="Times New Roman" w:cs="Times New Roman"/>
          <w:sz w:val="24"/>
          <w:szCs w:val="24"/>
        </w:rPr>
        <w:t xml:space="preserve"> quite substantially</w:t>
      </w:r>
      <w:r w:rsidR="002A53A5" w:rsidRPr="00F8240E">
        <w:rPr>
          <w:rFonts w:ascii="Times New Roman" w:hAnsi="Times New Roman" w:cs="Times New Roman"/>
          <w:sz w:val="24"/>
          <w:szCs w:val="24"/>
        </w:rPr>
        <w:t xml:space="preserve"> more personal</w:t>
      </w:r>
      <w:r w:rsidR="00770B82" w:rsidRPr="00F8240E">
        <w:rPr>
          <w:rFonts w:ascii="Times New Roman" w:hAnsi="Times New Roman" w:cs="Times New Roman"/>
          <w:sz w:val="24"/>
          <w:szCs w:val="24"/>
        </w:rPr>
        <w:t>ize</w:t>
      </w:r>
      <w:r w:rsidR="002A53A5" w:rsidRPr="00F8240E">
        <w:rPr>
          <w:rFonts w:ascii="Times New Roman" w:hAnsi="Times New Roman" w:cs="Times New Roman"/>
          <w:sz w:val="24"/>
          <w:szCs w:val="24"/>
        </w:rPr>
        <w:t>d forms of private saving from the late 1980</w:t>
      </w:r>
      <w:r w:rsidR="00A21E5D" w:rsidRPr="00F8240E">
        <w:rPr>
          <w:rFonts w:ascii="Times New Roman" w:hAnsi="Times New Roman" w:cs="Times New Roman"/>
          <w:sz w:val="24"/>
          <w:szCs w:val="24"/>
        </w:rPr>
        <w:t>s</w:t>
      </w:r>
      <w:r w:rsidR="001638FE" w:rsidRPr="00F8240E">
        <w:rPr>
          <w:rFonts w:ascii="Times New Roman" w:hAnsi="Times New Roman" w:cs="Times New Roman"/>
          <w:sz w:val="24"/>
          <w:szCs w:val="24"/>
        </w:rPr>
        <w:t xml:space="preserve"> (Hacker, 2002)</w:t>
      </w:r>
      <w:r w:rsidR="002A53A5" w:rsidRPr="00F8240E">
        <w:rPr>
          <w:rFonts w:ascii="Times New Roman" w:hAnsi="Times New Roman" w:cs="Times New Roman"/>
          <w:sz w:val="24"/>
          <w:szCs w:val="24"/>
        </w:rPr>
        <w:t xml:space="preserve">. </w:t>
      </w:r>
      <w:r w:rsidR="002F506F" w:rsidRPr="00F8240E">
        <w:rPr>
          <w:rFonts w:ascii="Times New Roman" w:hAnsi="Times New Roman" w:cs="Times New Roman"/>
          <w:sz w:val="24"/>
          <w:szCs w:val="24"/>
        </w:rPr>
        <w:t xml:space="preserve">Thus, between 1984 and 2000 </w:t>
      </w:r>
      <w:r w:rsidR="00F315F1" w:rsidRPr="00F8240E">
        <w:rPr>
          <w:rFonts w:ascii="Times New Roman" w:hAnsi="Times New Roman" w:cs="Times New Roman"/>
          <w:sz w:val="24"/>
          <w:szCs w:val="24"/>
        </w:rPr>
        <w:t xml:space="preserve">total </w:t>
      </w:r>
      <w:r w:rsidR="002F506F" w:rsidRPr="00F8240E">
        <w:rPr>
          <w:rFonts w:ascii="Times New Roman" w:hAnsi="Times New Roman" w:cs="Times New Roman"/>
          <w:sz w:val="24"/>
          <w:szCs w:val="24"/>
        </w:rPr>
        <w:t>contributions to 4</w:t>
      </w:r>
      <w:r w:rsidR="00F315F1" w:rsidRPr="00F8240E">
        <w:rPr>
          <w:rFonts w:ascii="Times New Roman" w:hAnsi="Times New Roman" w:cs="Times New Roman"/>
          <w:sz w:val="24"/>
          <w:szCs w:val="24"/>
        </w:rPr>
        <w:t>01</w:t>
      </w:r>
      <w:r w:rsidR="002F506F" w:rsidRPr="00F8240E">
        <w:rPr>
          <w:rFonts w:ascii="Times New Roman" w:hAnsi="Times New Roman" w:cs="Times New Roman"/>
          <w:sz w:val="24"/>
          <w:szCs w:val="24"/>
        </w:rPr>
        <w:t>(k) pensions increased by more than 900 per cent (US Department of Labor</w:t>
      </w:r>
      <w:r w:rsidR="00F315F1" w:rsidRPr="00F8240E">
        <w:rPr>
          <w:rFonts w:ascii="Times New Roman" w:hAnsi="Times New Roman" w:cs="Times New Roman"/>
          <w:sz w:val="24"/>
          <w:szCs w:val="24"/>
        </w:rPr>
        <w:t>, 2018: 25</w:t>
      </w:r>
      <w:r w:rsidR="002F506F" w:rsidRPr="00F8240E">
        <w:rPr>
          <w:rFonts w:ascii="Times New Roman" w:hAnsi="Times New Roman" w:cs="Times New Roman"/>
          <w:sz w:val="24"/>
          <w:szCs w:val="24"/>
        </w:rPr>
        <w:t>).</w:t>
      </w:r>
      <w:r w:rsidR="002A53A5" w:rsidRPr="00F8240E">
        <w:rPr>
          <w:rFonts w:ascii="Times New Roman" w:hAnsi="Times New Roman" w:cs="Times New Roman"/>
          <w:sz w:val="24"/>
          <w:szCs w:val="24"/>
        </w:rPr>
        <w:t xml:space="preserve"> In the UK, financial</w:t>
      </w:r>
      <w:r w:rsidR="00A21E5D" w:rsidRPr="00F8240E">
        <w:rPr>
          <w:rFonts w:ascii="Times New Roman" w:hAnsi="Times New Roman" w:cs="Times New Roman"/>
          <w:sz w:val="24"/>
          <w:szCs w:val="24"/>
        </w:rPr>
        <w:t xml:space="preserve"> </w:t>
      </w:r>
      <w:r w:rsidR="002A53A5" w:rsidRPr="00F8240E">
        <w:rPr>
          <w:rFonts w:ascii="Times New Roman" w:hAnsi="Times New Roman" w:cs="Times New Roman"/>
          <w:sz w:val="24"/>
          <w:szCs w:val="24"/>
        </w:rPr>
        <w:t>inducements in the late 1980s encouraging contracting-out from SERPS using personal pensions w</w:t>
      </w:r>
      <w:r w:rsidR="00911BA4" w:rsidRPr="00F8240E">
        <w:rPr>
          <w:rFonts w:ascii="Times New Roman" w:hAnsi="Times New Roman" w:cs="Times New Roman"/>
          <w:sz w:val="24"/>
          <w:szCs w:val="24"/>
        </w:rPr>
        <w:t>ere</w:t>
      </w:r>
      <w:r w:rsidR="002A53A5" w:rsidRPr="00F8240E">
        <w:rPr>
          <w:rFonts w:ascii="Times New Roman" w:hAnsi="Times New Roman" w:cs="Times New Roman"/>
          <w:sz w:val="24"/>
          <w:szCs w:val="24"/>
        </w:rPr>
        <w:t xml:space="preserve"> also initially very successful</w:t>
      </w:r>
      <w:r w:rsidR="002F506F" w:rsidRPr="00F8240E">
        <w:rPr>
          <w:rFonts w:ascii="Times New Roman" w:hAnsi="Times New Roman" w:cs="Times New Roman"/>
          <w:sz w:val="24"/>
          <w:szCs w:val="24"/>
        </w:rPr>
        <w:t xml:space="preserve">, with </w:t>
      </w:r>
      <w:r w:rsidR="00F315F1" w:rsidRPr="00F8240E">
        <w:rPr>
          <w:rFonts w:ascii="Times New Roman" w:hAnsi="Times New Roman" w:cs="Times New Roman"/>
          <w:sz w:val="24"/>
          <w:szCs w:val="24"/>
        </w:rPr>
        <w:t xml:space="preserve">individual </w:t>
      </w:r>
      <w:r w:rsidR="002F506F" w:rsidRPr="00F8240E">
        <w:rPr>
          <w:rFonts w:ascii="Times New Roman" w:hAnsi="Times New Roman" w:cs="Times New Roman"/>
          <w:sz w:val="24"/>
          <w:szCs w:val="24"/>
        </w:rPr>
        <w:t xml:space="preserve">contributions increasing </w:t>
      </w:r>
      <w:r w:rsidR="00F315F1" w:rsidRPr="00F8240E">
        <w:rPr>
          <w:rFonts w:ascii="Times New Roman" w:hAnsi="Times New Roman" w:cs="Times New Roman"/>
          <w:sz w:val="24"/>
          <w:szCs w:val="24"/>
        </w:rPr>
        <w:t xml:space="preserve">by more than 300 per cent </w:t>
      </w:r>
      <w:r w:rsidR="00911BA4" w:rsidRPr="00F8240E">
        <w:rPr>
          <w:rFonts w:ascii="Times New Roman" w:hAnsi="Times New Roman" w:cs="Times New Roman"/>
          <w:sz w:val="24"/>
          <w:szCs w:val="24"/>
        </w:rPr>
        <w:t>(</w:t>
      </w:r>
      <w:r w:rsidR="00F315F1" w:rsidRPr="00F8240E">
        <w:rPr>
          <w:rFonts w:ascii="Times New Roman" w:hAnsi="Times New Roman" w:cs="Times New Roman"/>
          <w:sz w:val="24"/>
          <w:szCs w:val="24"/>
        </w:rPr>
        <w:t xml:space="preserve">Her Majesty’s Revenue and Customs, 2018: 18; </w:t>
      </w:r>
      <w:r w:rsidR="00911BA4" w:rsidRPr="00F8240E">
        <w:rPr>
          <w:rFonts w:ascii="Times New Roman" w:hAnsi="Times New Roman" w:cs="Times New Roman"/>
          <w:sz w:val="24"/>
          <w:szCs w:val="24"/>
        </w:rPr>
        <w:t>Waine, 1995; on</w:t>
      </w:r>
      <w:r w:rsidR="002A53A5" w:rsidRPr="00F8240E">
        <w:rPr>
          <w:rFonts w:ascii="Times New Roman" w:hAnsi="Times New Roman" w:cs="Times New Roman"/>
          <w:sz w:val="24"/>
          <w:szCs w:val="24"/>
        </w:rPr>
        <w:t xml:space="preserve"> Canada</w:t>
      </w:r>
      <w:r w:rsidR="00911BA4" w:rsidRPr="00F8240E">
        <w:rPr>
          <w:rFonts w:ascii="Times New Roman" w:hAnsi="Times New Roman" w:cs="Times New Roman"/>
          <w:sz w:val="24"/>
          <w:szCs w:val="24"/>
        </w:rPr>
        <w:t>, see Myles, 2013: 326).</w:t>
      </w:r>
      <w:r w:rsidR="002A53A5" w:rsidRPr="00F8240E">
        <w:rPr>
          <w:rFonts w:ascii="Times New Roman" w:hAnsi="Times New Roman" w:cs="Times New Roman"/>
          <w:sz w:val="24"/>
          <w:szCs w:val="24"/>
        </w:rPr>
        <w:t xml:space="preserve"> </w:t>
      </w:r>
    </w:p>
    <w:p w14:paraId="269FDB68" w14:textId="74479E65" w:rsidR="00E73BBC" w:rsidRPr="00F8240E" w:rsidRDefault="002A53A5"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Nevertheless, despite these successes</w:t>
      </w:r>
      <w:r w:rsidR="00911BA4"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E4725E" w:rsidRPr="00F8240E">
        <w:rPr>
          <w:rFonts w:ascii="Times New Roman" w:hAnsi="Times New Roman" w:cs="Times New Roman"/>
          <w:sz w:val="24"/>
          <w:szCs w:val="24"/>
        </w:rPr>
        <w:t xml:space="preserve">subsequent </w:t>
      </w:r>
      <w:r w:rsidR="00E73BBC" w:rsidRPr="00F8240E">
        <w:rPr>
          <w:rFonts w:ascii="Times New Roman" w:hAnsi="Times New Roman" w:cs="Times New Roman"/>
          <w:sz w:val="24"/>
          <w:szCs w:val="24"/>
        </w:rPr>
        <w:t xml:space="preserve">attempts </w:t>
      </w:r>
      <w:r w:rsidR="00E56F96" w:rsidRPr="00F8240E">
        <w:rPr>
          <w:rFonts w:ascii="Times New Roman" w:hAnsi="Times New Roman" w:cs="Times New Roman"/>
          <w:sz w:val="24"/>
          <w:szCs w:val="24"/>
        </w:rPr>
        <w:t xml:space="preserve">to </w:t>
      </w:r>
      <w:r w:rsidR="00E73BBC" w:rsidRPr="00F8240E">
        <w:rPr>
          <w:rFonts w:ascii="Times New Roman" w:hAnsi="Times New Roman" w:cs="Times New Roman"/>
          <w:sz w:val="24"/>
          <w:szCs w:val="24"/>
        </w:rPr>
        <w:t>us</w:t>
      </w:r>
      <w:r w:rsidR="00EC3CDC" w:rsidRPr="00F8240E">
        <w:rPr>
          <w:rFonts w:ascii="Times New Roman" w:hAnsi="Times New Roman" w:cs="Times New Roman"/>
          <w:sz w:val="24"/>
          <w:szCs w:val="24"/>
        </w:rPr>
        <w:t xml:space="preserve">e </w:t>
      </w:r>
      <w:r w:rsidR="00911BA4" w:rsidRPr="00F8240E">
        <w:rPr>
          <w:rFonts w:ascii="Times New Roman" w:hAnsi="Times New Roman" w:cs="Times New Roman"/>
          <w:sz w:val="24"/>
          <w:szCs w:val="24"/>
        </w:rPr>
        <w:t xml:space="preserve">them </w:t>
      </w:r>
      <w:r w:rsidR="00E73BBC" w:rsidRPr="00F8240E">
        <w:rPr>
          <w:rFonts w:ascii="Times New Roman" w:hAnsi="Times New Roman" w:cs="Times New Roman"/>
          <w:sz w:val="24"/>
          <w:szCs w:val="24"/>
        </w:rPr>
        <w:t xml:space="preserve">as the foundation for </w:t>
      </w:r>
      <w:r w:rsidR="00911BA4" w:rsidRPr="00F8240E">
        <w:rPr>
          <w:rFonts w:ascii="Times New Roman" w:hAnsi="Times New Roman" w:cs="Times New Roman"/>
          <w:sz w:val="24"/>
          <w:szCs w:val="24"/>
        </w:rPr>
        <w:t xml:space="preserve">greater </w:t>
      </w:r>
      <w:r w:rsidR="00E73BBC" w:rsidRPr="00F8240E">
        <w:rPr>
          <w:rFonts w:ascii="Times New Roman" w:hAnsi="Times New Roman" w:cs="Times New Roman"/>
          <w:sz w:val="24"/>
          <w:szCs w:val="24"/>
        </w:rPr>
        <w:t>privat</w:t>
      </w:r>
      <w:r w:rsidR="00770B82" w:rsidRPr="00F8240E">
        <w:rPr>
          <w:rFonts w:ascii="Times New Roman" w:hAnsi="Times New Roman" w:cs="Times New Roman"/>
          <w:sz w:val="24"/>
          <w:szCs w:val="24"/>
        </w:rPr>
        <w:t>iz</w:t>
      </w:r>
      <w:r w:rsidR="00911BA4" w:rsidRPr="00F8240E">
        <w:rPr>
          <w:rFonts w:ascii="Times New Roman" w:hAnsi="Times New Roman" w:cs="Times New Roman"/>
          <w:sz w:val="24"/>
          <w:szCs w:val="24"/>
        </w:rPr>
        <w:t>ation of</w:t>
      </w:r>
      <w:r w:rsidR="00E73BBC" w:rsidRPr="00F8240E">
        <w:rPr>
          <w:rFonts w:ascii="Times New Roman" w:hAnsi="Times New Roman" w:cs="Times New Roman"/>
          <w:sz w:val="24"/>
          <w:szCs w:val="24"/>
        </w:rPr>
        <w:t xml:space="preserve"> public schemes</w:t>
      </w:r>
      <w:r w:rsidR="00E56F96" w:rsidRPr="00F8240E">
        <w:rPr>
          <w:rFonts w:ascii="Times New Roman" w:hAnsi="Times New Roman" w:cs="Times New Roman"/>
          <w:sz w:val="24"/>
          <w:szCs w:val="24"/>
        </w:rPr>
        <w:t xml:space="preserve"> </w:t>
      </w:r>
      <w:r w:rsidR="00911BA4" w:rsidRPr="00F8240E">
        <w:rPr>
          <w:rFonts w:ascii="Times New Roman" w:hAnsi="Times New Roman" w:cs="Times New Roman"/>
          <w:sz w:val="24"/>
          <w:szCs w:val="24"/>
        </w:rPr>
        <w:t>failed</w:t>
      </w:r>
      <w:r w:rsidR="00E73BBC" w:rsidRPr="00F8240E">
        <w:rPr>
          <w:rFonts w:ascii="Times New Roman" w:hAnsi="Times New Roman" w:cs="Times New Roman"/>
          <w:sz w:val="24"/>
          <w:szCs w:val="24"/>
        </w:rPr>
        <w:t xml:space="preserve">. </w:t>
      </w:r>
      <w:r w:rsidR="00EC3CDC" w:rsidRPr="00F8240E">
        <w:rPr>
          <w:rFonts w:ascii="Times New Roman" w:hAnsi="Times New Roman" w:cs="Times New Roman"/>
          <w:sz w:val="24"/>
          <w:szCs w:val="24"/>
        </w:rPr>
        <w:t>In</w:t>
      </w:r>
      <w:r w:rsidR="00E73BBC" w:rsidRPr="00F8240E">
        <w:rPr>
          <w:rFonts w:ascii="Times New Roman" w:hAnsi="Times New Roman" w:cs="Times New Roman"/>
          <w:sz w:val="24"/>
          <w:szCs w:val="24"/>
        </w:rPr>
        <w:t xml:space="preserve"> the US</w:t>
      </w:r>
      <w:r w:rsidR="00EC3CDC" w:rsidRPr="00F8240E">
        <w:rPr>
          <w:rFonts w:ascii="Times New Roman" w:hAnsi="Times New Roman" w:cs="Times New Roman"/>
          <w:sz w:val="24"/>
          <w:szCs w:val="24"/>
        </w:rPr>
        <w:t xml:space="preserve">, </w:t>
      </w:r>
      <w:r w:rsidR="00A21E5D" w:rsidRPr="00F8240E">
        <w:rPr>
          <w:rFonts w:ascii="Times New Roman" w:hAnsi="Times New Roman" w:cs="Times New Roman"/>
          <w:sz w:val="24"/>
          <w:szCs w:val="24"/>
        </w:rPr>
        <w:t>Social Security reform</w:t>
      </w:r>
      <w:r w:rsidR="00EC3CDC" w:rsidRPr="00F8240E">
        <w:rPr>
          <w:rFonts w:ascii="Times New Roman" w:hAnsi="Times New Roman" w:cs="Times New Roman"/>
          <w:sz w:val="24"/>
          <w:szCs w:val="24"/>
        </w:rPr>
        <w:t xml:space="preserve"> under the Reagan and </w:t>
      </w:r>
      <w:r w:rsidR="0090283B" w:rsidRPr="00F8240E">
        <w:rPr>
          <w:rFonts w:ascii="Times New Roman" w:hAnsi="Times New Roman" w:cs="Times New Roman"/>
          <w:sz w:val="24"/>
          <w:szCs w:val="24"/>
        </w:rPr>
        <w:t>Bush</w:t>
      </w:r>
      <w:r w:rsidR="00EC3CDC" w:rsidRPr="00F8240E">
        <w:rPr>
          <w:rFonts w:ascii="Times New Roman" w:hAnsi="Times New Roman" w:cs="Times New Roman"/>
          <w:sz w:val="24"/>
          <w:szCs w:val="24"/>
        </w:rPr>
        <w:t xml:space="preserve"> presidencies gained no traction (</w:t>
      </w:r>
      <w:r w:rsidR="001638FE" w:rsidRPr="00F8240E">
        <w:rPr>
          <w:rFonts w:ascii="Times New Roman" w:hAnsi="Times New Roman" w:cs="Times New Roman"/>
          <w:sz w:val="24"/>
          <w:szCs w:val="24"/>
        </w:rPr>
        <w:t>Hacker, 2001; Lain et al, 2013</w:t>
      </w:r>
      <w:r w:rsidR="00EC3CDC" w:rsidRPr="00F8240E">
        <w:rPr>
          <w:rFonts w:ascii="Times New Roman" w:hAnsi="Times New Roman" w:cs="Times New Roman"/>
          <w:sz w:val="24"/>
          <w:szCs w:val="24"/>
        </w:rPr>
        <w:t xml:space="preserve">). </w:t>
      </w:r>
      <w:r w:rsidR="00E73BBC" w:rsidRPr="00F8240E">
        <w:rPr>
          <w:rFonts w:ascii="Times New Roman" w:hAnsi="Times New Roman" w:cs="Times New Roman"/>
          <w:sz w:val="24"/>
          <w:szCs w:val="24"/>
        </w:rPr>
        <w:t>In Canada</w:t>
      </w:r>
      <w:r w:rsidR="00EC3CDC" w:rsidRPr="00F8240E">
        <w:rPr>
          <w:rFonts w:ascii="Times New Roman" w:hAnsi="Times New Roman" w:cs="Times New Roman"/>
          <w:sz w:val="24"/>
          <w:szCs w:val="24"/>
        </w:rPr>
        <w:t xml:space="preserve">, similar efforts sponsored by conservative think tanks and media </w:t>
      </w:r>
      <w:r w:rsidR="009C482B" w:rsidRPr="00F8240E">
        <w:rPr>
          <w:rFonts w:ascii="Times New Roman" w:hAnsi="Times New Roman" w:cs="Times New Roman"/>
          <w:sz w:val="24"/>
          <w:szCs w:val="24"/>
        </w:rPr>
        <w:t xml:space="preserve">in the late 1990s </w:t>
      </w:r>
      <w:r w:rsidR="00EC3CDC" w:rsidRPr="00F8240E">
        <w:rPr>
          <w:rFonts w:ascii="Times New Roman" w:hAnsi="Times New Roman" w:cs="Times New Roman"/>
          <w:sz w:val="24"/>
          <w:szCs w:val="24"/>
        </w:rPr>
        <w:t>were re</w:t>
      </w:r>
      <w:r w:rsidR="009C482B" w:rsidRPr="00F8240E">
        <w:rPr>
          <w:rFonts w:ascii="Times New Roman" w:hAnsi="Times New Roman" w:cs="Times New Roman"/>
          <w:sz w:val="24"/>
          <w:szCs w:val="24"/>
        </w:rPr>
        <w:t>pulsed (Myles</w:t>
      </w:r>
      <w:r w:rsidR="00770B82" w:rsidRPr="00F8240E">
        <w:rPr>
          <w:rFonts w:ascii="Times New Roman" w:hAnsi="Times New Roman" w:cs="Times New Roman"/>
          <w:sz w:val="24"/>
          <w:szCs w:val="24"/>
        </w:rPr>
        <w:t>,</w:t>
      </w:r>
      <w:r w:rsidR="009C482B" w:rsidRPr="00F8240E">
        <w:rPr>
          <w:rFonts w:ascii="Times New Roman" w:hAnsi="Times New Roman" w:cs="Times New Roman"/>
          <w:sz w:val="24"/>
          <w:szCs w:val="24"/>
        </w:rPr>
        <w:t xml:space="preserve"> 2013: 326). </w:t>
      </w:r>
      <w:r w:rsidRPr="00F8240E">
        <w:rPr>
          <w:rFonts w:ascii="Times New Roman" w:hAnsi="Times New Roman" w:cs="Times New Roman"/>
          <w:sz w:val="24"/>
          <w:szCs w:val="24"/>
        </w:rPr>
        <w:t xml:space="preserve">In the UK the personal pension ‘revolution’ </w:t>
      </w:r>
      <w:r w:rsidR="009C482B" w:rsidRPr="00F8240E">
        <w:rPr>
          <w:rFonts w:ascii="Times New Roman" w:hAnsi="Times New Roman" w:cs="Times New Roman"/>
          <w:sz w:val="24"/>
          <w:szCs w:val="24"/>
        </w:rPr>
        <w:t xml:space="preserve">ran into a </w:t>
      </w:r>
      <w:r w:rsidR="00CB30A7" w:rsidRPr="00F8240E">
        <w:rPr>
          <w:rFonts w:ascii="Times New Roman" w:hAnsi="Times New Roman" w:cs="Times New Roman"/>
          <w:sz w:val="24"/>
          <w:szCs w:val="24"/>
        </w:rPr>
        <w:t>“</w:t>
      </w:r>
      <w:r w:rsidR="009C482B" w:rsidRPr="00F8240E">
        <w:rPr>
          <w:rFonts w:ascii="Times New Roman" w:hAnsi="Times New Roman" w:cs="Times New Roman"/>
          <w:sz w:val="24"/>
          <w:szCs w:val="24"/>
        </w:rPr>
        <w:t>misselling</w:t>
      </w:r>
      <w:r w:rsidR="00CB30A7" w:rsidRPr="00F8240E">
        <w:rPr>
          <w:rFonts w:ascii="Times New Roman" w:hAnsi="Times New Roman" w:cs="Times New Roman"/>
          <w:sz w:val="24"/>
          <w:szCs w:val="24"/>
        </w:rPr>
        <w:t>”</w:t>
      </w:r>
      <w:r w:rsidR="009C482B" w:rsidRPr="00F8240E">
        <w:rPr>
          <w:rFonts w:ascii="Times New Roman" w:hAnsi="Times New Roman" w:cs="Times New Roman"/>
          <w:sz w:val="24"/>
          <w:szCs w:val="24"/>
        </w:rPr>
        <w:t xml:space="preserve"> </w:t>
      </w:r>
      <w:r w:rsidR="008E0170" w:rsidRPr="00F8240E">
        <w:rPr>
          <w:rFonts w:ascii="Times New Roman" w:hAnsi="Times New Roman" w:cs="Times New Roman"/>
          <w:sz w:val="24"/>
          <w:szCs w:val="24"/>
        </w:rPr>
        <w:t xml:space="preserve">scandal </w:t>
      </w:r>
      <w:r w:rsidR="009C482B" w:rsidRPr="00F8240E">
        <w:rPr>
          <w:rFonts w:ascii="Times New Roman" w:hAnsi="Times New Roman" w:cs="Times New Roman"/>
          <w:sz w:val="24"/>
          <w:szCs w:val="24"/>
        </w:rPr>
        <w:t xml:space="preserve">in the 1990s which </w:t>
      </w:r>
      <w:r w:rsidR="00E4725E" w:rsidRPr="00F8240E">
        <w:rPr>
          <w:rFonts w:ascii="Times New Roman" w:hAnsi="Times New Roman" w:cs="Times New Roman"/>
          <w:sz w:val="24"/>
          <w:szCs w:val="24"/>
        </w:rPr>
        <w:t>inhibited</w:t>
      </w:r>
      <w:r w:rsidR="009C482B" w:rsidRPr="00F8240E">
        <w:rPr>
          <w:rFonts w:ascii="Times New Roman" w:hAnsi="Times New Roman" w:cs="Times New Roman"/>
          <w:sz w:val="24"/>
          <w:szCs w:val="24"/>
        </w:rPr>
        <w:t xml:space="preserve"> its further development</w:t>
      </w:r>
      <w:r w:rsidR="00EC3CDC" w:rsidRPr="00F8240E">
        <w:rPr>
          <w:rFonts w:ascii="Times New Roman" w:hAnsi="Times New Roman" w:cs="Times New Roman"/>
          <w:sz w:val="24"/>
          <w:szCs w:val="24"/>
        </w:rPr>
        <w:t xml:space="preserve"> (Wain</w:t>
      </w:r>
      <w:r w:rsidR="00770B82" w:rsidRPr="00F8240E">
        <w:rPr>
          <w:rFonts w:ascii="Times New Roman" w:hAnsi="Times New Roman" w:cs="Times New Roman"/>
          <w:sz w:val="24"/>
          <w:szCs w:val="24"/>
        </w:rPr>
        <w:t>e,</w:t>
      </w:r>
      <w:r w:rsidR="00EC3CDC" w:rsidRPr="00F8240E">
        <w:rPr>
          <w:rFonts w:ascii="Times New Roman" w:hAnsi="Times New Roman" w:cs="Times New Roman"/>
          <w:sz w:val="24"/>
          <w:szCs w:val="24"/>
        </w:rPr>
        <w:t xml:space="preserve"> 1995)</w:t>
      </w:r>
      <w:r w:rsidR="009C482B" w:rsidRPr="00F8240E">
        <w:rPr>
          <w:rFonts w:ascii="Times New Roman" w:hAnsi="Times New Roman" w:cs="Times New Roman"/>
          <w:sz w:val="24"/>
          <w:szCs w:val="24"/>
        </w:rPr>
        <w:t>.</w:t>
      </w:r>
      <w:r w:rsidR="00EC3CDC" w:rsidRPr="00F8240E">
        <w:rPr>
          <w:rFonts w:ascii="Times New Roman" w:hAnsi="Times New Roman" w:cs="Times New Roman"/>
          <w:sz w:val="24"/>
          <w:szCs w:val="24"/>
        </w:rPr>
        <w:t xml:space="preserve">  </w:t>
      </w:r>
      <w:r w:rsidR="00E73BBC" w:rsidRPr="00F8240E">
        <w:rPr>
          <w:rFonts w:ascii="Times New Roman" w:hAnsi="Times New Roman" w:cs="Times New Roman"/>
          <w:sz w:val="24"/>
          <w:szCs w:val="24"/>
        </w:rPr>
        <w:t xml:space="preserve">By the </w:t>
      </w:r>
      <w:r w:rsidR="00AE21E4" w:rsidRPr="00F8240E">
        <w:rPr>
          <w:rFonts w:ascii="Times New Roman" w:hAnsi="Times New Roman" w:cs="Times New Roman"/>
          <w:sz w:val="24"/>
          <w:szCs w:val="24"/>
        </w:rPr>
        <w:t>early 2000s</w:t>
      </w:r>
      <w:r w:rsidR="002F506F" w:rsidRPr="00F8240E">
        <w:rPr>
          <w:rFonts w:ascii="Times New Roman" w:hAnsi="Times New Roman" w:cs="Times New Roman"/>
          <w:sz w:val="24"/>
          <w:szCs w:val="24"/>
        </w:rPr>
        <w:t xml:space="preserve">, while </w:t>
      </w:r>
      <w:r w:rsidR="0090283B" w:rsidRPr="00F8240E">
        <w:rPr>
          <w:rFonts w:ascii="Times New Roman" w:hAnsi="Times New Roman" w:cs="Times New Roman"/>
          <w:sz w:val="24"/>
          <w:szCs w:val="24"/>
        </w:rPr>
        <w:t xml:space="preserve">private </w:t>
      </w:r>
      <w:r w:rsidR="009C482B" w:rsidRPr="00F8240E">
        <w:rPr>
          <w:rFonts w:ascii="Times New Roman" w:hAnsi="Times New Roman" w:cs="Times New Roman"/>
          <w:sz w:val="24"/>
          <w:szCs w:val="24"/>
        </w:rPr>
        <w:t xml:space="preserve">personal </w:t>
      </w:r>
      <w:r w:rsidR="0090283B" w:rsidRPr="00F8240E">
        <w:rPr>
          <w:rFonts w:ascii="Times New Roman" w:hAnsi="Times New Roman" w:cs="Times New Roman"/>
          <w:sz w:val="24"/>
          <w:szCs w:val="24"/>
        </w:rPr>
        <w:t xml:space="preserve">savings rates </w:t>
      </w:r>
      <w:r w:rsidR="002F506F" w:rsidRPr="00F8240E">
        <w:rPr>
          <w:rFonts w:ascii="Times New Roman" w:hAnsi="Times New Roman" w:cs="Times New Roman"/>
          <w:sz w:val="24"/>
          <w:szCs w:val="24"/>
        </w:rPr>
        <w:t>were higher than they had been at the start of the period they were flat-lining in most settings (OECD, 2016: 24, 26, 27)</w:t>
      </w:r>
      <w:r w:rsidR="00F315F1" w:rsidRPr="00F8240E">
        <w:rPr>
          <w:rFonts w:ascii="Times New Roman" w:hAnsi="Times New Roman" w:cs="Times New Roman"/>
          <w:sz w:val="24"/>
          <w:szCs w:val="24"/>
        </w:rPr>
        <w:t xml:space="preserve">. </w:t>
      </w:r>
    </w:p>
    <w:p w14:paraId="68584582" w14:textId="2E8C3F8D" w:rsidR="002A549D" w:rsidRPr="00F8240E" w:rsidRDefault="0090283B"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Developments in </w:t>
      </w:r>
      <w:r w:rsidR="007C2E46" w:rsidRPr="00F8240E">
        <w:rPr>
          <w:rFonts w:ascii="Times New Roman" w:hAnsi="Times New Roman" w:cs="Times New Roman"/>
          <w:sz w:val="24"/>
          <w:szCs w:val="24"/>
        </w:rPr>
        <w:t xml:space="preserve">New Zealand and Australia </w:t>
      </w:r>
      <w:r w:rsidRPr="00F8240E">
        <w:rPr>
          <w:rFonts w:ascii="Times New Roman" w:hAnsi="Times New Roman" w:cs="Times New Roman"/>
          <w:sz w:val="24"/>
          <w:szCs w:val="24"/>
        </w:rPr>
        <w:t>have been rather different</w:t>
      </w:r>
      <w:r w:rsidR="007C2E46" w:rsidRPr="00F8240E">
        <w:rPr>
          <w:rFonts w:ascii="Times New Roman" w:hAnsi="Times New Roman" w:cs="Times New Roman"/>
          <w:sz w:val="24"/>
          <w:szCs w:val="24"/>
        </w:rPr>
        <w:t>. In the former, the separation of public and private provision remained</w:t>
      </w:r>
      <w:r w:rsidR="00911BA4" w:rsidRPr="00F8240E">
        <w:rPr>
          <w:rFonts w:ascii="Times New Roman" w:hAnsi="Times New Roman" w:cs="Times New Roman"/>
          <w:sz w:val="24"/>
          <w:szCs w:val="24"/>
        </w:rPr>
        <w:t xml:space="preserve"> clearly</w:t>
      </w:r>
      <w:r w:rsidR="007C2E46" w:rsidRPr="00F8240E">
        <w:rPr>
          <w:rFonts w:ascii="Times New Roman" w:hAnsi="Times New Roman" w:cs="Times New Roman"/>
          <w:sz w:val="24"/>
          <w:szCs w:val="24"/>
        </w:rPr>
        <w:t xml:space="preserve"> distinct </w:t>
      </w:r>
      <w:r w:rsidR="00FB4823" w:rsidRPr="00F8240E">
        <w:rPr>
          <w:rFonts w:ascii="Times New Roman" w:hAnsi="Times New Roman" w:cs="Times New Roman"/>
          <w:sz w:val="24"/>
          <w:szCs w:val="24"/>
        </w:rPr>
        <w:t>up to 1980s</w:t>
      </w:r>
      <w:r w:rsidR="001F2CD6" w:rsidRPr="00F8240E">
        <w:rPr>
          <w:rFonts w:ascii="Times New Roman" w:hAnsi="Times New Roman" w:cs="Times New Roman"/>
          <w:sz w:val="24"/>
          <w:szCs w:val="24"/>
        </w:rPr>
        <w:t>, a situation which was</w:t>
      </w:r>
      <w:r w:rsidR="007C2E46" w:rsidRPr="00F8240E">
        <w:rPr>
          <w:rFonts w:ascii="Times New Roman" w:hAnsi="Times New Roman" w:cs="Times New Roman"/>
          <w:sz w:val="24"/>
          <w:szCs w:val="24"/>
        </w:rPr>
        <w:t xml:space="preserve"> strongly reinforced </w:t>
      </w:r>
      <w:r w:rsidR="00FB4823" w:rsidRPr="00F8240E">
        <w:rPr>
          <w:rFonts w:ascii="Times New Roman" w:hAnsi="Times New Roman" w:cs="Times New Roman"/>
          <w:sz w:val="24"/>
          <w:szCs w:val="24"/>
        </w:rPr>
        <w:t>between 1988 and 1990 when all tax incentives for private saving were removed.</w:t>
      </w:r>
      <w:r w:rsidR="003B586E" w:rsidRPr="00F8240E">
        <w:rPr>
          <w:rFonts w:ascii="Times New Roman" w:hAnsi="Times New Roman" w:cs="Times New Roman"/>
          <w:sz w:val="24"/>
          <w:szCs w:val="24"/>
        </w:rPr>
        <w:t xml:space="preserve"> </w:t>
      </w:r>
      <w:r w:rsidR="001F2CD6" w:rsidRPr="00F8240E">
        <w:rPr>
          <w:rFonts w:ascii="Times New Roman" w:hAnsi="Times New Roman" w:cs="Times New Roman"/>
          <w:sz w:val="24"/>
          <w:szCs w:val="24"/>
        </w:rPr>
        <w:t>T</w:t>
      </w:r>
      <w:r w:rsidR="003B586E" w:rsidRPr="00F8240E">
        <w:rPr>
          <w:rFonts w:ascii="Times New Roman" w:hAnsi="Times New Roman" w:cs="Times New Roman"/>
          <w:sz w:val="24"/>
          <w:szCs w:val="24"/>
        </w:rPr>
        <w:t>he type of regulated public-to-private policy shifts tried elsewhere in the liberal world</w:t>
      </w:r>
      <w:r w:rsidR="001F2CD6" w:rsidRPr="00F8240E">
        <w:rPr>
          <w:rFonts w:ascii="Times New Roman" w:hAnsi="Times New Roman" w:cs="Times New Roman"/>
          <w:sz w:val="24"/>
          <w:szCs w:val="24"/>
        </w:rPr>
        <w:t xml:space="preserve"> was thus not on the New Zealand policy agenda</w:t>
      </w:r>
      <w:r w:rsidR="00FB4823" w:rsidRPr="00F8240E">
        <w:rPr>
          <w:rFonts w:ascii="Times New Roman" w:hAnsi="Times New Roman" w:cs="Times New Roman"/>
          <w:sz w:val="24"/>
          <w:szCs w:val="24"/>
        </w:rPr>
        <w:t xml:space="preserve"> </w:t>
      </w:r>
      <w:r w:rsidR="003B586E" w:rsidRPr="00F8240E">
        <w:rPr>
          <w:rFonts w:ascii="Times New Roman" w:hAnsi="Times New Roman" w:cs="Times New Roman"/>
          <w:sz w:val="24"/>
          <w:szCs w:val="24"/>
        </w:rPr>
        <w:t xml:space="preserve">(Ashton </w:t>
      </w:r>
      <w:r w:rsidR="00172BF2" w:rsidRPr="00F8240E">
        <w:rPr>
          <w:rFonts w:ascii="Times New Roman" w:hAnsi="Times New Roman" w:cs="Times New Roman"/>
          <w:sz w:val="24"/>
          <w:szCs w:val="24"/>
        </w:rPr>
        <w:t>&amp;</w:t>
      </w:r>
      <w:r w:rsidR="003B586E" w:rsidRPr="00F8240E">
        <w:rPr>
          <w:rFonts w:ascii="Times New Roman" w:hAnsi="Times New Roman" w:cs="Times New Roman"/>
          <w:sz w:val="24"/>
          <w:szCs w:val="24"/>
        </w:rPr>
        <w:t xml:space="preserve"> St John</w:t>
      </w:r>
      <w:r w:rsidR="00770B82" w:rsidRPr="00F8240E">
        <w:rPr>
          <w:rFonts w:ascii="Times New Roman" w:hAnsi="Times New Roman" w:cs="Times New Roman"/>
          <w:sz w:val="24"/>
          <w:szCs w:val="24"/>
        </w:rPr>
        <w:t>,</w:t>
      </w:r>
      <w:r w:rsidR="003B586E" w:rsidRPr="00F8240E">
        <w:rPr>
          <w:rFonts w:ascii="Times New Roman" w:hAnsi="Times New Roman" w:cs="Times New Roman"/>
          <w:sz w:val="24"/>
          <w:szCs w:val="24"/>
        </w:rPr>
        <w:t xml:space="preserve"> 2008: 132-8)</w:t>
      </w:r>
      <w:r w:rsidR="004B7053" w:rsidRPr="00F8240E">
        <w:rPr>
          <w:rFonts w:ascii="Times New Roman" w:hAnsi="Times New Roman" w:cs="Times New Roman"/>
          <w:sz w:val="24"/>
          <w:szCs w:val="24"/>
        </w:rPr>
        <w:t xml:space="preserve">. </w:t>
      </w:r>
      <w:r w:rsidR="00E23F44" w:rsidRPr="00F8240E">
        <w:rPr>
          <w:rFonts w:ascii="Times New Roman" w:hAnsi="Times New Roman" w:cs="Times New Roman"/>
          <w:sz w:val="24"/>
          <w:szCs w:val="24"/>
        </w:rPr>
        <w:t xml:space="preserve"> </w:t>
      </w:r>
      <w:r w:rsidR="00C2181E" w:rsidRPr="00F8240E">
        <w:rPr>
          <w:rFonts w:ascii="Times New Roman" w:hAnsi="Times New Roman" w:cs="Times New Roman"/>
          <w:sz w:val="24"/>
          <w:szCs w:val="24"/>
        </w:rPr>
        <w:t>Australia took the opposite approach</w:t>
      </w:r>
      <w:r w:rsidR="008E0170" w:rsidRPr="00F8240E">
        <w:rPr>
          <w:rFonts w:ascii="Times New Roman" w:hAnsi="Times New Roman" w:cs="Times New Roman"/>
          <w:sz w:val="24"/>
          <w:szCs w:val="24"/>
        </w:rPr>
        <w:t xml:space="preserve">: it </w:t>
      </w:r>
      <w:r w:rsidR="00C2181E" w:rsidRPr="00F8240E">
        <w:rPr>
          <w:rFonts w:ascii="Times New Roman" w:hAnsi="Times New Roman" w:cs="Times New Roman"/>
          <w:sz w:val="24"/>
          <w:szCs w:val="24"/>
        </w:rPr>
        <w:t>substantially increas</w:t>
      </w:r>
      <w:r w:rsidR="008E0170" w:rsidRPr="00F8240E">
        <w:rPr>
          <w:rFonts w:ascii="Times New Roman" w:hAnsi="Times New Roman" w:cs="Times New Roman"/>
          <w:sz w:val="24"/>
          <w:szCs w:val="24"/>
        </w:rPr>
        <w:t>ed</w:t>
      </w:r>
      <w:r w:rsidR="00C2181E" w:rsidRPr="00F8240E">
        <w:rPr>
          <w:rFonts w:ascii="Times New Roman" w:hAnsi="Times New Roman" w:cs="Times New Roman"/>
          <w:sz w:val="24"/>
          <w:szCs w:val="24"/>
        </w:rPr>
        <w:t xml:space="preserve"> its involvement with the non-state sphere, focuss</w:t>
      </w:r>
      <w:r w:rsidR="001F2CD6" w:rsidRPr="00F8240E">
        <w:rPr>
          <w:rFonts w:ascii="Times New Roman" w:hAnsi="Times New Roman" w:cs="Times New Roman"/>
          <w:sz w:val="24"/>
          <w:szCs w:val="24"/>
        </w:rPr>
        <w:t>ing</w:t>
      </w:r>
      <w:r w:rsidR="00C2181E" w:rsidRPr="00F8240E">
        <w:rPr>
          <w:rFonts w:ascii="Times New Roman" w:hAnsi="Times New Roman" w:cs="Times New Roman"/>
          <w:sz w:val="24"/>
          <w:szCs w:val="24"/>
        </w:rPr>
        <w:t xml:space="preserve"> mainly on employer-based provision. Capitalisation</w:t>
      </w:r>
      <w:r w:rsidR="00911EFC" w:rsidRPr="00F8240E">
        <w:rPr>
          <w:rFonts w:ascii="Times New Roman" w:hAnsi="Times New Roman" w:cs="Times New Roman"/>
          <w:sz w:val="24"/>
          <w:szCs w:val="24"/>
        </w:rPr>
        <w:t xml:space="preserve"> thus</w:t>
      </w:r>
      <w:r w:rsidR="00C2181E" w:rsidRPr="00F8240E">
        <w:rPr>
          <w:rFonts w:ascii="Times New Roman" w:hAnsi="Times New Roman" w:cs="Times New Roman"/>
          <w:sz w:val="24"/>
          <w:szCs w:val="24"/>
        </w:rPr>
        <w:t xml:space="preserve"> occurred within the context of </w:t>
      </w:r>
      <w:r w:rsidR="001F2CD6" w:rsidRPr="00F8240E">
        <w:rPr>
          <w:rFonts w:ascii="Times New Roman" w:hAnsi="Times New Roman" w:cs="Times New Roman"/>
          <w:sz w:val="24"/>
          <w:szCs w:val="24"/>
        </w:rPr>
        <w:t xml:space="preserve">the country’s strong collective bargaining tradition (see above), with </w:t>
      </w:r>
      <w:r w:rsidR="00757791" w:rsidRPr="00F8240E">
        <w:rPr>
          <w:rFonts w:ascii="Times New Roman" w:hAnsi="Times New Roman" w:cs="Times New Roman"/>
          <w:sz w:val="24"/>
          <w:szCs w:val="24"/>
        </w:rPr>
        <w:t xml:space="preserve">an employers’ pension contribution of three per cent agreed as part of wage bargaining for the first time in 1986. </w:t>
      </w:r>
      <w:r w:rsidR="002671D3" w:rsidRPr="00F8240E">
        <w:rPr>
          <w:rFonts w:ascii="Times New Roman" w:hAnsi="Times New Roman" w:cs="Times New Roman"/>
          <w:sz w:val="24"/>
          <w:szCs w:val="24"/>
        </w:rPr>
        <w:t>Th</w:t>
      </w:r>
      <w:r w:rsidR="00C2181E" w:rsidRPr="00F8240E">
        <w:rPr>
          <w:rFonts w:ascii="Times New Roman" w:hAnsi="Times New Roman" w:cs="Times New Roman"/>
          <w:sz w:val="24"/>
          <w:szCs w:val="24"/>
        </w:rPr>
        <w:t xml:space="preserve">is raised </w:t>
      </w:r>
      <w:r w:rsidR="00757791" w:rsidRPr="00F8240E">
        <w:rPr>
          <w:rFonts w:ascii="Times New Roman" w:hAnsi="Times New Roman" w:cs="Times New Roman"/>
          <w:sz w:val="24"/>
          <w:szCs w:val="24"/>
        </w:rPr>
        <w:t xml:space="preserve">coverage </w:t>
      </w:r>
      <w:r w:rsidR="00C2181E" w:rsidRPr="00F8240E">
        <w:rPr>
          <w:rFonts w:ascii="Times New Roman" w:hAnsi="Times New Roman" w:cs="Times New Roman"/>
          <w:sz w:val="24"/>
          <w:szCs w:val="24"/>
        </w:rPr>
        <w:t xml:space="preserve">but to raise </w:t>
      </w:r>
      <w:r w:rsidR="00757791" w:rsidRPr="00F8240E">
        <w:rPr>
          <w:rFonts w:ascii="Times New Roman" w:hAnsi="Times New Roman" w:cs="Times New Roman"/>
          <w:sz w:val="24"/>
          <w:szCs w:val="24"/>
        </w:rPr>
        <w:t>it</w:t>
      </w:r>
      <w:r w:rsidR="00C2181E" w:rsidRPr="00F8240E">
        <w:rPr>
          <w:rFonts w:ascii="Times New Roman" w:hAnsi="Times New Roman" w:cs="Times New Roman"/>
          <w:sz w:val="24"/>
          <w:szCs w:val="24"/>
        </w:rPr>
        <w:t xml:space="preserve"> even further the </w:t>
      </w:r>
      <w:r w:rsidR="002671D3" w:rsidRPr="00F8240E">
        <w:rPr>
          <w:rFonts w:ascii="Times New Roman" w:hAnsi="Times New Roman" w:cs="Times New Roman"/>
          <w:sz w:val="24"/>
          <w:szCs w:val="24"/>
        </w:rPr>
        <w:t xml:space="preserve">Superannuation Guarantee (SG) Charge Act </w:t>
      </w:r>
      <w:r w:rsidR="00C2181E" w:rsidRPr="00F8240E">
        <w:rPr>
          <w:rFonts w:ascii="Times New Roman" w:hAnsi="Times New Roman" w:cs="Times New Roman"/>
          <w:sz w:val="24"/>
          <w:szCs w:val="24"/>
        </w:rPr>
        <w:t xml:space="preserve">was passed in </w:t>
      </w:r>
      <w:r w:rsidR="002671D3" w:rsidRPr="00F8240E">
        <w:rPr>
          <w:rFonts w:ascii="Times New Roman" w:hAnsi="Times New Roman" w:cs="Times New Roman"/>
          <w:sz w:val="24"/>
          <w:szCs w:val="24"/>
        </w:rPr>
        <w:t xml:space="preserve">1992 </w:t>
      </w:r>
      <w:r w:rsidR="00C2181E" w:rsidRPr="00F8240E">
        <w:rPr>
          <w:rFonts w:ascii="Times New Roman" w:hAnsi="Times New Roman" w:cs="Times New Roman"/>
          <w:sz w:val="24"/>
          <w:szCs w:val="24"/>
        </w:rPr>
        <w:t xml:space="preserve">which </w:t>
      </w:r>
      <w:r w:rsidR="002671D3" w:rsidRPr="00F8240E">
        <w:rPr>
          <w:rFonts w:ascii="Times New Roman" w:hAnsi="Times New Roman" w:cs="Times New Roman"/>
          <w:sz w:val="24"/>
          <w:szCs w:val="24"/>
        </w:rPr>
        <w:t>mandated all employers, not already doing so, to pay a 3 per cent contribution to workers’ individual retirement savings accounts held in defined contribution superannuation funds</w:t>
      </w:r>
      <w:r w:rsidR="00757791" w:rsidRPr="00F8240E">
        <w:rPr>
          <w:rFonts w:ascii="Times New Roman" w:hAnsi="Times New Roman" w:cs="Times New Roman"/>
          <w:sz w:val="24"/>
          <w:szCs w:val="24"/>
        </w:rPr>
        <w:t xml:space="preserve"> (</w:t>
      </w:r>
      <w:bookmarkStart w:id="20" w:name="_Hlk513727808"/>
      <w:r w:rsidR="00757791" w:rsidRPr="00F8240E">
        <w:rPr>
          <w:rFonts w:ascii="Times New Roman" w:hAnsi="Times New Roman" w:cs="Times New Roman"/>
          <w:sz w:val="24"/>
          <w:szCs w:val="24"/>
        </w:rPr>
        <w:t>Gelepithis, 2014</w:t>
      </w:r>
      <w:bookmarkEnd w:id="20"/>
      <w:r w:rsidR="00757791" w:rsidRPr="00F8240E">
        <w:rPr>
          <w:rFonts w:ascii="Times New Roman" w:hAnsi="Times New Roman" w:cs="Times New Roman"/>
          <w:sz w:val="24"/>
          <w:szCs w:val="24"/>
        </w:rPr>
        <w:t>)</w:t>
      </w:r>
      <w:r w:rsidR="002671D3" w:rsidRPr="00F8240E">
        <w:rPr>
          <w:rFonts w:ascii="Times New Roman" w:hAnsi="Times New Roman" w:cs="Times New Roman"/>
          <w:sz w:val="24"/>
          <w:szCs w:val="24"/>
        </w:rPr>
        <w:t xml:space="preserve">. This mandate was progressively </w:t>
      </w:r>
      <w:r w:rsidR="00C2181E" w:rsidRPr="00F8240E">
        <w:rPr>
          <w:rFonts w:ascii="Times New Roman" w:hAnsi="Times New Roman" w:cs="Times New Roman"/>
          <w:sz w:val="24"/>
          <w:szCs w:val="24"/>
        </w:rPr>
        <w:t>increased</w:t>
      </w:r>
      <w:r w:rsidR="002671D3" w:rsidRPr="00F8240E">
        <w:rPr>
          <w:rFonts w:ascii="Times New Roman" w:hAnsi="Times New Roman" w:cs="Times New Roman"/>
          <w:sz w:val="24"/>
          <w:szCs w:val="24"/>
        </w:rPr>
        <w:t xml:space="preserve"> during the next decade</w:t>
      </w:r>
      <w:r w:rsidR="00757791" w:rsidRPr="00F8240E">
        <w:rPr>
          <w:rFonts w:ascii="Times New Roman" w:hAnsi="Times New Roman" w:cs="Times New Roman"/>
          <w:sz w:val="24"/>
          <w:szCs w:val="24"/>
        </w:rPr>
        <w:t>s</w:t>
      </w:r>
      <w:r w:rsidR="00366B53" w:rsidRPr="00F8240E">
        <w:rPr>
          <w:rFonts w:ascii="Times New Roman" w:hAnsi="Times New Roman" w:cs="Times New Roman"/>
          <w:sz w:val="24"/>
          <w:szCs w:val="24"/>
        </w:rPr>
        <w:t xml:space="preserve">, </w:t>
      </w:r>
      <w:r w:rsidR="00757791" w:rsidRPr="00F8240E">
        <w:rPr>
          <w:rFonts w:ascii="Times New Roman" w:hAnsi="Times New Roman" w:cs="Times New Roman"/>
          <w:sz w:val="24"/>
          <w:szCs w:val="24"/>
        </w:rPr>
        <w:t>most recently in</w:t>
      </w:r>
      <w:r w:rsidR="002671D3" w:rsidRPr="00F8240E">
        <w:rPr>
          <w:rFonts w:ascii="Times New Roman" w:hAnsi="Times New Roman" w:cs="Times New Roman"/>
          <w:sz w:val="24"/>
          <w:szCs w:val="24"/>
        </w:rPr>
        <w:t xml:space="preserve"> May 2010, </w:t>
      </w:r>
      <w:r w:rsidR="00757791" w:rsidRPr="00F8240E">
        <w:rPr>
          <w:rFonts w:ascii="Times New Roman" w:hAnsi="Times New Roman" w:cs="Times New Roman"/>
          <w:sz w:val="24"/>
          <w:szCs w:val="24"/>
        </w:rPr>
        <w:t xml:space="preserve">when </w:t>
      </w:r>
      <w:r w:rsidR="002671D3" w:rsidRPr="00F8240E">
        <w:rPr>
          <w:rFonts w:ascii="Times New Roman" w:hAnsi="Times New Roman" w:cs="Times New Roman"/>
          <w:sz w:val="24"/>
          <w:szCs w:val="24"/>
        </w:rPr>
        <w:t>Labor announced</w:t>
      </w:r>
      <w:r w:rsidR="00471435" w:rsidRPr="00F8240E">
        <w:rPr>
          <w:rFonts w:ascii="Times New Roman" w:hAnsi="Times New Roman" w:cs="Times New Roman"/>
          <w:sz w:val="24"/>
          <w:szCs w:val="24"/>
        </w:rPr>
        <w:t xml:space="preserve"> further incremental increases to such that contributions would</w:t>
      </w:r>
      <w:r w:rsidR="002671D3" w:rsidRPr="00F8240E">
        <w:rPr>
          <w:rFonts w:ascii="Times New Roman" w:hAnsi="Times New Roman" w:cs="Times New Roman"/>
          <w:sz w:val="24"/>
          <w:szCs w:val="24"/>
        </w:rPr>
        <w:t xml:space="preserve"> </w:t>
      </w:r>
      <w:r w:rsidR="00471435" w:rsidRPr="00F8240E">
        <w:rPr>
          <w:rFonts w:ascii="Times New Roman" w:hAnsi="Times New Roman" w:cs="Times New Roman"/>
          <w:sz w:val="24"/>
          <w:szCs w:val="24"/>
        </w:rPr>
        <w:t>reach</w:t>
      </w:r>
      <w:r w:rsidR="002671D3" w:rsidRPr="00F8240E">
        <w:rPr>
          <w:rFonts w:ascii="Times New Roman" w:hAnsi="Times New Roman" w:cs="Times New Roman"/>
          <w:sz w:val="24"/>
          <w:szCs w:val="24"/>
        </w:rPr>
        <w:t xml:space="preserve"> 12 per cent.  By 2007, 81 per cent of men and 74 per cent of women aged 15–69 were covered (Borowski</w:t>
      </w:r>
      <w:r w:rsidR="00770B82" w:rsidRPr="00F8240E">
        <w:rPr>
          <w:rFonts w:ascii="Times New Roman" w:hAnsi="Times New Roman" w:cs="Times New Roman"/>
          <w:sz w:val="24"/>
          <w:szCs w:val="24"/>
        </w:rPr>
        <w:t>,</w:t>
      </w:r>
      <w:r w:rsidR="002671D3" w:rsidRPr="00F8240E">
        <w:rPr>
          <w:rFonts w:ascii="Times New Roman" w:hAnsi="Times New Roman" w:cs="Times New Roman"/>
          <w:sz w:val="24"/>
          <w:szCs w:val="24"/>
        </w:rPr>
        <w:t xml:space="preserve"> 2013).</w:t>
      </w:r>
      <w:r w:rsidR="00366B53" w:rsidRPr="00F8240E">
        <w:rPr>
          <w:rFonts w:ascii="Times New Roman" w:hAnsi="Times New Roman" w:cs="Times New Roman"/>
          <w:sz w:val="24"/>
          <w:szCs w:val="24"/>
        </w:rPr>
        <w:t xml:space="preserve"> There is little doubt that some </w:t>
      </w:r>
      <w:r w:rsidR="00911EFC" w:rsidRPr="00F8240E">
        <w:rPr>
          <w:rFonts w:ascii="Times New Roman" w:hAnsi="Times New Roman" w:cs="Times New Roman"/>
          <w:sz w:val="24"/>
          <w:szCs w:val="24"/>
        </w:rPr>
        <w:t xml:space="preserve">Australian policy-makers </w:t>
      </w:r>
      <w:r w:rsidR="00366B53" w:rsidRPr="00F8240E">
        <w:rPr>
          <w:rFonts w:ascii="Times New Roman" w:hAnsi="Times New Roman" w:cs="Times New Roman"/>
          <w:sz w:val="24"/>
          <w:szCs w:val="24"/>
        </w:rPr>
        <w:t>regarded this reform as a way of</w:t>
      </w:r>
      <w:r w:rsidR="00757791" w:rsidRPr="00F8240E">
        <w:rPr>
          <w:rFonts w:ascii="Times New Roman" w:hAnsi="Times New Roman" w:cs="Times New Roman"/>
          <w:sz w:val="24"/>
          <w:szCs w:val="24"/>
        </w:rPr>
        <w:t xml:space="preserve"> substituting private provision for public (Gelepithis, 2014).</w:t>
      </w:r>
      <w:r w:rsidR="00366B53" w:rsidRPr="00F8240E">
        <w:rPr>
          <w:rFonts w:ascii="Times New Roman" w:hAnsi="Times New Roman" w:cs="Times New Roman"/>
          <w:sz w:val="24"/>
          <w:szCs w:val="24"/>
        </w:rPr>
        <w:t xml:space="preserve"> However, </w:t>
      </w:r>
      <w:r w:rsidR="00911EFC" w:rsidRPr="00F8240E">
        <w:rPr>
          <w:rFonts w:ascii="Times New Roman" w:hAnsi="Times New Roman" w:cs="Times New Roman"/>
          <w:sz w:val="24"/>
          <w:szCs w:val="24"/>
        </w:rPr>
        <w:t xml:space="preserve">as has been seen, in recent years, public provision has expanded together with </w:t>
      </w:r>
      <w:r w:rsidR="00F40F36" w:rsidRPr="00F8240E">
        <w:rPr>
          <w:rFonts w:ascii="Times New Roman" w:hAnsi="Times New Roman" w:cs="Times New Roman"/>
          <w:sz w:val="24"/>
          <w:szCs w:val="24"/>
        </w:rPr>
        <w:t xml:space="preserve">mandated </w:t>
      </w:r>
      <w:r w:rsidR="00911EFC" w:rsidRPr="00F8240E">
        <w:rPr>
          <w:rFonts w:ascii="Times New Roman" w:hAnsi="Times New Roman" w:cs="Times New Roman"/>
          <w:sz w:val="24"/>
          <w:szCs w:val="24"/>
        </w:rPr>
        <w:t>non-state</w:t>
      </w:r>
      <w:r w:rsidR="00F40F36" w:rsidRPr="00F8240E">
        <w:rPr>
          <w:rFonts w:ascii="Times New Roman" w:hAnsi="Times New Roman" w:cs="Times New Roman"/>
          <w:sz w:val="24"/>
          <w:szCs w:val="24"/>
        </w:rPr>
        <w:t xml:space="preserve"> pensions. Moreover,</w:t>
      </w:r>
      <w:r w:rsidR="00911EFC" w:rsidRPr="00F8240E">
        <w:rPr>
          <w:rFonts w:ascii="Times New Roman" w:hAnsi="Times New Roman" w:cs="Times New Roman"/>
          <w:sz w:val="24"/>
          <w:szCs w:val="24"/>
        </w:rPr>
        <w:t xml:space="preserve"> </w:t>
      </w:r>
      <w:r w:rsidR="00366B53" w:rsidRPr="00F8240E">
        <w:rPr>
          <w:rFonts w:ascii="Times New Roman" w:hAnsi="Times New Roman" w:cs="Times New Roman"/>
          <w:sz w:val="24"/>
          <w:szCs w:val="24"/>
        </w:rPr>
        <w:t xml:space="preserve">unlike the reforms proposed in Canada, Ireland, the UK and the USA, the Australian </w:t>
      </w:r>
      <w:r w:rsidR="008C65DA" w:rsidRPr="00F8240E">
        <w:rPr>
          <w:rFonts w:ascii="Times New Roman" w:hAnsi="Times New Roman" w:cs="Times New Roman"/>
          <w:sz w:val="24"/>
          <w:szCs w:val="24"/>
        </w:rPr>
        <w:t>initiative retained strongly collective and redistributive features</w:t>
      </w:r>
      <w:r w:rsidR="00911EFC" w:rsidRPr="00F8240E">
        <w:rPr>
          <w:rFonts w:ascii="Times New Roman" w:hAnsi="Times New Roman" w:cs="Times New Roman"/>
          <w:sz w:val="24"/>
          <w:szCs w:val="24"/>
        </w:rPr>
        <w:t>,</w:t>
      </w:r>
      <w:r w:rsidR="008C65DA" w:rsidRPr="00F8240E">
        <w:rPr>
          <w:rFonts w:ascii="Times New Roman" w:hAnsi="Times New Roman" w:cs="Times New Roman"/>
          <w:sz w:val="24"/>
          <w:szCs w:val="24"/>
        </w:rPr>
        <w:t xml:space="preserve"> </w:t>
      </w:r>
      <w:r w:rsidR="00757791" w:rsidRPr="00F8240E">
        <w:rPr>
          <w:rFonts w:ascii="Times New Roman" w:hAnsi="Times New Roman" w:cs="Times New Roman"/>
          <w:sz w:val="24"/>
          <w:szCs w:val="24"/>
        </w:rPr>
        <w:t>exemplified for example by</w:t>
      </w:r>
      <w:r w:rsidR="008C65DA" w:rsidRPr="00F8240E">
        <w:rPr>
          <w:rFonts w:ascii="Times New Roman" w:hAnsi="Times New Roman" w:cs="Times New Roman"/>
          <w:sz w:val="24"/>
          <w:szCs w:val="24"/>
        </w:rPr>
        <w:t xml:space="preserve"> the employer mandate</w:t>
      </w:r>
      <w:r w:rsidR="00F40F36" w:rsidRPr="00F8240E">
        <w:rPr>
          <w:rFonts w:ascii="Times New Roman" w:hAnsi="Times New Roman" w:cs="Times New Roman"/>
          <w:sz w:val="24"/>
          <w:szCs w:val="24"/>
        </w:rPr>
        <w:t>.</w:t>
      </w:r>
    </w:p>
    <w:p w14:paraId="17A972E8" w14:textId="43821477" w:rsidR="006D37F0" w:rsidRPr="00F8240E" w:rsidRDefault="008C65DA" w:rsidP="004943B5">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Recent years have seen </w:t>
      </w:r>
      <w:r w:rsidR="00471435" w:rsidRPr="00F8240E">
        <w:rPr>
          <w:rFonts w:ascii="Times New Roman" w:hAnsi="Times New Roman" w:cs="Times New Roman"/>
          <w:sz w:val="24"/>
          <w:szCs w:val="24"/>
        </w:rPr>
        <w:t>other</w:t>
      </w:r>
      <w:r w:rsidRPr="00F8240E">
        <w:rPr>
          <w:rFonts w:ascii="Times New Roman" w:hAnsi="Times New Roman" w:cs="Times New Roman"/>
          <w:sz w:val="24"/>
          <w:szCs w:val="24"/>
        </w:rPr>
        <w:t xml:space="preserve"> liberal countries </w:t>
      </w:r>
      <w:r w:rsidR="00471435" w:rsidRPr="00F8240E">
        <w:rPr>
          <w:rFonts w:ascii="Times New Roman" w:hAnsi="Times New Roman" w:cs="Times New Roman"/>
          <w:sz w:val="24"/>
          <w:szCs w:val="24"/>
        </w:rPr>
        <w:t>adopting</w:t>
      </w:r>
      <w:r w:rsidR="00F40F36" w:rsidRPr="00F8240E">
        <w:rPr>
          <w:rFonts w:ascii="Times New Roman" w:hAnsi="Times New Roman" w:cs="Times New Roman"/>
          <w:sz w:val="24"/>
          <w:szCs w:val="24"/>
        </w:rPr>
        <w:t xml:space="preserve"> more</w:t>
      </w:r>
      <w:r w:rsidR="00471435" w:rsidRPr="00F8240E">
        <w:rPr>
          <w:rFonts w:ascii="Times New Roman" w:hAnsi="Times New Roman" w:cs="Times New Roman"/>
          <w:sz w:val="24"/>
          <w:szCs w:val="24"/>
        </w:rPr>
        <w:t xml:space="preserve"> </w:t>
      </w:r>
      <w:r w:rsidRPr="00F8240E">
        <w:rPr>
          <w:rFonts w:ascii="Times New Roman" w:hAnsi="Times New Roman" w:cs="Times New Roman"/>
          <w:sz w:val="24"/>
          <w:szCs w:val="24"/>
        </w:rPr>
        <w:t>collectiv</w:t>
      </w:r>
      <w:r w:rsidR="00770B82" w:rsidRPr="00F8240E">
        <w:rPr>
          <w:rFonts w:ascii="Times New Roman" w:hAnsi="Times New Roman" w:cs="Times New Roman"/>
          <w:sz w:val="24"/>
          <w:szCs w:val="24"/>
        </w:rPr>
        <w:t>ize</w:t>
      </w:r>
      <w:r w:rsidRPr="00F8240E">
        <w:rPr>
          <w:rFonts w:ascii="Times New Roman" w:hAnsi="Times New Roman" w:cs="Times New Roman"/>
          <w:sz w:val="24"/>
          <w:szCs w:val="24"/>
        </w:rPr>
        <w:t xml:space="preserve">d </w:t>
      </w:r>
      <w:r w:rsidR="00F40F36" w:rsidRPr="00F8240E">
        <w:rPr>
          <w:rFonts w:ascii="Times New Roman" w:hAnsi="Times New Roman" w:cs="Times New Roman"/>
          <w:sz w:val="24"/>
          <w:szCs w:val="24"/>
        </w:rPr>
        <w:t xml:space="preserve">capitalisation </w:t>
      </w:r>
      <w:r w:rsidRPr="00F8240E">
        <w:rPr>
          <w:rFonts w:ascii="Times New Roman" w:hAnsi="Times New Roman" w:cs="Times New Roman"/>
          <w:sz w:val="24"/>
          <w:szCs w:val="24"/>
        </w:rPr>
        <w:t>approach</w:t>
      </w:r>
      <w:r w:rsidR="00471435" w:rsidRPr="00F8240E">
        <w:rPr>
          <w:rFonts w:ascii="Times New Roman" w:hAnsi="Times New Roman" w:cs="Times New Roman"/>
          <w:sz w:val="24"/>
          <w:szCs w:val="24"/>
        </w:rPr>
        <w:t>es</w:t>
      </w:r>
      <w:r w:rsidRPr="00F8240E">
        <w:rPr>
          <w:rFonts w:ascii="Times New Roman" w:hAnsi="Times New Roman" w:cs="Times New Roman"/>
          <w:sz w:val="24"/>
          <w:szCs w:val="24"/>
        </w:rPr>
        <w:t xml:space="preserve"> </w:t>
      </w:r>
      <w:r w:rsidR="00471435" w:rsidRPr="00F8240E">
        <w:rPr>
          <w:rFonts w:ascii="Times New Roman" w:hAnsi="Times New Roman" w:cs="Times New Roman"/>
          <w:sz w:val="24"/>
          <w:szCs w:val="24"/>
        </w:rPr>
        <w:t xml:space="preserve">similar to that </w:t>
      </w:r>
      <w:r w:rsidR="004C4360" w:rsidRPr="00F8240E">
        <w:rPr>
          <w:rFonts w:ascii="Times New Roman" w:hAnsi="Times New Roman" w:cs="Times New Roman"/>
          <w:sz w:val="24"/>
          <w:szCs w:val="24"/>
        </w:rPr>
        <w:t>i</w:t>
      </w:r>
      <w:r w:rsidRPr="00F8240E">
        <w:rPr>
          <w:rFonts w:ascii="Times New Roman" w:hAnsi="Times New Roman" w:cs="Times New Roman"/>
          <w:sz w:val="24"/>
          <w:szCs w:val="24"/>
        </w:rPr>
        <w:t>n Australia.</w:t>
      </w:r>
      <w:r w:rsidR="00D160A6" w:rsidRPr="00F8240E">
        <w:rPr>
          <w:rFonts w:ascii="Times New Roman" w:hAnsi="Times New Roman" w:cs="Times New Roman"/>
          <w:sz w:val="24"/>
          <w:szCs w:val="24"/>
        </w:rPr>
        <w:t xml:space="preserve"> This has occurred in the context of stagnant private personal pension coverage referred to above and, from the late 1990s, increasing structural pressures on occupational provision manifested most obviously in a general shift away from defined benefit to defined contribution provision (eg Bridgen and Meyer, 2005).</w:t>
      </w:r>
      <w:r w:rsidR="002671D3" w:rsidRPr="00F8240E">
        <w:rPr>
          <w:rFonts w:ascii="Times New Roman" w:hAnsi="Times New Roman" w:cs="Times New Roman"/>
          <w:sz w:val="24"/>
          <w:szCs w:val="24"/>
        </w:rPr>
        <w:t xml:space="preserve"> In</w:t>
      </w:r>
      <w:r w:rsidR="001F2CD6" w:rsidRPr="00F8240E">
        <w:rPr>
          <w:rFonts w:ascii="Times New Roman" w:hAnsi="Times New Roman" w:cs="Times New Roman"/>
          <w:sz w:val="24"/>
          <w:szCs w:val="24"/>
        </w:rPr>
        <w:t xml:space="preserve"> </w:t>
      </w:r>
      <w:r w:rsidRPr="00F8240E">
        <w:rPr>
          <w:rFonts w:ascii="Times New Roman" w:hAnsi="Times New Roman" w:cs="Times New Roman"/>
          <w:sz w:val="24"/>
          <w:szCs w:val="24"/>
        </w:rPr>
        <w:t>New Zealand</w:t>
      </w:r>
      <w:r w:rsidR="001F2CD6" w:rsidRPr="00F8240E">
        <w:t xml:space="preserve"> (</w:t>
      </w:r>
      <w:r w:rsidR="001F2CD6" w:rsidRPr="00F8240E">
        <w:rPr>
          <w:rFonts w:ascii="Times New Roman" w:hAnsi="Times New Roman" w:cs="Times New Roman"/>
          <w:sz w:val="24"/>
          <w:szCs w:val="24"/>
        </w:rPr>
        <w:t>Ashton &amp; St John, 2008)</w:t>
      </w:r>
      <w:r w:rsidR="00471435" w:rsidRPr="00F8240E">
        <w:rPr>
          <w:rFonts w:ascii="Times New Roman" w:hAnsi="Times New Roman" w:cs="Times New Roman"/>
          <w:sz w:val="24"/>
          <w:szCs w:val="24"/>
        </w:rPr>
        <w:t xml:space="preserve">, </w:t>
      </w:r>
      <w:r w:rsidRPr="00F8240E">
        <w:rPr>
          <w:rFonts w:ascii="Times New Roman" w:hAnsi="Times New Roman" w:cs="Times New Roman"/>
          <w:sz w:val="24"/>
          <w:szCs w:val="24"/>
        </w:rPr>
        <w:t>the UK</w:t>
      </w:r>
      <w:r w:rsidR="001F2CD6" w:rsidRPr="00F8240E">
        <w:rPr>
          <w:rFonts w:ascii="Times New Roman" w:hAnsi="Times New Roman" w:cs="Times New Roman"/>
          <w:sz w:val="24"/>
          <w:szCs w:val="24"/>
        </w:rPr>
        <w:t xml:space="preserve"> (Meyer &amp; Bridgen 2009)</w:t>
      </w:r>
      <w:r w:rsidR="002671D3" w:rsidRPr="00F8240E">
        <w:rPr>
          <w:rFonts w:ascii="Times New Roman" w:hAnsi="Times New Roman" w:cs="Times New Roman"/>
          <w:sz w:val="24"/>
          <w:szCs w:val="24"/>
        </w:rPr>
        <w:t xml:space="preserve">, </w:t>
      </w:r>
      <w:r w:rsidR="001F2CD6" w:rsidRPr="00F8240E">
        <w:rPr>
          <w:rFonts w:ascii="Times New Roman" w:hAnsi="Times New Roman" w:cs="Times New Roman"/>
          <w:sz w:val="24"/>
          <w:szCs w:val="24"/>
        </w:rPr>
        <w:t>and most recently Ireland</w:t>
      </w:r>
      <w:r w:rsidR="00471435" w:rsidRPr="00F8240E">
        <w:rPr>
          <w:rFonts w:ascii="Times New Roman" w:hAnsi="Times New Roman" w:cs="Times New Roman"/>
          <w:sz w:val="24"/>
          <w:szCs w:val="24"/>
        </w:rPr>
        <w:t xml:space="preserve"> (</w:t>
      </w:r>
      <w:r w:rsidR="00750DB9" w:rsidRPr="00F8240E">
        <w:rPr>
          <w:rFonts w:ascii="Times New Roman" w:hAnsi="Times New Roman" w:cs="Times New Roman"/>
          <w:sz w:val="24"/>
          <w:szCs w:val="24"/>
        </w:rPr>
        <w:t>Reeve, 2018</w:t>
      </w:r>
      <w:r w:rsidR="00471435" w:rsidRPr="00F8240E">
        <w:rPr>
          <w:rFonts w:ascii="Times New Roman" w:hAnsi="Times New Roman" w:cs="Times New Roman"/>
          <w:sz w:val="24"/>
          <w:szCs w:val="24"/>
        </w:rPr>
        <w:t>)</w:t>
      </w:r>
      <w:r w:rsidR="001F2CD6"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reforms have been passed involving </w:t>
      </w:r>
      <w:r w:rsidR="006D37F0" w:rsidRPr="00F8240E">
        <w:rPr>
          <w:rFonts w:ascii="Times New Roman" w:hAnsi="Times New Roman" w:cs="Times New Roman"/>
          <w:sz w:val="24"/>
          <w:szCs w:val="24"/>
        </w:rPr>
        <w:t>increase</w:t>
      </w:r>
      <w:r w:rsidRPr="00F8240E">
        <w:rPr>
          <w:rFonts w:ascii="Times New Roman" w:hAnsi="Times New Roman" w:cs="Times New Roman"/>
          <w:sz w:val="24"/>
          <w:szCs w:val="24"/>
        </w:rPr>
        <w:t>d state regulation of non-state provision</w:t>
      </w:r>
      <w:r w:rsidR="006D37F0" w:rsidRPr="00F8240E">
        <w:rPr>
          <w:rFonts w:ascii="Times New Roman" w:hAnsi="Times New Roman" w:cs="Times New Roman"/>
          <w:sz w:val="24"/>
          <w:szCs w:val="24"/>
        </w:rPr>
        <w:t xml:space="preserve"> in</w:t>
      </w:r>
      <w:r w:rsidRPr="00F8240E">
        <w:rPr>
          <w:rFonts w:ascii="Times New Roman" w:hAnsi="Times New Roman" w:cs="Times New Roman"/>
          <w:sz w:val="24"/>
          <w:szCs w:val="24"/>
        </w:rPr>
        <w:t>cluding greater</w:t>
      </w:r>
      <w:r w:rsidR="006D37F0" w:rsidRPr="00F8240E">
        <w:rPr>
          <w:rFonts w:ascii="Times New Roman" w:hAnsi="Times New Roman" w:cs="Times New Roman"/>
          <w:sz w:val="24"/>
          <w:szCs w:val="24"/>
        </w:rPr>
        <w:t xml:space="preserve"> compulsion</w:t>
      </w:r>
      <w:r w:rsidR="001F2CD6" w:rsidRPr="00F8240E">
        <w:rPr>
          <w:rFonts w:ascii="Times New Roman" w:hAnsi="Times New Roman" w:cs="Times New Roman"/>
          <w:sz w:val="24"/>
          <w:szCs w:val="24"/>
        </w:rPr>
        <w:t>, using auto-enrolment,</w:t>
      </w:r>
      <w:r w:rsidRPr="00F8240E">
        <w:rPr>
          <w:rFonts w:ascii="Times New Roman" w:hAnsi="Times New Roman" w:cs="Times New Roman"/>
          <w:sz w:val="24"/>
          <w:szCs w:val="24"/>
        </w:rPr>
        <w:t xml:space="preserve"> and </w:t>
      </w:r>
      <w:r w:rsidR="006D37F0" w:rsidRPr="00F8240E">
        <w:rPr>
          <w:rFonts w:ascii="Times New Roman" w:hAnsi="Times New Roman" w:cs="Times New Roman"/>
          <w:sz w:val="24"/>
          <w:szCs w:val="24"/>
        </w:rPr>
        <w:t>some form of employer mandate</w:t>
      </w:r>
      <w:r w:rsidR="0014496A" w:rsidRPr="00F8240E">
        <w:rPr>
          <w:rFonts w:ascii="Times New Roman" w:hAnsi="Times New Roman" w:cs="Times New Roman"/>
          <w:sz w:val="24"/>
          <w:szCs w:val="24"/>
        </w:rPr>
        <w:t xml:space="preserve"> (Clark</w:t>
      </w:r>
      <w:r w:rsidR="00B81418" w:rsidRPr="00F8240E">
        <w:rPr>
          <w:rFonts w:ascii="Times New Roman" w:hAnsi="Times New Roman" w:cs="Times New Roman"/>
          <w:sz w:val="24"/>
          <w:szCs w:val="24"/>
        </w:rPr>
        <w:t>, 2012</w:t>
      </w:r>
      <w:r w:rsidR="0014496A" w:rsidRPr="00F8240E">
        <w:rPr>
          <w:rFonts w:ascii="Times New Roman" w:hAnsi="Times New Roman" w:cs="Times New Roman"/>
          <w:sz w:val="24"/>
          <w:szCs w:val="24"/>
        </w:rPr>
        <w:t>)</w:t>
      </w:r>
      <w:r w:rsidR="006D37F0" w:rsidRPr="00F8240E">
        <w:rPr>
          <w:rFonts w:ascii="Times New Roman" w:hAnsi="Times New Roman" w:cs="Times New Roman"/>
          <w:sz w:val="24"/>
          <w:szCs w:val="24"/>
        </w:rPr>
        <w:t xml:space="preserve">. </w:t>
      </w:r>
      <w:r w:rsidR="00471435" w:rsidRPr="00F8240E">
        <w:rPr>
          <w:rFonts w:ascii="Times New Roman" w:hAnsi="Times New Roman" w:cs="Times New Roman"/>
          <w:sz w:val="24"/>
          <w:szCs w:val="24"/>
        </w:rPr>
        <w:t>I</w:t>
      </w:r>
      <w:r w:rsidR="006D37F0" w:rsidRPr="00F8240E">
        <w:rPr>
          <w:rFonts w:ascii="Times New Roman" w:hAnsi="Times New Roman" w:cs="Times New Roman"/>
          <w:sz w:val="24"/>
          <w:szCs w:val="24"/>
        </w:rPr>
        <w:t xml:space="preserve">n the UK, </w:t>
      </w:r>
      <w:r w:rsidR="00471435" w:rsidRPr="00F8240E">
        <w:rPr>
          <w:rFonts w:ascii="Times New Roman" w:hAnsi="Times New Roman" w:cs="Times New Roman"/>
          <w:sz w:val="24"/>
          <w:szCs w:val="24"/>
        </w:rPr>
        <w:t>this has</w:t>
      </w:r>
      <w:r w:rsidR="00F40F36" w:rsidRPr="00F8240E">
        <w:rPr>
          <w:rFonts w:ascii="Times New Roman" w:hAnsi="Times New Roman" w:cs="Times New Roman"/>
          <w:sz w:val="24"/>
          <w:szCs w:val="24"/>
        </w:rPr>
        <w:t xml:space="preserve"> also</w:t>
      </w:r>
      <w:r w:rsidR="00471435" w:rsidRPr="00F8240E">
        <w:rPr>
          <w:rFonts w:ascii="Times New Roman" w:hAnsi="Times New Roman" w:cs="Times New Roman"/>
          <w:sz w:val="24"/>
          <w:szCs w:val="24"/>
        </w:rPr>
        <w:t xml:space="preserve"> involved the insertion of a </w:t>
      </w:r>
      <w:r w:rsidR="00CB30A7" w:rsidRPr="00F8240E">
        <w:rPr>
          <w:rFonts w:ascii="Times New Roman" w:hAnsi="Times New Roman" w:cs="Times New Roman"/>
          <w:sz w:val="24"/>
          <w:szCs w:val="24"/>
        </w:rPr>
        <w:t>“</w:t>
      </w:r>
      <w:r w:rsidR="00471435" w:rsidRPr="00F8240E">
        <w:rPr>
          <w:rFonts w:ascii="Times New Roman" w:hAnsi="Times New Roman" w:cs="Times New Roman"/>
          <w:sz w:val="24"/>
          <w:szCs w:val="24"/>
        </w:rPr>
        <w:t>public option</w:t>
      </w:r>
      <w:r w:rsidR="00CB30A7" w:rsidRPr="00F8240E">
        <w:rPr>
          <w:rFonts w:ascii="Times New Roman" w:hAnsi="Times New Roman" w:cs="Times New Roman"/>
          <w:sz w:val="24"/>
          <w:szCs w:val="24"/>
        </w:rPr>
        <w:t>”</w:t>
      </w:r>
      <w:r w:rsidR="00471435" w:rsidRPr="00F8240E">
        <w:rPr>
          <w:rFonts w:ascii="Times New Roman" w:hAnsi="Times New Roman" w:cs="Times New Roman"/>
          <w:sz w:val="24"/>
          <w:szCs w:val="24"/>
        </w:rPr>
        <w:t xml:space="preserve"> </w:t>
      </w:r>
      <w:r w:rsidR="004C4360" w:rsidRPr="00F8240E">
        <w:rPr>
          <w:rFonts w:ascii="Times New Roman" w:hAnsi="Times New Roman" w:cs="Times New Roman"/>
          <w:sz w:val="24"/>
          <w:szCs w:val="24"/>
        </w:rPr>
        <w:t xml:space="preserve">(Benish et al, 2017) </w:t>
      </w:r>
      <w:r w:rsidR="00471435" w:rsidRPr="00F8240E">
        <w:rPr>
          <w:rFonts w:ascii="Times New Roman" w:hAnsi="Times New Roman" w:cs="Times New Roman"/>
          <w:sz w:val="24"/>
          <w:szCs w:val="24"/>
        </w:rPr>
        <w:t xml:space="preserve">into the private pensions market through the establishment of </w:t>
      </w:r>
      <w:r w:rsidR="006D37F0" w:rsidRPr="00F8240E">
        <w:rPr>
          <w:rFonts w:ascii="Times New Roman" w:hAnsi="Times New Roman" w:cs="Times New Roman"/>
          <w:sz w:val="24"/>
          <w:szCs w:val="24"/>
        </w:rPr>
        <w:t>a quasi-public pension trust (the National Employment Savings Trust - NEST) into which employees c</w:t>
      </w:r>
      <w:r w:rsidR="00471435" w:rsidRPr="00F8240E">
        <w:rPr>
          <w:rFonts w:ascii="Times New Roman" w:hAnsi="Times New Roman" w:cs="Times New Roman"/>
          <w:sz w:val="24"/>
          <w:szCs w:val="24"/>
        </w:rPr>
        <w:t>an</w:t>
      </w:r>
      <w:r w:rsidR="006D37F0" w:rsidRPr="00F8240E">
        <w:rPr>
          <w:rFonts w:ascii="Times New Roman" w:hAnsi="Times New Roman" w:cs="Times New Roman"/>
          <w:sz w:val="24"/>
          <w:szCs w:val="24"/>
        </w:rPr>
        <w:t xml:space="preserve"> chose to pay their contributions. (Pensions Commission 2004). While no such developments have occurred at a national level in Canada and the United States, similar reforms have occurred at province/state level with smaller scale regulatory changes designed to increased non-state pension coverage progressing at national level (</w:t>
      </w:r>
      <w:r w:rsidR="0014496A" w:rsidRPr="00F8240E">
        <w:rPr>
          <w:rFonts w:ascii="Times New Roman" w:hAnsi="Times New Roman" w:cs="Times New Roman"/>
          <w:sz w:val="24"/>
          <w:szCs w:val="24"/>
        </w:rPr>
        <w:t xml:space="preserve">eg </w:t>
      </w:r>
      <w:r w:rsidR="001638FE" w:rsidRPr="00F8240E">
        <w:rPr>
          <w:rFonts w:ascii="Times New Roman" w:hAnsi="Times New Roman" w:cs="Times New Roman"/>
          <w:sz w:val="24"/>
          <w:szCs w:val="24"/>
        </w:rPr>
        <w:t>Myles, 2013</w:t>
      </w:r>
      <w:r w:rsidR="0014496A" w:rsidRPr="00F8240E">
        <w:rPr>
          <w:rFonts w:ascii="Times New Roman" w:hAnsi="Times New Roman" w:cs="Times New Roman"/>
          <w:sz w:val="24"/>
          <w:szCs w:val="24"/>
        </w:rPr>
        <w:t>).</w:t>
      </w:r>
      <w:r w:rsidR="00D160A6" w:rsidRPr="00F8240E">
        <w:rPr>
          <w:rFonts w:ascii="Times New Roman" w:hAnsi="Times New Roman" w:cs="Times New Roman"/>
          <w:sz w:val="24"/>
          <w:szCs w:val="24"/>
        </w:rPr>
        <w:t xml:space="preserve"> Thus, overall, in recent years more collective, regulated forms of capitalised provision have been promoted as complement</w:t>
      </w:r>
      <w:r w:rsidR="006624EC" w:rsidRPr="00F8240E">
        <w:rPr>
          <w:rFonts w:ascii="Times New Roman" w:hAnsi="Times New Roman" w:cs="Times New Roman"/>
          <w:sz w:val="24"/>
          <w:szCs w:val="24"/>
        </w:rPr>
        <w:t>s</w:t>
      </w:r>
      <w:r w:rsidR="00D160A6" w:rsidRPr="00F8240E">
        <w:rPr>
          <w:rFonts w:ascii="Times New Roman" w:hAnsi="Times New Roman" w:cs="Times New Roman"/>
          <w:sz w:val="24"/>
          <w:szCs w:val="24"/>
        </w:rPr>
        <w:t xml:space="preserve"> to public provision which, as the previous two sections have shown, </w:t>
      </w:r>
      <w:r w:rsidR="006624EC" w:rsidRPr="00F8240E">
        <w:rPr>
          <w:rFonts w:ascii="Times New Roman" w:hAnsi="Times New Roman" w:cs="Times New Roman"/>
          <w:sz w:val="24"/>
          <w:szCs w:val="24"/>
        </w:rPr>
        <w:t>began to</w:t>
      </w:r>
      <w:r w:rsidR="00D160A6" w:rsidRPr="00F8240E">
        <w:rPr>
          <w:rFonts w:ascii="Times New Roman" w:hAnsi="Times New Roman" w:cs="Times New Roman"/>
          <w:sz w:val="24"/>
          <w:szCs w:val="24"/>
        </w:rPr>
        <w:t xml:space="preserve"> bounce back </w:t>
      </w:r>
      <w:r w:rsidR="006624EC" w:rsidRPr="00F8240E">
        <w:rPr>
          <w:rFonts w:ascii="Times New Roman" w:hAnsi="Times New Roman" w:cs="Times New Roman"/>
          <w:sz w:val="24"/>
          <w:szCs w:val="24"/>
        </w:rPr>
        <w:t>during this period</w:t>
      </w:r>
      <w:r w:rsidR="00D160A6" w:rsidRPr="00F8240E">
        <w:rPr>
          <w:rFonts w:ascii="Times New Roman" w:hAnsi="Times New Roman" w:cs="Times New Roman"/>
          <w:sz w:val="24"/>
          <w:szCs w:val="24"/>
        </w:rPr>
        <w:t>.</w:t>
      </w:r>
    </w:p>
    <w:p w14:paraId="549B476A" w14:textId="77777777" w:rsidR="008C65DA" w:rsidRPr="00F8240E" w:rsidRDefault="008C65DA" w:rsidP="004943B5">
      <w:pPr>
        <w:spacing w:line="480" w:lineRule="auto"/>
        <w:jc w:val="both"/>
        <w:rPr>
          <w:rFonts w:ascii="Times New Roman" w:hAnsi="Times New Roman" w:cs="Times New Roman"/>
          <w:sz w:val="24"/>
          <w:szCs w:val="24"/>
        </w:rPr>
      </w:pPr>
    </w:p>
    <w:p w14:paraId="2DD0ABD7" w14:textId="145E9D24" w:rsidR="004E2583" w:rsidRPr="00F8240E" w:rsidRDefault="00CE2690"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4. DISCUSSION</w:t>
      </w:r>
    </w:p>
    <w:p w14:paraId="395D28DA" w14:textId="452670E8" w:rsidR="004E2583" w:rsidRPr="00F8240E" w:rsidRDefault="004E2583"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 xml:space="preserve">The results sections above </w:t>
      </w:r>
      <w:r w:rsidR="002B0836" w:rsidRPr="00F8240E">
        <w:rPr>
          <w:rFonts w:ascii="Times New Roman" w:hAnsi="Times New Roman" w:cs="Times New Roman"/>
          <w:sz w:val="24"/>
          <w:szCs w:val="24"/>
        </w:rPr>
        <w:t>show</w:t>
      </w:r>
      <w:r w:rsidRPr="00F8240E">
        <w:rPr>
          <w:rFonts w:ascii="Times New Roman" w:hAnsi="Times New Roman" w:cs="Times New Roman"/>
          <w:sz w:val="24"/>
          <w:szCs w:val="24"/>
        </w:rPr>
        <w:t xml:space="preserve"> retrenchment</w:t>
      </w:r>
      <w:r w:rsidR="002B0836" w:rsidRPr="00F8240E">
        <w:rPr>
          <w:rFonts w:ascii="Times New Roman" w:hAnsi="Times New Roman" w:cs="Times New Roman"/>
          <w:sz w:val="24"/>
          <w:szCs w:val="24"/>
        </w:rPr>
        <w:t>s</w:t>
      </w:r>
      <w:r w:rsidRPr="00F8240E">
        <w:rPr>
          <w:rFonts w:ascii="Times New Roman" w:hAnsi="Times New Roman" w:cs="Times New Roman"/>
          <w:sz w:val="24"/>
          <w:szCs w:val="24"/>
        </w:rPr>
        <w:t xml:space="preserve"> </w:t>
      </w:r>
      <w:r w:rsidR="002B0836" w:rsidRPr="00F8240E">
        <w:rPr>
          <w:rFonts w:ascii="Times New Roman" w:hAnsi="Times New Roman" w:cs="Times New Roman"/>
          <w:sz w:val="24"/>
          <w:szCs w:val="24"/>
        </w:rPr>
        <w:t xml:space="preserve">of varying extents </w:t>
      </w:r>
      <w:r w:rsidR="007A7E34" w:rsidRPr="00F8240E">
        <w:rPr>
          <w:rFonts w:ascii="Times New Roman" w:hAnsi="Times New Roman" w:cs="Times New Roman"/>
          <w:sz w:val="24"/>
          <w:szCs w:val="24"/>
        </w:rPr>
        <w:t>occurr</w:t>
      </w:r>
      <w:r w:rsidR="002B0836" w:rsidRPr="00F8240E">
        <w:rPr>
          <w:rFonts w:ascii="Times New Roman" w:hAnsi="Times New Roman" w:cs="Times New Roman"/>
          <w:sz w:val="24"/>
          <w:szCs w:val="24"/>
        </w:rPr>
        <w:t>ing</w:t>
      </w:r>
      <w:r w:rsidRPr="00F8240E">
        <w:rPr>
          <w:rFonts w:ascii="Times New Roman" w:hAnsi="Times New Roman" w:cs="Times New Roman"/>
          <w:sz w:val="24"/>
          <w:szCs w:val="24"/>
        </w:rPr>
        <w:t xml:space="preserve"> in all six countries </w:t>
      </w:r>
      <w:r w:rsidR="002B0836" w:rsidRPr="00F8240E">
        <w:rPr>
          <w:rFonts w:ascii="Times New Roman" w:hAnsi="Times New Roman" w:cs="Times New Roman"/>
          <w:sz w:val="24"/>
          <w:szCs w:val="24"/>
        </w:rPr>
        <w:t>after</w:t>
      </w:r>
      <w:r w:rsidRPr="00F8240E">
        <w:rPr>
          <w:rFonts w:ascii="Times New Roman" w:hAnsi="Times New Roman" w:cs="Times New Roman"/>
          <w:sz w:val="24"/>
          <w:szCs w:val="24"/>
        </w:rPr>
        <w:t xml:space="preserve"> 1980 but </w:t>
      </w:r>
      <w:r w:rsidR="002B0836" w:rsidRPr="00F8240E">
        <w:rPr>
          <w:rFonts w:ascii="Times New Roman" w:hAnsi="Times New Roman" w:cs="Times New Roman"/>
          <w:sz w:val="24"/>
          <w:szCs w:val="24"/>
        </w:rPr>
        <w:t>generally</w:t>
      </w:r>
      <w:r w:rsidRPr="00F8240E">
        <w:rPr>
          <w:rFonts w:ascii="Times New Roman" w:hAnsi="Times New Roman" w:cs="Times New Roman"/>
          <w:sz w:val="24"/>
          <w:szCs w:val="24"/>
        </w:rPr>
        <w:t xml:space="preserve"> ear</w:t>
      </w:r>
      <w:r w:rsidR="00C15627" w:rsidRPr="00F8240E">
        <w:rPr>
          <w:rFonts w:ascii="Times New Roman" w:hAnsi="Times New Roman" w:cs="Times New Roman"/>
          <w:sz w:val="24"/>
          <w:szCs w:val="24"/>
        </w:rPr>
        <w:t>lier</w:t>
      </w:r>
      <w:r w:rsidRPr="00F8240E">
        <w:rPr>
          <w:rFonts w:ascii="Times New Roman" w:hAnsi="Times New Roman" w:cs="Times New Roman"/>
          <w:sz w:val="24"/>
          <w:szCs w:val="24"/>
        </w:rPr>
        <w:t xml:space="preserve"> rather than later </w:t>
      </w:r>
      <w:r w:rsidR="002B0836" w:rsidRPr="00F8240E">
        <w:rPr>
          <w:rFonts w:ascii="Times New Roman" w:hAnsi="Times New Roman" w:cs="Times New Roman"/>
          <w:sz w:val="24"/>
          <w:szCs w:val="24"/>
        </w:rPr>
        <w:t>in the period</w:t>
      </w:r>
      <w:r w:rsidRPr="00F8240E">
        <w:rPr>
          <w:rFonts w:ascii="Times New Roman" w:hAnsi="Times New Roman" w:cs="Times New Roman"/>
          <w:sz w:val="24"/>
          <w:szCs w:val="24"/>
        </w:rPr>
        <w:t xml:space="preserve">. </w:t>
      </w:r>
      <w:r w:rsidR="00750DB9" w:rsidRPr="00F8240E">
        <w:rPr>
          <w:rFonts w:ascii="Times New Roman" w:hAnsi="Times New Roman" w:cs="Times New Roman"/>
          <w:sz w:val="24"/>
          <w:szCs w:val="24"/>
        </w:rPr>
        <w:t>Since the turn of the century</w:t>
      </w:r>
      <w:r w:rsidRPr="00F8240E">
        <w:rPr>
          <w:rFonts w:ascii="Times New Roman" w:hAnsi="Times New Roman" w:cs="Times New Roman"/>
          <w:sz w:val="24"/>
          <w:szCs w:val="24"/>
        </w:rPr>
        <w:t>, the state’s</w:t>
      </w:r>
      <w:r w:rsidR="002B0836" w:rsidRPr="00F8240E">
        <w:rPr>
          <w:rFonts w:ascii="Times New Roman" w:hAnsi="Times New Roman" w:cs="Times New Roman"/>
          <w:sz w:val="24"/>
          <w:szCs w:val="24"/>
        </w:rPr>
        <w:t xml:space="preserve"> providing and regulatory</w:t>
      </w:r>
      <w:r w:rsidRPr="00F8240E">
        <w:rPr>
          <w:rFonts w:ascii="Times New Roman" w:hAnsi="Times New Roman" w:cs="Times New Roman"/>
          <w:sz w:val="24"/>
          <w:szCs w:val="24"/>
        </w:rPr>
        <w:t xml:space="preserve"> role has grown (see also </w:t>
      </w:r>
      <w:r w:rsidR="001638FE" w:rsidRPr="00F8240E">
        <w:rPr>
          <w:rFonts w:ascii="Times New Roman" w:hAnsi="Times New Roman" w:cs="Times New Roman"/>
          <w:sz w:val="24"/>
          <w:szCs w:val="24"/>
        </w:rPr>
        <w:t>Gelepithis 201</w:t>
      </w:r>
      <w:r w:rsidR="009E2CD8" w:rsidRPr="00F8240E">
        <w:rPr>
          <w:rFonts w:ascii="Times New Roman" w:hAnsi="Times New Roman" w:cs="Times New Roman"/>
          <w:sz w:val="24"/>
          <w:szCs w:val="24"/>
        </w:rPr>
        <w:t>8</w:t>
      </w:r>
      <w:r w:rsidR="001638FE" w:rsidRPr="00F8240E">
        <w:rPr>
          <w:rFonts w:ascii="Times New Roman" w:hAnsi="Times New Roman" w:cs="Times New Roman"/>
          <w:sz w:val="24"/>
          <w:szCs w:val="24"/>
        </w:rPr>
        <w:t>a and b</w:t>
      </w:r>
      <w:r w:rsidRPr="00F8240E">
        <w:rPr>
          <w:rFonts w:ascii="Times New Roman" w:hAnsi="Times New Roman" w:cs="Times New Roman"/>
          <w:sz w:val="24"/>
          <w:szCs w:val="24"/>
        </w:rPr>
        <w:t>)</w:t>
      </w:r>
      <w:r w:rsidR="00750DB9" w:rsidRPr="00F8240E">
        <w:rPr>
          <w:rFonts w:ascii="Times New Roman" w:hAnsi="Times New Roman" w:cs="Times New Roman"/>
          <w:sz w:val="24"/>
          <w:szCs w:val="24"/>
        </w:rPr>
        <w:t>, a development that has largely been maintained notwithstanding the 2008 financial crisis</w:t>
      </w:r>
      <w:r w:rsidRPr="00F8240E">
        <w:rPr>
          <w:rFonts w:ascii="Times New Roman" w:hAnsi="Times New Roman" w:cs="Times New Roman"/>
          <w:sz w:val="24"/>
          <w:szCs w:val="24"/>
        </w:rPr>
        <w:t xml:space="preserve">. These results are </w:t>
      </w:r>
      <w:r w:rsidR="002B0836" w:rsidRPr="00F8240E">
        <w:rPr>
          <w:rFonts w:ascii="Times New Roman" w:hAnsi="Times New Roman" w:cs="Times New Roman"/>
          <w:sz w:val="24"/>
          <w:szCs w:val="24"/>
        </w:rPr>
        <w:t>in</w:t>
      </w:r>
      <w:r w:rsidRPr="00F8240E">
        <w:rPr>
          <w:rFonts w:ascii="Times New Roman" w:hAnsi="Times New Roman" w:cs="Times New Roman"/>
          <w:sz w:val="24"/>
          <w:szCs w:val="24"/>
        </w:rPr>
        <w:t>consistent with</w:t>
      </w:r>
      <w:r w:rsidR="002B0836" w:rsidRPr="00F8240E">
        <w:rPr>
          <w:rFonts w:ascii="Times New Roman" w:hAnsi="Times New Roman" w:cs="Times New Roman"/>
          <w:sz w:val="24"/>
          <w:szCs w:val="24"/>
        </w:rPr>
        <w:t xml:space="preserve"> the</w:t>
      </w:r>
      <w:r w:rsidRPr="00F8240E">
        <w:rPr>
          <w:rFonts w:ascii="Times New Roman" w:hAnsi="Times New Roman" w:cs="Times New Roman"/>
          <w:sz w:val="24"/>
          <w:szCs w:val="24"/>
        </w:rPr>
        <w:t xml:space="preserve"> crude</w:t>
      </w:r>
      <w:r w:rsidR="002B0836" w:rsidRPr="00F8240E">
        <w:rPr>
          <w:rFonts w:ascii="Times New Roman" w:hAnsi="Times New Roman" w:cs="Times New Roman"/>
          <w:sz w:val="24"/>
          <w:szCs w:val="24"/>
        </w:rPr>
        <w:t>st</w:t>
      </w:r>
      <w:r w:rsidRPr="00F8240E">
        <w:rPr>
          <w:rFonts w:ascii="Times New Roman" w:hAnsi="Times New Roman" w:cs="Times New Roman"/>
          <w:sz w:val="24"/>
          <w:szCs w:val="24"/>
        </w:rPr>
        <w:t xml:space="preserve"> regime theory prediction of blanket and enduring retrenchment in all liberal pension systems, but they do show pressures to </w:t>
      </w:r>
      <w:r w:rsidR="002B0836" w:rsidRPr="00F8240E">
        <w:rPr>
          <w:rFonts w:ascii="Times New Roman" w:hAnsi="Times New Roman" w:cs="Times New Roman"/>
          <w:sz w:val="24"/>
          <w:szCs w:val="24"/>
        </w:rPr>
        <w:t>reduce</w:t>
      </w:r>
      <w:r w:rsidRPr="00F8240E">
        <w:rPr>
          <w:rFonts w:ascii="Times New Roman" w:hAnsi="Times New Roman" w:cs="Times New Roman"/>
          <w:sz w:val="24"/>
          <w:szCs w:val="24"/>
        </w:rPr>
        <w:t xml:space="preserve"> provision were strong in most settings</w:t>
      </w:r>
      <w:bookmarkStart w:id="21" w:name="_Hlk516233880"/>
      <w:r w:rsidRPr="00F8240E">
        <w:rPr>
          <w:rFonts w:ascii="Times New Roman" w:hAnsi="Times New Roman" w:cs="Times New Roman"/>
          <w:sz w:val="24"/>
          <w:szCs w:val="24"/>
        </w:rPr>
        <w:t>. Cost containment was</w:t>
      </w:r>
      <w:r w:rsidR="00250609" w:rsidRPr="00F8240E">
        <w:rPr>
          <w:rFonts w:ascii="Times New Roman" w:hAnsi="Times New Roman" w:cs="Times New Roman"/>
          <w:sz w:val="24"/>
          <w:szCs w:val="24"/>
        </w:rPr>
        <w:t xml:space="preserve"> largely</w:t>
      </w:r>
      <w:r w:rsidRPr="00F8240E">
        <w:rPr>
          <w:rFonts w:ascii="Times New Roman" w:hAnsi="Times New Roman" w:cs="Times New Roman"/>
          <w:sz w:val="24"/>
          <w:szCs w:val="24"/>
        </w:rPr>
        <w:t xml:space="preserve"> successful</w:t>
      </w:r>
      <w:r w:rsidR="002B0836" w:rsidRPr="00F8240E">
        <w:rPr>
          <w:rFonts w:ascii="Times New Roman" w:hAnsi="Times New Roman" w:cs="Times New Roman"/>
          <w:sz w:val="24"/>
          <w:szCs w:val="24"/>
        </w:rPr>
        <w:t>, parti</w:t>
      </w:r>
      <w:r w:rsidR="00CE2690" w:rsidRPr="00F8240E">
        <w:rPr>
          <w:rFonts w:ascii="Times New Roman" w:hAnsi="Times New Roman" w:cs="Times New Roman"/>
          <w:sz w:val="24"/>
          <w:szCs w:val="24"/>
        </w:rPr>
        <w:t>cul</w:t>
      </w:r>
      <w:r w:rsidR="002B0836" w:rsidRPr="00F8240E">
        <w:rPr>
          <w:rFonts w:ascii="Times New Roman" w:hAnsi="Times New Roman" w:cs="Times New Roman"/>
          <w:sz w:val="24"/>
          <w:szCs w:val="24"/>
        </w:rPr>
        <w:t>ar</w:t>
      </w:r>
      <w:r w:rsidR="00CE2690" w:rsidRPr="00F8240E">
        <w:rPr>
          <w:rFonts w:ascii="Times New Roman" w:hAnsi="Times New Roman" w:cs="Times New Roman"/>
          <w:sz w:val="24"/>
          <w:szCs w:val="24"/>
        </w:rPr>
        <w:t>l</w:t>
      </w:r>
      <w:r w:rsidR="002B0836" w:rsidRPr="00F8240E">
        <w:rPr>
          <w:rFonts w:ascii="Times New Roman" w:hAnsi="Times New Roman" w:cs="Times New Roman"/>
          <w:sz w:val="24"/>
          <w:szCs w:val="24"/>
        </w:rPr>
        <w:t>y</w:t>
      </w:r>
      <w:r w:rsidRPr="00F8240E">
        <w:rPr>
          <w:rFonts w:ascii="Times New Roman" w:hAnsi="Times New Roman" w:cs="Times New Roman"/>
          <w:sz w:val="24"/>
          <w:szCs w:val="24"/>
        </w:rPr>
        <w:t xml:space="preserve"> during the earlier period, with real pension expenditure per population over 65 falling in Australia and New Zealand (where it also fell over the period as a whole) and failing to rise in line with national income per head in Ireland, the UK and the USA. Only in the UK did real expenditure per population over 65 rise faster than national income per head over the </w:t>
      </w:r>
      <w:r w:rsidR="002B0836" w:rsidRPr="00F8240E">
        <w:rPr>
          <w:rFonts w:ascii="Times New Roman" w:hAnsi="Times New Roman" w:cs="Times New Roman"/>
          <w:sz w:val="24"/>
          <w:szCs w:val="24"/>
        </w:rPr>
        <w:t xml:space="preserve">whole </w:t>
      </w:r>
      <w:r w:rsidRPr="00F8240E">
        <w:rPr>
          <w:rFonts w:ascii="Times New Roman" w:hAnsi="Times New Roman" w:cs="Times New Roman"/>
          <w:sz w:val="24"/>
          <w:szCs w:val="24"/>
        </w:rPr>
        <w:t>period, and this was mainly due to entitlements built up before 1980 and more generous means-tested benefits from</w:t>
      </w:r>
      <w:r w:rsidR="00CE2690" w:rsidRPr="00F8240E">
        <w:rPr>
          <w:rFonts w:ascii="Times New Roman" w:hAnsi="Times New Roman" w:cs="Times New Roman"/>
          <w:sz w:val="24"/>
          <w:szCs w:val="24"/>
        </w:rPr>
        <w:t xml:space="preserve"> </w:t>
      </w:r>
      <w:r w:rsidRPr="00F8240E">
        <w:rPr>
          <w:rFonts w:ascii="Times New Roman" w:hAnsi="Times New Roman" w:cs="Times New Roman"/>
          <w:sz w:val="24"/>
          <w:szCs w:val="24"/>
        </w:rPr>
        <w:t>199</w:t>
      </w:r>
      <w:r w:rsidR="00CE2690" w:rsidRPr="00F8240E">
        <w:rPr>
          <w:rFonts w:ascii="Times New Roman" w:hAnsi="Times New Roman" w:cs="Times New Roman"/>
          <w:sz w:val="24"/>
          <w:szCs w:val="24"/>
        </w:rPr>
        <w:t>8</w:t>
      </w:r>
      <w:r w:rsidRPr="00F8240E">
        <w:rPr>
          <w:rFonts w:ascii="Times New Roman" w:hAnsi="Times New Roman" w:cs="Times New Roman"/>
          <w:sz w:val="24"/>
          <w:szCs w:val="24"/>
        </w:rPr>
        <w:t xml:space="preserve">. </w:t>
      </w:r>
      <w:r w:rsidR="00CE2690" w:rsidRPr="00F8240E">
        <w:rPr>
          <w:rFonts w:ascii="Times New Roman" w:hAnsi="Times New Roman" w:cs="Times New Roman"/>
          <w:sz w:val="24"/>
          <w:szCs w:val="24"/>
        </w:rPr>
        <w:t xml:space="preserve">The impact of </w:t>
      </w:r>
      <w:r w:rsidRPr="00F8240E">
        <w:rPr>
          <w:rFonts w:ascii="Times New Roman" w:hAnsi="Times New Roman" w:cs="Times New Roman"/>
          <w:sz w:val="24"/>
          <w:szCs w:val="24"/>
        </w:rPr>
        <w:t>pre-1980s entitlements</w:t>
      </w:r>
      <w:r w:rsidR="00CE2690" w:rsidRPr="00F8240E">
        <w:rPr>
          <w:rFonts w:ascii="Times New Roman" w:hAnsi="Times New Roman" w:cs="Times New Roman"/>
          <w:sz w:val="24"/>
          <w:szCs w:val="24"/>
        </w:rPr>
        <w:t xml:space="preserve"> also</w:t>
      </w:r>
      <w:r w:rsidRPr="00F8240E">
        <w:rPr>
          <w:rFonts w:ascii="Times New Roman" w:hAnsi="Times New Roman" w:cs="Times New Roman"/>
          <w:sz w:val="24"/>
          <w:szCs w:val="24"/>
        </w:rPr>
        <w:t xml:space="preserve"> explains why</w:t>
      </w:r>
      <w:r w:rsidR="00CE2690" w:rsidRPr="00F8240E">
        <w:rPr>
          <w:rFonts w:ascii="Times New Roman" w:hAnsi="Times New Roman" w:cs="Times New Roman"/>
          <w:sz w:val="24"/>
          <w:szCs w:val="24"/>
        </w:rPr>
        <w:t xml:space="preserve"> Canadian</w:t>
      </w:r>
      <w:r w:rsidRPr="00F8240E">
        <w:rPr>
          <w:rFonts w:ascii="Times New Roman" w:hAnsi="Times New Roman" w:cs="Times New Roman"/>
          <w:sz w:val="24"/>
          <w:szCs w:val="24"/>
        </w:rPr>
        <w:t xml:space="preserve"> real expenditure per population over 65 rose faster than national income per head in the early part of the period</w:t>
      </w:r>
      <w:r w:rsidR="002204A7" w:rsidRPr="00F8240E">
        <w:rPr>
          <w:rFonts w:ascii="Times New Roman" w:hAnsi="Times New Roman" w:cs="Times New Roman"/>
          <w:sz w:val="24"/>
          <w:szCs w:val="24"/>
        </w:rPr>
        <w:t>.</w:t>
      </w:r>
    </w:p>
    <w:p w14:paraId="45F5138E" w14:textId="60E4B978" w:rsidR="004E2583" w:rsidRPr="00F8240E" w:rsidRDefault="004E2583"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Cost containment was achieved by recommodification</w:t>
      </w:r>
      <w:r w:rsidR="00CE2690" w:rsidRPr="00F8240E">
        <w:rPr>
          <w:rFonts w:ascii="Times New Roman" w:hAnsi="Times New Roman" w:cs="Times New Roman"/>
          <w:sz w:val="24"/>
          <w:szCs w:val="24"/>
        </w:rPr>
        <w:t>. This</w:t>
      </w:r>
      <w:r w:rsidRPr="00F8240E">
        <w:rPr>
          <w:rFonts w:ascii="Times New Roman" w:hAnsi="Times New Roman" w:cs="Times New Roman"/>
          <w:sz w:val="24"/>
          <w:szCs w:val="24"/>
        </w:rPr>
        <w:t xml:space="preserve"> balanced</w:t>
      </w:r>
      <w:r w:rsidR="00510A4F" w:rsidRPr="00F8240E">
        <w:rPr>
          <w:rFonts w:ascii="Times New Roman" w:hAnsi="Times New Roman" w:cs="Times New Roman"/>
          <w:sz w:val="24"/>
          <w:szCs w:val="24"/>
        </w:rPr>
        <w:t>,</w:t>
      </w:r>
      <w:r w:rsidRPr="00F8240E">
        <w:rPr>
          <w:rFonts w:ascii="Times New Roman" w:hAnsi="Times New Roman" w:cs="Times New Roman"/>
          <w:sz w:val="24"/>
          <w:szCs w:val="24"/>
        </w:rPr>
        <w:t xml:space="preserve"> to varying degrees </w:t>
      </w:r>
      <w:r w:rsidR="00CE2690" w:rsidRPr="00F8240E">
        <w:rPr>
          <w:rFonts w:ascii="Times New Roman" w:hAnsi="Times New Roman" w:cs="Times New Roman"/>
          <w:sz w:val="24"/>
          <w:szCs w:val="24"/>
        </w:rPr>
        <w:t>in each country</w:t>
      </w:r>
      <w:r w:rsidR="00510A4F" w:rsidRPr="00F8240E">
        <w:rPr>
          <w:rFonts w:ascii="Times New Roman" w:hAnsi="Times New Roman" w:cs="Times New Roman"/>
          <w:sz w:val="24"/>
          <w:szCs w:val="24"/>
        </w:rPr>
        <w:t>,</w:t>
      </w:r>
      <w:r w:rsidR="00CE2690"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indexing changes affecting all recipients with targeted reforms </w:t>
      </w:r>
      <w:r w:rsidR="00CE2690" w:rsidRPr="00F8240E">
        <w:rPr>
          <w:rFonts w:ascii="Times New Roman" w:hAnsi="Times New Roman" w:cs="Times New Roman"/>
          <w:sz w:val="24"/>
          <w:szCs w:val="24"/>
        </w:rPr>
        <w:t>that</w:t>
      </w:r>
      <w:r w:rsidRPr="00F8240E">
        <w:rPr>
          <w:rFonts w:ascii="Times New Roman" w:hAnsi="Times New Roman" w:cs="Times New Roman"/>
          <w:sz w:val="24"/>
          <w:szCs w:val="24"/>
        </w:rPr>
        <w:t xml:space="preserve"> increased means and/or asset testing and/or reduced </w:t>
      </w:r>
      <w:r w:rsidR="00CE2690" w:rsidRPr="00F8240E">
        <w:rPr>
          <w:rFonts w:ascii="Times New Roman" w:hAnsi="Times New Roman" w:cs="Times New Roman"/>
          <w:sz w:val="24"/>
          <w:szCs w:val="24"/>
        </w:rPr>
        <w:t xml:space="preserve">earnings-related </w:t>
      </w:r>
      <w:r w:rsidRPr="00F8240E">
        <w:rPr>
          <w:rFonts w:ascii="Times New Roman" w:hAnsi="Times New Roman" w:cs="Times New Roman"/>
          <w:sz w:val="24"/>
          <w:szCs w:val="24"/>
        </w:rPr>
        <w:t>provision</w:t>
      </w:r>
      <w:r w:rsidR="00510A4F" w:rsidRPr="00F8240E">
        <w:rPr>
          <w:rFonts w:ascii="Times New Roman" w:hAnsi="Times New Roman" w:cs="Times New Roman"/>
          <w:sz w:val="24"/>
          <w:szCs w:val="24"/>
        </w:rPr>
        <w:t xml:space="preserve"> for richer citizens</w:t>
      </w:r>
      <w:r w:rsidR="00CE2690"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00510A4F" w:rsidRPr="00F8240E">
        <w:rPr>
          <w:rFonts w:ascii="Times New Roman" w:hAnsi="Times New Roman" w:cs="Times New Roman"/>
          <w:sz w:val="24"/>
          <w:szCs w:val="24"/>
        </w:rPr>
        <w:t>The former</w:t>
      </w:r>
      <w:r w:rsidR="00CE2690" w:rsidRPr="00F8240E">
        <w:rPr>
          <w:rFonts w:ascii="Times New Roman" w:hAnsi="Times New Roman" w:cs="Times New Roman"/>
          <w:sz w:val="24"/>
          <w:szCs w:val="24"/>
        </w:rPr>
        <w:t xml:space="preserve"> meant</w:t>
      </w:r>
      <w:r w:rsidRPr="00F8240E">
        <w:rPr>
          <w:rFonts w:ascii="Times New Roman" w:hAnsi="Times New Roman" w:cs="Times New Roman"/>
          <w:sz w:val="24"/>
          <w:szCs w:val="24"/>
        </w:rPr>
        <w:t xml:space="preserve"> </w:t>
      </w:r>
      <w:r w:rsidR="00F40F36" w:rsidRPr="00F8240E">
        <w:rPr>
          <w:rFonts w:ascii="Times New Roman" w:hAnsi="Times New Roman" w:cs="Times New Roman"/>
          <w:sz w:val="24"/>
          <w:szCs w:val="24"/>
        </w:rPr>
        <w:t xml:space="preserve">standard </w:t>
      </w:r>
      <w:r w:rsidR="00CE2690" w:rsidRPr="00F8240E">
        <w:rPr>
          <w:rFonts w:ascii="Times New Roman" w:hAnsi="Times New Roman" w:cs="Times New Roman"/>
          <w:sz w:val="24"/>
          <w:szCs w:val="24"/>
        </w:rPr>
        <w:t xml:space="preserve">replacement rates for the </w:t>
      </w:r>
      <w:r w:rsidR="00F40F36" w:rsidRPr="00F8240E">
        <w:rPr>
          <w:rFonts w:ascii="Times New Roman" w:hAnsi="Times New Roman" w:cs="Times New Roman"/>
          <w:sz w:val="24"/>
          <w:szCs w:val="24"/>
        </w:rPr>
        <w:t xml:space="preserve">average </w:t>
      </w:r>
      <w:r w:rsidR="00A1581F" w:rsidRPr="00F8240E">
        <w:rPr>
          <w:rFonts w:ascii="Times New Roman" w:hAnsi="Times New Roman" w:cs="Times New Roman"/>
          <w:sz w:val="24"/>
          <w:szCs w:val="24"/>
        </w:rPr>
        <w:t xml:space="preserve">production </w:t>
      </w:r>
      <w:r w:rsidR="00CE2690" w:rsidRPr="00F8240E">
        <w:rPr>
          <w:rFonts w:ascii="Times New Roman" w:hAnsi="Times New Roman" w:cs="Times New Roman"/>
          <w:sz w:val="24"/>
          <w:szCs w:val="24"/>
        </w:rPr>
        <w:t xml:space="preserve">worker dipped for prolonged periods in </w:t>
      </w:r>
      <w:r w:rsidRPr="00F8240E">
        <w:rPr>
          <w:rFonts w:ascii="Times New Roman" w:hAnsi="Times New Roman" w:cs="Times New Roman"/>
          <w:sz w:val="24"/>
          <w:szCs w:val="24"/>
        </w:rPr>
        <w:t>most countries during the 1980s and 1990s</w:t>
      </w:r>
      <w:r w:rsidR="00510A4F" w:rsidRPr="00F8240E">
        <w:rPr>
          <w:rFonts w:ascii="Times New Roman" w:hAnsi="Times New Roman" w:cs="Times New Roman"/>
          <w:sz w:val="24"/>
          <w:szCs w:val="24"/>
        </w:rPr>
        <w:t xml:space="preserve">, although in </w:t>
      </w:r>
      <w:r w:rsidRPr="00F8240E">
        <w:rPr>
          <w:rFonts w:ascii="Times New Roman" w:hAnsi="Times New Roman" w:cs="Times New Roman"/>
          <w:sz w:val="24"/>
          <w:szCs w:val="24"/>
        </w:rPr>
        <w:t>Canada and the UK</w:t>
      </w:r>
      <w:r w:rsidR="00510A4F" w:rsidRPr="00F8240E">
        <w:rPr>
          <w:rFonts w:ascii="Times New Roman" w:hAnsi="Times New Roman" w:cs="Times New Roman"/>
          <w:sz w:val="24"/>
          <w:szCs w:val="24"/>
        </w:rPr>
        <w:t xml:space="preserve"> this process was masked by </w:t>
      </w:r>
      <w:r w:rsidRPr="00F8240E">
        <w:rPr>
          <w:rFonts w:ascii="Times New Roman" w:hAnsi="Times New Roman" w:cs="Times New Roman"/>
          <w:sz w:val="24"/>
          <w:szCs w:val="24"/>
        </w:rPr>
        <w:t>the maturation of pre-1980 schemes</w:t>
      </w:r>
      <w:r w:rsidR="00510A4F" w:rsidRPr="00F8240E">
        <w:rPr>
          <w:rFonts w:ascii="Times New Roman" w:hAnsi="Times New Roman" w:cs="Times New Roman"/>
          <w:sz w:val="24"/>
          <w:szCs w:val="24"/>
        </w:rPr>
        <w:t>. The latter involved increased means-testing in Australia, New Zealand and the UK, where earnings related provision was also curtailed, and the use of the tax system in Canada and the USA.</w:t>
      </w:r>
      <w:r w:rsidRPr="00F8240E">
        <w:rPr>
          <w:rFonts w:ascii="Times New Roman" w:hAnsi="Times New Roman" w:cs="Times New Roman"/>
          <w:sz w:val="24"/>
          <w:szCs w:val="24"/>
        </w:rPr>
        <w:t xml:space="preserve"> These developments were accompanied in the </w:t>
      </w:r>
      <w:r w:rsidR="009B7FA1" w:rsidRPr="00F8240E">
        <w:rPr>
          <w:rFonts w:ascii="Times New Roman" w:hAnsi="Times New Roman" w:cs="Times New Roman"/>
          <w:sz w:val="24"/>
          <w:szCs w:val="24"/>
        </w:rPr>
        <w:t xml:space="preserve">Canada, the </w:t>
      </w:r>
      <w:r w:rsidRPr="00F8240E">
        <w:rPr>
          <w:rFonts w:ascii="Times New Roman" w:hAnsi="Times New Roman" w:cs="Times New Roman"/>
          <w:sz w:val="24"/>
          <w:szCs w:val="24"/>
        </w:rPr>
        <w:t>UK and the USA by concerted</w:t>
      </w:r>
      <w:r w:rsidR="009B7FA1" w:rsidRPr="00F8240E">
        <w:rPr>
          <w:rFonts w:ascii="Times New Roman" w:hAnsi="Times New Roman" w:cs="Times New Roman"/>
          <w:sz w:val="24"/>
          <w:szCs w:val="24"/>
        </w:rPr>
        <w:t>, but unsuccessful,</w:t>
      </w:r>
      <w:r w:rsidRPr="00F8240E">
        <w:rPr>
          <w:rFonts w:ascii="Times New Roman" w:hAnsi="Times New Roman" w:cs="Times New Roman"/>
          <w:sz w:val="24"/>
          <w:szCs w:val="24"/>
        </w:rPr>
        <w:t xml:space="preserve"> efforts to increase the role of private personal pensions</w:t>
      </w:r>
      <w:r w:rsidR="00102B26" w:rsidRPr="00F8240E">
        <w:rPr>
          <w:rFonts w:ascii="Times New Roman" w:hAnsi="Times New Roman" w:cs="Times New Roman"/>
          <w:sz w:val="24"/>
          <w:szCs w:val="24"/>
        </w:rPr>
        <w:t xml:space="preserve"> as substitutes for public provision</w:t>
      </w:r>
      <w:r w:rsidR="009B7FA1" w:rsidRPr="00F8240E">
        <w:rPr>
          <w:rFonts w:ascii="Times New Roman" w:hAnsi="Times New Roman" w:cs="Times New Roman"/>
          <w:sz w:val="24"/>
          <w:szCs w:val="24"/>
        </w:rPr>
        <w:t>.</w:t>
      </w:r>
      <w:r w:rsidR="00A1581F" w:rsidRPr="00F8240E">
        <w:rPr>
          <w:rFonts w:ascii="Times New Roman" w:hAnsi="Times New Roman" w:cs="Times New Roman"/>
          <w:sz w:val="24"/>
          <w:szCs w:val="24"/>
        </w:rPr>
        <w:t xml:space="preserve"> </w:t>
      </w:r>
    </w:p>
    <w:p w14:paraId="65FBF8B0" w14:textId="36E18B12" w:rsidR="004E2583" w:rsidRPr="00F8240E" w:rsidRDefault="009B7FA1"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R</w:t>
      </w:r>
      <w:r w:rsidR="004E2583" w:rsidRPr="00F8240E">
        <w:rPr>
          <w:rFonts w:ascii="Times New Roman" w:hAnsi="Times New Roman" w:cs="Times New Roman"/>
          <w:sz w:val="24"/>
          <w:szCs w:val="24"/>
        </w:rPr>
        <w:t xml:space="preserve">etrenchment </w:t>
      </w:r>
      <w:r w:rsidRPr="00F8240E">
        <w:rPr>
          <w:rFonts w:ascii="Times New Roman" w:hAnsi="Times New Roman" w:cs="Times New Roman"/>
          <w:sz w:val="24"/>
          <w:szCs w:val="24"/>
        </w:rPr>
        <w:t xml:space="preserve">was generally </w:t>
      </w:r>
      <w:r w:rsidR="004E2583" w:rsidRPr="00F8240E">
        <w:rPr>
          <w:rFonts w:ascii="Times New Roman" w:hAnsi="Times New Roman" w:cs="Times New Roman"/>
          <w:sz w:val="24"/>
          <w:szCs w:val="24"/>
        </w:rPr>
        <w:t>greater in systems that were closer at the beginning of the period to the liberal ideal type</w:t>
      </w:r>
      <w:r w:rsidRPr="00F8240E">
        <w:rPr>
          <w:rFonts w:ascii="Times New Roman" w:hAnsi="Times New Roman" w:cs="Times New Roman"/>
          <w:sz w:val="24"/>
          <w:szCs w:val="24"/>
        </w:rPr>
        <w:t>,</w:t>
      </w:r>
      <w:r w:rsidR="004E2583" w:rsidRPr="00F8240E">
        <w:rPr>
          <w:rFonts w:ascii="Times New Roman" w:hAnsi="Times New Roman" w:cs="Times New Roman"/>
          <w:sz w:val="24"/>
          <w:szCs w:val="24"/>
        </w:rPr>
        <w:t xml:space="preserve"> confirming to an extent previous work (eg Lain et al, 2013). New Zealand</w:t>
      </w:r>
      <w:r w:rsidRPr="00F8240E">
        <w:rPr>
          <w:rFonts w:ascii="Times New Roman" w:hAnsi="Times New Roman" w:cs="Times New Roman"/>
          <w:sz w:val="24"/>
          <w:szCs w:val="24"/>
        </w:rPr>
        <w:t xml:space="preserve">’s flat rate system </w:t>
      </w:r>
      <w:r w:rsidR="004E2583" w:rsidRPr="00F8240E">
        <w:rPr>
          <w:rFonts w:ascii="Times New Roman" w:hAnsi="Times New Roman" w:cs="Times New Roman"/>
          <w:sz w:val="24"/>
          <w:szCs w:val="24"/>
        </w:rPr>
        <w:t xml:space="preserve">had only </w:t>
      </w:r>
      <w:r w:rsidRPr="00F8240E">
        <w:rPr>
          <w:rFonts w:ascii="Times New Roman" w:hAnsi="Times New Roman" w:cs="Times New Roman"/>
          <w:sz w:val="24"/>
          <w:szCs w:val="24"/>
        </w:rPr>
        <w:t>recently become universal</w:t>
      </w:r>
      <w:r w:rsidR="00250609" w:rsidRPr="00F8240E">
        <w:rPr>
          <w:rFonts w:ascii="Times New Roman" w:hAnsi="Times New Roman" w:cs="Times New Roman"/>
          <w:sz w:val="24"/>
          <w:szCs w:val="24"/>
        </w:rPr>
        <w:t xml:space="preserve"> in 1980</w:t>
      </w:r>
      <w:r w:rsidR="004E2583" w:rsidRPr="00F8240E">
        <w:rPr>
          <w:rFonts w:ascii="Times New Roman" w:hAnsi="Times New Roman" w:cs="Times New Roman"/>
          <w:sz w:val="24"/>
          <w:szCs w:val="24"/>
        </w:rPr>
        <w:t xml:space="preserve">. It experienced post-1980 the most significant and enduring retrenchment of the six countries, particularly in terms of cost containment. Similarly, Australia, close to the liberal archetype in 1980, successfully contained costs well below the rise in national income post-1980 and was the only public system to end the period with means-testing central to its operation. </w:t>
      </w:r>
      <w:r w:rsidR="00C15627" w:rsidRPr="00F8240E">
        <w:rPr>
          <w:rFonts w:ascii="Times New Roman" w:hAnsi="Times New Roman" w:cs="Times New Roman"/>
          <w:sz w:val="24"/>
          <w:szCs w:val="24"/>
        </w:rPr>
        <w:t>Conversely</w:t>
      </w:r>
      <w:r w:rsidR="004E2583" w:rsidRPr="00F8240E">
        <w:rPr>
          <w:rFonts w:ascii="Times New Roman" w:hAnsi="Times New Roman" w:cs="Times New Roman"/>
          <w:sz w:val="24"/>
          <w:szCs w:val="24"/>
        </w:rPr>
        <w:t xml:space="preserve">, the USA and Canada, whose systems were furthest away from the liberal ideal type in 1980, experienced </w:t>
      </w:r>
      <w:r w:rsidRPr="00F8240E">
        <w:rPr>
          <w:rFonts w:ascii="Times New Roman" w:hAnsi="Times New Roman" w:cs="Times New Roman"/>
          <w:sz w:val="24"/>
          <w:szCs w:val="24"/>
        </w:rPr>
        <w:t>overall</w:t>
      </w:r>
      <w:r w:rsidR="004E2583" w:rsidRPr="00F8240E">
        <w:rPr>
          <w:rFonts w:ascii="Times New Roman" w:hAnsi="Times New Roman" w:cs="Times New Roman"/>
          <w:sz w:val="24"/>
          <w:szCs w:val="24"/>
        </w:rPr>
        <w:t xml:space="preserve"> the least amount of retrenchment over the period. </w:t>
      </w:r>
    </w:p>
    <w:p w14:paraId="0E806A6E" w14:textId="5CBFFAE7" w:rsidR="004E2583" w:rsidRPr="00F8240E" w:rsidRDefault="004E2583"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Yet, confirmation</w:t>
      </w:r>
      <w:r w:rsidR="00C15627" w:rsidRPr="00F8240E">
        <w:rPr>
          <w:rFonts w:ascii="Times New Roman" w:hAnsi="Times New Roman" w:cs="Times New Roman"/>
          <w:sz w:val="24"/>
          <w:szCs w:val="24"/>
        </w:rPr>
        <w:t xml:space="preserve"> of this thesis</w:t>
      </w:r>
      <w:r w:rsidRPr="00F8240E">
        <w:rPr>
          <w:rFonts w:ascii="Times New Roman" w:hAnsi="Times New Roman" w:cs="Times New Roman"/>
          <w:sz w:val="24"/>
          <w:szCs w:val="24"/>
        </w:rPr>
        <w:t xml:space="preserve"> is only partial. First, Ireland is anomalous</w:t>
      </w:r>
      <w:r w:rsidR="00C15627" w:rsidRPr="00F8240E">
        <w:rPr>
          <w:rFonts w:ascii="Times New Roman" w:hAnsi="Times New Roman" w:cs="Times New Roman"/>
          <w:sz w:val="24"/>
          <w:szCs w:val="24"/>
        </w:rPr>
        <w:t>: i</w:t>
      </w:r>
      <w:r w:rsidRPr="00F8240E">
        <w:rPr>
          <w:rFonts w:ascii="Times New Roman" w:hAnsi="Times New Roman" w:cs="Times New Roman"/>
          <w:sz w:val="24"/>
          <w:szCs w:val="24"/>
        </w:rPr>
        <w:t>t</w:t>
      </w:r>
      <w:r w:rsidR="009B7FA1" w:rsidRPr="00F8240E">
        <w:rPr>
          <w:rFonts w:ascii="Times New Roman" w:hAnsi="Times New Roman" w:cs="Times New Roman"/>
          <w:sz w:val="24"/>
          <w:szCs w:val="24"/>
        </w:rPr>
        <w:t xml:space="preserve">s system was close to the liberal ideal type in 1980 but expanded significantly in cost and generosity over the period, largely </w:t>
      </w:r>
      <w:r w:rsidR="00C15627" w:rsidRPr="00F8240E">
        <w:rPr>
          <w:rFonts w:ascii="Times New Roman" w:hAnsi="Times New Roman" w:cs="Times New Roman"/>
          <w:sz w:val="24"/>
          <w:szCs w:val="24"/>
        </w:rPr>
        <w:t>due to</w:t>
      </w:r>
      <w:r w:rsidR="009B7FA1" w:rsidRPr="00F8240E">
        <w:rPr>
          <w:rFonts w:ascii="Times New Roman" w:hAnsi="Times New Roman" w:cs="Times New Roman"/>
          <w:sz w:val="24"/>
          <w:szCs w:val="24"/>
        </w:rPr>
        <w:t xml:space="preserve"> Ireland’s precipi</w:t>
      </w:r>
      <w:r w:rsidR="00C15627" w:rsidRPr="00F8240E">
        <w:rPr>
          <w:rFonts w:ascii="Times New Roman" w:hAnsi="Times New Roman" w:cs="Times New Roman"/>
          <w:sz w:val="24"/>
          <w:szCs w:val="24"/>
        </w:rPr>
        <w:t xml:space="preserve">tous </w:t>
      </w:r>
      <w:r w:rsidR="00250609" w:rsidRPr="00F8240E">
        <w:rPr>
          <w:rFonts w:ascii="Times New Roman" w:hAnsi="Times New Roman" w:cs="Times New Roman"/>
          <w:sz w:val="24"/>
          <w:szCs w:val="24"/>
        </w:rPr>
        <w:t xml:space="preserve">economic </w:t>
      </w:r>
      <w:r w:rsidR="00C15627" w:rsidRPr="00F8240E">
        <w:rPr>
          <w:rFonts w:ascii="Times New Roman" w:hAnsi="Times New Roman" w:cs="Times New Roman"/>
          <w:sz w:val="24"/>
          <w:szCs w:val="24"/>
        </w:rPr>
        <w:t>growth.</w:t>
      </w:r>
      <w:r w:rsidRPr="00F8240E">
        <w:rPr>
          <w:rFonts w:ascii="Times New Roman" w:hAnsi="Times New Roman" w:cs="Times New Roman"/>
          <w:sz w:val="24"/>
          <w:szCs w:val="24"/>
        </w:rPr>
        <w:t xml:space="preserve">  More fundamenta</w:t>
      </w:r>
      <w:r w:rsidR="00E663FB" w:rsidRPr="00F8240E">
        <w:rPr>
          <w:rFonts w:ascii="Times New Roman" w:hAnsi="Times New Roman" w:cs="Times New Roman"/>
          <w:sz w:val="24"/>
          <w:szCs w:val="24"/>
        </w:rPr>
        <w:t>l</w:t>
      </w:r>
      <w:r w:rsidRPr="00F8240E">
        <w:rPr>
          <w:rFonts w:ascii="Times New Roman" w:hAnsi="Times New Roman" w:cs="Times New Roman"/>
          <w:sz w:val="24"/>
          <w:szCs w:val="24"/>
        </w:rPr>
        <w:t>l</w:t>
      </w:r>
      <w:r w:rsidR="00E663FB" w:rsidRPr="00F8240E">
        <w:rPr>
          <w:rFonts w:ascii="Times New Roman" w:hAnsi="Times New Roman" w:cs="Times New Roman"/>
          <w:sz w:val="24"/>
          <w:szCs w:val="24"/>
        </w:rPr>
        <w:t>y anomalous to all regime theory expectations</w:t>
      </w:r>
      <w:r w:rsidRPr="00F8240E">
        <w:rPr>
          <w:rFonts w:ascii="Times New Roman" w:hAnsi="Times New Roman" w:cs="Times New Roman"/>
          <w:sz w:val="24"/>
          <w:szCs w:val="24"/>
        </w:rPr>
        <w:t xml:space="preserve">, however, </w:t>
      </w:r>
      <w:r w:rsidR="00C15627" w:rsidRPr="00F8240E">
        <w:rPr>
          <w:rFonts w:ascii="Times New Roman" w:hAnsi="Times New Roman" w:cs="Times New Roman"/>
          <w:sz w:val="24"/>
          <w:szCs w:val="24"/>
        </w:rPr>
        <w:t xml:space="preserve">is the growth of the state’s role </w:t>
      </w:r>
      <w:r w:rsidRPr="00F8240E">
        <w:rPr>
          <w:rFonts w:ascii="Times New Roman" w:hAnsi="Times New Roman" w:cs="Times New Roman"/>
          <w:sz w:val="24"/>
          <w:szCs w:val="24"/>
        </w:rPr>
        <w:t xml:space="preserve">in </w:t>
      </w:r>
      <w:r w:rsidR="00C15627" w:rsidRPr="00F8240E">
        <w:rPr>
          <w:rFonts w:ascii="Times New Roman" w:hAnsi="Times New Roman" w:cs="Times New Roman"/>
          <w:sz w:val="24"/>
          <w:szCs w:val="24"/>
        </w:rPr>
        <w:t>most</w:t>
      </w:r>
      <w:r w:rsidRPr="00F8240E">
        <w:rPr>
          <w:rFonts w:ascii="Times New Roman" w:hAnsi="Times New Roman" w:cs="Times New Roman"/>
          <w:sz w:val="24"/>
          <w:szCs w:val="24"/>
        </w:rPr>
        <w:t xml:space="preserve"> countries in the period after retrenchment occurred. Regime theory, even in amended form, provides no reason to expect such developments. Yet, in most countries </w:t>
      </w:r>
      <w:r w:rsidR="00C15627" w:rsidRPr="00F8240E">
        <w:rPr>
          <w:rFonts w:ascii="Times New Roman" w:hAnsi="Times New Roman" w:cs="Times New Roman"/>
          <w:sz w:val="24"/>
          <w:szCs w:val="24"/>
        </w:rPr>
        <w:t xml:space="preserve">standard and minimum </w:t>
      </w:r>
      <w:r w:rsidRPr="00F8240E">
        <w:rPr>
          <w:rFonts w:ascii="Times New Roman" w:hAnsi="Times New Roman" w:cs="Times New Roman"/>
          <w:sz w:val="24"/>
          <w:szCs w:val="24"/>
        </w:rPr>
        <w:t xml:space="preserve">replacement rates for the average </w:t>
      </w:r>
      <w:r w:rsidR="00C15627" w:rsidRPr="00F8240E">
        <w:rPr>
          <w:rFonts w:ascii="Times New Roman" w:hAnsi="Times New Roman" w:cs="Times New Roman"/>
          <w:sz w:val="24"/>
          <w:szCs w:val="24"/>
        </w:rPr>
        <w:t>production</w:t>
      </w:r>
      <w:r w:rsidRPr="00F8240E">
        <w:rPr>
          <w:rFonts w:ascii="Times New Roman" w:hAnsi="Times New Roman" w:cs="Times New Roman"/>
          <w:sz w:val="24"/>
          <w:szCs w:val="24"/>
        </w:rPr>
        <w:t xml:space="preserve"> worker were higher in 2010 than they had been in 1975</w:t>
      </w:r>
      <w:r w:rsidR="00C15627" w:rsidRPr="00F8240E">
        <w:rPr>
          <w:rFonts w:ascii="Times New Roman" w:hAnsi="Times New Roman" w:cs="Times New Roman"/>
          <w:sz w:val="24"/>
          <w:szCs w:val="24"/>
        </w:rPr>
        <w:t>,</w:t>
      </w:r>
      <w:r w:rsidRPr="00F8240E">
        <w:rPr>
          <w:rFonts w:ascii="Times New Roman" w:hAnsi="Times New Roman" w:cs="Times New Roman"/>
          <w:sz w:val="24"/>
          <w:szCs w:val="24"/>
        </w:rPr>
        <w:t xml:space="preserve"> and where means- or asset-testing was increased (eg New Zealand, Australia and the UK), this was later reversed or mitigated. </w:t>
      </w:r>
    </w:p>
    <w:bookmarkEnd w:id="21"/>
    <w:p w14:paraId="79171A9B" w14:textId="364B083A" w:rsidR="003C12BF" w:rsidRPr="00F8240E" w:rsidRDefault="004E2583" w:rsidP="004E2583">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How should these reversals be explained? Gelepithis</w:t>
      </w:r>
      <w:r w:rsidR="00C15627" w:rsidRPr="00F8240E">
        <w:rPr>
          <w:rFonts w:ascii="Times New Roman" w:hAnsi="Times New Roman" w:cs="Times New Roman"/>
          <w:sz w:val="24"/>
          <w:szCs w:val="24"/>
        </w:rPr>
        <w:t xml:space="preserve"> </w:t>
      </w:r>
      <w:r w:rsidRPr="00F8240E">
        <w:rPr>
          <w:rFonts w:ascii="Times New Roman" w:hAnsi="Times New Roman" w:cs="Times New Roman"/>
          <w:sz w:val="24"/>
          <w:szCs w:val="24"/>
        </w:rPr>
        <w:t>explains moves towards more universalising public pension schemes in the Anglo-Saxon world during the last two decades as the result of an institutional mismatch between means-testing and private savings (</w:t>
      </w:r>
      <w:r w:rsidR="009E2CD8" w:rsidRPr="00F8240E">
        <w:rPr>
          <w:rFonts w:ascii="Times New Roman" w:hAnsi="Times New Roman" w:cs="Times New Roman"/>
          <w:sz w:val="24"/>
          <w:szCs w:val="24"/>
        </w:rPr>
        <w:t>2018a</w:t>
      </w:r>
      <w:r w:rsidRPr="00F8240E">
        <w:rPr>
          <w:rFonts w:ascii="Times New Roman" w:hAnsi="Times New Roman" w:cs="Times New Roman"/>
          <w:sz w:val="24"/>
          <w:szCs w:val="24"/>
        </w:rPr>
        <w:t xml:space="preserve">). The former reduced savings incentives leading financial actors to convince right-wing parties to reduce it in favour of </w:t>
      </w:r>
      <w:r w:rsidR="00C15627" w:rsidRPr="00F8240E">
        <w:rPr>
          <w:rFonts w:ascii="Times New Roman" w:hAnsi="Times New Roman" w:cs="Times New Roman"/>
          <w:sz w:val="24"/>
          <w:szCs w:val="24"/>
        </w:rPr>
        <w:t>public</w:t>
      </w:r>
      <w:r w:rsidRPr="00F8240E">
        <w:rPr>
          <w:rFonts w:ascii="Times New Roman" w:hAnsi="Times New Roman" w:cs="Times New Roman"/>
          <w:sz w:val="24"/>
          <w:szCs w:val="24"/>
        </w:rPr>
        <w:t xml:space="preserve"> universa</w:t>
      </w:r>
      <w:r w:rsidR="00C15627" w:rsidRPr="00F8240E">
        <w:rPr>
          <w:rFonts w:ascii="Times New Roman" w:hAnsi="Times New Roman" w:cs="Times New Roman"/>
          <w:sz w:val="24"/>
          <w:szCs w:val="24"/>
        </w:rPr>
        <w:t>lism</w:t>
      </w:r>
      <w:r w:rsidR="003C12BF" w:rsidRPr="00F8240E">
        <w:rPr>
          <w:rFonts w:ascii="Times New Roman" w:hAnsi="Times New Roman" w:cs="Times New Roman"/>
          <w:sz w:val="24"/>
          <w:szCs w:val="24"/>
        </w:rPr>
        <w:t xml:space="preserve"> (see also Meyer &amp; Bridgen 2009)</w:t>
      </w:r>
      <w:r w:rsidRPr="00F8240E">
        <w:rPr>
          <w:rFonts w:ascii="Times New Roman" w:hAnsi="Times New Roman" w:cs="Times New Roman"/>
          <w:sz w:val="24"/>
          <w:szCs w:val="24"/>
        </w:rPr>
        <w:t xml:space="preserve">. </w:t>
      </w:r>
      <w:r w:rsidR="003C12BF" w:rsidRPr="00F8240E">
        <w:rPr>
          <w:rFonts w:ascii="Times New Roman" w:hAnsi="Times New Roman" w:cs="Times New Roman"/>
          <w:sz w:val="24"/>
          <w:szCs w:val="24"/>
        </w:rPr>
        <w:t>She explains</w:t>
      </w:r>
      <w:r w:rsidRPr="00F8240E">
        <w:rPr>
          <w:rFonts w:ascii="Times New Roman" w:hAnsi="Times New Roman" w:cs="Times New Roman"/>
          <w:sz w:val="24"/>
          <w:szCs w:val="24"/>
        </w:rPr>
        <w:t xml:space="preserve"> increased regulated non-state provision (</w:t>
      </w:r>
      <w:r w:rsidR="009E2CD8" w:rsidRPr="00F8240E">
        <w:rPr>
          <w:rFonts w:ascii="Times New Roman" w:hAnsi="Times New Roman" w:cs="Times New Roman"/>
          <w:sz w:val="24"/>
          <w:szCs w:val="24"/>
        </w:rPr>
        <w:t>2018b</w:t>
      </w:r>
      <w:r w:rsidRPr="00F8240E">
        <w:rPr>
          <w:rFonts w:ascii="Times New Roman" w:hAnsi="Times New Roman" w:cs="Times New Roman"/>
          <w:sz w:val="24"/>
          <w:szCs w:val="24"/>
        </w:rPr>
        <w:t xml:space="preserve">) </w:t>
      </w:r>
      <w:r w:rsidR="003C12BF" w:rsidRPr="00F8240E">
        <w:rPr>
          <w:rFonts w:ascii="Times New Roman" w:hAnsi="Times New Roman" w:cs="Times New Roman"/>
          <w:sz w:val="24"/>
          <w:szCs w:val="24"/>
        </w:rPr>
        <w:t>as a product of increased</w:t>
      </w:r>
      <w:r w:rsidRPr="00F8240E">
        <w:rPr>
          <w:rFonts w:ascii="Times New Roman" w:hAnsi="Times New Roman" w:cs="Times New Roman"/>
          <w:sz w:val="24"/>
          <w:szCs w:val="24"/>
        </w:rPr>
        <w:t xml:space="preserve"> trade union</w:t>
      </w:r>
      <w:r w:rsidR="003C12BF" w:rsidRPr="00F8240E">
        <w:rPr>
          <w:rFonts w:ascii="Times New Roman" w:hAnsi="Times New Roman" w:cs="Times New Roman"/>
          <w:sz w:val="24"/>
          <w:szCs w:val="24"/>
        </w:rPr>
        <w:t xml:space="preserve"> influence, </w:t>
      </w:r>
      <w:r w:rsidRPr="00F8240E">
        <w:rPr>
          <w:rFonts w:ascii="Times New Roman" w:hAnsi="Times New Roman" w:cs="Times New Roman"/>
          <w:sz w:val="24"/>
          <w:szCs w:val="24"/>
        </w:rPr>
        <w:t xml:space="preserve">notwithstanding </w:t>
      </w:r>
      <w:r w:rsidR="00035E9C" w:rsidRPr="00F8240E">
        <w:rPr>
          <w:rFonts w:ascii="Times New Roman" w:hAnsi="Times New Roman" w:cs="Times New Roman"/>
          <w:sz w:val="24"/>
          <w:szCs w:val="24"/>
        </w:rPr>
        <w:t xml:space="preserve">labour’s </w:t>
      </w:r>
      <w:r w:rsidRPr="00F8240E">
        <w:rPr>
          <w:rFonts w:ascii="Times New Roman" w:hAnsi="Times New Roman" w:cs="Times New Roman"/>
          <w:sz w:val="24"/>
          <w:szCs w:val="24"/>
        </w:rPr>
        <w:t>generally weak position</w:t>
      </w:r>
      <w:r w:rsidR="003C12BF" w:rsidRPr="00F8240E">
        <w:rPr>
          <w:rFonts w:ascii="Times New Roman" w:hAnsi="Times New Roman" w:cs="Times New Roman"/>
          <w:sz w:val="24"/>
          <w:szCs w:val="24"/>
        </w:rPr>
        <w:t xml:space="preserve"> in liberal systems</w:t>
      </w:r>
      <w:r w:rsidRPr="00F8240E">
        <w:rPr>
          <w:rFonts w:ascii="Times New Roman" w:hAnsi="Times New Roman" w:cs="Times New Roman"/>
          <w:sz w:val="24"/>
          <w:szCs w:val="24"/>
        </w:rPr>
        <w:t xml:space="preserve">. </w:t>
      </w:r>
    </w:p>
    <w:p w14:paraId="2451BC48" w14:textId="77777777" w:rsidR="008D1F07" w:rsidRPr="00F8240E" w:rsidRDefault="004E2583" w:rsidP="003C12BF">
      <w:pPr>
        <w:spacing w:line="480" w:lineRule="auto"/>
        <w:jc w:val="both"/>
        <w:rPr>
          <w:rFonts w:ascii="Times New Roman" w:hAnsi="Times New Roman" w:cs="Times New Roman"/>
          <w:sz w:val="24"/>
          <w:szCs w:val="24"/>
        </w:rPr>
      </w:pPr>
      <w:bookmarkStart w:id="22" w:name="_Hlk519754515"/>
      <w:r w:rsidRPr="00F8240E">
        <w:rPr>
          <w:rFonts w:ascii="Times New Roman" w:hAnsi="Times New Roman" w:cs="Times New Roman"/>
          <w:sz w:val="24"/>
          <w:szCs w:val="24"/>
        </w:rPr>
        <w:t>Both explanations are plausible</w:t>
      </w:r>
      <w:r w:rsidR="00A1581F" w:rsidRPr="00F8240E">
        <w:rPr>
          <w:rFonts w:ascii="Times New Roman" w:hAnsi="Times New Roman" w:cs="Times New Roman"/>
          <w:sz w:val="24"/>
          <w:szCs w:val="24"/>
        </w:rPr>
        <w:t xml:space="preserve"> </w:t>
      </w:r>
      <w:r w:rsidR="003C12BF" w:rsidRPr="00F8240E">
        <w:rPr>
          <w:rFonts w:ascii="Times New Roman" w:hAnsi="Times New Roman" w:cs="Times New Roman"/>
          <w:sz w:val="24"/>
          <w:szCs w:val="24"/>
        </w:rPr>
        <w:t>but</w:t>
      </w:r>
      <w:r w:rsidRPr="00F8240E">
        <w:rPr>
          <w:rFonts w:ascii="Times New Roman" w:hAnsi="Times New Roman" w:cs="Times New Roman"/>
          <w:sz w:val="24"/>
          <w:szCs w:val="24"/>
        </w:rPr>
        <w:t xml:space="preserve"> rather narrow</w:t>
      </w:r>
      <w:r w:rsidR="00102B26" w:rsidRPr="00F8240E">
        <w:rPr>
          <w:rFonts w:ascii="Times New Roman" w:hAnsi="Times New Roman" w:cs="Times New Roman"/>
          <w:sz w:val="24"/>
          <w:szCs w:val="24"/>
        </w:rPr>
        <w:t>ly focused</w:t>
      </w:r>
      <w:r w:rsidR="00B92FEA" w:rsidRPr="00F8240E">
        <w:rPr>
          <w:rFonts w:ascii="Times New Roman" w:hAnsi="Times New Roman" w:cs="Times New Roman"/>
          <w:sz w:val="24"/>
          <w:szCs w:val="24"/>
        </w:rPr>
        <w:t xml:space="preserve"> </w:t>
      </w:r>
      <w:r w:rsidRPr="00F8240E">
        <w:rPr>
          <w:rFonts w:ascii="Times New Roman" w:hAnsi="Times New Roman" w:cs="Times New Roman"/>
          <w:sz w:val="24"/>
          <w:szCs w:val="24"/>
        </w:rPr>
        <w:t xml:space="preserve">on the immediate policy-making process and actors involved. </w:t>
      </w:r>
      <w:r w:rsidR="003B008D" w:rsidRPr="00F8240E">
        <w:rPr>
          <w:rFonts w:ascii="Times New Roman" w:hAnsi="Times New Roman" w:cs="Times New Roman"/>
          <w:sz w:val="24"/>
          <w:szCs w:val="24"/>
        </w:rPr>
        <w:t xml:space="preserve">There is scope particularly for research on </w:t>
      </w:r>
      <w:r w:rsidRPr="00F8240E">
        <w:rPr>
          <w:rFonts w:ascii="Times New Roman" w:hAnsi="Times New Roman" w:cs="Times New Roman"/>
          <w:sz w:val="24"/>
          <w:szCs w:val="24"/>
        </w:rPr>
        <w:t>the broader social context within which recent reforms have occurred</w:t>
      </w:r>
      <w:r w:rsidR="00C20DDB" w:rsidRPr="00F8240E">
        <w:rPr>
          <w:rFonts w:ascii="Times New Roman" w:hAnsi="Times New Roman" w:cs="Times New Roman"/>
          <w:sz w:val="24"/>
          <w:szCs w:val="24"/>
        </w:rPr>
        <w:t xml:space="preserve"> -</w:t>
      </w:r>
      <w:r w:rsidR="00990957" w:rsidRPr="00F8240E">
        <w:rPr>
          <w:rFonts w:ascii="Times New Roman" w:hAnsi="Times New Roman" w:cs="Times New Roman"/>
          <w:sz w:val="24"/>
          <w:szCs w:val="24"/>
        </w:rPr>
        <w:t xml:space="preserve"> </w:t>
      </w:r>
      <w:r w:rsidR="003C12BF" w:rsidRPr="00F8240E">
        <w:rPr>
          <w:rFonts w:ascii="Times New Roman" w:hAnsi="Times New Roman" w:cs="Times New Roman"/>
          <w:sz w:val="24"/>
          <w:szCs w:val="24"/>
        </w:rPr>
        <w:t>how</w:t>
      </w:r>
      <w:r w:rsidR="00D71EAE" w:rsidRPr="00F8240E">
        <w:rPr>
          <w:rFonts w:ascii="Times New Roman" w:hAnsi="Times New Roman" w:cs="Times New Roman"/>
          <w:sz w:val="24"/>
          <w:szCs w:val="24"/>
        </w:rPr>
        <w:t xml:space="preserve"> </w:t>
      </w:r>
      <w:r w:rsidR="009A3C87" w:rsidRPr="00F8240E">
        <w:rPr>
          <w:rFonts w:ascii="Times New Roman" w:hAnsi="Times New Roman" w:cs="Times New Roman"/>
          <w:sz w:val="24"/>
          <w:szCs w:val="24"/>
        </w:rPr>
        <w:t>retrenchment</w:t>
      </w:r>
      <w:r w:rsidR="00D71EAE" w:rsidRPr="00F8240E">
        <w:rPr>
          <w:rFonts w:ascii="Times New Roman" w:hAnsi="Times New Roman" w:cs="Times New Roman"/>
          <w:sz w:val="24"/>
          <w:szCs w:val="24"/>
        </w:rPr>
        <w:t xml:space="preserve"> might have extended</w:t>
      </w:r>
      <w:r w:rsidR="003B008D" w:rsidRPr="00F8240E">
        <w:rPr>
          <w:rFonts w:ascii="Times New Roman" w:hAnsi="Times New Roman" w:cs="Times New Roman"/>
          <w:sz w:val="24"/>
          <w:szCs w:val="24"/>
        </w:rPr>
        <w:t>, for example, the</w:t>
      </w:r>
      <w:r w:rsidR="002A1DA1" w:rsidRPr="00F8240E">
        <w:rPr>
          <w:rFonts w:ascii="Times New Roman" w:hAnsi="Times New Roman" w:cs="Times New Roman"/>
          <w:sz w:val="24"/>
          <w:szCs w:val="24"/>
        </w:rPr>
        <w:t xml:space="preserve"> </w:t>
      </w:r>
      <w:r w:rsidR="00CB30A7" w:rsidRPr="00F8240E">
        <w:rPr>
          <w:rFonts w:ascii="Times New Roman" w:hAnsi="Times New Roman" w:cs="Times New Roman"/>
          <w:sz w:val="24"/>
          <w:szCs w:val="24"/>
        </w:rPr>
        <w:t>“</w:t>
      </w:r>
      <w:r w:rsidR="002A1DA1" w:rsidRPr="00F8240E">
        <w:rPr>
          <w:rFonts w:ascii="Times New Roman" w:hAnsi="Times New Roman" w:cs="Times New Roman"/>
          <w:sz w:val="24"/>
          <w:szCs w:val="24"/>
        </w:rPr>
        <w:t>risk categor</w:t>
      </w:r>
      <w:r w:rsidR="005072F3" w:rsidRPr="00F8240E">
        <w:rPr>
          <w:rFonts w:ascii="Times New Roman" w:hAnsi="Times New Roman" w:cs="Times New Roman"/>
          <w:sz w:val="24"/>
          <w:szCs w:val="24"/>
        </w:rPr>
        <w:t>ies</w:t>
      </w:r>
      <w:r w:rsidR="00CB30A7" w:rsidRPr="00F8240E">
        <w:rPr>
          <w:rFonts w:ascii="Times New Roman" w:hAnsi="Times New Roman" w:cs="Times New Roman"/>
          <w:sz w:val="24"/>
          <w:szCs w:val="24"/>
        </w:rPr>
        <w:t>”</w:t>
      </w:r>
      <w:r w:rsidR="002A1DA1" w:rsidRPr="00F8240E">
        <w:rPr>
          <w:rFonts w:ascii="Times New Roman" w:hAnsi="Times New Roman" w:cs="Times New Roman"/>
          <w:sz w:val="24"/>
          <w:szCs w:val="24"/>
        </w:rPr>
        <w:t xml:space="preserve"> supportive of increased </w:t>
      </w:r>
      <w:r w:rsidR="00D71EAE" w:rsidRPr="00F8240E">
        <w:rPr>
          <w:rFonts w:ascii="Times New Roman" w:hAnsi="Times New Roman" w:cs="Times New Roman"/>
          <w:sz w:val="24"/>
          <w:szCs w:val="24"/>
        </w:rPr>
        <w:t xml:space="preserve">public </w:t>
      </w:r>
      <w:r w:rsidR="002A1DA1" w:rsidRPr="00F8240E">
        <w:rPr>
          <w:rFonts w:ascii="Times New Roman" w:hAnsi="Times New Roman" w:cs="Times New Roman"/>
          <w:sz w:val="24"/>
          <w:szCs w:val="24"/>
        </w:rPr>
        <w:t>redistribution</w:t>
      </w:r>
      <w:r w:rsidR="002B4C49" w:rsidRPr="00F8240E">
        <w:rPr>
          <w:rFonts w:ascii="Times New Roman" w:hAnsi="Times New Roman" w:cs="Times New Roman"/>
          <w:sz w:val="24"/>
          <w:szCs w:val="24"/>
        </w:rPr>
        <w:t xml:space="preserve"> into middle-income </w:t>
      </w:r>
      <w:r w:rsidR="00A9772E" w:rsidRPr="00F8240E">
        <w:rPr>
          <w:rFonts w:ascii="Times New Roman" w:hAnsi="Times New Roman" w:cs="Times New Roman"/>
          <w:sz w:val="24"/>
          <w:szCs w:val="24"/>
        </w:rPr>
        <w:t>groups</w:t>
      </w:r>
      <w:r w:rsidR="002B4C49" w:rsidRPr="00F8240E">
        <w:rPr>
          <w:rFonts w:ascii="Times New Roman" w:hAnsi="Times New Roman" w:cs="Times New Roman"/>
          <w:sz w:val="24"/>
          <w:szCs w:val="24"/>
        </w:rPr>
        <w:t xml:space="preserve"> </w:t>
      </w:r>
      <w:r w:rsidR="002A1DA1" w:rsidRPr="00F8240E">
        <w:rPr>
          <w:rFonts w:ascii="Times New Roman" w:hAnsi="Times New Roman" w:cs="Times New Roman"/>
          <w:sz w:val="24"/>
          <w:szCs w:val="24"/>
        </w:rPr>
        <w:t>(</w:t>
      </w:r>
      <w:r w:rsidR="003B008D" w:rsidRPr="00F8240E">
        <w:rPr>
          <w:rFonts w:ascii="Times New Roman" w:hAnsi="Times New Roman" w:cs="Times New Roman"/>
          <w:sz w:val="24"/>
          <w:szCs w:val="24"/>
        </w:rPr>
        <w:t xml:space="preserve">Baldwin, </w:t>
      </w:r>
      <w:r w:rsidR="002A1DA1" w:rsidRPr="00F8240E">
        <w:rPr>
          <w:rFonts w:ascii="Times New Roman" w:hAnsi="Times New Roman" w:cs="Times New Roman"/>
          <w:sz w:val="24"/>
          <w:szCs w:val="24"/>
        </w:rPr>
        <w:t>1990: 12-13; see also Overbye</w:t>
      </w:r>
      <w:r w:rsidR="00C90EAC" w:rsidRPr="00F8240E">
        <w:rPr>
          <w:rFonts w:ascii="Times New Roman" w:hAnsi="Times New Roman" w:cs="Times New Roman"/>
          <w:sz w:val="24"/>
          <w:szCs w:val="24"/>
        </w:rPr>
        <w:t>, 1994</w:t>
      </w:r>
      <w:r w:rsidR="007E111C" w:rsidRPr="00F8240E">
        <w:rPr>
          <w:rFonts w:ascii="Times New Roman" w:hAnsi="Times New Roman" w:cs="Times New Roman"/>
          <w:sz w:val="24"/>
          <w:szCs w:val="24"/>
        </w:rPr>
        <w:t xml:space="preserve">). </w:t>
      </w:r>
      <w:r w:rsidR="003B008D" w:rsidRPr="00F8240E">
        <w:rPr>
          <w:rFonts w:ascii="Times New Roman" w:hAnsi="Times New Roman" w:cs="Times New Roman"/>
          <w:sz w:val="24"/>
          <w:szCs w:val="24"/>
        </w:rPr>
        <w:t xml:space="preserve">Such a line of enquiry is promising because it provides a social explanation for </w:t>
      </w:r>
      <w:r w:rsidR="00A9772E" w:rsidRPr="00F8240E">
        <w:rPr>
          <w:rFonts w:ascii="Times New Roman" w:hAnsi="Times New Roman" w:cs="Times New Roman"/>
          <w:sz w:val="24"/>
          <w:szCs w:val="24"/>
        </w:rPr>
        <w:t xml:space="preserve">recent </w:t>
      </w:r>
      <w:r w:rsidR="003B008D" w:rsidRPr="00F8240E">
        <w:rPr>
          <w:rFonts w:ascii="Times New Roman" w:hAnsi="Times New Roman" w:cs="Times New Roman"/>
          <w:sz w:val="24"/>
          <w:szCs w:val="24"/>
        </w:rPr>
        <w:t>state expansion</w:t>
      </w:r>
      <w:r w:rsidR="00A9772E" w:rsidRPr="00F8240E">
        <w:rPr>
          <w:rFonts w:ascii="Times New Roman" w:hAnsi="Times New Roman" w:cs="Times New Roman"/>
          <w:sz w:val="24"/>
          <w:szCs w:val="24"/>
        </w:rPr>
        <w:t>s</w:t>
      </w:r>
      <w:r w:rsidR="003B008D" w:rsidRPr="00F8240E">
        <w:rPr>
          <w:rFonts w:ascii="Times New Roman" w:hAnsi="Times New Roman" w:cs="Times New Roman"/>
          <w:sz w:val="24"/>
          <w:szCs w:val="24"/>
        </w:rPr>
        <w:t xml:space="preserve"> in circumstances where working class power, welfare constituencies and path dependencies are weak</w:t>
      </w:r>
      <w:r w:rsidR="002B4C49" w:rsidRPr="00F8240E">
        <w:rPr>
          <w:rFonts w:ascii="Times New Roman" w:hAnsi="Times New Roman" w:cs="Times New Roman"/>
          <w:sz w:val="24"/>
          <w:szCs w:val="24"/>
        </w:rPr>
        <w:t>er. Middle income groups were certainly</w:t>
      </w:r>
      <w:r w:rsidR="003B008D" w:rsidRPr="00F8240E">
        <w:rPr>
          <w:rFonts w:ascii="Times New Roman" w:hAnsi="Times New Roman" w:cs="Times New Roman"/>
          <w:sz w:val="24"/>
          <w:szCs w:val="24"/>
        </w:rPr>
        <w:t xml:space="preserve"> </w:t>
      </w:r>
      <w:r w:rsidR="002B4C49" w:rsidRPr="00F8240E">
        <w:rPr>
          <w:rFonts w:ascii="Times New Roman" w:hAnsi="Times New Roman" w:cs="Times New Roman"/>
          <w:sz w:val="24"/>
          <w:szCs w:val="24"/>
        </w:rPr>
        <w:t>targeted to a significant extent in</w:t>
      </w:r>
      <w:r w:rsidR="005072F3" w:rsidRPr="00F8240E">
        <w:rPr>
          <w:rFonts w:ascii="Times New Roman" w:hAnsi="Times New Roman" w:cs="Times New Roman"/>
          <w:sz w:val="24"/>
          <w:szCs w:val="24"/>
        </w:rPr>
        <w:t xml:space="preserve"> </w:t>
      </w:r>
      <w:r w:rsidR="00A9772E" w:rsidRPr="00F8240E">
        <w:rPr>
          <w:rFonts w:ascii="Times New Roman" w:hAnsi="Times New Roman" w:cs="Times New Roman"/>
          <w:sz w:val="24"/>
          <w:szCs w:val="24"/>
        </w:rPr>
        <w:t xml:space="preserve">recent </w:t>
      </w:r>
      <w:r w:rsidR="007E111C" w:rsidRPr="00F8240E">
        <w:rPr>
          <w:rFonts w:ascii="Times New Roman" w:hAnsi="Times New Roman" w:cs="Times New Roman"/>
          <w:sz w:val="24"/>
          <w:szCs w:val="24"/>
        </w:rPr>
        <w:t>public</w:t>
      </w:r>
      <w:r w:rsidRPr="00F8240E">
        <w:rPr>
          <w:rFonts w:ascii="Times New Roman" w:hAnsi="Times New Roman" w:cs="Times New Roman"/>
          <w:sz w:val="24"/>
          <w:szCs w:val="24"/>
        </w:rPr>
        <w:t xml:space="preserve"> retrenchment processes</w:t>
      </w:r>
      <w:r w:rsidR="00D71EAE" w:rsidRPr="00F8240E">
        <w:rPr>
          <w:rFonts w:ascii="Times New Roman" w:hAnsi="Times New Roman" w:cs="Times New Roman"/>
          <w:sz w:val="24"/>
          <w:szCs w:val="24"/>
        </w:rPr>
        <w:t>; and</w:t>
      </w:r>
      <w:r w:rsidR="005377C6" w:rsidRPr="00F8240E">
        <w:rPr>
          <w:rFonts w:ascii="Times New Roman" w:hAnsi="Times New Roman" w:cs="Times New Roman"/>
          <w:sz w:val="24"/>
          <w:szCs w:val="24"/>
        </w:rPr>
        <w:t xml:space="preserve"> this public retrenchment </w:t>
      </w:r>
      <w:r w:rsidR="007E111C" w:rsidRPr="00F8240E">
        <w:rPr>
          <w:rFonts w:ascii="Times New Roman" w:hAnsi="Times New Roman" w:cs="Times New Roman"/>
          <w:sz w:val="24"/>
          <w:szCs w:val="24"/>
        </w:rPr>
        <w:t>was quickly followed</w:t>
      </w:r>
      <w:r w:rsidR="005377C6" w:rsidRPr="00F8240E">
        <w:rPr>
          <w:rFonts w:ascii="Times New Roman" w:hAnsi="Times New Roman" w:cs="Times New Roman"/>
          <w:sz w:val="24"/>
          <w:szCs w:val="24"/>
        </w:rPr>
        <w:t xml:space="preserve"> in most countries by a retrenchment of non-state occupation</w:t>
      </w:r>
      <w:r w:rsidR="007E111C" w:rsidRPr="00F8240E">
        <w:rPr>
          <w:rFonts w:ascii="Times New Roman" w:hAnsi="Times New Roman" w:cs="Times New Roman"/>
          <w:sz w:val="24"/>
          <w:szCs w:val="24"/>
        </w:rPr>
        <w:t>al</w:t>
      </w:r>
      <w:r w:rsidR="005377C6" w:rsidRPr="00F8240E">
        <w:rPr>
          <w:rFonts w:ascii="Times New Roman" w:hAnsi="Times New Roman" w:cs="Times New Roman"/>
          <w:sz w:val="24"/>
          <w:szCs w:val="24"/>
        </w:rPr>
        <w:t xml:space="preserve"> provision, to which </w:t>
      </w:r>
      <w:r w:rsidR="007E111C" w:rsidRPr="00F8240E">
        <w:rPr>
          <w:rFonts w:ascii="Times New Roman" w:hAnsi="Times New Roman" w:cs="Times New Roman"/>
          <w:sz w:val="24"/>
          <w:szCs w:val="24"/>
        </w:rPr>
        <w:t>middle income</w:t>
      </w:r>
      <w:r w:rsidR="005377C6" w:rsidRPr="00F8240E">
        <w:rPr>
          <w:rFonts w:ascii="Times New Roman" w:hAnsi="Times New Roman" w:cs="Times New Roman"/>
          <w:sz w:val="24"/>
          <w:szCs w:val="24"/>
        </w:rPr>
        <w:t xml:space="preserve"> group</w:t>
      </w:r>
      <w:r w:rsidR="007E111C" w:rsidRPr="00F8240E">
        <w:rPr>
          <w:rFonts w:ascii="Times New Roman" w:hAnsi="Times New Roman" w:cs="Times New Roman"/>
          <w:sz w:val="24"/>
          <w:szCs w:val="24"/>
        </w:rPr>
        <w:t>s</w:t>
      </w:r>
      <w:r w:rsidR="005377C6" w:rsidRPr="00F8240E">
        <w:rPr>
          <w:rFonts w:ascii="Times New Roman" w:hAnsi="Times New Roman" w:cs="Times New Roman"/>
          <w:sz w:val="24"/>
          <w:szCs w:val="24"/>
        </w:rPr>
        <w:t xml:space="preserve"> had disproportionate access (see eg Bridgen</w:t>
      </w:r>
      <w:r w:rsidR="00C90EAC" w:rsidRPr="00F8240E">
        <w:rPr>
          <w:rFonts w:ascii="Times New Roman" w:hAnsi="Times New Roman" w:cs="Times New Roman"/>
          <w:sz w:val="24"/>
          <w:szCs w:val="24"/>
        </w:rPr>
        <w:t xml:space="preserve"> &amp;</w:t>
      </w:r>
      <w:r w:rsidR="005377C6" w:rsidRPr="00F8240E">
        <w:rPr>
          <w:rFonts w:ascii="Times New Roman" w:hAnsi="Times New Roman" w:cs="Times New Roman"/>
          <w:sz w:val="24"/>
          <w:szCs w:val="24"/>
        </w:rPr>
        <w:t xml:space="preserve"> Meyer, 2005).</w:t>
      </w:r>
      <w:r w:rsidR="002B4C49" w:rsidRPr="00F8240E">
        <w:rPr>
          <w:rFonts w:ascii="Times New Roman" w:hAnsi="Times New Roman" w:cs="Times New Roman"/>
          <w:sz w:val="24"/>
          <w:szCs w:val="24"/>
        </w:rPr>
        <w:t xml:space="preserve"> Subsequent reforms, particularly in Canada, New Zealand</w:t>
      </w:r>
      <w:r w:rsidR="00A9772E" w:rsidRPr="00F8240E">
        <w:rPr>
          <w:rFonts w:ascii="Times New Roman" w:hAnsi="Times New Roman" w:cs="Times New Roman"/>
          <w:sz w:val="24"/>
          <w:szCs w:val="24"/>
        </w:rPr>
        <w:t xml:space="preserve"> and the UK, </w:t>
      </w:r>
      <w:r w:rsidR="002B4C49" w:rsidRPr="00F8240E">
        <w:rPr>
          <w:rFonts w:ascii="Times New Roman" w:hAnsi="Times New Roman" w:cs="Times New Roman"/>
          <w:sz w:val="24"/>
          <w:szCs w:val="24"/>
        </w:rPr>
        <w:t>seem primarily designed to shore up middle earners’ retirement income in the face of these changes.</w:t>
      </w:r>
      <w:r w:rsidR="005377C6" w:rsidRPr="00F8240E">
        <w:rPr>
          <w:rFonts w:ascii="Times New Roman" w:hAnsi="Times New Roman" w:cs="Times New Roman"/>
          <w:sz w:val="24"/>
          <w:szCs w:val="24"/>
        </w:rPr>
        <w:t xml:space="preserve"> </w:t>
      </w:r>
      <w:bookmarkEnd w:id="22"/>
    </w:p>
    <w:p w14:paraId="13EBC327" w14:textId="109BB4E1" w:rsidR="004E2583" w:rsidRPr="00F8240E" w:rsidRDefault="00354D27" w:rsidP="003C12BF">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More generally, t</w:t>
      </w:r>
      <w:r w:rsidR="003E28C6" w:rsidRPr="00F8240E">
        <w:rPr>
          <w:rFonts w:ascii="Times New Roman" w:hAnsi="Times New Roman" w:cs="Times New Roman"/>
          <w:sz w:val="24"/>
          <w:szCs w:val="24"/>
        </w:rPr>
        <w:t>here is scope for research that compare</w:t>
      </w:r>
      <w:r w:rsidRPr="00F8240E">
        <w:rPr>
          <w:rFonts w:ascii="Times New Roman" w:hAnsi="Times New Roman" w:cs="Times New Roman"/>
          <w:sz w:val="24"/>
          <w:szCs w:val="24"/>
        </w:rPr>
        <w:t>s</w:t>
      </w:r>
      <w:r w:rsidR="003E28C6" w:rsidRPr="00F8240E">
        <w:rPr>
          <w:rFonts w:ascii="Times New Roman" w:hAnsi="Times New Roman" w:cs="Times New Roman"/>
          <w:sz w:val="24"/>
          <w:szCs w:val="24"/>
        </w:rPr>
        <w:t xml:space="preserve"> and explain</w:t>
      </w:r>
      <w:r w:rsidRPr="00F8240E">
        <w:rPr>
          <w:rFonts w:ascii="Times New Roman" w:hAnsi="Times New Roman" w:cs="Times New Roman"/>
          <w:sz w:val="24"/>
          <w:szCs w:val="24"/>
        </w:rPr>
        <w:t>s</w:t>
      </w:r>
      <w:r w:rsidR="003E28C6" w:rsidRPr="00F8240E">
        <w:rPr>
          <w:rFonts w:ascii="Times New Roman" w:hAnsi="Times New Roman" w:cs="Times New Roman"/>
          <w:sz w:val="24"/>
          <w:szCs w:val="24"/>
        </w:rPr>
        <w:t xml:space="preserve"> pension system </w:t>
      </w:r>
      <w:r w:rsidR="008837E1" w:rsidRPr="00F8240E">
        <w:rPr>
          <w:rFonts w:ascii="Times New Roman" w:hAnsi="Times New Roman" w:cs="Times New Roman"/>
          <w:sz w:val="24"/>
          <w:szCs w:val="24"/>
        </w:rPr>
        <w:t xml:space="preserve">dynamics </w:t>
      </w:r>
      <w:r w:rsidR="003E28C6" w:rsidRPr="00F8240E">
        <w:rPr>
          <w:rFonts w:ascii="Times New Roman" w:hAnsi="Times New Roman" w:cs="Times New Roman"/>
          <w:sz w:val="24"/>
          <w:szCs w:val="24"/>
        </w:rPr>
        <w:t>in the different worlds of welfare. This paper has shown liberal pension</w:t>
      </w:r>
      <w:r w:rsidR="00594C2F" w:rsidRPr="00F8240E">
        <w:rPr>
          <w:rFonts w:ascii="Times New Roman" w:hAnsi="Times New Roman" w:cs="Times New Roman"/>
          <w:sz w:val="24"/>
          <w:szCs w:val="24"/>
        </w:rPr>
        <w:t xml:space="preserve"> systems to be more resilient than expected; the literature on conservative and social democratic systems generally shows the contrary, with dualizing (eg Emmenegger et al, 2012) or liberali</w:t>
      </w:r>
      <w:r w:rsidRPr="00F8240E">
        <w:rPr>
          <w:rFonts w:ascii="Times New Roman" w:hAnsi="Times New Roman" w:cs="Times New Roman"/>
          <w:sz w:val="24"/>
          <w:szCs w:val="24"/>
        </w:rPr>
        <w:t>z</w:t>
      </w:r>
      <w:r w:rsidR="00594C2F" w:rsidRPr="00F8240E">
        <w:rPr>
          <w:rFonts w:ascii="Times New Roman" w:hAnsi="Times New Roman" w:cs="Times New Roman"/>
          <w:sz w:val="24"/>
          <w:szCs w:val="24"/>
        </w:rPr>
        <w:t xml:space="preserve">ing (Bridgen &amp; Meyer 2011) processes evident. </w:t>
      </w:r>
      <w:r w:rsidRPr="00F8240E">
        <w:rPr>
          <w:rFonts w:ascii="Times New Roman" w:hAnsi="Times New Roman" w:cs="Times New Roman"/>
          <w:sz w:val="24"/>
          <w:szCs w:val="24"/>
        </w:rPr>
        <w:t>Overall</w:t>
      </w:r>
      <w:r w:rsidR="00594C2F" w:rsidRPr="00F8240E">
        <w:rPr>
          <w:rFonts w:ascii="Times New Roman" w:hAnsi="Times New Roman" w:cs="Times New Roman"/>
          <w:sz w:val="24"/>
          <w:szCs w:val="24"/>
        </w:rPr>
        <w:t>,</w:t>
      </w:r>
      <w:r w:rsidR="00301289" w:rsidRPr="00F8240E">
        <w:rPr>
          <w:rFonts w:ascii="Times New Roman" w:hAnsi="Times New Roman" w:cs="Times New Roman"/>
          <w:sz w:val="24"/>
          <w:szCs w:val="24"/>
        </w:rPr>
        <w:t xml:space="preserve"> it has been suggested, we are witnessing a ‘middle-of-the-road convergence’</w:t>
      </w:r>
      <w:r w:rsidR="001E4FE4" w:rsidRPr="00F8240E">
        <w:rPr>
          <w:rFonts w:ascii="Times New Roman" w:hAnsi="Times New Roman" w:cs="Times New Roman"/>
          <w:sz w:val="24"/>
          <w:szCs w:val="24"/>
        </w:rPr>
        <w:t xml:space="preserve"> in welfare states</w:t>
      </w:r>
      <w:r w:rsidR="00301289" w:rsidRPr="00F8240E">
        <w:rPr>
          <w:rFonts w:ascii="Times New Roman" w:hAnsi="Times New Roman" w:cs="Times New Roman"/>
          <w:sz w:val="24"/>
          <w:szCs w:val="24"/>
        </w:rPr>
        <w:t xml:space="preserve"> (Achterberg &amp;Yerkes, 2009; see also Overbye 1994) rather than the neo-liberal one predicted by the globalization thesis (see Pierson, 2001: 81)</w:t>
      </w:r>
      <w:r w:rsidR="001E4FE4" w:rsidRPr="00F8240E">
        <w:rPr>
          <w:rFonts w:ascii="Times New Roman" w:hAnsi="Times New Roman" w:cs="Times New Roman"/>
          <w:sz w:val="24"/>
          <w:szCs w:val="24"/>
        </w:rPr>
        <w:t>.</w:t>
      </w:r>
      <w:r w:rsidR="00BB2DF4" w:rsidRPr="00F8240E">
        <w:rPr>
          <w:rFonts w:ascii="Times New Roman" w:hAnsi="Times New Roman" w:cs="Times New Roman"/>
          <w:sz w:val="24"/>
          <w:szCs w:val="24"/>
        </w:rPr>
        <w:t xml:space="preserve"> </w:t>
      </w:r>
      <w:r w:rsidR="00776AFA" w:rsidRPr="00F8240E">
        <w:rPr>
          <w:rFonts w:ascii="Times New Roman" w:hAnsi="Times New Roman" w:cs="Times New Roman"/>
          <w:sz w:val="24"/>
          <w:szCs w:val="24"/>
        </w:rPr>
        <w:t>How</w:t>
      </w:r>
      <w:r w:rsidR="001E4FE4" w:rsidRPr="00F8240E">
        <w:rPr>
          <w:rFonts w:ascii="Times New Roman" w:hAnsi="Times New Roman" w:cs="Times New Roman"/>
          <w:sz w:val="24"/>
          <w:szCs w:val="24"/>
        </w:rPr>
        <w:t xml:space="preserve"> consistent are the motive forces behind these </w:t>
      </w:r>
      <w:r w:rsidR="00194909" w:rsidRPr="00F8240E">
        <w:rPr>
          <w:rFonts w:ascii="Times New Roman" w:hAnsi="Times New Roman" w:cs="Times New Roman"/>
          <w:sz w:val="24"/>
          <w:szCs w:val="24"/>
        </w:rPr>
        <w:t xml:space="preserve">unexpected </w:t>
      </w:r>
      <w:r w:rsidR="00BB2DF4" w:rsidRPr="00F8240E">
        <w:rPr>
          <w:rFonts w:ascii="Times New Roman" w:hAnsi="Times New Roman" w:cs="Times New Roman"/>
          <w:sz w:val="24"/>
          <w:szCs w:val="24"/>
        </w:rPr>
        <w:t>dynamics</w:t>
      </w:r>
      <w:r w:rsidR="005028C5" w:rsidRPr="00F8240E">
        <w:rPr>
          <w:rFonts w:ascii="Times New Roman" w:hAnsi="Times New Roman" w:cs="Times New Roman"/>
          <w:sz w:val="24"/>
          <w:szCs w:val="24"/>
        </w:rPr>
        <w:t xml:space="preserve"> within</w:t>
      </w:r>
      <w:r w:rsidR="001E4FE4" w:rsidRPr="00F8240E">
        <w:rPr>
          <w:rFonts w:ascii="Times New Roman" w:hAnsi="Times New Roman" w:cs="Times New Roman"/>
          <w:sz w:val="24"/>
          <w:szCs w:val="24"/>
        </w:rPr>
        <w:t xml:space="preserve"> and between</w:t>
      </w:r>
      <w:r w:rsidR="005028C5" w:rsidRPr="00F8240E">
        <w:rPr>
          <w:rFonts w:ascii="Times New Roman" w:hAnsi="Times New Roman" w:cs="Times New Roman"/>
          <w:sz w:val="24"/>
          <w:szCs w:val="24"/>
        </w:rPr>
        <w:t xml:space="preserve"> regime types</w:t>
      </w:r>
      <w:r w:rsidR="00776AFA" w:rsidRPr="00F8240E">
        <w:rPr>
          <w:rFonts w:ascii="Times New Roman" w:hAnsi="Times New Roman" w:cs="Times New Roman"/>
          <w:sz w:val="24"/>
          <w:szCs w:val="24"/>
        </w:rPr>
        <w:t>?</w:t>
      </w:r>
      <w:r w:rsidR="005028C5" w:rsidRPr="00F8240E">
        <w:rPr>
          <w:rFonts w:ascii="Times New Roman" w:hAnsi="Times New Roman" w:cs="Times New Roman"/>
          <w:sz w:val="24"/>
          <w:szCs w:val="24"/>
        </w:rPr>
        <w:t xml:space="preserve"> </w:t>
      </w:r>
      <w:r w:rsidR="002E3524" w:rsidRPr="00F8240E">
        <w:rPr>
          <w:rFonts w:ascii="Times New Roman" w:hAnsi="Times New Roman" w:cs="Times New Roman"/>
          <w:sz w:val="24"/>
          <w:szCs w:val="24"/>
        </w:rPr>
        <w:t>Intrigui</w:t>
      </w:r>
      <w:r w:rsidR="00280D3E" w:rsidRPr="00F8240E">
        <w:rPr>
          <w:rFonts w:ascii="Times New Roman" w:hAnsi="Times New Roman" w:cs="Times New Roman"/>
          <w:sz w:val="24"/>
          <w:szCs w:val="24"/>
        </w:rPr>
        <w:t>ngly, t</w:t>
      </w:r>
      <w:r w:rsidR="00301289" w:rsidRPr="00F8240E">
        <w:rPr>
          <w:rFonts w:ascii="Times New Roman" w:hAnsi="Times New Roman" w:cs="Times New Roman"/>
          <w:sz w:val="24"/>
          <w:szCs w:val="24"/>
        </w:rPr>
        <w:t xml:space="preserve">he findings of this paper imply the interests of middle-income standard workers </w:t>
      </w:r>
      <w:r w:rsidR="002661EC" w:rsidRPr="00F8240E">
        <w:rPr>
          <w:rFonts w:ascii="Times New Roman" w:hAnsi="Times New Roman" w:cs="Times New Roman"/>
          <w:sz w:val="24"/>
          <w:szCs w:val="24"/>
        </w:rPr>
        <w:t>have been</w:t>
      </w:r>
      <w:r w:rsidR="00301289" w:rsidRPr="00F8240E">
        <w:rPr>
          <w:rFonts w:ascii="Times New Roman" w:hAnsi="Times New Roman" w:cs="Times New Roman"/>
          <w:sz w:val="24"/>
          <w:szCs w:val="24"/>
        </w:rPr>
        <w:t xml:space="preserve"> crucial to </w:t>
      </w:r>
      <w:r w:rsidR="001E4FE4" w:rsidRPr="00F8240E">
        <w:rPr>
          <w:rFonts w:ascii="Times New Roman" w:hAnsi="Times New Roman" w:cs="Times New Roman"/>
          <w:sz w:val="24"/>
          <w:szCs w:val="24"/>
        </w:rPr>
        <w:t xml:space="preserve">post-austerity </w:t>
      </w:r>
      <w:r w:rsidR="00301289" w:rsidRPr="00F8240E">
        <w:rPr>
          <w:rFonts w:ascii="Times New Roman" w:hAnsi="Times New Roman" w:cs="Times New Roman"/>
          <w:sz w:val="24"/>
          <w:szCs w:val="24"/>
        </w:rPr>
        <w:t>developments in liberal pension systems</w:t>
      </w:r>
      <w:r w:rsidR="00280D3E" w:rsidRPr="00F8240E">
        <w:rPr>
          <w:rFonts w:ascii="Times New Roman" w:hAnsi="Times New Roman" w:cs="Times New Roman"/>
          <w:sz w:val="24"/>
          <w:szCs w:val="24"/>
        </w:rPr>
        <w:t xml:space="preserve">, </w:t>
      </w:r>
      <w:r w:rsidR="001E4FE4" w:rsidRPr="00F8240E">
        <w:rPr>
          <w:rFonts w:ascii="Times New Roman" w:hAnsi="Times New Roman" w:cs="Times New Roman"/>
          <w:sz w:val="24"/>
          <w:szCs w:val="24"/>
        </w:rPr>
        <w:t xml:space="preserve">interests </w:t>
      </w:r>
      <w:r w:rsidR="00280D3E" w:rsidRPr="00F8240E">
        <w:rPr>
          <w:rFonts w:ascii="Times New Roman" w:hAnsi="Times New Roman" w:cs="Times New Roman"/>
          <w:sz w:val="24"/>
          <w:szCs w:val="24"/>
        </w:rPr>
        <w:t>which have also been</w:t>
      </w:r>
      <w:r w:rsidR="001E4FE4" w:rsidRPr="00F8240E">
        <w:rPr>
          <w:rFonts w:ascii="Times New Roman" w:hAnsi="Times New Roman" w:cs="Times New Roman"/>
          <w:sz w:val="24"/>
          <w:szCs w:val="24"/>
        </w:rPr>
        <w:t xml:space="preserve"> instrumental in</w:t>
      </w:r>
      <w:r w:rsidR="00B5298F" w:rsidRPr="00F8240E">
        <w:rPr>
          <w:rFonts w:ascii="Times New Roman" w:hAnsi="Times New Roman" w:cs="Times New Roman"/>
          <w:sz w:val="24"/>
          <w:szCs w:val="24"/>
        </w:rPr>
        <w:t xml:space="preserve"> driving the</w:t>
      </w:r>
      <w:r w:rsidR="001E4FE4" w:rsidRPr="00F8240E">
        <w:rPr>
          <w:rFonts w:ascii="Times New Roman" w:hAnsi="Times New Roman" w:cs="Times New Roman"/>
          <w:sz w:val="24"/>
          <w:szCs w:val="24"/>
        </w:rPr>
        <w:t xml:space="preserve"> </w:t>
      </w:r>
      <w:r w:rsidR="00301289" w:rsidRPr="00F8240E">
        <w:rPr>
          <w:rFonts w:ascii="Times New Roman" w:hAnsi="Times New Roman" w:cs="Times New Roman"/>
          <w:sz w:val="24"/>
          <w:szCs w:val="24"/>
        </w:rPr>
        <w:t>dualiz</w:t>
      </w:r>
      <w:r w:rsidR="001E4FE4" w:rsidRPr="00F8240E">
        <w:rPr>
          <w:rFonts w:ascii="Times New Roman" w:hAnsi="Times New Roman" w:cs="Times New Roman"/>
          <w:sz w:val="24"/>
          <w:szCs w:val="24"/>
        </w:rPr>
        <w:t>ing processes</w:t>
      </w:r>
      <w:r w:rsidR="00301289" w:rsidRPr="00F8240E">
        <w:rPr>
          <w:rFonts w:ascii="Times New Roman" w:hAnsi="Times New Roman" w:cs="Times New Roman"/>
          <w:sz w:val="24"/>
          <w:szCs w:val="24"/>
        </w:rPr>
        <w:t xml:space="preserve"> in </w:t>
      </w:r>
      <w:r w:rsidR="00194909" w:rsidRPr="00F8240E">
        <w:rPr>
          <w:rFonts w:ascii="Times New Roman" w:hAnsi="Times New Roman" w:cs="Times New Roman"/>
          <w:sz w:val="24"/>
          <w:szCs w:val="24"/>
        </w:rPr>
        <w:t xml:space="preserve">the </w:t>
      </w:r>
      <w:r w:rsidR="00301289" w:rsidRPr="00F8240E">
        <w:rPr>
          <w:rFonts w:ascii="Times New Roman" w:hAnsi="Times New Roman" w:cs="Times New Roman"/>
          <w:sz w:val="24"/>
          <w:szCs w:val="24"/>
        </w:rPr>
        <w:t>other welfare worlds.</w:t>
      </w:r>
      <w:r w:rsidR="00194909" w:rsidRPr="00F8240E">
        <w:rPr>
          <w:rFonts w:ascii="Times New Roman" w:hAnsi="Times New Roman" w:cs="Times New Roman"/>
          <w:sz w:val="24"/>
          <w:szCs w:val="24"/>
        </w:rPr>
        <w:t xml:space="preserve"> Yet,</w:t>
      </w:r>
      <w:r w:rsidR="001E4FE4" w:rsidRPr="00F8240E">
        <w:rPr>
          <w:rFonts w:ascii="Times New Roman" w:hAnsi="Times New Roman" w:cs="Times New Roman"/>
          <w:sz w:val="24"/>
          <w:szCs w:val="24"/>
        </w:rPr>
        <w:t xml:space="preserve"> c</w:t>
      </w:r>
      <w:r w:rsidR="00687CAB" w:rsidRPr="00F8240E">
        <w:rPr>
          <w:rFonts w:ascii="Times New Roman" w:hAnsi="Times New Roman" w:cs="Times New Roman"/>
          <w:sz w:val="24"/>
          <w:szCs w:val="24"/>
        </w:rPr>
        <w:t>onsiderabl</w:t>
      </w:r>
      <w:r w:rsidR="001E4FE4" w:rsidRPr="00F8240E">
        <w:rPr>
          <w:rFonts w:ascii="Times New Roman" w:hAnsi="Times New Roman" w:cs="Times New Roman"/>
          <w:sz w:val="24"/>
          <w:szCs w:val="24"/>
        </w:rPr>
        <w:t>y more</w:t>
      </w:r>
      <w:r w:rsidR="00687CAB" w:rsidRPr="00F8240E">
        <w:rPr>
          <w:rFonts w:ascii="Times New Roman" w:hAnsi="Times New Roman" w:cs="Times New Roman"/>
          <w:sz w:val="24"/>
          <w:szCs w:val="24"/>
        </w:rPr>
        <w:t xml:space="preserve"> work is required to </w:t>
      </w:r>
      <w:r w:rsidR="001E4FE4" w:rsidRPr="00F8240E">
        <w:rPr>
          <w:rFonts w:ascii="Times New Roman" w:hAnsi="Times New Roman" w:cs="Times New Roman"/>
          <w:sz w:val="24"/>
          <w:szCs w:val="24"/>
        </w:rPr>
        <w:t xml:space="preserve">explore such </w:t>
      </w:r>
      <w:r w:rsidR="00280D3E" w:rsidRPr="00F8240E">
        <w:rPr>
          <w:rFonts w:ascii="Times New Roman" w:hAnsi="Times New Roman" w:cs="Times New Roman"/>
          <w:sz w:val="24"/>
          <w:szCs w:val="24"/>
        </w:rPr>
        <w:t>apparent similarities</w:t>
      </w:r>
      <w:r w:rsidR="00194909" w:rsidRPr="00F8240E">
        <w:rPr>
          <w:rFonts w:ascii="Times New Roman" w:hAnsi="Times New Roman" w:cs="Times New Roman"/>
          <w:sz w:val="24"/>
          <w:szCs w:val="24"/>
        </w:rPr>
        <w:t xml:space="preserve"> and how they interact with ideas and institutions in different settings</w:t>
      </w:r>
      <w:r w:rsidR="009A3C87" w:rsidRPr="00F8240E">
        <w:rPr>
          <w:rFonts w:ascii="Times New Roman" w:hAnsi="Times New Roman" w:cs="Times New Roman"/>
          <w:sz w:val="24"/>
          <w:szCs w:val="24"/>
        </w:rPr>
        <w:t>.</w:t>
      </w:r>
      <w:r w:rsidR="00280D3E" w:rsidRPr="00F8240E">
        <w:rPr>
          <w:rFonts w:ascii="Times New Roman" w:hAnsi="Times New Roman" w:cs="Times New Roman"/>
          <w:sz w:val="24"/>
          <w:szCs w:val="24"/>
        </w:rPr>
        <w:t xml:space="preserve"> </w:t>
      </w:r>
      <w:r w:rsidR="00B5298F" w:rsidRPr="00F8240E">
        <w:rPr>
          <w:rFonts w:ascii="Times New Roman" w:hAnsi="Times New Roman" w:cs="Times New Roman"/>
          <w:sz w:val="24"/>
          <w:szCs w:val="24"/>
        </w:rPr>
        <w:t>W</w:t>
      </w:r>
      <w:r w:rsidR="00280D3E" w:rsidRPr="00F8240E">
        <w:rPr>
          <w:rFonts w:ascii="Times New Roman" w:hAnsi="Times New Roman" w:cs="Times New Roman"/>
          <w:sz w:val="24"/>
          <w:szCs w:val="24"/>
        </w:rPr>
        <w:t>hat seems clear</w:t>
      </w:r>
      <w:r w:rsidR="00B5298F" w:rsidRPr="00F8240E">
        <w:rPr>
          <w:rFonts w:ascii="Times New Roman" w:hAnsi="Times New Roman" w:cs="Times New Roman"/>
          <w:sz w:val="24"/>
          <w:szCs w:val="24"/>
        </w:rPr>
        <w:t>, however,</w:t>
      </w:r>
      <w:r w:rsidR="00280D3E" w:rsidRPr="00F8240E">
        <w:rPr>
          <w:rFonts w:ascii="Times New Roman" w:hAnsi="Times New Roman" w:cs="Times New Roman"/>
          <w:sz w:val="24"/>
          <w:szCs w:val="24"/>
        </w:rPr>
        <w:t xml:space="preserve"> are the deficiencies of regime theory in addressing such questions. </w:t>
      </w:r>
      <w:r w:rsidR="00B5298F" w:rsidRPr="00F8240E">
        <w:rPr>
          <w:rFonts w:ascii="Times New Roman" w:hAnsi="Times New Roman" w:cs="Times New Roman"/>
          <w:sz w:val="24"/>
          <w:szCs w:val="24"/>
        </w:rPr>
        <w:t>The e</w:t>
      </w:r>
      <w:r w:rsidR="00280D3E" w:rsidRPr="00F8240E">
        <w:rPr>
          <w:rFonts w:ascii="Times New Roman" w:hAnsi="Times New Roman" w:cs="Times New Roman"/>
          <w:sz w:val="24"/>
          <w:szCs w:val="24"/>
        </w:rPr>
        <w:t xml:space="preserve">mpirical developments in liberal pension systems outlined in this </w:t>
      </w:r>
      <w:r w:rsidR="009A3C87" w:rsidRPr="00F8240E">
        <w:rPr>
          <w:rFonts w:ascii="Times New Roman" w:hAnsi="Times New Roman" w:cs="Times New Roman"/>
          <w:sz w:val="24"/>
          <w:szCs w:val="24"/>
        </w:rPr>
        <w:t xml:space="preserve">paper </w:t>
      </w:r>
      <w:r w:rsidR="00280D3E" w:rsidRPr="00F8240E">
        <w:rPr>
          <w:rFonts w:ascii="Times New Roman" w:hAnsi="Times New Roman" w:cs="Times New Roman"/>
          <w:sz w:val="24"/>
          <w:szCs w:val="24"/>
        </w:rPr>
        <w:t>strongly reinforce this conclusion.</w:t>
      </w:r>
    </w:p>
    <w:p w14:paraId="5FE4E57B" w14:textId="77777777" w:rsidR="00453340" w:rsidRPr="00F8240E" w:rsidRDefault="00453340" w:rsidP="004943B5">
      <w:pPr>
        <w:pStyle w:val="BodyText"/>
        <w:spacing w:line="360" w:lineRule="auto"/>
        <w:ind w:right="745"/>
      </w:pPr>
    </w:p>
    <w:p w14:paraId="15CAE422" w14:textId="77777777" w:rsidR="00FF7229" w:rsidRPr="00F8240E" w:rsidRDefault="00FF7229" w:rsidP="004943B5">
      <w:pPr>
        <w:pStyle w:val="BodyText"/>
        <w:spacing w:line="360" w:lineRule="auto"/>
        <w:ind w:right="745"/>
      </w:pPr>
    </w:p>
    <w:p w14:paraId="724611EC" w14:textId="7D2BD658" w:rsidR="002E2508" w:rsidRPr="00F8240E" w:rsidRDefault="002E2508" w:rsidP="004943B5">
      <w:pPr>
        <w:pStyle w:val="BodyText"/>
        <w:spacing w:line="360" w:lineRule="auto"/>
        <w:ind w:right="745"/>
      </w:pPr>
      <w:r w:rsidRPr="00F8240E">
        <w:t xml:space="preserve">Bibliography </w:t>
      </w:r>
    </w:p>
    <w:p w14:paraId="052A8087" w14:textId="77777777" w:rsidR="002E2508" w:rsidRPr="00F8240E" w:rsidRDefault="002E2508" w:rsidP="004943B5">
      <w:pPr>
        <w:pStyle w:val="BodyText"/>
        <w:spacing w:line="240" w:lineRule="auto"/>
        <w:ind w:right="745"/>
      </w:pPr>
    </w:p>
    <w:p w14:paraId="400EDE87" w14:textId="6958D3E7" w:rsidR="00687CAB" w:rsidRPr="00F8240E" w:rsidRDefault="00687CAB" w:rsidP="00687CAB">
      <w:pPr>
        <w:autoSpaceDE w:val="0"/>
        <w:autoSpaceDN w:val="0"/>
        <w:adjustRightInd w:val="0"/>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Achterberg, P. &amp; Yerkes, M. (2009). One welfare state emerging? Convergence versus divergence in 16 western countries.</w:t>
      </w:r>
      <w:r w:rsidRPr="00F8240E">
        <w:rPr>
          <w:rFonts w:ascii="Times New Roman" w:hAnsi="Times New Roman" w:cs="Times New Roman"/>
          <w:i/>
          <w:sz w:val="24"/>
          <w:szCs w:val="24"/>
        </w:rPr>
        <w:t xml:space="preserve"> Journal of Comparative Social Welfare, 25</w:t>
      </w:r>
      <w:r w:rsidRPr="00F8240E">
        <w:rPr>
          <w:rFonts w:ascii="Times New Roman" w:hAnsi="Times New Roman" w:cs="Times New Roman"/>
          <w:sz w:val="24"/>
          <w:szCs w:val="24"/>
        </w:rPr>
        <w:t>, 189-201. doi: 10.1080/17486830903189931</w:t>
      </w:r>
    </w:p>
    <w:p w14:paraId="37F2F6B5" w14:textId="0E89304E" w:rsidR="00DB605D" w:rsidRPr="00F8240E" w:rsidRDefault="00DB605D" w:rsidP="00687CAB">
      <w:pPr>
        <w:pStyle w:val="BodyText"/>
      </w:pPr>
      <w:r w:rsidRPr="00F8240E">
        <w:t xml:space="preserve">Ashton, T. &amp; St John, S. (2008). New Zealand: The expansion of the state in a liberal welfare regime. In D. Béland, &amp;  B. Gran, </w:t>
      </w:r>
      <w:r w:rsidRPr="00F8240E">
        <w:rPr>
          <w:i/>
        </w:rPr>
        <w:t>Public and private social policy: health and pensions policies in a new era</w:t>
      </w:r>
      <w:r w:rsidRPr="00F8240E">
        <w:t xml:space="preserve"> (pp.123-146). Basingstoke: Palgrave Macmillan.</w:t>
      </w:r>
    </w:p>
    <w:p w14:paraId="45A35482" w14:textId="6A401859" w:rsidR="002E2508" w:rsidRPr="00F8240E" w:rsidRDefault="002E2508" w:rsidP="00453340">
      <w:pPr>
        <w:pStyle w:val="BodyText"/>
      </w:pPr>
      <w:r w:rsidRPr="00F8240E">
        <w:t xml:space="preserve">Aysan, M.F. </w:t>
      </w:r>
      <w:r w:rsidR="00DD6044" w:rsidRPr="00F8240E">
        <w:t>&amp;</w:t>
      </w:r>
      <w:r w:rsidRPr="00F8240E">
        <w:t xml:space="preserve"> Beaujo</w:t>
      </w:r>
      <w:r w:rsidR="00A06208" w:rsidRPr="00F8240E">
        <w:t>t</w:t>
      </w:r>
      <w:r w:rsidRPr="00F8240E">
        <w:t>, R. (2009)</w:t>
      </w:r>
      <w:r w:rsidR="00DD6044" w:rsidRPr="00F8240E">
        <w:t>.</w:t>
      </w:r>
      <w:r w:rsidRPr="00F8240E">
        <w:t xml:space="preserve"> Welfare regimes for aging population: no single path for reform</w:t>
      </w:r>
      <w:r w:rsidR="00DD6044" w:rsidRPr="00F8240E">
        <w:t>.</w:t>
      </w:r>
      <w:r w:rsidRPr="00F8240E">
        <w:t xml:space="preserve"> </w:t>
      </w:r>
      <w:r w:rsidRPr="00F8240E">
        <w:rPr>
          <w:i/>
        </w:rPr>
        <w:t>Population and Development Review, 35</w:t>
      </w:r>
      <w:r w:rsidR="00DD6044" w:rsidRPr="00F8240E">
        <w:t>,</w:t>
      </w:r>
      <w:r w:rsidRPr="00F8240E">
        <w:t xml:space="preserve"> 701-</w:t>
      </w:r>
      <w:r w:rsidR="00DD6044" w:rsidRPr="00F8240E">
        <w:t>7</w:t>
      </w:r>
      <w:r w:rsidRPr="00F8240E">
        <w:t>20</w:t>
      </w:r>
      <w:r w:rsidR="00A06208" w:rsidRPr="00F8240E">
        <w:t xml:space="preserve">. </w:t>
      </w:r>
      <w:r w:rsidR="00FF7229" w:rsidRPr="00F8240E">
        <w:t>doi:</w:t>
      </w:r>
      <w:r w:rsidR="00CD2E92" w:rsidRPr="00F8240E">
        <w:t>10.1111/j.1728-4457.2009.00305</w:t>
      </w:r>
    </w:p>
    <w:p w14:paraId="25EDE61B" w14:textId="601CF151" w:rsidR="002E2508" w:rsidRPr="00F8240E" w:rsidRDefault="002E2508" w:rsidP="00453340">
      <w:pPr>
        <w:spacing w:line="480" w:lineRule="auto"/>
        <w:jc w:val="both"/>
        <w:rPr>
          <w:rFonts w:ascii="Times New Roman" w:eastAsia="Calibri" w:hAnsi="Times New Roman" w:cs="Times New Roman"/>
          <w:sz w:val="24"/>
          <w:szCs w:val="24"/>
        </w:rPr>
      </w:pPr>
      <w:r w:rsidRPr="00F8240E">
        <w:rPr>
          <w:rFonts w:ascii="Times New Roman" w:eastAsia="Calibri" w:hAnsi="Times New Roman" w:cs="Times New Roman"/>
          <w:sz w:val="24"/>
          <w:szCs w:val="24"/>
        </w:rPr>
        <w:t xml:space="preserve">Baldwin, P. (1990). </w:t>
      </w:r>
      <w:r w:rsidRPr="00F8240E">
        <w:rPr>
          <w:rFonts w:ascii="Times New Roman" w:eastAsia="Calibri" w:hAnsi="Times New Roman" w:cs="Times New Roman"/>
          <w:i/>
          <w:sz w:val="24"/>
          <w:szCs w:val="24"/>
        </w:rPr>
        <w:t xml:space="preserve">The </w:t>
      </w:r>
      <w:r w:rsidR="00A06208" w:rsidRPr="00F8240E">
        <w:rPr>
          <w:rFonts w:ascii="Times New Roman" w:eastAsia="Calibri" w:hAnsi="Times New Roman" w:cs="Times New Roman"/>
          <w:i/>
          <w:sz w:val="24"/>
          <w:szCs w:val="24"/>
        </w:rPr>
        <w:t>p</w:t>
      </w:r>
      <w:r w:rsidRPr="00F8240E">
        <w:rPr>
          <w:rFonts w:ascii="Times New Roman" w:eastAsia="Calibri" w:hAnsi="Times New Roman" w:cs="Times New Roman"/>
          <w:i/>
          <w:sz w:val="24"/>
          <w:szCs w:val="24"/>
        </w:rPr>
        <w:t xml:space="preserve">olitics of </w:t>
      </w:r>
      <w:r w:rsidR="00A06208" w:rsidRPr="00F8240E">
        <w:rPr>
          <w:rFonts w:ascii="Times New Roman" w:eastAsia="Calibri" w:hAnsi="Times New Roman" w:cs="Times New Roman"/>
          <w:i/>
          <w:sz w:val="24"/>
          <w:szCs w:val="24"/>
        </w:rPr>
        <w:t>s</w:t>
      </w:r>
      <w:r w:rsidRPr="00F8240E">
        <w:rPr>
          <w:rFonts w:ascii="Times New Roman" w:eastAsia="Calibri" w:hAnsi="Times New Roman" w:cs="Times New Roman"/>
          <w:i/>
          <w:sz w:val="24"/>
          <w:szCs w:val="24"/>
        </w:rPr>
        <w:t xml:space="preserve">ocial </w:t>
      </w:r>
      <w:r w:rsidR="00A06208" w:rsidRPr="00F8240E">
        <w:rPr>
          <w:rFonts w:ascii="Times New Roman" w:eastAsia="Calibri" w:hAnsi="Times New Roman" w:cs="Times New Roman"/>
          <w:i/>
          <w:sz w:val="24"/>
          <w:szCs w:val="24"/>
        </w:rPr>
        <w:t>s</w:t>
      </w:r>
      <w:r w:rsidRPr="00F8240E">
        <w:rPr>
          <w:rFonts w:ascii="Times New Roman" w:eastAsia="Calibri" w:hAnsi="Times New Roman" w:cs="Times New Roman"/>
          <w:i/>
          <w:sz w:val="24"/>
          <w:szCs w:val="24"/>
        </w:rPr>
        <w:t xml:space="preserve">olidarity. </w:t>
      </w:r>
      <w:r w:rsidR="00A06208" w:rsidRPr="00F8240E">
        <w:rPr>
          <w:rFonts w:ascii="Times New Roman" w:eastAsia="Calibri" w:hAnsi="Times New Roman" w:cs="Times New Roman"/>
          <w:i/>
          <w:sz w:val="24"/>
          <w:szCs w:val="24"/>
        </w:rPr>
        <w:t>c</w:t>
      </w:r>
      <w:r w:rsidRPr="00F8240E">
        <w:rPr>
          <w:rFonts w:ascii="Times New Roman" w:eastAsia="Calibri" w:hAnsi="Times New Roman" w:cs="Times New Roman"/>
          <w:i/>
          <w:sz w:val="24"/>
          <w:szCs w:val="24"/>
        </w:rPr>
        <w:t xml:space="preserve">lass </w:t>
      </w:r>
      <w:r w:rsidR="00A06208" w:rsidRPr="00F8240E">
        <w:rPr>
          <w:rFonts w:ascii="Times New Roman" w:eastAsia="Calibri" w:hAnsi="Times New Roman" w:cs="Times New Roman"/>
          <w:i/>
          <w:sz w:val="24"/>
          <w:szCs w:val="24"/>
        </w:rPr>
        <w:t>b</w:t>
      </w:r>
      <w:r w:rsidRPr="00F8240E">
        <w:rPr>
          <w:rFonts w:ascii="Times New Roman" w:eastAsia="Calibri" w:hAnsi="Times New Roman" w:cs="Times New Roman"/>
          <w:i/>
          <w:sz w:val="24"/>
          <w:szCs w:val="24"/>
        </w:rPr>
        <w:t xml:space="preserve">ases of the European </w:t>
      </w:r>
      <w:r w:rsidR="00A06208" w:rsidRPr="00F8240E">
        <w:rPr>
          <w:rFonts w:ascii="Times New Roman" w:eastAsia="Calibri" w:hAnsi="Times New Roman" w:cs="Times New Roman"/>
          <w:i/>
          <w:sz w:val="24"/>
          <w:szCs w:val="24"/>
        </w:rPr>
        <w:t>w</w:t>
      </w:r>
      <w:r w:rsidRPr="00F8240E">
        <w:rPr>
          <w:rFonts w:ascii="Times New Roman" w:eastAsia="Calibri" w:hAnsi="Times New Roman" w:cs="Times New Roman"/>
          <w:i/>
          <w:sz w:val="24"/>
          <w:szCs w:val="24"/>
        </w:rPr>
        <w:t xml:space="preserve">elfare </w:t>
      </w:r>
      <w:r w:rsidR="00A06208" w:rsidRPr="00F8240E">
        <w:rPr>
          <w:rFonts w:ascii="Times New Roman" w:eastAsia="Calibri" w:hAnsi="Times New Roman" w:cs="Times New Roman"/>
          <w:i/>
          <w:sz w:val="24"/>
          <w:szCs w:val="24"/>
        </w:rPr>
        <w:t>s</w:t>
      </w:r>
      <w:r w:rsidRPr="00F8240E">
        <w:rPr>
          <w:rFonts w:ascii="Times New Roman" w:eastAsia="Calibri" w:hAnsi="Times New Roman" w:cs="Times New Roman"/>
          <w:i/>
          <w:sz w:val="24"/>
          <w:szCs w:val="24"/>
        </w:rPr>
        <w:t>tate 1875-1975</w:t>
      </w:r>
      <w:r w:rsidRPr="00F8240E">
        <w:rPr>
          <w:rFonts w:ascii="Times New Roman" w:eastAsia="Calibri" w:hAnsi="Times New Roman" w:cs="Times New Roman"/>
          <w:sz w:val="24"/>
          <w:szCs w:val="24"/>
        </w:rPr>
        <w:t>. Cambridge: Cambridge University Press.</w:t>
      </w:r>
    </w:p>
    <w:p w14:paraId="4E928B07" w14:textId="555BFF54" w:rsidR="004C4360" w:rsidRPr="00F8240E" w:rsidRDefault="004C4360" w:rsidP="004C4360">
      <w:pPr>
        <w:spacing w:line="480" w:lineRule="auto"/>
        <w:jc w:val="both"/>
        <w:rPr>
          <w:rFonts w:ascii="Times New Roman" w:eastAsia="Calibri" w:hAnsi="Times New Roman" w:cs="Times New Roman"/>
          <w:sz w:val="24"/>
          <w:szCs w:val="24"/>
        </w:rPr>
      </w:pPr>
      <w:r w:rsidRPr="00F8240E">
        <w:rPr>
          <w:rFonts w:ascii="Times New Roman" w:eastAsia="Calibri" w:hAnsi="Times New Roman" w:cs="Times New Roman"/>
          <w:sz w:val="24"/>
          <w:szCs w:val="24"/>
        </w:rPr>
        <w:t xml:space="preserve">Benish A., Haber H. </w:t>
      </w:r>
      <w:r w:rsidR="00A86933" w:rsidRPr="00F8240E">
        <w:rPr>
          <w:rFonts w:ascii="Times New Roman" w:eastAsia="Calibri" w:hAnsi="Times New Roman" w:cs="Times New Roman"/>
          <w:sz w:val="24"/>
          <w:szCs w:val="24"/>
        </w:rPr>
        <w:t>&amp;</w:t>
      </w:r>
      <w:r w:rsidRPr="00F8240E">
        <w:rPr>
          <w:rFonts w:ascii="Times New Roman" w:eastAsia="Calibri" w:hAnsi="Times New Roman" w:cs="Times New Roman"/>
          <w:sz w:val="24"/>
          <w:szCs w:val="24"/>
        </w:rPr>
        <w:t xml:space="preserve"> Eliahou R. (2017). The regulatory welfare state in pension markets: mitigating high charges for low-income savers in the United Kingdom and Israel. </w:t>
      </w:r>
      <w:r w:rsidRPr="00F8240E">
        <w:rPr>
          <w:rFonts w:ascii="Times New Roman" w:eastAsia="Calibri" w:hAnsi="Times New Roman" w:cs="Times New Roman"/>
          <w:i/>
          <w:sz w:val="24"/>
          <w:szCs w:val="24"/>
        </w:rPr>
        <w:t>Journal of Social Policy</w:t>
      </w:r>
      <w:r w:rsidRPr="00F8240E">
        <w:rPr>
          <w:rFonts w:ascii="Times New Roman" w:eastAsia="Calibri" w:hAnsi="Times New Roman" w:cs="Times New Roman"/>
          <w:sz w:val="24"/>
          <w:szCs w:val="24"/>
        </w:rPr>
        <w:t xml:space="preserve">, </w:t>
      </w:r>
      <w:r w:rsidRPr="00F8240E">
        <w:rPr>
          <w:rFonts w:ascii="Times New Roman" w:eastAsia="Calibri" w:hAnsi="Times New Roman" w:cs="Times New Roman"/>
          <w:i/>
          <w:sz w:val="24"/>
          <w:szCs w:val="24"/>
        </w:rPr>
        <w:t>46</w:t>
      </w:r>
      <w:r w:rsidRPr="00F8240E">
        <w:rPr>
          <w:rFonts w:ascii="Times New Roman" w:eastAsia="Calibri" w:hAnsi="Times New Roman" w:cs="Times New Roman"/>
          <w:sz w:val="24"/>
          <w:szCs w:val="24"/>
        </w:rPr>
        <w:t>, 313-30.</w:t>
      </w:r>
      <w:r w:rsidR="009E2CD8" w:rsidRPr="00F8240E">
        <w:t xml:space="preserve"> </w:t>
      </w:r>
      <w:hyperlink r:id="rId8" w:tgtFrame="_blank" w:history="1">
        <w:r w:rsidR="009E2CD8" w:rsidRPr="00F8240E">
          <w:rPr>
            <w:rFonts w:ascii="Times New Roman" w:hAnsi="Times New Roman" w:cs="Times New Roman"/>
            <w:sz w:val="24"/>
            <w:szCs w:val="24"/>
            <w:bdr w:val="none" w:sz="0" w:space="0" w:color="auto" w:frame="1"/>
          </w:rPr>
          <w:t>doi: 10.1017/S0047279416000593</w:t>
        </w:r>
      </w:hyperlink>
    </w:p>
    <w:p w14:paraId="6DDB991D" w14:textId="61B045B0" w:rsidR="00CD2E92" w:rsidRPr="00F8240E" w:rsidRDefault="002E2508" w:rsidP="00CD2E92">
      <w:pPr>
        <w:spacing w:line="480" w:lineRule="auto"/>
        <w:textAlignment w:val="center"/>
        <w:rPr>
          <w:rFonts w:ascii="Times New Roman" w:eastAsia="Times New Roman" w:hAnsi="Times New Roman" w:cs="Times New Roman"/>
          <w:color w:val="555555"/>
          <w:sz w:val="24"/>
          <w:szCs w:val="24"/>
          <w:lang w:eastAsia="en-GB"/>
        </w:rPr>
      </w:pPr>
      <w:r w:rsidRPr="00F8240E">
        <w:rPr>
          <w:rFonts w:ascii="Times New Roman" w:eastAsia="Calibri" w:hAnsi="Times New Roman" w:cs="Times New Roman"/>
          <w:sz w:val="24"/>
          <w:szCs w:val="24"/>
        </w:rPr>
        <w:t xml:space="preserve">Bonoli, G. </w:t>
      </w:r>
      <w:r w:rsidR="008F744B" w:rsidRPr="00F8240E">
        <w:rPr>
          <w:rFonts w:ascii="Times New Roman" w:eastAsia="Calibri" w:hAnsi="Times New Roman" w:cs="Times New Roman"/>
          <w:sz w:val="24"/>
          <w:szCs w:val="24"/>
        </w:rPr>
        <w:t>(</w:t>
      </w:r>
      <w:r w:rsidR="00701E13" w:rsidRPr="00F8240E">
        <w:rPr>
          <w:rFonts w:ascii="Times New Roman" w:eastAsia="Calibri" w:hAnsi="Times New Roman" w:cs="Times New Roman"/>
          <w:sz w:val="24"/>
          <w:szCs w:val="24"/>
        </w:rPr>
        <w:t>2005). The politics of new social policies: providing coverage against new social risks in mature welfare states</w:t>
      </w:r>
      <w:r w:rsidR="00DD6044" w:rsidRPr="00F8240E">
        <w:rPr>
          <w:rFonts w:ascii="Times New Roman" w:eastAsia="Calibri" w:hAnsi="Times New Roman" w:cs="Times New Roman"/>
          <w:sz w:val="24"/>
          <w:szCs w:val="24"/>
        </w:rPr>
        <w:t>.</w:t>
      </w:r>
      <w:r w:rsidR="00701E13" w:rsidRPr="00F8240E">
        <w:rPr>
          <w:rFonts w:ascii="Times New Roman" w:eastAsia="Calibri" w:hAnsi="Times New Roman" w:cs="Times New Roman"/>
          <w:sz w:val="24"/>
          <w:szCs w:val="24"/>
        </w:rPr>
        <w:t xml:space="preserve"> </w:t>
      </w:r>
      <w:r w:rsidR="00701E13" w:rsidRPr="00F8240E">
        <w:rPr>
          <w:rFonts w:ascii="Times New Roman" w:eastAsia="Calibri" w:hAnsi="Times New Roman" w:cs="Times New Roman"/>
          <w:i/>
          <w:sz w:val="24"/>
          <w:szCs w:val="24"/>
        </w:rPr>
        <w:t>Policy and Politics</w:t>
      </w:r>
      <w:r w:rsidR="00701E13" w:rsidRPr="00F8240E">
        <w:rPr>
          <w:rFonts w:ascii="Times New Roman" w:eastAsia="Calibri" w:hAnsi="Times New Roman" w:cs="Times New Roman"/>
          <w:sz w:val="24"/>
          <w:szCs w:val="24"/>
        </w:rPr>
        <w:t xml:space="preserve">, </w:t>
      </w:r>
      <w:r w:rsidR="00701E13" w:rsidRPr="00F8240E">
        <w:rPr>
          <w:rFonts w:ascii="Times New Roman" w:eastAsia="Calibri" w:hAnsi="Times New Roman" w:cs="Times New Roman"/>
          <w:i/>
          <w:sz w:val="24"/>
          <w:szCs w:val="24"/>
        </w:rPr>
        <w:t>33</w:t>
      </w:r>
      <w:r w:rsidR="00DD6044" w:rsidRPr="00F8240E">
        <w:rPr>
          <w:rFonts w:ascii="Times New Roman" w:eastAsia="Calibri" w:hAnsi="Times New Roman" w:cs="Times New Roman"/>
          <w:sz w:val="24"/>
          <w:szCs w:val="24"/>
        </w:rPr>
        <w:t xml:space="preserve">, </w:t>
      </w:r>
      <w:r w:rsidR="00701E13" w:rsidRPr="00F8240E">
        <w:rPr>
          <w:rFonts w:ascii="Times New Roman" w:eastAsia="Calibri" w:hAnsi="Times New Roman" w:cs="Times New Roman"/>
          <w:sz w:val="24"/>
          <w:szCs w:val="24"/>
        </w:rPr>
        <w:t>431-439.</w:t>
      </w:r>
      <w:r w:rsidR="00CD2E92" w:rsidRPr="00F8240E">
        <w:rPr>
          <w:rFonts w:ascii="Times New Roman" w:eastAsia="Times New Roman" w:hAnsi="Times New Roman" w:cs="Times New Roman"/>
          <w:sz w:val="24"/>
          <w:szCs w:val="24"/>
          <w:lang w:eastAsia="en-GB"/>
        </w:rPr>
        <w:t xml:space="preserve"> </w:t>
      </w:r>
      <w:r w:rsidR="00FF7229" w:rsidRPr="00F8240E">
        <w:rPr>
          <w:rFonts w:ascii="Times New Roman" w:eastAsia="Times New Roman" w:hAnsi="Times New Roman" w:cs="Times New Roman"/>
          <w:sz w:val="24"/>
          <w:szCs w:val="24"/>
          <w:lang w:eastAsia="en-GB"/>
        </w:rPr>
        <w:t>doi:</w:t>
      </w:r>
      <w:r w:rsidR="00CD2E92" w:rsidRPr="00F8240E">
        <w:rPr>
          <w:rFonts w:ascii="Times New Roman" w:eastAsia="Times New Roman" w:hAnsi="Times New Roman" w:cs="Times New Roman"/>
          <w:sz w:val="24"/>
          <w:szCs w:val="24"/>
          <w:lang w:eastAsia="en-GB"/>
        </w:rPr>
        <w:t>10.1332/0305573054325765</w:t>
      </w:r>
    </w:p>
    <w:p w14:paraId="336A334F" w14:textId="1BF29775" w:rsidR="00E124B4" w:rsidRPr="00F8240E" w:rsidRDefault="00E124B4" w:rsidP="00D01C3B">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Bonoli</w:t>
      </w:r>
      <w:r w:rsidR="008F744B" w:rsidRPr="00F8240E">
        <w:rPr>
          <w:rFonts w:ascii="Times New Roman" w:hAnsi="Times New Roman" w:cs="Times New Roman"/>
          <w:sz w:val="24"/>
          <w:szCs w:val="24"/>
        </w:rPr>
        <w:t>, G.</w:t>
      </w:r>
      <w:r w:rsidRPr="00F8240E">
        <w:rPr>
          <w:rFonts w:ascii="Times New Roman" w:hAnsi="Times New Roman" w:cs="Times New Roman"/>
          <w:sz w:val="24"/>
          <w:szCs w:val="24"/>
        </w:rPr>
        <w:t xml:space="preserve"> </w:t>
      </w:r>
      <w:r w:rsidR="00DD6044" w:rsidRPr="00F8240E">
        <w:rPr>
          <w:rFonts w:ascii="Times New Roman" w:hAnsi="Times New Roman" w:cs="Times New Roman"/>
          <w:sz w:val="24"/>
          <w:szCs w:val="24"/>
        </w:rPr>
        <w:t>&amp;</w:t>
      </w:r>
      <w:r w:rsidRPr="00F8240E">
        <w:rPr>
          <w:rFonts w:ascii="Times New Roman" w:hAnsi="Times New Roman" w:cs="Times New Roman"/>
          <w:sz w:val="24"/>
          <w:szCs w:val="24"/>
        </w:rPr>
        <w:t xml:space="preserve"> Palier</w:t>
      </w:r>
      <w:r w:rsidR="008F744B" w:rsidRPr="00F8240E">
        <w:rPr>
          <w:rFonts w:ascii="Times New Roman" w:hAnsi="Times New Roman" w:cs="Times New Roman"/>
          <w:sz w:val="24"/>
          <w:szCs w:val="24"/>
        </w:rPr>
        <w:t>, B.</w:t>
      </w:r>
      <w:r w:rsidRPr="00F8240E">
        <w:rPr>
          <w:rFonts w:ascii="Times New Roman" w:hAnsi="Times New Roman" w:cs="Times New Roman"/>
          <w:sz w:val="24"/>
          <w:szCs w:val="24"/>
        </w:rPr>
        <w:t xml:space="preserve"> (1998</w:t>
      </w:r>
      <w:r w:rsidR="008F744B" w:rsidRPr="00F8240E">
        <w:rPr>
          <w:rFonts w:ascii="Times New Roman" w:hAnsi="Times New Roman" w:cs="Times New Roman"/>
          <w:sz w:val="24"/>
          <w:szCs w:val="24"/>
        </w:rPr>
        <w:t xml:space="preserve">). Changing the politics of social programmes: innovative change in British and French welfare reforms? </w:t>
      </w:r>
      <w:r w:rsidR="008F744B" w:rsidRPr="00F8240E">
        <w:rPr>
          <w:rFonts w:ascii="Times New Roman" w:hAnsi="Times New Roman" w:cs="Times New Roman"/>
          <w:i/>
          <w:sz w:val="24"/>
          <w:szCs w:val="24"/>
        </w:rPr>
        <w:t>Journal of European Social Policy</w:t>
      </w:r>
      <w:r w:rsidR="008F744B" w:rsidRPr="00F8240E">
        <w:rPr>
          <w:rFonts w:ascii="Times New Roman" w:hAnsi="Times New Roman" w:cs="Times New Roman"/>
          <w:sz w:val="24"/>
          <w:szCs w:val="24"/>
        </w:rPr>
        <w:t xml:space="preserve">, </w:t>
      </w:r>
      <w:r w:rsidR="008F744B" w:rsidRPr="00F8240E">
        <w:rPr>
          <w:rFonts w:ascii="Times New Roman" w:hAnsi="Times New Roman" w:cs="Times New Roman"/>
          <w:i/>
          <w:sz w:val="24"/>
          <w:szCs w:val="24"/>
        </w:rPr>
        <w:t>8</w:t>
      </w:r>
      <w:r w:rsidR="00DD6044" w:rsidRPr="00F8240E">
        <w:rPr>
          <w:rFonts w:ascii="Times New Roman" w:hAnsi="Times New Roman" w:cs="Times New Roman"/>
          <w:i/>
          <w:sz w:val="24"/>
          <w:szCs w:val="24"/>
        </w:rPr>
        <w:t>,</w:t>
      </w:r>
      <w:r w:rsidR="008F744B" w:rsidRPr="00F8240E">
        <w:rPr>
          <w:rFonts w:ascii="Times New Roman" w:hAnsi="Times New Roman" w:cs="Times New Roman"/>
          <w:sz w:val="24"/>
          <w:szCs w:val="24"/>
        </w:rPr>
        <w:t xml:space="preserve"> 333-352.</w:t>
      </w:r>
      <w:r w:rsidR="00CD2E92" w:rsidRPr="00F8240E">
        <w:rPr>
          <w:rFonts w:ascii="Times New Roman" w:hAnsi="Times New Roman" w:cs="Times New Roman"/>
          <w:sz w:val="24"/>
          <w:szCs w:val="24"/>
        </w:rPr>
        <w:t xml:space="preserve"> </w:t>
      </w:r>
      <w:r w:rsidR="00FF7229" w:rsidRPr="00F8240E">
        <w:rPr>
          <w:rFonts w:ascii="Times New Roman" w:hAnsi="Times New Roman" w:cs="Times New Roman"/>
          <w:sz w:val="24"/>
          <w:szCs w:val="24"/>
        </w:rPr>
        <w:t>doi:</w:t>
      </w:r>
      <w:r w:rsidR="00CD2E92" w:rsidRPr="00F8240E">
        <w:rPr>
          <w:rFonts w:ascii="Times New Roman" w:hAnsi="Times New Roman" w:cs="Times New Roman"/>
          <w:sz w:val="24"/>
          <w:szCs w:val="24"/>
        </w:rPr>
        <w:t>10.1177/09589287980080040</w:t>
      </w:r>
    </w:p>
    <w:p w14:paraId="1B27369C" w14:textId="43A25D72" w:rsidR="00D01C3B" w:rsidRPr="00F8240E" w:rsidRDefault="00D01C3B" w:rsidP="00D01C3B">
      <w:pPr>
        <w:spacing w:line="480" w:lineRule="auto"/>
        <w:jc w:val="both"/>
        <w:rPr>
          <w:rFonts w:ascii="Times New Roman" w:eastAsia="Calibri" w:hAnsi="Times New Roman" w:cs="Times New Roman"/>
          <w:sz w:val="24"/>
          <w:szCs w:val="24"/>
        </w:rPr>
      </w:pPr>
      <w:r w:rsidRPr="00F8240E">
        <w:rPr>
          <w:rFonts w:ascii="Times New Roman" w:hAnsi="Times New Roman" w:cs="Times New Roman"/>
          <w:bCs/>
          <w:sz w:val="24"/>
          <w:szCs w:val="24"/>
        </w:rPr>
        <w:t xml:space="preserve">Bonoli, G. </w:t>
      </w:r>
      <w:r w:rsidR="00DD6044" w:rsidRPr="00F8240E">
        <w:rPr>
          <w:rFonts w:ascii="Times New Roman" w:hAnsi="Times New Roman" w:cs="Times New Roman"/>
          <w:bCs/>
          <w:sz w:val="24"/>
          <w:szCs w:val="24"/>
        </w:rPr>
        <w:t>&amp;</w:t>
      </w:r>
      <w:r w:rsidRPr="00F8240E">
        <w:rPr>
          <w:rFonts w:ascii="Times New Roman" w:hAnsi="Times New Roman" w:cs="Times New Roman"/>
          <w:bCs/>
          <w:sz w:val="24"/>
          <w:szCs w:val="24"/>
        </w:rPr>
        <w:t xml:space="preserve"> Shinkawa, T. (</w:t>
      </w:r>
      <w:r w:rsidR="00A06208" w:rsidRPr="00F8240E">
        <w:rPr>
          <w:rFonts w:ascii="Times New Roman" w:hAnsi="Times New Roman" w:cs="Times New Roman"/>
          <w:bCs/>
          <w:sz w:val="24"/>
          <w:szCs w:val="24"/>
        </w:rPr>
        <w:t>E</w:t>
      </w:r>
      <w:r w:rsidRPr="00F8240E">
        <w:rPr>
          <w:rFonts w:ascii="Times New Roman" w:hAnsi="Times New Roman" w:cs="Times New Roman"/>
          <w:bCs/>
          <w:sz w:val="24"/>
          <w:szCs w:val="24"/>
        </w:rPr>
        <w:t>ds</w:t>
      </w:r>
      <w:r w:rsidR="00A06208" w:rsidRPr="00F8240E">
        <w:rPr>
          <w:rFonts w:ascii="Times New Roman" w:hAnsi="Times New Roman" w:cs="Times New Roman"/>
          <w:bCs/>
          <w:sz w:val="24"/>
          <w:szCs w:val="24"/>
        </w:rPr>
        <w:t>.</w:t>
      </w:r>
      <w:r w:rsidRPr="00F8240E">
        <w:rPr>
          <w:rFonts w:ascii="Times New Roman" w:hAnsi="Times New Roman" w:cs="Times New Roman"/>
          <w:bCs/>
          <w:sz w:val="24"/>
          <w:szCs w:val="24"/>
        </w:rPr>
        <w:t>) (2005)</w:t>
      </w:r>
      <w:r w:rsidR="00A06208" w:rsidRPr="00F8240E">
        <w:rPr>
          <w:rFonts w:ascii="Times New Roman" w:hAnsi="Times New Roman" w:cs="Times New Roman"/>
          <w:bCs/>
          <w:sz w:val="24"/>
          <w:szCs w:val="24"/>
        </w:rPr>
        <w:t>.</w:t>
      </w:r>
      <w:r w:rsidRPr="00F8240E">
        <w:rPr>
          <w:rFonts w:ascii="Times New Roman" w:hAnsi="Times New Roman" w:cs="Times New Roman"/>
          <w:bCs/>
          <w:sz w:val="24"/>
          <w:szCs w:val="24"/>
        </w:rPr>
        <w:t xml:space="preserve"> </w:t>
      </w:r>
      <w:r w:rsidRPr="00F8240E">
        <w:rPr>
          <w:rStyle w:val="italic"/>
          <w:rFonts w:ascii="Times New Roman" w:hAnsi="Times New Roman" w:cs="Times New Roman"/>
          <w:bCs/>
          <w:i/>
          <w:iCs/>
          <w:sz w:val="24"/>
          <w:szCs w:val="24"/>
          <w:bdr w:val="none" w:sz="0" w:space="0" w:color="auto" w:frame="1"/>
        </w:rPr>
        <w:t xml:space="preserve">Ageing and </w:t>
      </w:r>
      <w:r w:rsidR="00A06208" w:rsidRPr="00F8240E">
        <w:rPr>
          <w:rStyle w:val="italic"/>
          <w:rFonts w:ascii="Times New Roman" w:hAnsi="Times New Roman" w:cs="Times New Roman"/>
          <w:bCs/>
          <w:i/>
          <w:iCs/>
          <w:sz w:val="24"/>
          <w:szCs w:val="24"/>
          <w:bdr w:val="none" w:sz="0" w:space="0" w:color="auto" w:frame="1"/>
        </w:rPr>
        <w:t>p</w:t>
      </w:r>
      <w:r w:rsidRPr="00F8240E">
        <w:rPr>
          <w:rStyle w:val="italic"/>
          <w:rFonts w:ascii="Times New Roman" w:hAnsi="Times New Roman" w:cs="Times New Roman"/>
          <w:bCs/>
          <w:i/>
          <w:iCs/>
          <w:sz w:val="24"/>
          <w:szCs w:val="24"/>
          <w:bdr w:val="none" w:sz="0" w:space="0" w:color="auto" w:frame="1"/>
        </w:rPr>
        <w:t xml:space="preserve">ension </w:t>
      </w:r>
      <w:r w:rsidR="00A06208" w:rsidRPr="00F8240E">
        <w:rPr>
          <w:rStyle w:val="italic"/>
          <w:rFonts w:ascii="Times New Roman" w:hAnsi="Times New Roman" w:cs="Times New Roman"/>
          <w:bCs/>
          <w:i/>
          <w:iCs/>
          <w:sz w:val="24"/>
          <w:szCs w:val="24"/>
          <w:bdr w:val="none" w:sz="0" w:space="0" w:color="auto" w:frame="1"/>
        </w:rPr>
        <w:t>r</w:t>
      </w:r>
      <w:r w:rsidRPr="00F8240E">
        <w:rPr>
          <w:rStyle w:val="italic"/>
          <w:rFonts w:ascii="Times New Roman" w:hAnsi="Times New Roman" w:cs="Times New Roman"/>
          <w:bCs/>
          <w:i/>
          <w:iCs/>
          <w:sz w:val="24"/>
          <w:szCs w:val="24"/>
          <w:bdr w:val="none" w:sz="0" w:space="0" w:color="auto" w:frame="1"/>
        </w:rPr>
        <w:t xml:space="preserve">eform </w:t>
      </w:r>
      <w:r w:rsidR="00A06208" w:rsidRPr="00F8240E">
        <w:rPr>
          <w:rStyle w:val="italic"/>
          <w:rFonts w:ascii="Times New Roman" w:hAnsi="Times New Roman" w:cs="Times New Roman"/>
          <w:bCs/>
          <w:i/>
          <w:iCs/>
          <w:sz w:val="24"/>
          <w:szCs w:val="24"/>
          <w:bdr w:val="none" w:sz="0" w:space="0" w:color="auto" w:frame="1"/>
        </w:rPr>
        <w:t>a</w:t>
      </w:r>
      <w:r w:rsidRPr="00F8240E">
        <w:rPr>
          <w:rStyle w:val="italic"/>
          <w:rFonts w:ascii="Times New Roman" w:hAnsi="Times New Roman" w:cs="Times New Roman"/>
          <w:bCs/>
          <w:i/>
          <w:iCs/>
          <w:sz w:val="24"/>
          <w:szCs w:val="24"/>
          <w:bdr w:val="none" w:sz="0" w:space="0" w:color="auto" w:frame="1"/>
        </w:rPr>
        <w:t xml:space="preserve">round the </w:t>
      </w:r>
      <w:r w:rsidR="00A06208" w:rsidRPr="00F8240E">
        <w:rPr>
          <w:rStyle w:val="italic"/>
          <w:rFonts w:ascii="Times New Roman" w:hAnsi="Times New Roman" w:cs="Times New Roman"/>
          <w:bCs/>
          <w:i/>
          <w:iCs/>
          <w:sz w:val="24"/>
          <w:szCs w:val="24"/>
          <w:bdr w:val="none" w:sz="0" w:space="0" w:color="auto" w:frame="1"/>
        </w:rPr>
        <w:t>w</w:t>
      </w:r>
      <w:r w:rsidRPr="00F8240E">
        <w:rPr>
          <w:rStyle w:val="italic"/>
          <w:rFonts w:ascii="Times New Roman" w:hAnsi="Times New Roman" w:cs="Times New Roman"/>
          <w:bCs/>
          <w:i/>
          <w:iCs/>
          <w:sz w:val="24"/>
          <w:szCs w:val="24"/>
          <w:bdr w:val="none" w:sz="0" w:space="0" w:color="auto" w:frame="1"/>
        </w:rPr>
        <w:t xml:space="preserve">orld: </w:t>
      </w:r>
      <w:r w:rsidR="00A06208" w:rsidRPr="00F8240E">
        <w:rPr>
          <w:rStyle w:val="italic"/>
          <w:rFonts w:ascii="Times New Roman" w:hAnsi="Times New Roman" w:cs="Times New Roman"/>
          <w:bCs/>
          <w:i/>
          <w:iCs/>
          <w:sz w:val="24"/>
          <w:szCs w:val="24"/>
          <w:bdr w:val="none" w:sz="0" w:space="0" w:color="auto" w:frame="1"/>
        </w:rPr>
        <w:t>e</w:t>
      </w:r>
      <w:r w:rsidRPr="00F8240E">
        <w:rPr>
          <w:rStyle w:val="italic"/>
          <w:rFonts w:ascii="Times New Roman" w:hAnsi="Times New Roman" w:cs="Times New Roman"/>
          <w:bCs/>
          <w:i/>
          <w:iCs/>
          <w:sz w:val="24"/>
          <w:szCs w:val="24"/>
          <w:bdr w:val="none" w:sz="0" w:space="0" w:color="auto" w:frame="1"/>
        </w:rPr>
        <w:t xml:space="preserve">vidence from </w:t>
      </w:r>
      <w:r w:rsidR="00A06208" w:rsidRPr="00F8240E">
        <w:rPr>
          <w:rStyle w:val="italic"/>
          <w:rFonts w:ascii="Times New Roman" w:hAnsi="Times New Roman" w:cs="Times New Roman"/>
          <w:bCs/>
          <w:i/>
          <w:iCs/>
          <w:sz w:val="24"/>
          <w:szCs w:val="24"/>
          <w:bdr w:val="none" w:sz="0" w:space="0" w:color="auto" w:frame="1"/>
        </w:rPr>
        <w:t>e</w:t>
      </w:r>
      <w:r w:rsidRPr="00F8240E">
        <w:rPr>
          <w:rStyle w:val="italic"/>
          <w:rFonts w:ascii="Times New Roman" w:hAnsi="Times New Roman" w:cs="Times New Roman"/>
          <w:bCs/>
          <w:i/>
          <w:iCs/>
          <w:sz w:val="24"/>
          <w:szCs w:val="24"/>
          <w:bdr w:val="none" w:sz="0" w:space="0" w:color="auto" w:frame="1"/>
        </w:rPr>
        <w:t xml:space="preserve">leven </w:t>
      </w:r>
      <w:r w:rsidR="00A06208" w:rsidRPr="00F8240E">
        <w:rPr>
          <w:rStyle w:val="italic"/>
          <w:rFonts w:ascii="Times New Roman" w:hAnsi="Times New Roman" w:cs="Times New Roman"/>
          <w:bCs/>
          <w:i/>
          <w:iCs/>
          <w:sz w:val="24"/>
          <w:szCs w:val="24"/>
          <w:bdr w:val="none" w:sz="0" w:space="0" w:color="auto" w:frame="1"/>
        </w:rPr>
        <w:t>c</w:t>
      </w:r>
      <w:r w:rsidRPr="00F8240E">
        <w:rPr>
          <w:rStyle w:val="italic"/>
          <w:rFonts w:ascii="Times New Roman" w:hAnsi="Times New Roman" w:cs="Times New Roman"/>
          <w:bCs/>
          <w:i/>
          <w:iCs/>
          <w:sz w:val="24"/>
          <w:szCs w:val="24"/>
          <w:bdr w:val="none" w:sz="0" w:space="0" w:color="auto" w:frame="1"/>
        </w:rPr>
        <w:t>ountries</w:t>
      </w:r>
      <w:r w:rsidR="00A06208" w:rsidRPr="00F8240E">
        <w:rPr>
          <w:rFonts w:ascii="Times New Roman" w:hAnsi="Times New Roman" w:cs="Times New Roman"/>
          <w:bCs/>
          <w:sz w:val="24"/>
          <w:szCs w:val="24"/>
        </w:rPr>
        <w:t>.</w:t>
      </w:r>
      <w:r w:rsidRPr="00F8240E">
        <w:rPr>
          <w:rFonts w:ascii="Times New Roman" w:hAnsi="Times New Roman" w:cs="Times New Roman"/>
          <w:bCs/>
          <w:sz w:val="24"/>
          <w:szCs w:val="24"/>
        </w:rPr>
        <w:t xml:space="preserve"> </w:t>
      </w:r>
      <w:r w:rsidR="00A06208" w:rsidRPr="00F8240E">
        <w:rPr>
          <w:rFonts w:ascii="Times New Roman" w:hAnsi="Times New Roman" w:cs="Times New Roman"/>
          <w:bCs/>
          <w:sz w:val="24"/>
          <w:szCs w:val="24"/>
        </w:rPr>
        <w:t xml:space="preserve">Cheltenham: </w:t>
      </w:r>
      <w:r w:rsidRPr="00F8240E">
        <w:rPr>
          <w:rFonts w:ascii="Times New Roman" w:hAnsi="Times New Roman" w:cs="Times New Roman"/>
          <w:bCs/>
          <w:sz w:val="24"/>
          <w:szCs w:val="24"/>
        </w:rPr>
        <w:t>Edward Elgar Publishing</w:t>
      </w:r>
      <w:r w:rsidR="00A06208" w:rsidRPr="00F8240E">
        <w:rPr>
          <w:rFonts w:ascii="Times New Roman" w:hAnsi="Times New Roman" w:cs="Times New Roman"/>
          <w:bCs/>
          <w:sz w:val="24"/>
          <w:szCs w:val="24"/>
        </w:rPr>
        <w:t>.</w:t>
      </w:r>
    </w:p>
    <w:p w14:paraId="67B4D9C6" w14:textId="44A927EA" w:rsidR="00CD2E92" w:rsidRPr="00F8240E" w:rsidRDefault="002E2508" w:rsidP="00CD2E92">
      <w:pPr>
        <w:spacing w:line="480" w:lineRule="auto"/>
        <w:rPr>
          <w:rFonts w:ascii="Arial" w:eastAsia="Times New Roman" w:hAnsi="Arial" w:cs="Arial"/>
          <w:color w:val="767676"/>
          <w:sz w:val="21"/>
          <w:szCs w:val="21"/>
          <w:lang w:eastAsia="en-GB"/>
        </w:rPr>
      </w:pPr>
      <w:r w:rsidRPr="00F8240E">
        <w:rPr>
          <w:rFonts w:ascii="Times New Roman" w:hAnsi="Times New Roman" w:cs="Times New Roman"/>
          <w:sz w:val="24"/>
          <w:szCs w:val="24"/>
        </w:rPr>
        <w:t>Borowski, A. (2013)</w:t>
      </w:r>
      <w:r w:rsidR="00DD6044"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Pr="00F8240E">
        <w:rPr>
          <w:rFonts w:ascii="Times New Roman" w:hAnsi="Times New Roman" w:cs="Times New Roman"/>
          <w:iCs/>
          <w:sz w:val="24"/>
          <w:szCs w:val="24"/>
        </w:rPr>
        <w:t>Risky by Design: The Mandatory Private Pillar of Australia’s Retirement Income System</w:t>
      </w:r>
      <w:r w:rsidR="00DD6044" w:rsidRPr="00F8240E">
        <w:rPr>
          <w:rFonts w:ascii="Times New Roman" w:hAnsi="Times New Roman" w:cs="Times New Roman"/>
          <w:iCs/>
          <w:sz w:val="24"/>
          <w:szCs w:val="24"/>
        </w:rPr>
        <w:t>.</w:t>
      </w:r>
      <w:r w:rsidRPr="00F8240E">
        <w:rPr>
          <w:rFonts w:ascii="Times New Roman" w:hAnsi="Times New Roman" w:cs="Times New Roman"/>
          <w:iCs/>
          <w:sz w:val="24"/>
          <w:szCs w:val="24"/>
        </w:rPr>
        <w:t xml:space="preserve"> </w:t>
      </w:r>
      <w:r w:rsidRPr="00F8240E">
        <w:rPr>
          <w:rFonts w:ascii="Times New Roman" w:hAnsi="Times New Roman" w:cs="Times New Roman"/>
          <w:i/>
          <w:iCs/>
          <w:sz w:val="24"/>
          <w:szCs w:val="24"/>
        </w:rPr>
        <w:t>Social Policy and Administration</w:t>
      </w:r>
      <w:r w:rsidR="00DD6044" w:rsidRPr="00F8240E">
        <w:rPr>
          <w:rFonts w:ascii="Times New Roman" w:hAnsi="Times New Roman" w:cs="Times New Roman"/>
          <w:i/>
          <w:iCs/>
          <w:sz w:val="24"/>
          <w:szCs w:val="24"/>
        </w:rPr>
        <w:t xml:space="preserve">, </w:t>
      </w:r>
      <w:r w:rsidRPr="00F8240E">
        <w:rPr>
          <w:rFonts w:ascii="Times New Roman" w:hAnsi="Times New Roman" w:cs="Times New Roman"/>
          <w:i/>
          <w:sz w:val="24"/>
          <w:szCs w:val="24"/>
        </w:rPr>
        <w:t>47</w:t>
      </w:r>
      <w:r w:rsidR="00DD6044" w:rsidRPr="00F8240E">
        <w:rPr>
          <w:rFonts w:ascii="Times New Roman" w:hAnsi="Times New Roman" w:cs="Times New Roman"/>
          <w:i/>
          <w:sz w:val="24"/>
          <w:szCs w:val="24"/>
        </w:rPr>
        <w:t>,</w:t>
      </w:r>
      <w:r w:rsidR="00DD6044" w:rsidRPr="00F8240E">
        <w:rPr>
          <w:rFonts w:ascii="Times New Roman" w:hAnsi="Times New Roman" w:cs="Times New Roman"/>
          <w:sz w:val="24"/>
          <w:szCs w:val="24"/>
        </w:rPr>
        <w:t xml:space="preserve"> </w:t>
      </w:r>
      <w:r w:rsidRPr="00F8240E">
        <w:rPr>
          <w:rFonts w:ascii="Times New Roman" w:hAnsi="Times New Roman" w:cs="Times New Roman"/>
          <w:sz w:val="24"/>
          <w:szCs w:val="24"/>
        </w:rPr>
        <w:t>749–764</w:t>
      </w:r>
      <w:r w:rsidR="00DD6044" w:rsidRPr="00F8240E">
        <w:rPr>
          <w:rFonts w:ascii="Times New Roman" w:hAnsi="Times New Roman" w:cs="Times New Roman"/>
          <w:sz w:val="24"/>
          <w:szCs w:val="24"/>
        </w:rPr>
        <w:t>.</w:t>
      </w:r>
      <w:r w:rsidR="00CD2E92" w:rsidRPr="00F8240E">
        <w:rPr>
          <w:rFonts w:ascii="Times New Roman" w:hAnsi="Times New Roman" w:cs="Times New Roman"/>
          <w:sz w:val="24"/>
          <w:szCs w:val="24"/>
        </w:rPr>
        <w:t xml:space="preserve"> </w:t>
      </w:r>
      <w:r w:rsidR="00FF7229" w:rsidRPr="00F8240E">
        <w:rPr>
          <w:rFonts w:ascii="Times New Roman" w:hAnsi="Times New Roman" w:cs="Times New Roman"/>
          <w:sz w:val="24"/>
          <w:szCs w:val="24"/>
        </w:rPr>
        <w:t>doi:</w:t>
      </w:r>
      <w:hyperlink r:id="rId9" w:history="1">
        <w:r w:rsidR="00CD2E92" w:rsidRPr="00F8240E">
          <w:rPr>
            <w:rFonts w:ascii="Times New Roman" w:eastAsia="Times New Roman" w:hAnsi="Times New Roman" w:cs="Times New Roman"/>
            <w:bCs/>
            <w:sz w:val="24"/>
            <w:szCs w:val="24"/>
            <w:lang w:eastAsia="en-GB"/>
          </w:rPr>
          <w:t>10.1111/spol.12041</w:t>
        </w:r>
      </w:hyperlink>
    </w:p>
    <w:p w14:paraId="18392733" w14:textId="357AD459" w:rsidR="00AF6980" w:rsidRPr="00F8240E" w:rsidRDefault="00AF6980" w:rsidP="00AF6980">
      <w:pPr>
        <w:pStyle w:val="BodyText"/>
      </w:pPr>
      <w:r w:rsidRPr="00F8240E">
        <w:t>Bridgen, P. (2010)</w:t>
      </w:r>
      <w:r w:rsidR="00DD6044" w:rsidRPr="00F8240E">
        <w:t>.</w:t>
      </w:r>
      <w:r w:rsidRPr="00F8240E">
        <w:t xml:space="preserve"> Towards a social democratic pension system? Assessing the significance of the 2007 and 2008 Pensions Acts</w:t>
      </w:r>
      <w:r w:rsidR="00DD6044" w:rsidRPr="00F8240E">
        <w:t>.</w:t>
      </w:r>
      <w:r w:rsidRPr="00F8240E">
        <w:t xml:space="preserve"> </w:t>
      </w:r>
      <w:r w:rsidR="00DD6044" w:rsidRPr="00F8240E">
        <w:t>I</w:t>
      </w:r>
      <w:r w:rsidRPr="00F8240E">
        <w:t>n I. Greener, C.</w:t>
      </w:r>
      <w:r w:rsidR="00DD6044" w:rsidRPr="00F8240E">
        <w:t xml:space="preserve"> </w:t>
      </w:r>
      <w:r w:rsidRPr="00F8240E">
        <w:t>Holden and M. Kilkey (</w:t>
      </w:r>
      <w:r w:rsidR="00DD6044" w:rsidRPr="00F8240E">
        <w:t>E</w:t>
      </w:r>
      <w:r w:rsidRPr="00F8240E">
        <w:t>ds</w:t>
      </w:r>
      <w:r w:rsidR="00DD6044" w:rsidRPr="00F8240E">
        <w:t>.</w:t>
      </w:r>
      <w:r w:rsidRPr="00F8240E">
        <w:t xml:space="preserve">) </w:t>
      </w:r>
      <w:r w:rsidRPr="00F8240E">
        <w:rPr>
          <w:i/>
        </w:rPr>
        <w:t>Social policy review 22: Analysis and debate in Social Policy 2010</w:t>
      </w:r>
      <w:r w:rsidR="00DD6044" w:rsidRPr="00F8240E">
        <w:rPr>
          <w:i/>
        </w:rPr>
        <w:t xml:space="preserve">. </w:t>
      </w:r>
      <w:r w:rsidR="00DD6044" w:rsidRPr="00F8240E">
        <w:t>(pp.</w:t>
      </w:r>
      <w:r w:rsidR="00FF7229" w:rsidRPr="00F8240E">
        <w:t>71-96</w:t>
      </w:r>
      <w:r w:rsidR="00DD6044" w:rsidRPr="00F8240E">
        <w:t>).</w:t>
      </w:r>
      <w:r w:rsidRPr="00F8240E">
        <w:rPr>
          <w:i/>
        </w:rPr>
        <w:t xml:space="preserve"> </w:t>
      </w:r>
      <w:r w:rsidRPr="00F8240E">
        <w:t>Bristol: Policy Press.</w:t>
      </w:r>
    </w:p>
    <w:p w14:paraId="0F364F7B" w14:textId="32915D6A" w:rsidR="00CD2E92" w:rsidRPr="00F8240E" w:rsidRDefault="002E2508" w:rsidP="00AE63F0">
      <w:pPr>
        <w:spacing w:line="480" w:lineRule="auto"/>
        <w:rPr>
          <w:rFonts w:ascii="Times New Roman" w:eastAsia="Times New Roman" w:hAnsi="Times New Roman" w:cs="Times New Roman"/>
          <w:bCs/>
          <w:sz w:val="24"/>
          <w:szCs w:val="24"/>
          <w:lang w:eastAsia="en-GB"/>
        </w:rPr>
      </w:pPr>
      <w:r w:rsidRPr="00F8240E">
        <w:rPr>
          <w:rFonts w:ascii="Times New Roman" w:hAnsi="Times New Roman" w:cs="Times New Roman"/>
          <w:sz w:val="24"/>
          <w:szCs w:val="24"/>
        </w:rPr>
        <w:t xml:space="preserve">Bridgen, P. </w:t>
      </w:r>
      <w:r w:rsidR="00CB4F66" w:rsidRPr="00F8240E">
        <w:rPr>
          <w:rFonts w:ascii="Times New Roman" w:hAnsi="Times New Roman" w:cs="Times New Roman"/>
          <w:sz w:val="24"/>
          <w:szCs w:val="24"/>
        </w:rPr>
        <w:t>&amp;</w:t>
      </w:r>
      <w:r w:rsidRPr="00F8240E">
        <w:rPr>
          <w:rFonts w:ascii="Times New Roman" w:hAnsi="Times New Roman" w:cs="Times New Roman"/>
          <w:sz w:val="24"/>
          <w:szCs w:val="24"/>
        </w:rPr>
        <w:t xml:space="preserve"> Meyer, T. (2005)</w:t>
      </w:r>
      <w:r w:rsidR="00DD6044" w:rsidRPr="00F8240E">
        <w:rPr>
          <w:rFonts w:ascii="Times New Roman" w:hAnsi="Times New Roman" w:cs="Times New Roman"/>
          <w:sz w:val="24"/>
          <w:szCs w:val="24"/>
        </w:rPr>
        <w:t>.</w:t>
      </w:r>
      <w:r w:rsidRPr="00F8240E">
        <w:rPr>
          <w:rFonts w:ascii="Times New Roman" w:hAnsi="Times New Roman" w:cs="Times New Roman"/>
          <w:sz w:val="24"/>
          <w:szCs w:val="24"/>
        </w:rPr>
        <w:t xml:space="preserve"> When do benevolent capitalists change their mind? Explaining the retrenchment of defined benefit pensions in Britain</w:t>
      </w:r>
      <w:r w:rsidR="00DD6044"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Pr="00F8240E">
        <w:rPr>
          <w:rFonts w:ascii="Times New Roman" w:hAnsi="Times New Roman" w:cs="Times New Roman"/>
          <w:i/>
          <w:sz w:val="24"/>
          <w:szCs w:val="24"/>
        </w:rPr>
        <w:t>Social policy and administration</w:t>
      </w:r>
      <w:r w:rsidRPr="00F8240E">
        <w:rPr>
          <w:rFonts w:ascii="Times New Roman" w:hAnsi="Times New Roman" w:cs="Times New Roman"/>
          <w:sz w:val="24"/>
          <w:szCs w:val="24"/>
        </w:rPr>
        <w:t xml:space="preserve">, </w:t>
      </w:r>
      <w:r w:rsidRPr="00F8240E">
        <w:rPr>
          <w:rFonts w:ascii="Times New Roman" w:hAnsi="Times New Roman" w:cs="Times New Roman"/>
          <w:i/>
          <w:sz w:val="24"/>
          <w:szCs w:val="24"/>
        </w:rPr>
        <w:t>39</w:t>
      </w:r>
      <w:r w:rsidR="00DD6044" w:rsidRPr="00F8240E">
        <w:rPr>
          <w:rFonts w:ascii="Times New Roman" w:hAnsi="Times New Roman" w:cs="Times New Roman"/>
          <w:i/>
          <w:sz w:val="24"/>
          <w:szCs w:val="24"/>
        </w:rPr>
        <w:t>,</w:t>
      </w:r>
      <w:r w:rsidR="00DD6044" w:rsidRPr="00F8240E">
        <w:rPr>
          <w:rFonts w:ascii="Times New Roman" w:hAnsi="Times New Roman" w:cs="Times New Roman"/>
          <w:sz w:val="24"/>
          <w:szCs w:val="24"/>
        </w:rPr>
        <w:t xml:space="preserve"> </w:t>
      </w:r>
      <w:r w:rsidRPr="00F8240E">
        <w:rPr>
          <w:rFonts w:ascii="Times New Roman" w:hAnsi="Times New Roman" w:cs="Times New Roman"/>
          <w:sz w:val="24"/>
          <w:szCs w:val="24"/>
        </w:rPr>
        <w:t>764-</w:t>
      </w:r>
      <w:r w:rsidR="00DD6044" w:rsidRPr="00F8240E">
        <w:rPr>
          <w:rFonts w:ascii="Times New Roman" w:hAnsi="Times New Roman" w:cs="Times New Roman"/>
          <w:sz w:val="24"/>
          <w:szCs w:val="24"/>
        </w:rPr>
        <w:t>7</w:t>
      </w:r>
      <w:r w:rsidRPr="00F8240E">
        <w:rPr>
          <w:rFonts w:ascii="Times New Roman" w:hAnsi="Times New Roman" w:cs="Times New Roman"/>
          <w:sz w:val="24"/>
          <w:szCs w:val="24"/>
        </w:rPr>
        <w:t>85.</w:t>
      </w:r>
      <w:r w:rsidR="00CD2E92" w:rsidRPr="00F8240E">
        <w:rPr>
          <w:rFonts w:ascii="Times New Roman" w:hAnsi="Times New Roman" w:cs="Times New Roman"/>
          <w:sz w:val="24"/>
          <w:szCs w:val="24"/>
        </w:rPr>
        <w:t xml:space="preserve"> </w:t>
      </w:r>
      <w:r w:rsidR="00FF7229" w:rsidRPr="00F8240E">
        <w:rPr>
          <w:rFonts w:ascii="Times New Roman" w:hAnsi="Times New Roman" w:cs="Times New Roman"/>
          <w:sz w:val="24"/>
          <w:szCs w:val="24"/>
        </w:rPr>
        <w:t>doi:</w:t>
      </w:r>
      <w:hyperlink r:id="rId10" w:history="1">
        <w:r w:rsidR="00CD2E92" w:rsidRPr="00F8240E">
          <w:rPr>
            <w:rFonts w:ascii="Times New Roman" w:eastAsia="Times New Roman" w:hAnsi="Times New Roman" w:cs="Times New Roman"/>
            <w:bCs/>
            <w:sz w:val="24"/>
            <w:szCs w:val="24"/>
            <w:lang w:eastAsia="en-GB"/>
          </w:rPr>
          <w:t>10.1111/j.1467-9515.2005.00468</w:t>
        </w:r>
      </w:hyperlink>
    </w:p>
    <w:p w14:paraId="0FCA98FE" w14:textId="0C14B140" w:rsidR="00490569" w:rsidRPr="00F8240E" w:rsidRDefault="00490569" w:rsidP="00490569">
      <w:pPr>
        <w:autoSpaceDE w:val="0"/>
        <w:autoSpaceDN w:val="0"/>
        <w:adjustRightInd w:val="0"/>
        <w:spacing w:line="480" w:lineRule="auto"/>
        <w:rPr>
          <w:rFonts w:ascii="Times New Roman" w:eastAsia="ArialMT" w:hAnsi="Times New Roman"/>
          <w:sz w:val="24"/>
          <w:szCs w:val="24"/>
        </w:rPr>
      </w:pPr>
      <w:r w:rsidRPr="00F8240E">
        <w:rPr>
          <w:rFonts w:ascii="Times New Roman" w:eastAsia="Arial-BoldMT" w:hAnsi="Times New Roman"/>
          <w:bCs/>
          <w:sz w:val="24"/>
          <w:szCs w:val="24"/>
        </w:rPr>
        <w:t xml:space="preserve">Bridgen, P. and Meyer, T. (2014). The liberalisation of the German social model: public–private pension reform in Germany since 2001. </w:t>
      </w:r>
      <w:r w:rsidRPr="00F8240E">
        <w:rPr>
          <w:rFonts w:ascii="Times New Roman" w:eastAsia="ArialMT" w:hAnsi="Times New Roman"/>
          <w:i/>
          <w:sz w:val="24"/>
          <w:szCs w:val="24"/>
        </w:rPr>
        <w:t>Journal of Social Policy</w:t>
      </w:r>
      <w:r w:rsidRPr="00F8240E">
        <w:rPr>
          <w:rFonts w:ascii="Times New Roman" w:eastAsia="ArialMT" w:hAnsi="Times New Roman"/>
          <w:sz w:val="24"/>
          <w:szCs w:val="24"/>
        </w:rPr>
        <w:t xml:space="preserve">, </w:t>
      </w:r>
      <w:r w:rsidRPr="00F8240E">
        <w:rPr>
          <w:rFonts w:ascii="Times New Roman" w:eastAsia="ArialMT" w:hAnsi="Times New Roman"/>
          <w:i/>
          <w:sz w:val="24"/>
          <w:szCs w:val="24"/>
        </w:rPr>
        <w:t>43</w:t>
      </w:r>
      <w:r w:rsidRPr="00F8240E">
        <w:rPr>
          <w:rFonts w:ascii="Times New Roman" w:eastAsia="ArialMT" w:hAnsi="Times New Roman"/>
          <w:sz w:val="24"/>
          <w:szCs w:val="24"/>
        </w:rPr>
        <w:t>, 37 – 68.</w:t>
      </w:r>
      <w:r w:rsidRPr="00F8240E">
        <w:t xml:space="preserve"> </w:t>
      </w:r>
      <w:hyperlink r:id="rId11" w:tgtFrame="_blank" w:history="1">
        <w:r w:rsidRPr="00F8240E">
          <w:rPr>
            <w:rFonts w:ascii="Times New Roman" w:hAnsi="Times New Roman" w:cs="Times New Roman"/>
            <w:sz w:val="24"/>
            <w:szCs w:val="24"/>
            <w:bdr w:val="none" w:sz="0" w:space="0" w:color="auto" w:frame="1"/>
          </w:rPr>
          <w:t>doi.org/10.1017/S0047279413000597</w:t>
        </w:r>
      </w:hyperlink>
    </w:p>
    <w:p w14:paraId="0DB97949" w14:textId="77777777" w:rsidR="00490569" w:rsidRPr="00F8240E" w:rsidRDefault="00490569" w:rsidP="00AE63F0">
      <w:pPr>
        <w:spacing w:line="480" w:lineRule="auto"/>
        <w:rPr>
          <w:rFonts w:ascii="Times New Roman" w:eastAsia="Times New Roman" w:hAnsi="Times New Roman" w:cs="Times New Roman"/>
          <w:sz w:val="24"/>
          <w:szCs w:val="24"/>
          <w:lang w:eastAsia="en-GB"/>
        </w:rPr>
      </w:pPr>
    </w:p>
    <w:p w14:paraId="2F641AF7" w14:textId="16ACD841" w:rsidR="00701E13" w:rsidRPr="00F8240E" w:rsidRDefault="00701E13" w:rsidP="00453340">
      <w:pPr>
        <w:pStyle w:val="BodyText"/>
      </w:pPr>
      <w:r w:rsidRPr="00F8240E">
        <w:t>Castles, F. G. (1985)</w:t>
      </w:r>
      <w:r w:rsidR="00DD6044" w:rsidRPr="00F8240E">
        <w:t>.</w:t>
      </w:r>
      <w:r w:rsidRPr="00F8240E">
        <w:t xml:space="preserve"> </w:t>
      </w:r>
      <w:r w:rsidRPr="00F8240E">
        <w:rPr>
          <w:i/>
        </w:rPr>
        <w:t>The Working Class and Welfare: Reﬂections on the Political Development of the Welfare State in Australia and New Zealand, 1890–1980</w:t>
      </w:r>
      <w:r w:rsidR="00DD6044" w:rsidRPr="00F8240E">
        <w:t>.</w:t>
      </w:r>
      <w:r w:rsidRPr="00F8240E">
        <w:t xml:space="preserve"> Wellington and Sydney: Allen &amp; Unwin.</w:t>
      </w:r>
    </w:p>
    <w:p w14:paraId="40B081DF" w14:textId="0063E96D" w:rsidR="00E124B4" w:rsidRPr="00F8240E" w:rsidRDefault="00E124B4" w:rsidP="00453340">
      <w:pPr>
        <w:pStyle w:val="BodyText"/>
        <w:rPr>
          <w:rFonts w:eastAsiaTheme="minorEastAsia"/>
          <w:color w:val="000000" w:themeColor="text1"/>
          <w:kern w:val="24"/>
        </w:rPr>
      </w:pPr>
      <w:r w:rsidRPr="00F8240E">
        <w:rPr>
          <w:rFonts w:eastAsiaTheme="minorEastAsia"/>
          <w:color w:val="000000" w:themeColor="text1"/>
          <w:kern w:val="24"/>
        </w:rPr>
        <w:t>Clasen</w:t>
      </w:r>
      <w:r w:rsidR="004416E2" w:rsidRPr="00F8240E">
        <w:rPr>
          <w:rFonts w:eastAsiaTheme="minorEastAsia"/>
          <w:color w:val="000000" w:themeColor="text1"/>
          <w:kern w:val="24"/>
        </w:rPr>
        <w:t>, J.</w:t>
      </w:r>
      <w:r w:rsidR="00CB4F66" w:rsidRPr="00F8240E">
        <w:rPr>
          <w:rFonts w:eastAsiaTheme="minorEastAsia"/>
          <w:color w:val="000000" w:themeColor="text1"/>
          <w:kern w:val="24"/>
        </w:rPr>
        <w:t xml:space="preserve"> &amp;</w:t>
      </w:r>
      <w:r w:rsidRPr="00F8240E">
        <w:rPr>
          <w:rFonts w:eastAsiaTheme="minorEastAsia"/>
          <w:color w:val="000000" w:themeColor="text1"/>
          <w:kern w:val="24"/>
        </w:rPr>
        <w:t xml:space="preserve"> Siegel, </w:t>
      </w:r>
      <w:r w:rsidR="004416E2" w:rsidRPr="00F8240E">
        <w:rPr>
          <w:rFonts w:eastAsiaTheme="minorEastAsia"/>
          <w:color w:val="000000" w:themeColor="text1"/>
          <w:kern w:val="24"/>
        </w:rPr>
        <w:t xml:space="preserve">N. </w:t>
      </w:r>
      <w:r w:rsidR="00AF6980" w:rsidRPr="00F8240E">
        <w:rPr>
          <w:rFonts w:eastAsiaTheme="minorEastAsia"/>
          <w:color w:val="000000" w:themeColor="text1"/>
          <w:kern w:val="24"/>
        </w:rPr>
        <w:t>(</w:t>
      </w:r>
      <w:r w:rsidR="00DD6044" w:rsidRPr="00F8240E">
        <w:rPr>
          <w:rFonts w:eastAsiaTheme="minorEastAsia"/>
          <w:color w:val="000000" w:themeColor="text1"/>
          <w:kern w:val="24"/>
        </w:rPr>
        <w:t>E</w:t>
      </w:r>
      <w:r w:rsidR="00AF6980" w:rsidRPr="00F8240E">
        <w:rPr>
          <w:rFonts w:eastAsiaTheme="minorEastAsia"/>
          <w:color w:val="000000" w:themeColor="text1"/>
          <w:kern w:val="24"/>
        </w:rPr>
        <w:t>ds</w:t>
      </w:r>
      <w:r w:rsidR="00DD6044" w:rsidRPr="00F8240E">
        <w:rPr>
          <w:rFonts w:eastAsiaTheme="minorEastAsia"/>
          <w:color w:val="000000" w:themeColor="text1"/>
          <w:kern w:val="24"/>
        </w:rPr>
        <w:t>.</w:t>
      </w:r>
      <w:r w:rsidR="00AF6980" w:rsidRPr="00F8240E">
        <w:rPr>
          <w:rFonts w:eastAsiaTheme="minorEastAsia"/>
          <w:color w:val="000000" w:themeColor="text1"/>
          <w:kern w:val="24"/>
        </w:rPr>
        <w:t xml:space="preserve">) </w:t>
      </w:r>
      <w:r w:rsidR="004416E2" w:rsidRPr="00F8240E">
        <w:rPr>
          <w:rFonts w:eastAsiaTheme="minorEastAsia"/>
          <w:color w:val="000000" w:themeColor="text1"/>
          <w:kern w:val="24"/>
        </w:rPr>
        <w:t>(2</w:t>
      </w:r>
      <w:r w:rsidRPr="00F8240E">
        <w:rPr>
          <w:rFonts w:eastAsiaTheme="minorEastAsia"/>
          <w:color w:val="000000" w:themeColor="text1"/>
          <w:kern w:val="24"/>
        </w:rPr>
        <w:t>007</w:t>
      </w:r>
      <w:r w:rsidR="004416E2" w:rsidRPr="00F8240E">
        <w:rPr>
          <w:rFonts w:eastAsiaTheme="minorEastAsia"/>
          <w:color w:val="000000" w:themeColor="text1"/>
          <w:kern w:val="24"/>
        </w:rPr>
        <w:t>)</w:t>
      </w:r>
      <w:r w:rsidR="00AF6980" w:rsidRPr="00F8240E">
        <w:rPr>
          <w:rFonts w:eastAsiaTheme="minorEastAsia"/>
          <w:color w:val="000000" w:themeColor="text1"/>
          <w:kern w:val="24"/>
        </w:rPr>
        <w:t xml:space="preserve">. </w:t>
      </w:r>
      <w:r w:rsidR="00AF6980" w:rsidRPr="00F8240E">
        <w:rPr>
          <w:rFonts w:eastAsiaTheme="minorEastAsia"/>
          <w:i/>
          <w:color w:val="000000" w:themeColor="text1"/>
          <w:kern w:val="24"/>
        </w:rPr>
        <w:t>Investigating welfare state change: the ‘dependent variable problem’ in comparative analysis</w:t>
      </w:r>
      <w:r w:rsidR="00AF6980" w:rsidRPr="00F8240E">
        <w:rPr>
          <w:rFonts w:eastAsiaTheme="minorEastAsia"/>
          <w:color w:val="000000" w:themeColor="text1"/>
          <w:kern w:val="24"/>
        </w:rPr>
        <w:t>. Cheltenham: Edward Elgar.</w:t>
      </w:r>
    </w:p>
    <w:p w14:paraId="13FE9D84" w14:textId="04EF8B15" w:rsidR="004C4360" w:rsidRPr="00F8240E" w:rsidRDefault="004C4360" w:rsidP="00453340">
      <w:pPr>
        <w:pStyle w:val="BodyText"/>
      </w:pPr>
      <w:r w:rsidRPr="00F8240E">
        <w:rPr>
          <w:rFonts w:eastAsiaTheme="minorHAnsi"/>
          <w:lang w:eastAsia="en-US"/>
        </w:rPr>
        <w:t xml:space="preserve">Clark, G. L. (2012). </w:t>
      </w:r>
      <w:hyperlink r:id="rId12" w:tgtFrame="_blank" w:history="1">
        <w:r w:rsidRPr="00F8240E">
          <w:rPr>
            <w:rFonts w:eastAsiaTheme="minorHAnsi"/>
            <w:lang w:eastAsia="en-US"/>
          </w:rPr>
          <w:t>From corporatism to public utilities: workplace pensions in the 21st Century</w:t>
        </w:r>
      </w:hyperlink>
      <w:r w:rsidRPr="00F8240E">
        <w:rPr>
          <w:rFonts w:eastAsiaTheme="minorHAnsi"/>
          <w:lang w:eastAsia="en-US"/>
        </w:rPr>
        <w:t xml:space="preserve">. </w:t>
      </w:r>
      <w:r w:rsidRPr="00F8240E">
        <w:rPr>
          <w:rFonts w:eastAsiaTheme="minorHAnsi"/>
          <w:i/>
          <w:iCs/>
          <w:lang w:eastAsia="en-US"/>
        </w:rPr>
        <w:t>Geographical Research</w:t>
      </w:r>
      <w:r w:rsidRPr="00F8240E">
        <w:rPr>
          <w:rFonts w:eastAsiaTheme="minorHAnsi"/>
          <w:lang w:eastAsia="en-US"/>
        </w:rPr>
        <w:t>, 50, 31-46. doi: 10.1111/j.1745-5871.2011.00701</w:t>
      </w:r>
    </w:p>
    <w:p w14:paraId="5BD3CDCF" w14:textId="416BAB6A" w:rsidR="003C38C0" w:rsidRPr="00F8240E" w:rsidRDefault="00701E13" w:rsidP="00453340">
      <w:pPr>
        <w:pStyle w:val="BodyText"/>
      </w:pPr>
      <w:r w:rsidRPr="00F8240E">
        <w:t xml:space="preserve">Clayton, R. </w:t>
      </w:r>
      <w:r w:rsidR="00CB4F66" w:rsidRPr="00F8240E">
        <w:t xml:space="preserve">&amp; </w:t>
      </w:r>
      <w:r w:rsidRPr="00F8240E">
        <w:t>Pontusson, J. (1998)</w:t>
      </w:r>
      <w:r w:rsidR="00DD6044" w:rsidRPr="00F8240E">
        <w:t>.</w:t>
      </w:r>
      <w:r w:rsidRPr="00F8240E">
        <w:t xml:space="preserve"> Welfare state retrenchment revisited – entitlement cuts, public sector restructuring, and inegalitarian trends in advanced capitalist societies</w:t>
      </w:r>
      <w:r w:rsidR="00DD6044" w:rsidRPr="00F8240E">
        <w:t>.</w:t>
      </w:r>
      <w:r w:rsidRPr="00F8240E">
        <w:t xml:space="preserve"> </w:t>
      </w:r>
      <w:r w:rsidRPr="00F8240E">
        <w:rPr>
          <w:i/>
        </w:rPr>
        <w:t>World Politics</w:t>
      </w:r>
      <w:r w:rsidRPr="00F8240E">
        <w:t xml:space="preserve">, </w:t>
      </w:r>
      <w:r w:rsidRPr="00F8240E">
        <w:rPr>
          <w:i/>
        </w:rPr>
        <w:t>51</w:t>
      </w:r>
      <w:r w:rsidR="00CB4F66" w:rsidRPr="00F8240E">
        <w:t>,</w:t>
      </w:r>
      <w:r w:rsidRPr="00F8240E">
        <w:t xml:space="preserve"> 67-98.</w:t>
      </w:r>
    </w:p>
    <w:p w14:paraId="5A9BE9BB" w14:textId="24AD08FD" w:rsidR="005A1B6A" w:rsidRPr="00F8240E" w:rsidRDefault="005A1B6A" w:rsidP="00453340">
      <w:pPr>
        <w:pStyle w:val="BodyText"/>
        <w:rPr>
          <w:i/>
        </w:rPr>
      </w:pPr>
      <w:r w:rsidRPr="00F8240E">
        <w:t xml:space="preserve">Collett. J. (2017). </w:t>
      </w:r>
      <w:r w:rsidRPr="00F8240E">
        <w:rPr>
          <w:bCs/>
        </w:rPr>
        <w:t xml:space="preserve">Coalition won't retire its policy to lift pension age to 70. </w:t>
      </w:r>
      <w:r w:rsidRPr="00F8240E">
        <w:rPr>
          <w:bCs/>
          <w:i/>
        </w:rPr>
        <w:t xml:space="preserve">Sydney Morning Herald, </w:t>
      </w:r>
      <w:r w:rsidRPr="00F8240E">
        <w:rPr>
          <w:bCs/>
        </w:rPr>
        <w:t>19 June</w:t>
      </w:r>
      <w:r w:rsidRPr="00F8240E">
        <w:rPr>
          <w:bCs/>
          <w:i/>
        </w:rPr>
        <w:t>.</w:t>
      </w:r>
    </w:p>
    <w:p w14:paraId="778EC56C" w14:textId="03E32961" w:rsidR="00AF6980" w:rsidRPr="00F8240E" w:rsidRDefault="00D01C3B" w:rsidP="00AF6980">
      <w:pPr>
        <w:pStyle w:val="BodyText"/>
        <w:rPr>
          <w:rFonts w:eastAsiaTheme="minorEastAsia"/>
          <w:color w:val="000000" w:themeColor="text1"/>
          <w:kern w:val="24"/>
        </w:rPr>
      </w:pPr>
      <w:r w:rsidRPr="00F8240E">
        <w:t>De Deken</w:t>
      </w:r>
      <w:r w:rsidR="00AF6980" w:rsidRPr="00F8240E">
        <w:t>, J.</w:t>
      </w:r>
      <w:r w:rsidRPr="00F8240E">
        <w:t xml:space="preserve"> </w:t>
      </w:r>
      <w:r w:rsidR="00CB4F66" w:rsidRPr="00F8240E">
        <w:t>&amp;</w:t>
      </w:r>
      <w:r w:rsidRPr="00F8240E">
        <w:t xml:space="preserve"> Kittel,</w:t>
      </w:r>
      <w:r w:rsidR="00AF6980" w:rsidRPr="00F8240E">
        <w:t xml:space="preserve"> B. (</w:t>
      </w:r>
      <w:r w:rsidRPr="00F8240E">
        <w:t>2007</w:t>
      </w:r>
      <w:r w:rsidR="00AF6980" w:rsidRPr="00F8240E">
        <w:t xml:space="preserve">). Social expenditure under scrutiny: the problems of using aggregate spending data for assessing welfare state dynamics. In J. </w:t>
      </w:r>
      <w:r w:rsidR="00AF6980" w:rsidRPr="00F8240E">
        <w:rPr>
          <w:rFonts w:eastAsiaTheme="minorEastAsia"/>
          <w:color w:val="000000" w:themeColor="text1"/>
          <w:kern w:val="24"/>
        </w:rPr>
        <w:t xml:space="preserve">Clasen </w:t>
      </w:r>
      <w:r w:rsidR="005A1B6A" w:rsidRPr="00F8240E">
        <w:rPr>
          <w:rFonts w:eastAsiaTheme="minorEastAsia"/>
          <w:color w:val="000000" w:themeColor="text1"/>
          <w:kern w:val="24"/>
        </w:rPr>
        <w:t>&amp;</w:t>
      </w:r>
      <w:r w:rsidR="00AF6980" w:rsidRPr="00F8240E">
        <w:rPr>
          <w:rFonts w:eastAsiaTheme="minorEastAsia"/>
          <w:color w:val="000000" w:themeColor="text1"/>
          <w:kern w:val="24"/>
        </w:rPr>
        <w:t xml:space="preserve"> N. Siegel, (</w:t>
      </w:r>
      <w:r w:rsidR="00CB4F66" w:rsidRPr="00F8240E">
        <w:rPr>
          <w:rFonts w:eastAsiaTheme="minorEastAsia"/>
          <w:color w:val="000000" w:themeColor="text1"/>
          <w:kern w:val="24"/>
        </w:rPr>
        <w:t>E</w:t>
      </w:r>
      <w:r w:rsidR="00AF6980" w:rsidRPr="00F8240E">
        <w:rPr>
          <w:rFonts w:eastAsiaTheme="minorEastAsia"/>
          <w:color w:val="000000" w:themeColor="text1"/>
          <w:kern w:val="24"/>
        </w:rPr>
        <w:t>ds</w:t>
      </w:r>
      <w:r w:rsidR="00CB4F66" w:rsidRPr="00F8240E">
        <w:rPr>
          <w:rFonts w:eastAsiaTheme="minorEastAsia"/>
          <w:color w:val="000000" w:themeColor="text1"/>
          <w:kern w:val="24"/>
        </w:rPr>
        <w:t>.</w:t>
      </w:r>
      <w:r w:rsidR="00AF6980" w:rsidRPr="00F8240E">
        <w:rPr>
          <w:rFonts w:eastAsiaTheme="minorEastAsia"/>
          <w:color w:val="000000" w:themeColor="text1"/>
          <w:kern w:val="24"/>
        </w:rPr>
        <w:t xml:space="preserve">) </w:t>
      </w:r>
      <w:r w:rsidR="00AF6980" w:rsidRPr="00F8240E">
        <w:rPr>
          <w:rFonts w:eastAsiaTheme="minorEastAsia"/>
          <w:i/>
          <w:color w:val="000000" w:themeColor="text1"/>
          <w:kern w:val="24"/>
        </w:rPr>
        <w:t>Investigating welfare state change: the ‘dependent variable problem’ in comparative analysis</w:t>
      </w:r>
      <w:r w:rsidR="00CB4F66" w:rsidRPr="00F8240E">
        <w:rPr>
          <w:rFonts w:eastAsiaTheme="minorEastAsia"/>
          <w:i/>
          <w:color w:val="000000" w:themeColor="text1"/>
          <w:kern w:val="24"/>
        </w:rPr>
        <w:t xml:space="preserve"> </w:t>
      </w:r>
      <w:r w:rsidR="00CB4F66" w:rsidRPr="00F8240E">
        <w:rPr>
          <w:rFonts w:eastAsiaTheme="minorEastAsia"/>
          <w:color w:val="000000" w:themeColor="text1"/>
          <w:kern w:val="24"/>
        </w:rPr>
        <w:t>(pp.72-105)</w:t>
      </w:r>
      <w:r w:rsidR="00AF6980" w:rsidRPr="00F8240E">
        <w:rPr>
          <w:rFonts w:eastAsiaTheme="minorEastAsia"/>
          <w:color w:val="000000" w:themeColor="text1"/>
          <w:kern w:val="24"/>
        </w:rPr>
        <w:t>. Cheltenham: Edward Elgar.</w:t>
      </w:r>
    </w:p>
    <w:p w14:paraId="16193DEC" w14:textId="77777777" w:rsidR="00040D4B" w:rsidRPr="00F8240E" w:rsidRDefault="00DB605D" w:rsidP="005708EE">
      <w:pPr>
        <w:spacing w:line="480" w:lineRule="auto"/>
        <w:rPr>
          <w:rFonts w:ascii="Times New Roman" w:eastAsia="Times New Roman" w:hAnsi="Times New Roman" w:cs="Times New Roman"/>
          <w:iCs/>
          <w:sz w:val="24"/>
          <w:szCs w:val="24"/>
          <w:lang w:eastAsia="en-GB"/>
        </w:rPr>
      </w:pPr>
      <w:r w:rsidRPr="00F8240E">
        <w:rPr>
          <w:rFonts w:ascii="Times New Roman" w:eastAsia="Times New Roman" w:hAnsi="Times New Roman" w:cs="Times New Roman"/>
          <w:iCs/>
          <w:sz w:val="24"/>
          <w:szCs w:val="24"/>
          <w:lang w:eastAsia="en-GB"/>
        </w:rPr>
        <w:t xml:space="preserve">De Witt, L. (2010). The development of Social Security in America. </w:t>
      </w:r>
      <w:r w:rsidRPr="00F8240E">
        <w:rPr>
          <w:rFonts w:ascii="Times New Roman" w:eastAsia="Times New Roman" w:hAnsi="Times New Roman" w:cs="Times New Roman"/>
          <w:i/>
          <w:iCs/>
          <w:sz w:val="24"/>
          <w:szCs w:val="24"/>
          <w:lang w:eastAsia="en-GB"/>
        </w:rPr>
        <w:t xml:space="preserve">Social Security Bulletin, 70, </w:t>
      </w:r>
      <w:r w:rsidRPr="00F8240E">
        <w:rPr>
          <w:rFonts w:ascii="Times New Roman" w:eastAsia="Times New Roman" w:hAnsi="Times New Roman" w:cs="Times New Roman"/>
          <w:iCs/>
          <w:sz w:val="24"/>
          <w:szCs w:val="24"/>
          <w:lang w:eastAsia="en-GB"/>
        </w:rPr>
        <w:t>1-26.</w:t>
      </w:r>
    </w:p>
    <w:p w14:paraId="1AC781AA" w14:textId="374FD2FF" w:rsidR="00040D4B" w:rsidRPr="00F8240E" w:rsidRDefault="00040D4B" w:rsidP="005708EE">
      <w:pPr>
        <w:spacing w:line="480" w:lineRule="auto"/>
        <w:rPr>
          <w:rFonts w:ascii="Times New Roman" w:eastAsia="Times New Roman" w:hAnsi="Times New Roman" w:cs="Times New Roman"/>
          <w:iCs/>
          <w:sz w:val="24"/>
          <w:szCs w:val="24"/>
          <w:lang w:eastAsia="en-GB"/>
        </w:rPr>
      </w:pPr>
      <w:r w:rsidRPr="00F8240E">
        <w:rPr>
          <w:rFonts w:ascii="Times New Roman" w:eastAsia="Times New Roman" w:hAnsi="Times New Roman" w:cs="Times New Roman"/>
          <w:sz w:val="24"/>
          <w:szCs w:val="24"/>
          <w:lang w:eastAsia="en-GB"/>
        </w:rPr>
        <w:t xml:space="preserve">Emmenegger, P., </w:t>
      </w:r>
      <w:r w:rsidRPr="00F8240E">
        <w:rPr>
          <w:rFonts w:ascii="Times New Roman" w:hAnsi="Times New Roman" w:cs="Times New Roman"/>
          <w:sz w:val="24"/>
          <w:szCs w:val="24"/>
        </w:rPr>
        <w:t>Häusermann, S., Palier, B. &amp; Seeleib-Kaiser, M. (Eds.) (2012).</w:t>
      </w:r>
      <w:r w:rsidRPr="00F8240E">
        <w:rPr>
          <w:rFonts w:ascii="Times New Roman" w:hAnsi="Times New Roman" w:cs="Times New Roman"/>
          <w:i/>
          <w:sz w:val="24"/>
          <w:szCs w:val="24"/>
        </w:rPr>
        <w:t xml:space="preserve"> </w:t>
      </w:r>
      <w:r w:rsidRPr="00F8240E">
        <w:rPr>
          <w:rFonts w:ascii="Times New Roman" w:eastAsia="Times New Roman" w:hAnsi="Times New Roman" w:cs="Times New Roman"/>
          <w:i/>
          <w:sz w:val="24"/>
          <w:szCs w:val="24"/>
          <w:lang w:eastAsia="en-GB"/>
        </w:rPr>
        <w:t xml:space="preserve">The </w:t>
      </w:r>
      <w:r w:rsidR="001B0C23" w:rsidRPr="00F8240E">
        <w:rPr>
          <w:rFonts w:ascii="Times New Roman" w:eastAsia="Times New Roman" w:hAnsi="Times New Roman" w:cs="Times New Roman"/>
          <w:i/>
          <w:sz w:val="24"/>
          <w:szCs w:val="24"/>
          <w:lang w:eastAsia="en-GB"/>
        </w:rPr>
        <w:t>a</w:t>
      </w:r>
      <w:r w:rsidRPr="00F8240E">
        <w:rPr>
          <w:rFonts w:ascii="Times New Roman" w:eastAsia="Times New Roman" w:hAnsi="Times New Roman" w:cs="Times New Roman"/>
          <w:i/>
          <w:sz w:val="24"/>
          <w:szCs w:val="24"/>
          <w:lang w:eastAsia="en-GB"/>
        </w:rPr>
        <w:t xml:space="preserve">ge of </w:t>
      </w:r>
      <w:r w:rsidR="001B0C23" w:rsidRPr="00F8240E">
        <w:rPr>
          <w:rFonts w:ascii="Times New Roman" w:eastAsia="Times New Roman" w:hAnsi="Times New Roman" w:cs="Times New Roman"/>
          <w:i/>
          <w:sz w:val="24"/>
          <w:szCs w:val="24"/>
          <w:lang w:eastAsia="en-GB"/>
        </w:rPr>
        <w:t>a</w:t>
      </w:r>
      <w:r w:rsidRPr="00F8240E">
        <w:rPr>
          <w:rFonts w:ascii="Times New Roman" w:eastAsia="Times New Roman" w:hAnsi="Times New Roman" w:cs="Times New Roman"/>
          <w:i/>
          <w:sz w:val="24"/>
          <w:szCs w:val="24"/>
          <w:lang w:eastAsia="en-GB"/>
        </w:rPr>
        <w:t xml:space="preserve">ualization: </w:t>
      </w:r>
      <w:r w:rsidR="001B0C23" w:rsidRPr="00F8240E">
        <w:rPr>
          <w:rFonts w:ascii="Times New Roman" w:eastAsia="Times New Roman" w:hAnsi="Times New Roman" w:cs="Times New Roman"/>
          <w:i/>
          <w:sz w:val="24"/>
          <w:szCs w:val="24"/>
          <w:lang w:eastAsia="en-GB"/>
        </w:rPr>
        <w:t>t</w:t>
      </w:r>
      <w:r w:rsidRPr="00F8240E">
        <w:rPr>
          <w:rFonts w:ascii="Times New Roman" w:eastAsia="Times New Roman" w:hAnsi="Times New Roman" w:cs="Times New Roman"/>
          <w:i/>
          <w:sz w:val="24"/>
          <w:szCs w:val="24"/>
          <w:lang w:eastAsia="en-GB"/>
        </w:rPr>
        <w:t xml:space="preserve">he </w:t>
      </w:r>
      <w:r w:rsidR="001B0C23" w:rsidRPr="00F8240E">
        <w:rPr>
          <w:rFonts w:ascii="Times New Roman" w:eastAsia="Times New Roman" w:hAnsi="Times New Roman" w:cs="Times New Roman"/>
          <w:i/>
          <w:sz w:val="24"/>
          <w:szCs w:val="24"/>
          <w:lang w:eastAsia="en-GB"/>
        </w:rPr>
        <w:t>changing f</w:t>
      </w:r>
      <w:r w:rsidRPr="00F8240E">
        <w:rPr>
          <w:rFonts w:ascii="Times New Roman" w:eastAsia="Times New Roman" w:hAnsi="Times New Roman" w:cs="Times New Roman"/>
          <w:i/>
          <w:sz w:val="24"/>
          <w:szCs w:val="24"/>
          <w:lang w:eastAsia="en-GB"/>
        </w:rPr>
        <w:t xml:space="preserve">ace of </w:t>
      </w:r>
      <w:r w:rsidR="001B0C23" w:rsidRPr="00F8240E">
        <w:rPr>
          <w:rFonts w:ascii="Times New Roman" w:eastAsia="Times New Roman" w:hAnsi="Times New Roman" w:cs="Times New Roman"/>
          <w:i/>
          <w:sz w:val="24"/>
          <w:szCs w:val="24"/>
          <w:lang w:eastAsia="en-GB"/>
        </w:rPr>
        <w:t>i</w:t>
      </w:r>
      <w:r w:rsidRPr="00F8240E">
        <w:rPr>
          <w:rFonts w:ascii="Times New Roman" w:eastAsia="Times New Roman" w:hAnsi="Times New Roman" w:cs="Times New Roman"/>
          <w:i/>
          <w:sz w:val="24"/>
          <w:szCs w:val="24"/>
          <w:lang w:eastAsia="en-GB"/>
        </w:rPr>
        <w:t xml:space="preserve">nequality in </w:t>
      </w:r>
      <w:r w:rsidR="001B0C23" w:rsidRPr="00F8240E">
        <w:rPr>
          <w:rFonts w:ascii="Times New Roman" w:eastAsia="Times New Roman" w:hAnsi="Times New Roman" w:cs="Times New Roman"/>
          <w:i/>
          <w:sz w:val="24"/>
          <w:szCs w:val="24"/>
          <w:lang w:eastAsia="en-GB"/>
        </w:rPr>
        <w:t>d</w:t>
      </w:r>
      <w:r w:rsidRPr="00F8240E">
        <w:rPr>
          <w:rFonts w:ascii="Times New Roman" w:eastAsia="Times New Roman" w:hAnsi="Times New Roman" w:cs="Times New Roman"/>
          <w:i/>
          <w:sz w:val="24"/>
          <w:szCs w:val="24"/>
          <w:lang w:eastAsia="en-GB"/>
        </w:rPr>
        <w:t xml:space="preserve">eindustrializing </w:t>
      </w:r>
      <w:r w:rsidR="001B0C23" w:rsidRPr="00F8240E">
        <w:rPr>
          <w:rFonts w:ascii="Times New Roman" w:eastAsia="Times New Roman" w:hAnsi="Times New Roman" w:cs="Times New Roman"/>
          <w:i/>
          <w:sz w:val="24"/>
          <w:szCs w:val="24"/>
          <w:lang w:eastAsia="en-GB"/>
        </w:rPr>
        <w:t>s</w:t>
      </w:r>
      <w:r w:rsidRPr="00F8240E">
        <w:rPr>
          <w:rFonts w:ascii="Times New Roman" w:eastAsia="Times New Roman" w:hAnsi="Times New Roman" w:cs="Times New Roman"/>
          <w:i/>
          <w:sz w:val="24"/>
          <w:szCs w:val="24"/>
          <w:lang w:eastAsia="en-GB"/>
        </w:rPr>
        <w:t>ocieties</w:t>
      </w:r>
      <w:r w:rsidR="005708EE" w:rsidRPr="00F8240E">
        <w:rPr>
          <w:rFonts w:ascii="Times New Roman" w:eastAsia="Times New Roman" w:hAnsi="Times New Roman" w:cs="Times New Roman"/>
          <w:i/>
          <w:sz w:val="24"/>
          <w:szCs w:val="24"/>
          <w:lang w:eastAsia="en-GB"/>
        </w:rPr>
        <w:t xml:space="preserve">. </w:t>
      </w:r>
      <w:r w:rsidR="005708EE" w:rsidRPr="00F8240E">
        <w:rPr>
          <w:rFonts w:ascii="Times New Roman" w:eastAsia="Times New Roman" w:hAnsi="Times New Roman" w:cs="Times New Roman"/>
          <w:sz w:val="24"/>
          <w:szCs w:val="24"/>
          <w:lang w:eastAsia="en-GB"/>
        </w:rPr>
        <w:t>Oxford: Oxford University Press.</w:t>
      </w:r>
    </w:p>
    <w:p w14:paraId="1A157FAE" w14:textId="153DF323" w:rsidR="002E2508" w:rsidRPr="00F8240E" w:rsidRDefault="002E2508" w:rsidP="005708EE">
      <w:pPr>
        <w:pStyle w:val="BodyText"/>
      </w:pPr>
      <w:r w:rsidRPr="00F8240E">
        <w:t>Esping Andersen, G. (1990)</w:t>
      </w:r>
      <w:r w:rsidR="00CB4F66" w:rsidRPr="00F8240E">
        <w:t>.</w:t>
      </w:r>
      <w:r w:rsidRPr="00F8240E">
        <w:t xml:space="preserve"> </w:t>
      </w:r>
      <w:r w:rsidRPr="00F8240E">
        <w:rPr>
          <w:i/>
        </w:rPr>
        <w:t>The three worlds of welfare capitalism</w:t>
      </w:r>
      <w:r w:rsidRPr="00F8240E">
        <w:t>, Cambridge: Polity Press.</w:t>
      </w:r>
    </w:p>
    <w:p w14:paraId="04A54449" w14:textId="1DDB171D" w:rsidR="009E2CD8" w:rsidRPr="00F8240E" w:rsidRDefault="009E2CD8" w:rsidP="009E2CD8">
      <w:pPr>
        <w:pStyle w:val="BodyText"/>
      </w:pPr>
      <w:r w:rsidRPr="00F8240E">
        <w:t>Gelepithis, M. (2014). Explaining trends towards universal coverage in market-heavy pension systems. Unpublished thesis submitted to Department of Management, London School of Economics and Political Science.</w:t>
      </w:r>
    </w:p>
    <w:p w14:paraId="63F07FC7" w14:textId="7AFD623C" w:rsidR="003D4B7C" w:rsidRPr="00F8240E" w:rsidRDefault="003D4B7C" w:rsidP="003D4B7C">
      <w:pPr>
        <w:spacing w:line="480" w:lineRule="auto"/>
        <w:rPr>
          <w:rFonts w:ascii="Times New Roman" w:hAnsi="Times New Roman" w:cs="Times New Roman"/>
          <w:i/>
          <w:sz w:val="24"/>
          <w:szCs w:val="24"/>
        </w:rPr>
      </w:pPr>
      <w:r w:rsidRPr="00F8240E">
        <w:rPr>
          <w:rFonts w:ascii="Times New Roman" w:hAnsi="Times New Roman" w:cs="Times New Roman"/>
          <w:sz w:val="24"/>
          <w:szCs w:val="24"/>
        </w:rPr>
        <w:t>Gelepithis, M. (201</w:t>
      </w:r>
      <w:r w:rsidR="00CB4F66" w:rsidRPr="00F8240E">
        <w:rPr>
          <w:rFonts w:ascii="Times New Roman" w:hAnsi="Times New Roman" w:cs="Times New Roman"/>
          <w:sz w:val="24"/>
          <w:szCs w:val="24"/>
        </w:rPr>
        <w:t>8</w:t>
      </w:r>
      <w:r w:rsidRPr="00F8240E">
        <w:rPr>
          <w:rFonts w:ascii="Times New Roman" w:hAnsi="Times New Roman" w:cs="Times New Roman"/>
          <w:sz w:val="24"/>
          <w:szCs w:val="24"/>
        </w:rPr>
        <w:t xml:space="preserve">a). Three paths to more encompassing supplementary pensions, </w:t>
      </w:r>
      <w:r w:rsidRPr="00F8240E">
        <w:rPr>
          <w:rFonts w:ascii="Times New Roman" w:hAnsi="Times New Roman" w:cs="Times New Roman"/>
          <w:i/>
          <w:sz w:val="24"/>
          <w:szCs w:val="24"/>
        </w:rPr>
        <w:t>Journal of Social Policy</w:t>
      </w:r>
      <w:r w:rsidR="00CB4F66" w:rsidRPr="00F8240E">
        <w:rPr>
          <w:rFonts w:ascii="Times New Roman" w:hAnsi="Times New Roman" w:cs="Times New Roman"/>
          <w:sz w:val="24"/>
          <w:szCs w:val="24"/>
        </w:rPr>
        <w:t xml:space="preserve">, forthcoming. </w:t>
      </w:r>
      <w:r w:rsidR="00FF7229" w:rsidRPr="00F8240E">
        <w:rPr>
          <w:rFonts w:ascii="Times New Roman" w:hAnsi="Times New Roman" w:cs="Times New Roman"/>
          <w:sz w:val="24"/>
          <w:szCs w:val="24"/>
        </w:rPr>
        <w:t>doi:</w:t>
      </w:r>
      <w:r w:rsidR="00F410E0" w:rsidRPr="00F8240E">
        <w:rPr>
          <w:rFonts w:ascii="Times New Roman" w:hAnsi="Times New Roman" w:cs="Times New Roman"/>
          <w:sz w:val="24"/>
          <w:szCs w:val="24"/>
        </w:rPr>
        <w:t>10.1017/S0047279417000770</w:t>
      </w:r>
    </w:p>
    <w:p w14:paraId="1C62E131" w14:textId="092E925B" w:rsidR="003D4B7C" w:rsidRPr="00F8240E" w:rsidRDefault="003D4B7C" w:rsidP="003D4B7C">
      <w:pPr>
        <w:spacing w:line="480" w:lineRule="auto"/>
        <w:rPr>
          <w:rFonts w:ascii="Times New Roman" w:hAnsi="Times New Roman" w:cs="Times New Roman"/>
          <w:i/>
          <w:sz w:val="24"/>
          <w:szCs w:val="24"/>
        </w:rPr>
      </w:pPr>
      <w:r w:rsidRPr="00F8240E">
        <w:rPr>
          <w:rFonts w:ascii="Times New Roman" w:hAnsi="Times New Roman" w:cs="Times New Roman"/>
          <w:sz w:val="24"/>
          <w:szCs w:val="24"/>
        </w:rPr>
        <w:t>Gelepithis, M. (201</w:t>
      </w:r>
      <w:r w:rsidR="00CB4F66" w:rsidRPr="00F8240E">
        <w:rPr>
          <w:rFonts w:ascii="Times New Roman" w:hAnsi="Times New Roman" w:cs="Times New Roman"/>
          <w:sz w:val="24"/>
          <w:szCs w:val="24"/>
        </w:rPr>
        <w:t>8</w:t>
      </w:r>
      <w:r w:rsidRPr="00F8240E">
        <w:rPr>
          <w:rFonts w:ascii="Times New Roman" w:hAnsi="Times New Roman" w:cs="Times New Roman"/>
          <w:sz w:val="24"/>
          <w:szCs w:val="24"/>
        </w:rPr>
        <w:t>b).  Institutional Mismatch, Party Reputation, and Industry Interests: Understanding the Politics of Private-Heavy Pension System</w:t>
      </w:r>
      <w:r w:rsidR="00CB4F66" w:rsidRPr="00F8240E">
        <w:rPr>
          <w:rFonts w:ascii="Times New Roman" w:hAnsi="Times New Roman" w:cs="Times New Roman"/>
          <w:sz w:val="24"/>
          <w:szCs w:val="24"/>
        </w:rPr>
        <w:t xml:space="preserve">. </w:t>
      </w:r>
      <w:r w:rsidRPr="00F8240E">
        <w:rPr>
          <w:rFonts w:ascii="Times New Roman" w:hAnsi="Times New Roman" w:cs="Times New Roman"/>
          <w:i/>
          <w:sz w:val="24"/>
          <w:szCs w:val="24"/>
        </w:rPr>
        <w:t>Political Studies</w:t>
      </w:r>
      <w:r w:rsidR="00CB4F66" w:rsidRPr="00F8240E">
        <w:rPr>
          <w:rFonts w:ascii="Times New Roman" w:hAnsi="Times New Roman" w:cs="Times New Roman"/>
          <w:sz w:val="24"/>
          <w:szCs w:val="24"/>
        </w:rPr>
        <w:t>,</w:t>
      </w:r>
      <w:r w:rsidR="00C410BC" w:rsidRPr="00F8240E">
        <w:t xml:space="preserve"> </w:t>
      </w:r>
      <w:r w:rsidR="00CB4F66" w:rsidRPr="00F8240E">
        <w:rPr>
          <w:rFonts w:ascii="Times New Roman" w:hAnsi="Times New Roman" w:cs="Times New Roman"/>
          <w:sz w:val="24"/>
          <w:szCs w:val="24"/>
        </w:rPr>
        <w:t>forthcoming.</w:t>
      </w:r>
      <w:r w:rsidR="00CB4F66" w:rsidRPr="00F8240E">
        <w:rPr>
          <w:rFonts w:ascii="Times New Roman" w:hAnsi="Times New Roman" w:cs="Times New Roman"/>
          <w:i/>
          <w:sz w:val="24"/>
          <w:szCs w:val="24"/>
        </w:rPr>
        <w:t xml:space="preserve"> </w:t>
      </w:r>
      <w:r w:rsidR="00FF7229" w:rsidRPr="00F8240E">
        <w:rPr>
          <w:rFonts w:ascii="Times New Roman" w:hAnsi="Times New Roman" w:cs="Times New Roman"/>
          <w:sz w:val="24"/>
          <w:szCs w:val="24"/>
        </w:rPr>
        <w:t>doi:</w:t>
      </w:r>
      <w:r w:rsidR="00AE63F0" w:rsidRPr="00F8240E">
        <w:rPr>
          <w:rFonts w:ascii="Times New Roman" w:hAnsi="Times New Roman" w:cs="Times New Roman"/>
          <w:sz w:val="24"/>
          <w:szCs w:val="24"/>
        </w:rPr>
        <w:t xml:space="preserve"> </w:t>
      </w:r>
      <w:r w:rsidR="00C410BC" w:rsidRPr="00F8240E">
        <w:rPr>
          <w:rFonts w:ascii="Times New Roman" w:hAnsi="Times New Roman" w:cs="Times New Roman"/>
          <w:sz w:val="24"/>
          <w:szCs w:val="24"/>
        </w:rPr>
        <w:t>10.1177/0032321717726923</w:t>
      </w:r>
    </w:p>
    <w:p w14:paraId="54647530" w14:textId="3C2BD3C4" w:rsidR="002E2508" w:rsidRPr="00F8240E" w:rsidRDefault="002E2508" w:rsidP="00453340">
      <w:pPr>
        <w:pStyle w:val="BodyText"/>
      </w:pPr>
      <w:r w:rsidRPr="00F8240E">
        <w:t>Hacker, J. (2002)</w:t>
      </w:r>
      <w:r w:rsidR="00CB4F66" w:rsidRPr="00F8240E">
        <w:t>.</w:t>
      </w:r>
      <w:r w:rsidRPr="00F8240E">
        <w:t xml:space="preserve"> </w:t>
      </w:r>
      <w:r w:rsidRPr="00F8240E">
        <w:rPr>
          <w:i/>
        </w:rPr>
        <w:t>The divided welfare state. The battle over public and private social benefits in the United States</w:t>
      </w:r>
      <w:r w:rsidR="00CB4F66" w:rsidRPr="00F8240E">
        <w:rPr>
          <w:i/>
        </w:rPr>
        <w:t>.</w:t>
      </w:r>
      <w:r w:rsidRPr="00F8240E">
        <w:t xml:space="preserve"> Cambridge: Cambridge University Press.</w:t>
      </w:r>
    </w:p>
    <w:p w14:paraId="50796CEA" w14:textId="1311F2C0" w:rsidR="002E2508" w:rsidRPr="00F8240E" w:rsidRDefault="002E2508" w:rsidP="00453340">
      <w:pPr>
        <w:pStyle w:val="Default"/>
        <w:spacing w:line="480" w:lineRule="auto"/>
        <w:jc w:val="both"/>
        <w:rPr>
          <w:rFonts w:ascii="Times New Roman" w:hAnsi="Times New Roman" w:cs="Times New Roman"/>
        </w:rPr>
      </w:pPr>
      <w:r w:rsidRPr="00F8240E">
        <w:rPr>
          <w:rFonts w:ascii="Times New Roman" w:hAnsi="Times New Roman" w:cs="Times New Roman"/>
          <w:bCs/>
        </w:rPr>
        <w:t>Harris, P. (2012)</w:t>
      </w:r>
      <w:r w:rsidR="003D4B7C" w:rsidRPr="00F8240E">
        <w:rPr>
          <w:rFonts w:ascii="Times New Roman" w:hAnsi="Times New Roman" w:cs="Times New Roman"/>
          <w:bCs/>
        </w:rPr>
        <w:t>.</w:t>
      </w:r>
      <w:r w:rsidRPr="00F8240E">
        <w:rPr>
          <w:rFonts w:ascii="Times New Roman" w:hAnsi="Times New Roman" w:cs="Times New Roman"/>
          <w:bCs/>
        </w:rPr>
        <w:t xml:space="preserve"> New Zealand’s retirement income framework: trends, continuity, change. </w:t>
      </w:r>
    </w:p>
    <w:p w14:paraId="5D541C21" w14:textId="34150C97" w:rsidR="002E2508" w:rsidRPr="00F8240E" w:rsidRDefault="002E2508" w:rsidP="00453340">
      <w:pPr>
        <w:pStyle w:val="Default"/>
        <w:spacing w:line="480" w:lineRule="auto"/>
        <w:jc w:val="both"/>
        <w:rPr>
          <w:rFonts w:ascii="Times New Roman" w:hAnsi="Times New Roman" w:cs="Times New Roman"/>
        </w:rPr>
      </w:pPr>
      <w:r w:rsidRPr="00F8240E">
        <w:rPr>
          <w:rFonts w:ascii="Times New Roman" w:hAnsi="Times New Roman" w:cs="Times New Roman"/>
          <w:bCs/>
        </w:rPr>
        <w:t>Background paper prepared for the 2013 review of retirement income policy</w:t>
      </w:r>
      <w:r w:rsidR="00CB4F66" w:rsidRPr="00F8240E">
        <w:rPr>
          <w:rFonts w:ascii="Times New Roman" w:hAnsi="Times New Roman" w:cs="Times New Roman"/>
          <w:bCs/>
        </w:rPr>
        <w:t>. Available at https://www.cffc.org.nz/assets/Documents/RI-Review-2013-History-of-NZ-Retirement-Income-Harris.pdf.</w:t>
      </w:r>
    </w:p>
    <w:p w14:paraId="7EC816FE" w14:textId="23849386" w:rsidR="002E2508" w:rsidRPr="00F8240E" w:rsidRDefault="002E2508" w:rsidP="00453340">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Häusermann, S</w:t>
      </w:r>
      <w:r w:rsidR="00CB4F66" w:rsidRPr="00F8240E">
        <w:rPr>
          <w:rFonts w:ascii="Times New Roman" w:hAnsi="Times New Roman" w:cs="Times New Roman"/>
          <w:sz w:val="24"/>
          <w:szCs w:val="24"/>
        </w:rPr>
        <w:t>.</w:t>
      </w:r>
      <w:r w:rsidRPr="00F8240E">
        <w:rPr>
          <w:rFonts w:ascii="Times New Roman" w:hAnsi="Times New Roman" w:cs="Times New Roman"/>
          <w:sz w:val="24"/>
          <w:szCs w:val="24"/>
        </w:rPr>
        <w:t xml:space="preserve"> (2010)</w:t>
      </w:r>
      <w:r w:rsidR="00CB4F66" w:rsidRPr="00F8240E">
        <w:rPr>
          <w:rFonts w:ascii="Times New Roman" w:hAnsi="Times New Roman" w:cs="Times New Roman"/>
          <w:sz w:val="24"/>
          <w:szCs w:val="24"/>
        </w:rPr>
        <w:t>.</w:t>
      </w:r>
      <w:r w:rsidRPr="00F8240E">
        <w:rPr>
          <w:rFonts w:ascii="Times New Roman" w:hAnsi="Times New Roman" w:cs="Times New Roman"/>
          <w:sz w:val="24"/>
          <w:szCs w:val="24"/>
        </w:rPr>
        <w:t xml:space="preserve"> </w:t>
      </w:r>
      <w:r w:rsidRPr="00F8240E">
        <w:rPr>
          <w:rFonts w:ascii="Times New Roman" w:hAnsi="Times New Roman" w:cs="Times New Roman"/>
          <w:i/>
          <w:sz w:val="24"/>
          <w:szCs w:val="24"/>
        </w:rPr>
        <w:t>The Politics of Welfare State Reform in Continental Europe: Modernization in Hard Times</w:t>
      </w:r>
      <w:r w:rsidR="00CB4F66" w:rsidRPr="00F8240E">
        <w:rPr>
          <w:rFonts w:ascii="Times New Roman" w:hAnsi="Times New Roman" w:cs="Times New Roman"/>
          <w:i/>
          <w:sz w:val="24"/>
          <w:szCs w:val="24"/>
        </w:rPr>
        <w:t>.</w:t>
      </w:r>
      <w:r w:rsidRPr="00F8240E">
        <w:rPr>
          <w:rFonts w:ascii="Times New Roman" w:hAnsi="Times New Roman" w:cs="Times New Roman"/>
          <w:i/>
          <w:sz w:val="24"/>
          <w:szCs w:val="24"/>
        </w:rPr>
        <w:t xml:space="preserve"> </w:t>
      </w:r>
      <w:r w:rsidRPr="00F8240E">
        <w:rPr>
          <w:rFonts w:ascii="Times New Roman" w:hAnsi="Times New Roman" w:cs="Times New Roman"/>
          <w:sz w:val="24"/>
          <w:szCs w:val="24"/>
        </w:rPr>
        <w:t>Cambridge: C</w:t>
      </w:r>
      <w:r w:rsidR="00CB4F66" w:rsidRPr="00F8240E">
        <w:rPr>
          <w:rFonts w:ascii="Times New Roman" w:hAnsi="Times New Roman" w:cs="Times New Roman"/>
          <w:sz w:val="24"/>
          <w:szCs w:val="24"/>
        </w:rPr>
        <w:t>ambridge University Press.</w:t>
      </w:r>
    </w:p>
    <w:p w14:paraId="301C4749" w14:textId="2AABBB88" w:rsidR="00A2162B" w:rsidRPr="00F8240E" w:rsidRDefault="00A2162B" w:rsidP="00453340">
      <w:pPr>
        <w:spacing w:line="480" w:lineRule="auto"/>
        <w:jc w:val="both"/>
        <w:rPr>
          <w:rFonts w:ascii="Times New Roman" w:eastAsia="Calibri" w:hAnsi="Times New Roman" w:cs="Times New Roman"/>
          <w:sz w:val="24"/>
          <w:szCs w:val="24"/>
        </w:rPr>
      </w:pPr>
      <w:r w:rsidRPr="00F8240E">
        <w:rPr>
          <w:rFonts w:ascii="Times New Roman" w:eastAsia="Calibri" w:hAnsi="Times New Roman" w:cs="Times New Roman"/>
          <w:sz w:val="24"/>
          <w:szCs w:val="24"/>
        </w:rPr>
        <w:t xml:space="preserve">HM Revenue and Customs (2018). </w:t>
      </w:r>
      <w:r w:rsidRPr="00F8240E">
        <w:rPr>
          <w:rFonts w:ascii="Times New Roman" w:eastAsia="Calibri" w:hAnsi="Times New Roman" w:cs="Times New Roman"/>
          <w:i/>
          <w:sz w:val="24"/>
          <w:szCs w:val="24"/>
        </w:rPr>
        <w:t>Personal Pensions Statistics</w:t>
      </w:r>
      <w:r w:rsidRPr="00F8240E">
        <w:rPr>
          <w:rFonts w:ascii="Times New Roman" w:eastAsia="Calibri" w:hAnsi="Times New Roman" w:cs="Times New Roman"/>
          <w:sz w:val="24"/>
          <w:szCs w:val="24"/>
        </w:rPr>
        <w:t>.</w:t>
      </w:r>
    </w:p>
    <w:p w14:paraId="19460A2E" w14:textId="2F958227" w:rsidR="00A2162B" w:rsidRPr="00F8240E" w:rsidRDefault="00A2162B" w:rsidP="0087591C">
      <w:pPr>
        <w:spacing w:line="480" w:lineRule="auto"/>
        <w:rPr>
          <w:rFonts w:ascii="Times New Roman" w:eastAsia="Calibri" w:hAnsi="Times New Roman" w:cs="Times New Roman"/>
          <w:sz w:val="24"/>
          <w:szCs w:val="24"/>
        </w:rPr>
      </w:pPr>
      <w:r w:rsidRPr="00F8240E">
        <w:rPr>
          <w:rFonts w:ascii="Times New Roman" w:eastAsia="Calibri" w:hAnsi="Times New Roman" w:cs="Times New Roman"/>
          <w:sz w:val="24"/>
          <w:szCs w:val="24"/>
        </w:rPr>
        <w:t>Available at https://assets.publishing.service.gov.uk/government/uploads/system/uploads/attachment_data/file/683928/February_2018_Pensions_publication.pdf</w:t>
      </w:r>
    </w:p>
    <w:p w14:paraId="38E15EA2" w14:textId="77777777" w:rsidR="00465D8F" w:rsidRPr="00F8240E" w:rsidRDefault="00465D8F" w:rsidP="00465D8F">
      <w:pPr>
        <w:pStyle w:val="BodyText"/>
      </w:pPr>
      <w:r w:rsidRPr="00F8240E">
        <w:rPr>
          <w:color w:val="000000"/>
        </w:rPr>
        <w:t xml:space="preserve">Hughes, G. (2007). Delivering pensions: the performance of public and private providers and the National Pensions Review, In G. </w:t>
      </w:r>
      <w:r w:rsidRPr="00F8240E">
        <w:t xml:space="preserve">Hughes &amp; J. Stewart, (Eds.), </w:t>
      </w:r>
      <w:r w:rsidRPr="00F8240E">
        <w:rPr>
          <w:i/>
          <w:iCs/>
          <w:color w:val="000000"/>
        </w:rPr>
        <w:t>Choosing your future: How to reform Ireland's pension system</w:t>
      </w:r>
      <w:r w:rsidRPr="00F8240E">
        <w:rPr>
          <w:color w:val="000000"/>
        </w:rPr>
        <w:t>. Dublin: New Island Press.</w:t>
      </w:r>
    </w:p>
    <w:p w14:paraId="62D92F88" w14:textId="49BC9CEC" w:rsidR="00E124B4" w:rsidRPr="00F8240E" w:rsidRDefault="00E124B4" w:rsidP="00453340">
      <w:pPr>
        <w:pStyle w:val="BodyText"/>
      </w:pPr>
      <w:r w:rsidRPr="00F8240E">
        <w:t>Hughes</w:t>
      </w:r>
      <w:r w:rsidR="003D4B7C" w:rsidRPr="00F8240E">
        <w:t xml:space="preserve">, G. </w:t>
      </w:r>
      <w:r w:rsidR="00E248FD" w:rsidRPr="00F8240E">
        <w:t>&amp;</w:t>
      </w:r>
      <w:r w:rsidR="003D4B7C" w:rsidRPr="00F8240E">
        <w:t xml:space="preserve"> </w:t>
      </w:r>
      <w:r w:rsidRPr="00F8240E">
        <w:t>Stewart</w:t>
      </w:r>
      <w:r w:rsidR="003D4B7C" w:rsidRPr="00F8240E">
        <w:t>, J. (</w:t>
      </w:r>
      <w:r w:rsidRPr="00F8240E">
        <w:t>2</w:t>
      </w:r>
      <w:r w:rsidR="003D4B7C" w:rsidRPr="00F8240E">
        <w:t>0</w:t>
      </w:r>
      <w:r w:rsidRPr="00F8240E">
        <w:t>11</w:t>
      </w:r>
      <w:r w:rsidR="003D4B7C" w:rsidRPr="00F8240E">
        <w:t xml:space="preserve">). Public and private provision of pensions and the ideal system for Ireland. In D. M. Muir </w:t>
      </w:r>
      <w:r w:rsidR="00E248FD" w:rsidRPr="00F8240E">
        <w:t>&amp;</w:t>
      </w:r>
      <w:r w:rsidR="003D4B7C" w:rsidRPr="00F8240E">
        <w:t xml:space="preserve"> J. A. Turner (</w:t>
      </w:r>
      <w:r w:rsidR="00CB4F66" w:rsidRPr="00F8240E">
        <w:t>E</w:t>
      </w:r>
      <w:r w:rsidR="003D4B7C" w:rsidRPr="00F8240E">
        <w:t>ds.)</w:t>
      </w:r>
      <w:r w:rsidR="00CB4F66" w:rsidRPr="00F8240E">
        <w:t>,</w:t>
      </w:r>
      <w:r w:rsidR="003D4B7C" w:rsidRPr="00F8240E">
        <w:t xml:space="preserve"> </w:t>
      </w:r>
      <w:r w:rsidR="003D4B7C" w:rsidRPr="00F8240E">
        <w:rPr>
          <w:i/>
        </w:rPr>
        <w:t>Imagining the ideal pension system: international perspectives</w:t>
      </w:r>
      <w:r w:rsidR="00CB4F66" w:rsidRPr="00F8240E">
        <w:rPr>
          <w:i/>
        </w:rPr>
        <w:t xml:space="preserve"> </w:t>
      </w:r>
      <w:r w:rsidR="00CB4F66" w:rsidRPr="00F8240E">
        <w:t>(pp.</w:t>
      </w:r>
      <w:r w:rsidR="00543840" w:rsidRPr="00F8240E">
        <w:t>77-12</w:t>
      </w:r>
      <w:r w:rsidR="00CB4F66" w:rsidRPr="00F8240E">
        <w:t>).</w:t>
      </w:r>
      <w:r w:rsidR="003D4B7C" w:rsidRPr="00F8240E">
        <w:t xml:space="preserve"> Kalamazoo, MI: W. E. Upjohn Institute for Employment Research.</w:t>
      </w:r>
    </w:p>
    <w:p w14:paraId="34595D7D" w14:textId="6C0EB4E0" w:rsidR="00706FEE" w:rsidRPr="00F8240E" w:rsidRDefault="00D01C3B" w:rsidP="00706FEE">
      <w:pPr>
        <w:pStyle w:val="BodyText"/>
        <w:rPr>
          <w:rFonts w:eastAsiaTheme="minorEastAsia"/>
          <w:color w:val="000000" w:themeColor="text1"/>
          <w:kern w:val="24"/>
        </w:rPr>
      </w:pPr>
      <w:r w:rsidRPr="00F8240E">
        <w:t>Kangas</w:t>
      </w:r>
      <w:r w:rsidR="00AF6980" w:rsidRPr="00F8240E">
        <w:t>, O.</w:t>
      </w:r>
      <w:r w:rsidRPr="00F8240E">
        <w:t xml:space="preserve"> </w:t>
      </w:r>
      <w:r w:rsidR="00543840" w:rsidRPr="00F8240E">
        <w:t xml:space="preserve">&amp; </w:t>
      </w:r>
      <w:r w:rsidRPr="00F8240E">
        <w:t>Palme,</w:t>
      </w:r>
      <w:r w:rsidR="00AF6980" w:rsidRPr="00F8240E">
        <w:t xml:space="preserve"> J.</w:t>
      </w:r>
      <w:r w:rsidRPr="00F8240E">
        <w:t xml:space="preserve"> </w:t>
      </w:r>
      <w:r w:rsidR="00AF6980" w:rsidRPr="00F8240E">
        <w:t>(</w:t>
      </w:r>
      <w:r w:rsidRPr="00F8240E">
        <w:t>2007</w:t>
      </w:r>
      <w:r w:rsidR="00AF6980" w:rsidRPr="00F8240E">
        <w:t xml:space="preserve">). Social rights, structural needs and social expenditure: a comparative study of 18 OECD countries 1960-2000. In J. </w:t>
      </w:r>
      <w:r w:rsidR="00AF6980" w:rsidRPr="00F8240E">
        <w:rPr>
          <w:rFonts w:eastAsiaTheme="minorEastAsia"/>
          <w:color w:val="000000" w:themeColor="text1"/>
          <w:kern w:val="24"/>
        </w:rPr>
        <w:t xml:space="preserve">Clasen </w:t>
      </w:r>
      <w:r w:rsidR="00A86933" w:rsidRPr="00F8240E">
        <w:rPr>
          <w:rFonts w:eastAsiaTheme="minorEastAsia"/>
          <w:color w:val="000000" w:themeColor="text1"/>
          <w:kern w:val="24"/>
        </w:rPr>
        <w:t>&amp;</w:t>
      </w:r>
      <w:r w:rsidR="00AF6980" w:rsidRPr="00F8240E">
        <w:rPr>
          <w:rFonts w:eastAsiaTheme="minorEastAsia"/>
          <w:color w:val="000000" w:themeColor="text1"/>
          <w:kern w:val="24"/>
        </w:rPr>
        <w:t xml:space="preserve"> N. Siegel, (</w:t>
      </w:r>
      <w:r w:rsidR="00543840" w:rsidRPr="00F8240E">
        <w:rPr>
          <w:rFonts w:eastAsiaTheme="minorEastAsia"/>
          <w:color w:val="000000" w:themeColor="text1"/>
          <w:kern w:val="24"/>
        </w:rPr>
        <w:t>E</w:t>
      </w:r>
      <w:r w:rsidR="00AF6980" w:rsidRPr="00F8240E">
        <w:rPr>
          <w:rFonts w:eastAsiaTheme="minorEastAsia"/>
          <w:color w:val="000000" w:themeColor="text1"/>
          <w:kern w:val="24"/>
        </w:rPr>
        <w:t>ds</w:t>
      </w:r>
      <w:r w:rsidR="00543840" w:rsidRPr="00F8240E">
        <w:rPr>
          <w:rFonts w:eastAsiaTheme="minorEastAsia"/>
          <w:color w:val="000000" w:themeColor="text1"/>
          <w:kern w:val="24"/>
        </w:rPr>
        <w:t>.</w:t>
      </w:r>
      <w:r w:rsidR="00AF6980" w:rsidRPr="00F8240E">
        <w:rPr>
          <w:rFonts w:eastAsiaTheme="minorEastAsia"/>
          <w:color w:val="000000" w:themeColor="text1"/>
          <w:kern w:val="24"/>
        </w:rPr>
        <w:t xml:space="preserve">) </w:t>
      </w:r>
      <w:r w:rsidR="00AF6980" w:rsidRPr="00F8240E">
        <w:rPr>
          <w:rFonts w:eastAsiaTheme="minorEastAsia"/>
          <w:i/>
          <w:color w:val="000000" w:themeColor="text1"/>
          <w:kern w:val="24"/>
        </w:rPr>
        <w:t>Investigating welfare state change: the ‘dependent variable problem’ in comparative analysis</w:t>
      </w:r>
      <w:r w:rsidR="00543840" w:rsidRPr="00F8240E">
        <w:rPr>
          <w:rFonts w:eastAsiaTheme="minorEastAsia"/>
          <w:color w:val="000000" w:themeColor="text1"/>
          <w:kern w:val="24"/>
        </w:rPr>
        <w:t xml:space="preserve"> (pp.106-132)</w:t>
      </w:r>
      <w:r w:rsidR="00AF6980" w:rsidRPr="00F8240E">
        <w:rPr>
          <w:rFonts w:eastAsiaTheme="minorEastAsia"/>
          <w:color w:val="000000" w:themeColor="text1"/>
          <w:kern w:val="24"/>
        </w:rPr>
        <w:t>. Cheltenham: Edward Elgar.</w:t>
      </w:r>
    </w:p>
    <w:p w14:paraId="3E866A94" w14:textId="7158436A" w:rsidR="00706FEE" w:rsidRPr="00F8240E" w:rsidRDefault="00706FEE" w:rsidP="00AE63F0">
      <w:pPr>
        <w:pStyle w:val="BodyText"/>
        <w:jc w:val="left"/>
        <w:rPr>
          <w:i/>
          <w:iCs/>
        </w:rPr>
      </w:pPr>
      <w:r w:rsidRPr="00F8240E">
        <w:t xml:space="preserve">Kritzer, B. (2007). Kiwisaver: New Zealand’s new subsidised retirement savings plan. </w:t>
      </w:r>
      <w:r w:rsidRPr="00F8240E">
        <w:rPr>
          <w:i/>
          <w:iCs/>
        </w:rPr>
        <w:t>Social Security Bulletin, 67,</w:t>
      </w:r>
      <w:r w:rsidRPr="00F8240E">
        <w:rPr>
          <w:iCs/>
        </w:rPr>
        <w:t xml:space="preserve"> 113-119</w:t>
      </w:r>
      <w:r w:rsidR="00543840" w:rsidRPr="00F8240E">
        <w:rPr>
          <w:iCs/>
        </w:rPr>
        <w:t>.</w:t>
      </w:r>
      <w:r w:rsidR="00AE63F0" w:rsidRPr="00F8240E">
        <w:rPr>
          <w:iCs/>
        </w:rPr>
        <w:t xml:space="preserve"> Available at https://www.ssa.gov/policy/docs/ssb/v67n4/67n4p113.html</w:t>
      </w:r>
    </w:p>
    <w:p w14:paraId="1976C6D6" w14:textId="65AE9453" w:rsidR="002E2508" w:rsidRPr="00F8240E" w:rsidRDefault="002E2508" w:rsidP="00453340">
      <w:pPr>
        <w:pStyle w:val="BodyText"/>
        <w:rPr>
          <w:i/>
        </w:rPr>
      </w:pPr>
      <w:r w:rsidRPr="00F8240E">
        <w:t xml:space="preserve">Lain, D., Vickerstaff, S. </w:t>
      </w:r>
      <w:r w:rsidR="00543840" w:rsidRPr="00F8240E">
        <w:t>&amp;</w:t>
      </w:r>
      <w:r w:rsidRPr="00F8240E">
        <w:t xml:space="preserve"> Loretto, W. (2013)</w:t>
      </w:r>
      <w:r w:rsidR="00543840" w:rsidRPr="00F8240E">
        <w:t>.</w:t>
      </w:r>
      <w:r w:rsidRPr="00F8240E">
        <w:t xml:space="preserve"> Reforming </w:t>
      </w:r>
      <w:r w:rsidR="00543840" w:rsidRPr="00F8240E">
        <w:t>s</w:t>
      </w:r>
      <w:r w:rsidRPr="00F8240E">
        <w:t xml:space="preserve">tate </w:t>
      </w:r>
      <w:r w:rsidR="00543840" w:rsidRPr="00F8240E">
        <w:t>p</w:t>
      </w:r>
      <w:r w:rsidRPr="00F8240E">
        <w:t xml:space="preserve">ension </w:t>
      </w:r>
      <w:r w:rsidR="00543840" w:rsidRPr="00F8240E">
        <w:t>p</w:t>
      </w:r>
      <w:r w:rsidRPr="00F8240E">
        <w:t xml:space="preserve">rovision in ‘Liberal’ Anglo-Saxon </w:t>
      </w:r>
      <w:r w:rsidR="00543840" w:rsidRPr="00F8240E">
        <w:t>c</w:t>
      </w:r>
      <w:r w:rsidRPr="00F8240E">
        <w:t xml:space="preserve">ountries: </w:t>
      </w:r>
      <w:r w:rsidR="00543840" w:rsidRPr="00F8240E">
        <w:t>r</w:t>
      </w:r>
      <w:r w:rsidRPr="00F8240E">
        <w:t>e-commodif</w:t>
      </w:r>
      <w:r w:rsidR="00A06208" w:rsidRPr="00F8240E">
        <w:t>i</w:t>
      </w:r>
      <w:r w:rsidRPr="00F8240E">
        <w:t>cation, cost-containment or recalibration</w:t>
      </w:r>
      <w:r w:rsidR="00543840" w:rsidRPr="00F8240E">
        <w:t>?</w:t>
      </w:r>
      <w:r w:rsidRPr="00F8240E">
        <w:t xml:space="preserve"> </w:t>
      </w:r>
      <w:r w:rsidRPr="00F8240E">
        <w:rPr>
          <w:i/>
        </w:rPr>
        <w:t>Social Policy and Society</w:t>
      </w:r>
      <w:r w:rsidR="00543840" w:rsidRPr="00F8240E">
        <w:rPr>
          <w:i/>
        </w:rPr>
        <w:t>,</w:t>
      </w:r>
      <w:r w:rsidRPr="00F8240E">
        <w:rPr>
          <w:i/>
        </w:rPr>
        <w:t xml:space="preserve"> 121</w:t>
      </w:r>
      <w:r w:rsidR="00543840" w:rsidRPr="00F8240E">
        <w:rPr>
          <w:i/>
        </w:rPr>
        <w:t>,</w:t>
      </w:r>
      <w:r w:rsidRPr="00F8240E">
        <w:t xml:space="preserve"> 77-90</w:t>
      </w:r>
      <w:r w:rsidR="00AE63F0" w:rsidRPr="00F8240E">
        <w:t xml:space="preserve">. </w:t>
      </w:r>
      <w:r w:rsidR="00FF7229" w:rsidRPr="00F8240E">
        <w:t>doi:</w:t>
      </w:r>
      <w:r w:rsidR="00AE63F0" w:rsidRPr="00F8240E">
        <w:t>10.1017/S1474746412000450.</w:t>
      </w:r>
    </w:p>
    <w:p w14:paraId="17B5F02B" w14:textId="757D3028" w:rsidR="008F744B" w:rsidRPr="00F8240E" w:rsidRDefault="008F744B" w:rsidP="00543840">
      <w:pPr>
        <w:pStyle w:val="BodyText"/>
      </w:pPr>
      <w:r w:rsidRPr="00F8240E">
        <w:t xml:space="preserve">Meyer, T. </w:t>
      </w:r>
      <w:r w:rsidR="00543840" w:rsidRPr="00F8240E">
        <w:t>&amp;</w:t>
      </w:r>
      <w:r w:rsidRPr="00F8240E">
        <w:t xml:space="preserve"> Bridgen, P. (2012). </w:t>
      </w:r>
      <w:r w:rsidRPr="00F8240E">
        <w:rPr>
          <w:bCs/>
        </w:rPr>
        <w:t>Business, regulation and welfare politics in liberal capitalism</w:t>
      </w:r>
      <w:r w:rsidR="00543840" w:rsidRPr="00F8240E">
        <w:rPr>
          <w:bCs/>
        </w:rPr>
        <w:t xml:space="preserve">, </w:t>
      </w:r>
      <w:r w:rsidRPr="00F8240E">
        <w:rPr>
          <w:bCs/>
          <w:i/>
        </w:rPr>
        <w:t>Policy and Politics</w:t>
      </w:r>
      <w:r w:rsidR="00543840" w:rsidRPr="00F8240E">
        <w:rPr>
          <w:bCs/>
        </w:rPr>
        <w:t xml:space="preserve">, </w:t>
      </w:r>
      <w:r w:rsidR="00543840" w:rsidRPr="00F8240E">
        <w:rPr>
          <w:bCs/>
          <w:i/>
        </w:rPr>
        <w:t xml:space="preserve">40, </w:t>
      </w:r>
      <w:r w:rsidRPr="00F8240E">
        <w:rPr>
          <w:bCs/>
        </w:rPr>
        <w:t>387-403.</w:t>
      </w:r>
      <w:r w:rsidR="00543840" w:rsidRPr="00F8240E">
        <w:rPr>
          <w:bCs/>
          <w:i/>
        </w:rPr>
        <w:t xml:space="preserve"> </w:t>
      </w:r>
      <w:r w:rsidR="00FF7229" w:rsidRPr="00F8240E">
        <w:rPr>
          <w:bCs/>
        </w:rPr>
        <w:t>doi:</w:t>
      </w:r>
      <w:r w:rsidR="00AE63F0" w:rsidRPr="00F8240E">
        <w:rPr>
          <w:bCs/>
        </w:rPr>
        <w:t>10.1332/030557312X645748</w:t>
      </w:r>
    </w:p>
    <w:p w14:paraId="44BB6CF5" w14:textId="575EC0AC" w:rsidR="002E2508" w:rsidRPr="00F8240E" w:rsidRDefault="002E2508" w:rsidP="00453340">
      <w:pPr>
        <w:spacing w:line="480" w:lineRule="auto"/>
        <w:jc w:val="both"/>
        <w:rPr>
          <w:rFonts w:ascii="Times New Roman" w:eastAsia="Calibri" w:hAnsi="Times New Roman" w:cs="Times New Roman"/>
          <w:sz w:val="24"/>
          <w:szCs w:val="24"/>
        </w:rPr>
      </w:pPr>
      <w:r w:rsidRPr="00F8240E">
        <w:rPr>
          <w:rFonts w:ascii="Times New Roman" w:eastAsia="Calibri" w:hAnsi="Times New Roman" w:cs="Times New Roman"/>
          <w:sz w:val="24"/>
          <w:szCs w:val="24"/>
        </w:rPr>
        <w:t>Myles, J. (2013)</w:t>
      </w:r>
      <w:r w:rsidR="00543840" w:rsidRPr="00F8240E">
        <w:rPr>
          <w:rFonts w:ascii="Times New Roman" w:eastAsia="Calibri" w:hAnsi="Times New Roman" w:cs="Times New Roman"/>
          <w:sz w:val="24"/>
          <w:szCs w:val="24"/>
        </w:rPr>
        <w:t>.</w:t>
      </w:r>
      <w:r w:rsidRPr="00F8240E">
        <w:rPr>
          <w:rFonts w:ascii="Times New Roman" w:eastAsia="Calibri" w:hAnsi="Times New Roman" w:cs="Times New Roman"/>
          <w:sz w:val="24"/>
          <w:szCs w:val="24"/>
        </w:rPr>
        <w:t xml:space="preserve"> Income security for seniors: system maintenance and policy drift</w:t>
      </w:r>
      <w:r w:rsidR="00543840" w:rsidRPr="00F8240E">
        <w:rPr>
          <w:rFonts w:ascii="Times New Roman" w:eastAsia="Calibri" w:hAnsi="Times New Roman" w:cs="Times New Roman"/>
          <w:sz w:val="24"/>
          <w:szCs w:val="24"/>
        </w:rPr>
        <w:t>.</w:t>
      </w:r>
      <w:r w:rsidRPr="00F8240E">
        <w:rPr>
          <w:rFonts w:ascii="Times New Roman" w:eastAsia="Calibri" w:hAnsi="Times New Roman" w:cs="Times New Roman"/>
          <w:sz w:val="24"/>
          <w:szCs w:val="24"/>
        </w:rPr>
        <w:t xml:space="preserve"> </w:t>
      </w:r>
      <w:r w:rsidR="00543840" w:rsidRPr="00F8240E">
        <w:rPr>
          <w:rFonts w:ascii="Times New Roman" w:eastAsia="Calibri" w:hAnsi="Times New Roman" w:cs="Times New Roman"/>
          <w:sz w:val="24"/>
          <w:szCs w:val="24"/>
        </w:rPr>
        <w:t>I</w:t>
      </w:r>
      <w:r w:rsidRPr="00F8240E">
        <w:rPr>
          <w:rFonts w:ascii="Times New Roman" w:eastAsia="Calibri" w:hAnsi="Times New Roman" w:cs="Times New Roman"/>
          <w:sz w:val="24"/>
          <w:szCs w:val="24"/>
        </w:rPr>
        <w:t xml:space="preserve">n </w:t>
      </w:r>
      <w:r w:rsidR="00543840" w:rsidRPr="00F8240E">
        <w:rPr>
          <w:rFonts w:ascii="Times New Roman" w:eastAsia="Calibri" w:hAnsi="Times New Roman" w:cs="Times New Roman"/>
          <w:sz w:val="24"/>
          <w:szCs w:val="24"/>
        </w:rPr>
        <w:t xml:space="preserve">K. </w:t>
      </w:r>
      <w:r w:rsidRPr="00F8240E">
        <w:rPr>
          <w:rFonts w:ascii="Times New Roman" w:eastAsia="Calibri" w:hAnsi="Times New Roman" w:cs="Times New Roman"/>
          <w:sz w:val="24"/>
          <w:szCs w:val="24"/>
        </w:rPr>
        <w:t xml:space="preserve">Banting K. </w:t>
      </w:r>
      <w:r w:rsidR="00543840" w:rsidRPr="00F8240E">
        <w:rPr>
          <w:rFonts w:ascii="Times New Roman" w:eastAsia="Calibri" w:hAnsi="Times New Roman" w:cs="Times New Roman"/>
          <w:sz w:val="24"/>
          <w:szCs w:val="24"/>
        </w:rPr>
        <w:t>&amp;</w:t>
      </w:r>
      <w:r w:rsidRPr="00F8240E">
        <w:rPr>
          <w:rFonts w:ascii="Times New Roman" w:eastAsia="Calibri" w:hAnsi="Times New Roman" w:cs="Times New Roman"/>
          <w:sz w:val="24"/>
          <w:szCs w:val="24"/>
        </w:rPr>
        <w:t xml:space="preserve"> </w:t>
      </w:r>
      <w:r w:rsidR="00543840" w:rsidRPr="00F8240E">
        <w:rPr>
          <w:rFonts w:ascii="Times New Roman" w:eastAsia="Calibri" w:hAnsi="Times New Roman" w:cs="Times New Roman"/>
          <w:sz w:val="24"/>
          <w:szCs w:val="24"/>
        </w:rPr>
        <w:t xml:space="preserve">J. </w:t>
      </w:r>
      <w:r w:rsidRPr="00F8240E">
        <w:rPr>
          <w:rFonts w:ascii="Times New Roman" w:eastAsia="Calibri" w:hAnsi="Times New Roman" w:cs="Times New Roman"/>
          <w:sz w:val="24"/>
          <w:szCs w:val="24"/>
        </w:rPr>
        <w:t xml:space="preserve">Myles, </w:t>
      </w:r>
      <w:r w:rsidR="00543840" w:rsidRPr="00F8240E">
        <w:rPr>
          <w:rFonts w:ascii="Times New Roman" w:eastAsia="Calibri" w:hAnsi="Times New Roman" w:cs="Times New Roman"/>
          <w:sz w:val="24"/>
          <w:szCs w:val="24"/>
        </w:rPr>
        <w:t xml:space="preserve">(Eds.), </w:t>
      </w:r>
      <w:r w:rsidRPr="00F8240E">
        <w:rPr>
          <w:rFonts w:ascii="Times New Roman" w:eastAsia="Calibri" w:hAnsi="Times New Roman" w:cs="Times New Roman"/>
          <w:i/>
          <w:sz w:val="24"/>
          <w:szCs w:val="24"/>
        </w:rPr>
        <w:t>Inequality and the fading of redistributive politics</w:t>
      </w:r>
      <w:r w:rsidR="00543840" w:rsidRPr="00F8240E">
        <w:rPr>
          <w:rFonts w:ascii="Times New Roman" w:eastAsia="Calibri" w:hAnsi="Times New Roman" w:cs="Times New Roman"/>
          <w:i/>
          <w:sz w:val="24"/>
          <w:szCs w:val="24"/>
        </w:rPr>
        <w:t xml:space="preserve"> </w:t>
      </w:r>
      <w:r w:rsidR="00543840" w:rsidRPr="00F8240E">
        <w:rPr>
          <w:rFonts w:ascii="Times New Roman" w:eastAsia="Calibri" w:hAnsi="Times New Roman" w:cs="Times New Roman"/>
          <w:sz w:val="24"/>
          <w:szCs w:val="24"/>
        </w:rPr>
        <w:t xml:space="preserve">(pp.312-334). </w:t>
      </w:r>
      <w:r w:rsidRPr="00F8240E">
        <w:rPr>
          <w:rFonts w:ascii="Times New Roman" w:eastAsia="Calibri" w:hAnsi="Times New Roman" w:cs="Times New Roman"/>
          <w:sz w:val="24"/>
          <w:szCs w:val="24"/>
        </w:rPr>
        <w:t>Vancouver: UBC Press.</w:t>
      </w:r>
    </w:p>
    <w:p w14:paraId="654FD6CE" w14:textId="0B3DDA88" w:rsidR="002E2508" w:rsidRPr="00F8240E" w:rsidRDefault="002E2508" w:rsidP="00453340">
      <w:pPr>
        <w:pStyle w:val="BodyText"/>
      </w:pPr>
      <w:r w:rsidRPr="00F8240E">
        <w:t xml:space="preserve">Myles, J. </w:t>
      </w:r>
      <w:r w:rsidR="00543840" w:rsidRPr="00F8240E">
        <w:t>&amp;</w:t>
      </w:r>
      <w:r w:rsidRPr="00F8240E">
        <w:t xml:space="preserve"> Pierson, P. (2001)</w:t>
      </w:r>
      <w:r w:rsidR="00543840" w:rsidRPr="00F8240E">
        <w:t>.</w:t>
      </w:r>
      <w:r w:rsidR="00AE63F0" w:rsidRPr="00F8240E">
        <w:t xml:space="preserve"> </w:t>
      </w:r>
      <w:r w:rsidRPr="00F8240E">
        <w:t>The comparative political economy of pension reform</w:t>
      </w:r>
      <w:r w:rsidR="00543840" w:rsidRPr="00F8240E">
        <w:t>.</w:t>
      </w:r>
      <w:r w:rsidRPr="00F8240E">
        <w:t xml:space="preserve"> </w:t>
      </w:r>
      <w:r w:rsidR="00543840" w:rsidRPr="00F8240E">
        <w:t>I</w:t>
      </w:r>
      <w:r w:rsidRPr="00F8240E">
        <w:t>n P. Pierson (</w:t>
      </w:r>
      <w:r w:rsidR="00543840" w:rsidRPr="00F8240E">
        <w:t>E</w:t>
      </w:r>
      <w:r w:rsidRPr="00F8240E">
        <w:t>d</w:t>
      </w:r>
      <w:r w:rsidR="00A86933" w:rsidRPr="00F8240E">
        <w:t>.</w:t>
      </w:r>
      <w:r w:rsidRPr="00F8240E">
        <w:t>)</w:t>
      </w:r>
      <w:r w:rsidR="00543840" w:rsidRPr="00F8240E">
        <w:t xml:space="preserve">, </w:t>
      </w:r>
      <w:r w:rsidRPr="00F8240E">
        <w:rPr>
          <w:i/>
        </w:rPr>
        <w:t>The new politics of the welfare State</w:t>
      </w:r>
      <w:r w:rsidR="00543840" w:rsidRPr="00F8240E">
        <w:rPr>
          <w:i/>
        </w:rPr>
        <w:t xml:space="preserve"> </w:t>
      </w:r>
      <w:r w:rsidR="00543840" w:rsidRPr="00F8240E">
        <w:t>(pp.305-333).</w:t>
      </w:r>
      <w:r w:rsidRPr="00F8240E">
        <w:t xml:space="preserve"> Oxford: Oxford University Press.</w:t>
      </w:r>
    </w:p>
    <w:p w14:paraId="2AF91967" w14:textId="4089E368" w:rsidR="00A81E22" w:rsidRPr="00F8240E" w:rsidRDefault="00A81E22" w:rsidP="00453340">
      <w:pPr>
        <w:pStyle w:val="BodyText"/>
      </w:pPr>
      <w:r w:rsidRPr="00F8240E">
        <w:t xml:space="preserve">O’Brien, C. (2014). State pension age increases to 66. </w:t>
      </w:r>
      <w:r w:rsidRPr="00F8240E">
        <w:rPr>
          <w:i/>
        </w:rPr>
        <w:t xml:space="preserve">Irish Times, </w:t>
      </w:r>
      <w:r w:rsidRPr="00F8240E">
        <w:t>2 January.</w:t>
      </w:r>
    </w:p>
    <w:p w14:paraId="1E26BE92" w14:textId="6E55ACBD" w:rsidR="00A81E22" w:rsidRPr="00F8240E" w:rsidRDefault="00A81E22" w:rsidP="00453340">
      <w:pPr>
        <w:pStyle w:val="BodyText"/>
      </w:pPr>
      <w:r w:rsidRPr="00F8240E">
        <w:t xml:space="preserve">OECD (2014). </w:t>
      </w:r>
      <w:r w:rsidR="00750DB9" w:rsidRPr="00F8240E">
        <w:rPr>
          <w:i/>
        </w:rPr>
        <w:t>OECD reviews of pensions systems: Ireland</w:t>
      </w:r>
      <w:r w:rsidR="00750DB9" w:rsidRPr="00F8240E">
        <w:t>. Paris: OECD.</w:t>
      </w:r>
    </w:p>
    <w:p w14:paraId="67D0BA08" w14:textId="56BD423E" w:rsidR="00A2162B" w:rsidRPr="00F8240E" w:rsidRDefault="00A2162B" w:rsidP="00453340">
      <w:pPr>
        <w:pStyle w:val="BodyText"/>
      </w:pPr>
      <w:r w:rsidRPr="00F8240E">
        <w:t xml:space="preserve">OECD (2016). </w:t>
      </w:r>
      <w:r w:rsidRPr="00F8240E">
        <w:rPr>
          <w:i/>
        </w:rPr>
        <w:t xml:space="preserve">OECD Pensions Outlook. </w:t>
      </w:r>
      <w:r w:rsidRPr="00F8240E">
        <w:t>Paris: OECD.</w:t>
      </w:r>
    </w:p>
    <w:p w14:paraId="2374DDEE" w14:textId="7A836781" w:rsidR="002E2508" w:rsidRPr="00F8240E" w:rsidRDefault="002E2508" w:rsidP="00453340">
      <w:pPr>
        <w:pStyle w:val="BodyText"/>
      </w:pPr>
      <w:r w:rsidRPr="00F8240E">
        <w:t>OECD (20</w:t>
      </w:r>
      <w:r w:rsidR="00543840" w:rsidRPr="00F8240E">
        <w:t>17</w:t>
      </w:r>
      <w:r w:rsidRPr="00F8240E">
        <w:t>)</w:t>
      </w:r>
      <w:r w:rsidR="00543840" w:rsidRPr="00F8240E">
        <w:t>.</w:t>
      </w:r>
      <w:r w:rsidRPr="00F8240E">
        <w:t xml:space="preserve"> </w:t>
      </w:r>
      <w:r w:rsidRPr="00F8240E">
        <w:rPr>
          <w:i/>
        </w:rPr>
        <w:t>Pensions at a glance</w:t>
      </w:r>
      <w:r w:rsidR="00543840" w:rsidRPr="00F8240E">
        <w:t>.</w:t>
      </w:r>
      <w:r w:rsidRPr="00F8240E">
        <w:t xml:space="preserve"> Paris: OECD.</w:t>
      </w:r>
    </w:p>
    <w:p w14:paraId="5134E16E" w14:textId="34449C77" w:rsidR="00924CE9" w:rsidRPr="00F8240E" w:rsidRDefault="00924CE9" w:rsidP="00453340">
      <w:pPr>
        <w:pStyle w:val="BodyText"/>
        <w:rPr>
          <w:rFonts w:eastAsiaTheme="minorHAnsi"/>
          <w:bCs/>
          <w:iCs/>
          <w:lang w:eastAsia="en-US"/>
        </w:rPr>
      </w:pPr>
      <w:r w:rsidRPr="00F8240E">
        <w:t xml:space="preserve">OECD (2018). </w:t>
      </w:r>
      <w:r w:rsidRPr="00F8240E">
        <w:rPr>
          <w:rFonts w:eastAsiaTheme="minorHAnsi"/>
          <w:bCs/>
          <w:lang w:eastAsia="en-US"/>
        </w:rPr>
        <w:t xml:space="preserve">Social Expenditure - Aggregated data. </w:t>
      </w:r>
      <w:hyperlink r:id="rId13" w:tgtFrame="_blank" w:history="1">
        <w:r w:rsidRPr="00F8240E">
          <w:rPr>
            <w:rFonts w:eastAsiaTheme="minorHAnsi"/>
            <w:bCs/>
            <w:iCs/>
            <w:lang w:eastAsia="en-US"/>
          </w:rPr>
          <w:t>Public expenditure on old-age and survivors cash benefits, in % GDP</w:t>
        </w:r>
      </w:hyperlink>
      <w:r w:rsidRPr="00F8240E">
        <w:rPr>
          <w:rFonts w:eastAsiaTheme="minorHAnsi"/>
          <w:bCs/>
          <w:iCs/>
          <w:lang w:eastAsia="en-US"/>
        </w:rPr>
        <w:t xml:space="preserve">. Available at </w:t>
      </w:r>
      <w:hyperlink r:id="rId14" w:history="1">
        <w:r w:rsidR="00C90EAC" w:rsidRPr="00F8240E">
          <w:rPr>
            <w:rStyle w:val="Hyperlink"/>
            <w:rFonts w:eastAsiaTheme="minorHAnsi"/>
            <w:bCs/>
            <w:iCs/>
            <w:lang w:eastAsia="en-US"/>
          </w:rPr>
          <w:t>https://stats.oecd.org/Index.aspx?DataSetCode=SOCX_AGG</w:t>
        </w:r>
      </w:hyperlink>
    </w:p>
    <w:p w14:paraId="2ACE84E4" w14:textId="05F64E2E" w:rsidR="00C90EAC" w:rsidRPr="00F8240E" w:rsidRDefault="00C90EAC" w:rsidP="00453340">
      <w:pPr>
        <w:pStyle w:val="BodyText"/>
      </w:pPr>
      <w:r w:rsidRPr="00F8240E">
        <w:t xml:space="preserve">Overbye, E. (1994). </w:t>
      </w:r>
      <w:r w:rsidRPr="00F8240E">
        <w:rPr>
          <w:bCs/>
          <w:color w:val="333333"/>
        </w:rPr>
        <w:t xml:space="preserve">Convergence in Policy Outcomes: Social Security Systems in Perspective. </w:t>
      </w:r>
      <w:r w:rsidRPr="00F8240E">
        <w:rPr>
          <w:bCs/>
          <w:i/>
          <w:color w:val="333333"/>
        </w:rPr>
        <w:t>Journal of Public Policy, 14</w:t>
      </w:r>
      <w:r w:rsidRPr="00F8240E">
        <w:rPr>
          <w:bCs/>
          <w:color w:val="333333"/>
        </w:rPr>
        <w:t>: 147-174.</w:t>
      </w:r>
    </w:p>
    <w:p w14:paraId="729BFB87" w14:textId="64306D86" w:rsidR="002E2508" w:rsidRPr="00F8240E" w:rsidRDefault="002E2508" w:rsidP="00453340">
      <w:pPr>
        <w:pStyle w:val="BodyText"/>
        <w:rPr>
          <w:i/>
        </w:rPr>
      </w:pPr>
      <w:r w:rsidRPr="00F8240E">
        <w:t>Pailer. B. (</w:t>
      </w:r>
      <w:r w:rsidR="00543840" w:rsidRPr="00F8240E">
        <w:t>E</w:t>
      </w:r>
      <w:r w:rsidRPr="00F8240E">
        <w:t>d</w:t>
      </w:r>
      <w:r w:rsidR="00543840" w:rsidRPr="00F8240E">
        <w:t>.</w:t>
      </w:r>
      <w:r w:rsidRPr="00F8240E">
        <w:t>) (2011)</w:t>
      </w:r>
      <w:r w:rsidR="00543840" w:rsidRPr="00F8240E">
        <w:t>.</w:t>
      </w:r>
      <w:r w:rsidRPr="00F8240E">
        <w:t xml:space="preserve"> </w:t>
      </w:r>
      <w:r w:rsidRPr="00F8240E">
        <w:rPr>
          <w:i/>
        </w:rPr>
        <w:t xml:space="preserve">A </w:t>
      </w:r>
      <w:r w:rsidR="00E248FD" w:rsidRPr="00F8240E">
        <w:rPr>
          <w:i/>
        </w:rPr>
        <w:t>l</w:t>
      </w:r>
      <w:r w:rsidRPr="00F8240E">
        <w:rPr>
          <w:i/>
        </w:rPr>
        <w:t xml:space="preserve">ong </w:t>
      </w:r>
      <w:r w:rsidR="00E248FD" w:rsidRPr="00F8240E">
        <w:rPr>
          <w:i/>
        </w:rPr>
        <w:t>g</w:t>
      </w:r>
      <w:r w:rsidRPr="00F8240E">
        <w:rPr>
          <w:i/>
        </w:rPr>
        <w:t>oodbye to Bismarck</w:t>
      </w:r>
      <w:r w:rsidR="00E248FD" w:rsidRPr="00F8240E">
        <w:rPr>
          <w:i/>
        </w:rPr>
        <w:t>: the politics of welfare reform in continental Europe</w:t>
      </w:r>
      <w:r w:rsidR="00E248FD" w:rsidRPr="00F8240E">
        <w:t>.</w:t>
      </w:r>
      <w:r w:rsidRPr="00F8240E">
        <w:t xml:space="preserve"> Amsterdam: Amsterdam University Press</w:t>
      </w:r>
      <w:r w:rsidR="00E248FD" w:rsidRPr="00F8240E">
        <w:t>.</w:t>
      </w:r>
    </w:p>
    <w:p w14:paraId="4CD77A0C" w14:textId="47DC301C" w:rsidR="002E2508" w:rsidRPr="00F8240E" w:rsidRDefault="002E2508" w:rsidP="00453340">
      <w:pPr>
        <w:pStyle w:val="BodyText"/>
      </w:pPr>
      <w:r w:rsidRPr="00F8240E">
        <w:t>Pensions Commission (2004)</w:t>
      </w:r>
      <w:r w:rsidR="00E248FD" w:rsidRPr="00F8240E">
        <w:t>.</w:t>
      </w:r>
      <w:r w:rsidRPr="00F8240E">
        <w:t xml:space="preserve"> </w:t>
      </w:r>
      <w:r w:rsidRPr="00F8240E">
        <w:rPr>
          <w:i/>
        </w:rPr>
        <w:t xml:space="preserve">Pensions: </w:t>
      </w:r>
      <w:r w:rsidR="00E248FD" w:rsidRPr="00F8240E">
        <w:rPr>
          <w:i/>
        </w:rPr>
        <w:t>c</w:t>
      </w:r>
      <w:r w:rsidRPr="00F8240E">
        <w:rPr>
          <w:i/>
        </w:rPr>
        <w:t xml:space="preserve">hallenges and </w:t>
      </w:r>
      <w:r w:rsidR="00E248FD" w:rsidRPr="00F8240E">
        <w:rPr>
          <w:i/>
        </w:rPr>
        <w:t>c</w:t>
      </w:r>
      <w:r w:rsidRPr="00F8240E">
        <w:rPr>
          <w:i/>
        </w:rPr>
        <w:t xml:space="preserve">hoices. The </w:t>
      </w:r>
      <w:r w:rsidR="00E248FD" w:rsidRPr="00F8240E">
        <w:rPr>
          <w:i/>
        </w:rPr>
        <w:t>f</w:t>
      </w:r>
      <w:r w:rsidRPr="00F8240E">
        <w:rPr>
          <w:i/>
        </w:rPr>
        <w:t xml:space="preserve">irst </w:t>
      </w:r>
      <w:r w:rsidR="00E248FD" w:rsidRPr="00F8240E">
        <w:rPr>
          <w:i/>
        </w:rPr>
        <w:t>r</w:t>
      </w:r>
      <w:r w:rsidRPr="00F8240E">
        <w:rPr>
          <w:i/>
        </w:rPr>
        <w:t>eport of the Pensions Commission.</w:t>
      </w:r>
      <w:r w:rsidRPr="00F8240E">
        <w:t xml:space="preserve"> London: The Stationery Office. </w:t>
      </w:r>
    </w:p>
    <w:p w14:paraId="0CBBA929" w14:textId="5D7594B2" w:rsidR="002E2508" w:rsidRPr="00F8240E" w:rsidRDefault="002E2508" w:rsidP="00453340">
      <w:pPr>
        <w:pStyle w:val="BodyText"/>
      </w:pPr>
      <w:r w:rsidRPr="00F8240E">
        <w:t xml:space="preserve">Pierson, P. (1994). </w:t>
      </w:r>
      <w:r w:rsidRPr="00F8240E">
        <w:rPr>
          <w:i/>
        </w:rPr>
        <w:t>Dismantling the Welfare State?</w:t>
      </w:r>
      <w:r w:rsidRPr="00F8240E">
        <w:t xml:space="preserve"> Cambridge: C</w:t>
      </w:r>
      <w:r w:rsidR="00E248FD" w:rsidRPr="00F8240E">
        <w:t>ambridge University Press.</w:t>
      </w:r>
    </w:p>
    <w:p w14:paraId="5DF83001" w14:textId="3ED9C40F" w:rsidR="002E2508" w:rsidRPr="00F8240E" w:rsidRDefault="002E2508" w:rsidP="00453340">
      <w:pPr>
        <w:pStyle w:val="BodyText"/>
      </w:pPr>
      <w:r w:rsidRPr="00F8240E">
        <w:t>Pierson, P. (2001)</w:t>
      </w:r>
      <w:r w:rsidR="00E248FD" w:rsidRPr="00F8240E">
        <w:t xml:space="preserve">. </w:t>
      </w:r>
      <w:r w:rsidRPr="00F8240E">
        <w:t>Coping with permanent austerity: welfare state restructuring in affluent democracies</w:t>
      </w:r>
      <w:r w:rsidR="00E248FD" w:rsidRPr="00F8240E">
        <w:t>. I</w:t>
      </w:r>
      <w:r w:rsidRPr="00F8240E">
        <w:t>n P. Pie</w:t>
      </w:r>
      <w:r w:rsidR="00706FEE" w:rsidRPr="00F8240E">
        <w:t>r</w:t>
      </w:r>
      <w:r w:rsidRPr="00F8240E">
        <w:t>son (</w:t>
      </w:r>
      <w:r w:rsidR="00E248FD" w:rsidRPr="00F8240E">
        <w:t>E</w:t>
      </w:r>
      <w:r w:rsidRPr="00F8240E">
        <w:t>d</w:t>
      </w:r>
      <w:r w:rsidR="00A86933" w:rsidRPr="00F8240E">
        <w:t>.</w:t>
      </w:r>
      <w:r w:rsidRPr="00F8240E">
        <w:t xml:space="preserve">), </w:t>
      </w:r>
      <w:r w:rsidRPr="00F8240E">
        <w:rPr>
          <w:i/>
        </w:rPr>
        <w:t>The new politics of the welfare state</w:t>
      </w:r>
      <w:r w:rsidR="00E248FD" w:rsidRPr="00F8240E">
        <w:t xml:space="preserve"> (</w:t>
      </w:r>
      <w:r w:rsidR="00A06208" w:rsidRPr="00F8240E">
        <w:t>pp.</w:t>
      </w:r>
      <w:r w:rsidR="00E248FD" w:rsidRPr="00F8240E">
        <w:t>410-456).</w:t>
      </w:r>
      <w:r w:rsidRPr="00F8240E">
        <w:t xml:space="preserve"> Oxford: Oxford University Press.</w:t>
      </w:r>
    </w:p>
    <w:p w14:paraId="43433FA7" w14:textId="22A5775E" w:rsidR="00490569" w:rsidRPr="00F8240E" w:rsidRDefault="00490569" w:rsidP="00453340">
      <w:pPr>
        <w:pStyle w:val="BodyText"/>
      </w:pPr>
      <w:r w:rsidRPr="00F8240E">
        <w:t xml:space="preserve">Pierson, P. (2001). Post-industrial pressures on the mature welfare states. In P. Pierson (Ed.), </w:t>
      </w:r>
      <w:r w:rsidRPr="00F8240E">
        <w:rPr>
          <w:i/>
        </w:rPr>
        <w:t xml:space="preserve">The new politics of the welfare State </w:t>
      </w:r>
      <w:r w:rsidRPr="00F8240E">
        <w:t>(pp.80-104). Oxford: Oxford University Press.</w:t>
      </w:r>
    </w:p>
    <w:p w14:paraId="43D45DA7" w14:textId="3E72346B" w:rsidR="00E124B4" w:rsidRPr="00F8240E" w:rsidRDefault="00E124B4" w:rsidP="00453340">
      <w:pPr>
        <w:pStyle w:val="BodyText"/>
      </w:pPr>
      <w:r w:rsidRPr="00F8240E">
        <w:t>Preston,</w:t>
      </w:r>
      <w:r w:rsidR="00637A8F" w:rsidRPr="00F8240E">
        <w:t xml:space="preserve"> D. (</w:t>
      </w:r>
      <w:r w:rsidRPr="00F8240E">
        <w:t>2001</w:t>
      </w:r>
      <w:r w:rsidR="00637A8F" w:rsidRPr="00F8240E">
        <w:t xml:space="preserve">). </w:t>
      </w:r>
      <w:r w:rsidR="00706FEE" w:rsidRPr="00F8240E">
        <w:t xml:space="preserve">The compulsory retirement savings scheme referendum of 1997. </w:t>
      </w:r>
      <w:r w:rsidR="00706FEE" w:rsidRPr="00F8240E">
        <w:rPr>
          <w:i/>
        </w:rPr>
        <w:t>Social policy journal of New Zealand</w:t>
      </w:r>
      <w:r w:rsidR="00706FEE" w:rsidRPr="00F8240E">
        <w:t>, 9</w:t>
      </w:r>
      <w:r w:rsidR="00E248FD" w:rsidRPr="00F8240E">
        <w:t>. Available at</w:t>
      </w:r>
    </w:p>
    <w:p w14:paraId="469773C4" w14:textId="010B3955" w:rsidR="00706FEE" w:rsidRPr="00F8240E" w:rsidRDefault="005525C1" w:rsidP="00453340">
      <w:pPr>
        <w:pStyle w:val="BodyText"/>
      </w:pPr>
      <w:hyperlink r:id="rId15" w:history="1">
        <w:r w:rsidR="00750DB9" w:rsidRPr="00F8240E">
          <w:rPr>
            <w:rStyle w:val="Hyperlink"/>
          </w:rPr>
          <w:t>https://www.msd.govt.nz/about-msd-and-our-work/publications-resources/journals-and-magazines/social-policy-journal/spj09/compulsory-retirement-savings-scheme-referendum.html</w:t>
        </w:r>
      </w:hyperlink>
    </w:p>
    <w:p w14:paraId="568674E2" w14:textId="460144B9" w:rsidR="00750DB9" w:rsidRPr="00F8240E" w:rsidRDefault="00750DB9" w:rsidP="00453340">
      <w:pPr>
        <w:pStyle w:val="BodyText"/>
      </w:pPr>
      <w:r w:rsidRPr="00F8240E">
        <w:t xml:space="preserve">Reeve, </w:t>
      </w:r>
      <w:r w:rsidR="00A86933" w:rsidRPr="00F8240E">
        <w:t xml:space="preserve">N. </w:t>
      </w:r>
      <w:r w:rsidRPr="00F8240E">
        <w:t xml:space="preserve">(2018). </w:t>
      </w:r>
      <w:r w:rsidRPr="00F8240E">
        <w:rPr>
          <w:color w:val="1E1E1E"/>
        </w:rPr>
        <w:t>Auto-enrolment comes to Ireland in sweeping pension reforms. IPE.com, 2 March. Available at https://www.ipe.com/countries/ireland/auto-enrolment-comes-to-ireland-in-sweeping-pension-reforms/10023494.article</w:t>
      </w:r>
    </w:p>
    <w:p w14:paraId="28832E2A" w14:textId="244CBDD4" w:rsidR="003B0CC0" w:rsidRPr="00F8240E" w:rsidRDefault="003B0CC0" w:rsidP="00E248FD">
      <w:pPr>
        <w:pStyle w:val="BodyText"/>
        <w:jc w:val="left"/>
      </w:pPr>
      <w:r w:rsidRPr="00F8240E">
        <w:t xml:space="preserve">Semega, </w:t>
      </w:r>
      <w:r w:rsidR="008F744B" w:rsidRPr="00F8240E">
        <w:t xml:space="preserve">J. L., </w:t>
      </w:r>
      <w:r w:rsidRPr="00F8240E">
        <w:t>Fontenot,</w:t>
      </w:r>
      <w:r w:rsidR="008F744B" w:rsidRPr="00F8240E">
        <w:t xml:space="preserve"> K. R.</w:t>
      </w:r>
      <w:r w:rsidRPr="00F8240E">
        <w:t xml:space="preserve"> </w:t>
      </w:r>
      <w:r w:rsidR="00E248FD" w:rsidRPr="00F8240E">
        <w:t>&amp;</w:t>
      </w:r>
      <w:r w:rsidRPr="00F8240E">
        <w:t xml:space="preserve"> Kollar,</w:t>
      </w:r>
      <w:r w:rsidR="008F744B" w:rsidRPr="00F8240E">
        <w:t xml:space="preserve"> M. A.</w:t>
      </w:r>
      <w:r w:rsidRPr="00F8240E">
        <w:t xml:space="preserve"> (2017)</w:t>
      </w:r>
      <w:r w:rsidR="00E248FD" w:rsidRPr="00F8240E">
        <w:t>.</w:t>
      </w:r>
      <w:r w:rsidRPr="00F8240E">
        <w:t xml:space="preserve">  </w:t>
      </w:r>
      <w:r w:rsidRPr="00F8240E">
        <w:rPr>
          <w:i/>
        </w:rPr>
        <w:t>Income and Poverty in the United States: 2016 Current Population Report</w:t>
      </w:r>
      <w:r w:rsidR="00E248FD" w:rsidRPr="00F8240E">
        <w:rPr>
          <w:i/>
        </w:rPr>
        <w:t>.</w:t>
      </w:r>
      <w:r w:rsidRPr="00F8240E">
        <w:rPr>
          <w:i/>
        </w:rPr>
        <w:t xml:space="preserve">  </w:t>
      </w:r>
      <w:r w:rsidR="00E248FD" w:rsidRPr="00F8240E">
        <w:t xml:space="preserve">Current Population Reports, U.S. Department of Commerce. Available at: </w:t>
      </w:r>
      <w:hyperlink r:id="rId16" w:history="1">
        <w:r w:rsidR="00E248FD" w:rsidRPr="00F8240E">
          <w:rPr>
            <w:rStyle w:val="Hyperlink"/>
          </w:rPr>
          <w:t>https://www.census.gov/content/dam/Census/library/publications/2017/demo/P60-259.pdf</w:t>
        </w:r>
      </w:hyperlink>
    </w:p>
    <w:p w14:paraId="1407A196" w14:textId="38F83588" w:rsidR="00B857A5" w:rsidRPr="00F8240E" w:rsidRDefault="00B857A5" w:rsidP="00453340">
      <w:pPr>
        <w:pStyle w:val="BodyText"/>
        <w:rPr>
          <w:rFonts w:eastAsiaTheme="minorEastAsia"/>
          <w:color w:val="000000" w:themeColor="text1"/>
          <w:kern w:val="24"/>
        </w:rPr>
      </w:pPr>
      <w:r w:rsidRPr="00F8240E">
        <w:t xml:space="preserve">Siegel, </w:t>
      </w:r>
      <w:r w:rsidR="00AF6980" w:rsidRPr="00F8240E">
        <w:t>N. (</w:t>
      </w:r>
      <w:r w:rsidRPr="00F8240E">
        <w:t>2007</w:t>
      </w:r>
      <w:r w:rsidR="00AF6980" w:rsidRPr="00F8240E">
        <w:t xml:space="preserve">). When (only) money matters: the pros and cons of expenditure analysis. In J. </w:t>
      </w:r>
      <w:r w:rsidR="00AF6980" w:rsidRPr="00F8240E">
        <w:rPr>
          <w:rFonts w:eastAsiaTheme="minorEastAsia"/>
          <w:color w:val="000000" w:themeColor="text1"/>
          <w:kern w:val="24"/>
        </w:rPr>
        <w:t>Clasen</w:t>
      </w:r>
      <w:r w:rsidR="00E248FD" w:rsidRPr="00F8240E">
        <w:rPr>
          <w:rFonts w:eastAsiaTheme="minorEastAsia"/>
          <w:color w:val="000000" w:themeColor="text1"/>
          <w:kern w:val="24"/>
        </w:rPr>
        <w:t>, J.</w:t>
      </w:r>
      <w:r w:rsidR="00AF6980" w:rsidRPr="00F8240E">
        <w:rPr>
          <w:rFonts w:eastAsiaTheme="minorEastAsia"/>
          <w:color w:val="000000" w:themeColor="text1"/>
          <w:kern w:val="24"/>
        </w:rPr>
        <w:t xml:space="preserve"> </w:t>
      </w:r>
      <w:r w:rsidR="00E248FD" w:rsidRPr="00F8240E">
        <w:rPr>
          <w:rFonts w:eastAsiaTheme="minorEastAsia"/>
          <w:color w:val="000000" w:themeColor="text1"/>
          <w:kern w:val="24"/>
        </w:rPr>
        <w:t>&amp;</w:t>
      </w:r>
      <w:r w:rsidR="00AF6980" w:rsidRPr="00F8240E">
        <w:rPr>
          <w:rFonts w:eastAsiaTheme="minorEastAsia"/>
          <w:color w:val="000000" w:themeColor="text1"/>
          <w:kern w:val="24"/>
        </w:rPr>
        <w:t xml:space="preserve"> N. Siegel, (</w:t>
      </w:r>
      <w:r w:rsidR="00E248FD" w:rsidRPr="00F8240E">
        <w:rPr>
          <w:rFonts w:eastAsiaTheme="minorEastAsia"/>
          <w:color w:val="000000" w:themeColor="text1"/>
          <w:kern w:val="24"/>
        </w:rPr>
        <w:t>E</w:t>
      </w:r>
      <w:r w:rsidR="00AF6980" w:rsidRPr="00F8240E">
        <w:rPr>
          <w:rFonts w:eastAsiaTheme="minorEastAsia"/>
          <w:color w:val="000000" w:themeColor="text1"/>
          <w:kern w:val="24"/>
        </w:rPr>
        <w:t>ds</w:t>
      </w:r>
      <w:r w:rsidR="00E248FD" w:rsidRPr="00F8240E">
        <w:rPr>
          <w:rFonts w:eastAsiaTheme="minorEastAsia"/>
          <w:color w:val="000000" w:themeColor="text1"/>
          <w:kern w:val="24"/>
        </w:rPr>
        <w:t>,</w:t>
      </w:r>
      <w:r w:rsidR="00AF6980" w:rsidRPr="00F8240E">
        <w:rPr>
          <w:rFonts w:eastAsiaTheme="minorEastAsia"/>
          <w:color w:val="000000" w:themeColor="text1"/>
          <w:kern w:val="24"/>
        </w:rPr>
        <w:t>)</w:t>
      </w:r>
      <w:r w:rsidR="00E248FD" w:rsidRPr="00F8240E">
        <w:rPr>
          <w:rFonts w:eastAsiaTheme="minorEastAsia"/>
          <w:color w:val="000000" w:themeColor="text1"/>
          <w:kern w:val="24"/>
        </w:rPr>
        <w:t>,</w:t>
      </w:r>
      <w:r w:rsidR="00AF6980" w:rsidRPr="00F8240E">
        <w:rPr>
          <w:rFonts w:eastAsiaTheme="minorEastAsia"/>
          <w:color w:val="000000" w:themeColor="text1"/>
          <w:kern w:val="24"/>
        </w:rPr>
        <w:t xml:space="preserve"> </w:t>
      </w:r>
      <w:r w:rsidR="00AF6980" w:rsidRPr="00F8240E">
        <w:rPr>
          <w:rFonts w:eastAsiaTheme="minorEastAsia"/>
          <w:i/>
          <w:color w:val="000000" w:themeColor="text1"/>
          <w:kern w:val="24"/>
        </w:rPr>
        <w:t>Investigating welfare state change: the ‘dependent variable problem’ in comparative analysis</w:t>
      </w:r>
      <w:r w:rsidR="00E248FD" w:rsidRPr="00F8240E">
        <w:rPr>
          <w:rFonts w:eastAsiaTheme="minorEastAsia"/>
          <w:i/>
          <w:color w:val="000000" w:themeColor="text1"/>
          <w:kern w:val="24"/>
        </w:rPr>
        <w:t xml:space="preserve"> </w:t>
      </w:r>
      <w:r w:rsidR="00E248FD" w:rsidRPr="00F8240E">
        <w:rPr>
          <w:rFonts w:eastAsiaTheme="minorEastAsia"/>
          <w:color w:val="000000" w:themeColor="text1"/>
          <w:kern w:val="24"/>
        </w:rPr>
        <w:t>(pp.43-71)</w:t>
      </w:r>
      <w:r w:rsidR="00AF6980" w:rsidRPr="00F8240E">
        <w:rPr>
          <w:rFonts w:eastAsiaTheme="minorEastAsia"/>
          <w:color w:val="000000" w:themeColor="text1"/>
          <w:kern w:val="24"/>
        </w:rPr>
        <w:t>. Cheltenham: Edward Elgar.</w:t>
      </w:r>
    </w:p>
    <w:p w14:paraId="252A8397" w14:textId="22D5D1C1" w:rsidR="00465D8F" w:rsidRPr="00F8240E" w:rsidRDefault="00465D8F" w:rsidP="00453340">
      <w:pPr>
        <w:pStyle w:val="BodyText"/>
        <w:rPr>
          <w:color w:val="000000"/>
        </w:rPr>
      </w:pPr>
      <w:r w:rsidRPr="00F8240E">
        <w:rPr>
          <w:color w:val="000000"/>
        </w:rPr>
        <w:t>Scruggs, L</w:t>
      </w:r>
      <w:r w:rsidR="00A65128" w:rsidRPr="00F8240E">
        <w:rPr>
          <w:color w:val="000000"/>
        </w:rPr>
        <w:t>.</w:t>
      </w:r>
      <w:r w:rsidRPr="00F8240E">
        <w:rPr>
          <w:color w:val="000000"/>
        </w:rPr>
        <w:t>, Detlef J</w:t>
      </w:r>
      <w:r w:rsidR="00A65128" w:rsidRPr="00F8240E">
        <w:rPr>
          <w:color w:val="000000"/>
        </w:rPr>
        <w:t>.</w:t>
      </w:r>
      <w:r w:rsidRPr="00F8240E">
        <w:rPr>
          <w:color w:val="000000"/>
        </w:rPr>
        <w:t xml:space="preserve"> </w:t>
      </w:r>
      <w:r w:rsidR="00A86933" w:rsidRPr="00F8240E">
        <w:rPr>
          <w:color w:val="000000"/>
        </w:rPr>
        <w:t>&amp;</w:t>
      </w:r>
      <w:r w:rsidRPr="00F8240E">
        <w:rPr>
          <w:color w:val="000000"/>
        </w:rPr>
        <w:t xml:space="preserve"> Kuitto</w:t>
      </w:r>
      <w:r w:rsidR="00A65128" w:rsidRPr="00F8240E">
        <w:rPr>
          <w:color w:val="000000"/>
        </w:rPr>
        <w:t>, K.</w:t>
      </w:r>
      <w:r w:rsidRPr="00F8240E">
        <w:rPr>
          <w:color w:val="000000"/>
        </w:rPr>
        <w:t xml:space="preserve"> </w:t>
      </w:r>
      <w:r w:rsidR="00A65128" w:rsidRPr="00F8240E">
        <w:rPr>
          <w:color w:val="000000"/>
        </w:rPr>
        <w:t>(</w:t>
      </w:r>
      <w:r w:rsidRPr="00F8240E">
        <w:rPr>
          <w:color w:val="000000"/>
        </w:rPr>
        <w:t>2017</w:t>
      </w:r>
      <w:r w:rsidR="00A65128" w:rsidRPr="00F8240E">
        <w:rPr>
          <w:color w:val="000000"/>
        </w:rPr>
        <w:t>a)</w:t>
      </w:r>
      <w:r w:rsidRPr="00F8240E">
        <w:rPr>
          <w:color w:val="000000"/>
        </w:rPr>
        <w:t>. Comparative Welfare Entitlements Dataset 2. Version 2017-09. University of Connecticut &amp; University of Greifswald.</w:t>
      </w:r>
    </w:p>
    <w:p w14:paraId="1A8EC5A7" w14:textId="4ECA6355" w:rsidR="00A65128" w:rsidRPr="00F8240E" w:rsidRDefault="00A65128" w:rsidP="00453340">
      <w:pPr>
        <w:pStyle w:val="BodyText"/>
      </w:pPr>
      <w:r w:rsidRPr="00F8240E">
        <w:rPr>
          <w:color w:val="000000"/>
        </w:rPr>
        <w:t xml:space="preserve">Scruggs, L., Detlef J. </w:t>
      </w:r>
      <w:r w:rsidR="00A86933" w:rsidRPr="00F8240E">
        <w:rPr>
          <w:color w:val="000000"/>
        </w:rPr>
        <w:t>&amp;</w:t>
      </w:r>
      <w:r w:rsidRPr="00F8240E">
        <w:rPr>
          <w:color w:val="000000"/>
        </w:rPr>
        <w:t xml:space="preserve"> Kuitto, K. (2017b). Comparative Welfare Entitlements Dataset 2 Codebook. Version 2017-09. University of Connecticut &amp; University of Greifswald.</w:t>
      </w:r>
    </w:p>
    <w:p w14:paraId="15940BA8" w14:textId="0484E5A4" w:rsidR="00E124B4" w:rsidRPr="00F8240E" w:rsidRDefault="00E124B4" w:rsidP="00453340">
      <w:pPr>
        <w:pStyle w:val="BodyText"/>
      </w:pPr>
      <w:r w:rsidRPr="00F8240E">
        <w:t>Starke,</w:t>
      </w:r>
      <w:r w:rsidR="00637A8F" w:rsidRPr="00F8240E">
        <w:t xml:space="preserve"> P. (</w:t>
      </w:r>
      <w:r w:rsidRPr="00F8240E">
        <w:t>2008</w:t>
      </w:r>
      <w:r w:rsidR="00637A8F" w:rsidRPr="00F8240E">
        <w:t>)</w:t>
      </w:r>
      <w:r w:rsidR="00E248FD" w:rsidRPr="00F8240E">
        <w:t>.</w:t>
      </w:r>
      <w:r w:rsidR="00637A8F" w:rsidRPr="00F8240E">
        <w:t xml:space="preserve"> </w:t>
      </w:r>
      <w:r w:rsidR="00637A8F" w:rsidRPr="00F8240E">
        <w:rPr>
          <w:i/>
        </w:rPr>
        <w:t>Radical welfare state retrenchment: a comparative analysis</w:t>
      </w:r>
      <w:r w:rsidR="00637A8F" w:rsidRPr="00F8240E">
        <w:t xml:space="preserve">. Basingstoke: Palgrave, Macmillan. </w:t>
      </w:r>
      <w:r w:rsidRPr="00F8240E">
        <w:t xml:space="preserve"> </w:t>
      </w:r>
    </w:p>
    <w:p w14:paraId="1A128CCA" w14:textId="358AF9B4" w:rsidR="002E2508" w:rsidRPr="00F8240E" w:rsidRDefault="002E2508" w:rsidP="00453340">
      <w:pPr>
        <w:pStyle w:val="BodyText"/>
      </w:pPr>
      <w:r w:rsidRPr="00F8240E">
        <w:t>Timmins, N. (1995)</w:t>
      </w:r>
      <w:r w:rsidR="00E248FD" w:rsidRPr="00F8240E">
        <w:t>.</w:t>
      </w:r>
      <w:r w:rsidRPr="00F8240E">
        <w:t xml:space="preserve"> </w:t>
      </w:r>
      <w:r w:rsidRPr="00F8240E">
        <w:rPr>
          <w:i/>
        </w:rPr>
        <w:t>The five giants: a biography of the welfare state</w:t>
      </w:r>
      <w:r w:rsidR="00E248FD" w:rsidRPr="00F8240E">
        <w:t>.</w:t>
      </w:r>
      <w:r w:rsidRPr="00F8240E">
        <w:t xml:space="preserve"> London: Harper Collins</w:t>
      </w:r>
    </w:p>
    <w:p w14:paraId="0271B2B1" w14:textId="7C4B9A4E" w:rsidR="00924CE9" w:rsidRPr="00F8240E" w:rsidRDefault="00924CE9" w:rsidP="00AE63F0">
      <w:pPr>
        <w:spacing w:line="480" w:lineRule="auto"/>
        <w:rPr>
          <w:rFonts w:ascii="Times New Roman" w:hAnsi="Times New Roman" w:cs="Times New Roman"/>
          <w:sz w:val="24"/>
          <w:szCs w:val="24"/>
        </w:rPr>
      </w:pPr>
      <w:r w:rsidRPr="00F8240E">
        <w:rPr>
          <w:rFonts w:ascii="Times New Roman" w:hAnsi="Times New Roman" w:cs="Times New Roman"/>
          <w:sz w:val="24"/>
          <w:szCs w:val="24"/>
        </w:rPr>
        <w:t xml:space="preserve">United Nations (2017) </w:t>
      </w:r>
      <w:r w:rsidRPr="00F8240E">
        <w:rPr>
          <w:rFonts w:ascii="Times New Roman" w:hAnsi="Times New Roman" w:cs="Times New Roman"/>
          <w:i/>
          <w:sz w:val="24"/>
          <w:szCs w:val="24"/>
        </w:rPr>
        <w:t>World Population Prospects: The 2017 Revision.</w:t>
      </w:r>
      <w:r w:rsidRPr="00F8240E">
        <w:rPr>
          <w:rFonts w:ascii="Times New Roman" w:hAnsi="Times New Roman" w:cs="Times New Roman"/>
          <w:sz w:val="24"/>
          <w:szCs w:val="24"/>
        </w:rPr>
        <w:t xml:space="preserve"> United Nations. Available at </w:t>
      </w:r>
      <w:hyperlink r:id="rId17" w:history="1">
        <w:r w:rsidR="00A2162B" w:rsidRPr="00F8240E">
          <w:rPr>
            <w:rStyle w:val="Hyperlink"/>
            <w:rFonts w:ascii="Times New Roman" w:hAnsi="Times New Roman" w:cs="Times New Roman"/>
            <w:sz w:val="24"/>
            <w:szCs w:val="24"/>
          </w:rPr>
          <w:t>https://www.un.org/development/desa/publications/world-population-prospects-the-2017-revision.html</w:t>
        </w:r>
      </w:hyperlink>
    </w:p>
    <w:p w14:paraId="51939C22" w14:textId="456A8BDE" w:rsidR="00A2162B" w:rsidRPr="00F8240E" w:rsidRDefault="00A2162B" w:rsidP="00AE63F0">
      <w:pPr>
        <w:spacing w:line="480" w:lineRule="auto"/>
        <w:rPr>
          <w:rFonts w:ascii="Times New Roman" w:hAnsi="Times New Roman" w:cs="Times New Roman"/>
          <w:sz w:val="24"/>
          <w:szCs w:val="24"/>
        </w:rPr>
      </w:pPr>
      <w:r w:rsidRPr="00F8240E">
        <w:rPr>
          <w:rFonts w:ascii="Times New Roman" w:hAnsi="Times New Roman" w:cs="Times New Roman"/>
          <w:sz w:val="24"/>
          <w:szCs w:val="24"/>
        </w:rPr>
        <w:t xml:space="preserve">United States Department of Labor (2018). </w:t>
      </w:r>
      <w:r w:rsidRPr="00F8240E">
        <w:rPr>
          <w:rFonts w:ascii="Times New Roman" w:hAnsi="Times New Roman" w:cs="Times New Roman"/>
          <w:i/>
          <w:sz w:val="24"/>
          <w:szCs w:val="24"/>
        </w:rPr>
        <w:t xml:space="preserve">Private Pension Plan Bulletin Historical Tables and Graphs 1975-2015. </w:t>
      </w:r>
      <w:r w:rsidRPr="00F8240E">
        <w:rPr>
          <w:rFonts w:ascii="Times New Roman" w:hAnsi="Times New Roman" w:cs="Times New Roman"/>
          <w:sz w:val="24"/>
          <w:szCs w:val="24"/>
        </w:rPr>
        <w:t>Available at https://www.dol.gov/sites/default/files/ebsa/researchers/statistics/retirement-bulletins/private-pension-plan-bulletin-historical-tables-and-graphs.pdf</w:t>
      </w:r>
    </w:p>
    <w:p w14:paraId="2087DF3A" w14:textId="161017E7" w:rsidR="00AE63F0" w:rsidRPr="00F8240E" w:rsidRDefault="00637A8F" w:rsidP="00AE63F0">
      <w:pPr>
        <w:spacing w:line="480" w:lineRule="auto"/>
        <w:rPr>
          <w:rFonts w:ascii="Times New Roman" w:eastAsia="Times New Roman" w:hAnsi="Times New Roman" w:cs="Times New Roman"/>
          <w:sz w:val="24"/>
          <w:szCs w:val="24"/>
          <w:lang w:eastAsia="en-GB"/>
        </w:rPr>
      </w:pPr>
      <w:r w:rsidRPr="00F8240E">
        <w:rPr>
          <w:rFonts w:ascii="Times New Roman" w:hAnsi="Times New Roman" w:cs="Times New Roman"/>
          <w:sz w:val="24"/>
          <w:szCs w:val="24"/>
        </w:rPr>
        <w:t xml:space="preserve">Waine, B. (1995). A disaster foretold? The case of personal pension. </w:t>
      </w:r>
      <w:r w:rsidRPr="00F8240E">
        <w:rPr>
          <w:rFonts w:ascii="Times New Roman" w:hAnsi="Times New Roman" w:cs="Times New Roman"/>
          <w:i/>
          <w:sz w:val="24"/>
          <w:szCs w:val="24"/>
        </w:rPr>
        <w:t>Social policy and administration</w:t>
      </w:r>
      <w:r w:rsidR="00E248FD" w:rsidRPr="00F8240E">
        <w:rPr>
          <w:rFonts w:ascii="Times New Roman" w:hAnsi="Times New Roman" w:cs="Times New Roman"/>
          <w:sz w:val="24"/>
          <w:szCs w:val="24"/>
        </w:rPr>
        <w:t xml:space="preserve">, </w:t>
      </w:r>
      <w:r w:rsidR="00E248FD" w:rsidRPr="00F8240E">
        <w:rPr>
          <w:rFonts w:ascii="Times New Roman" w:hAnsi="Times New Roman" w:cs="Times New Roman"/>
          <w:i/>
          <w:sz w:val="24"/>
          <w:szCs w:val="24"/>
        </w:rPr>
        <w:t xml:space="preserve">29, </w:t>
      </w:r>
      <w:r w:rsidRPr="00F8240E">
        <w:rPr>
          <w:rFonts w:ascii="Times New Roman" w:hAnsi="Times New Roman" w:cs="Times New Roman"/>
          <w:sz w:val="24"/>
          <w:szCs w:val="24"/>
        </w:rPr>
        <w:t>317-34.</w:t>
      </w:r>
      <w:r w:rsidR="00AE63F0" w:rsidRPr="00F8240E">
        <w:rPr>
          <w:rFonts w:ascii="Times New Roman" w:hAnsi="Times New Roman" w:cs="Times New Roman"/>
          <w:sz w:val="24"/>
          <w:szCs w:val="24"/>
        </w:rPr>
        <w:t xml:space="preserve"> </w:t>
      </w:r>
      <w:r w:rsidR="00FF7229" w:rsidRPr="00F8240E">
        <w:rPr>
          <w:rFonts w:ascii="Times New Roman" w:hAnsi="Times New Roman" w:cs="Times New Roman"/>
          <w:sz w:val="24"/>
          <w:szCs w:val="24"/>
        </w:rPr>
        <w:t>doi:</w:t>
      </w:r>
      <w:hyperlink r:id="rId18" w:history="1">
        <w:r w:rsidR="00AE63F0" w:rsidRPr="00F8240E">
          <w:rPr>
            <w:rFonts w:ascii="Times New Roman" w:eastAsia="Times New Roman" w:hAnsi="Times New Roman" w:cs="Times New Roman"/>
            <w:bCs/>
            <w:sz w:val="24"/>
            <w:szCs w:val="24"/>
            <w:lang w:eastAsia="en-GB"/>
          </w:rPr>
          <w:t>10.1111/j.1467-9515.1995.tb00472</w:t>
        </w:r>
      </w:hyperlink>
      <w:r w:rsidR="00FF7229" w:rsidRPr="00F8240E">
        <w:rPr>
          <w:rFonts w:ascii="Times New Roman" w:eastAsia="Times New Roman" w:hAnsi="Times New Roman" w:cs="Times New Roman"/>
          <w:sz w:val="24"/>
          <w:szCs w:val="24"/>
          <w:lang w:eastAsia="en-GB"/>
        </w:rPr>
        <w:t>.</w:t>
      </w:r>
    </w:p>
    <w:p w14:paraId="7DF60438" w14:textId="5B580525" w:rsidR="00637A8F" w:rsidRPr="00F8240E" w:rsidRDefault="00924CE9" w:rsidP="00637A8F">
      <w:pPr>
        <w:pStyle w:val="BodyText"/>
        <w:ind w:left="720" w:hanging="720"/>
      </w:pPr>
      <w:r w:rsidRPr="00F8240E">
        <w:t>World Bank (2018). World Bank open data. Available at https://data.worldbank.org/</w:t>
      </w:r>
    </w:p>
    <w:p w14:paraId="24230DC3" w14:textId="6FD3B62C" w:rsidR="00125AA4" w:rsidRPr="00F8240E" w:rsidRDefault="00125AA4" w:rsidP="00637A8F">
      <w:pPr>
        <w:pStyle w:val="BodyText"/>
        <w:ind w:left="720" w:hanging="720"/>
      </w:pPr>
    </w:p>
    <w:p w14:paraId="62B82242" w14:textId="0985FD59" w:rsidR="00C21460" w:rsidRPr="00F8240E" w:rsidRDefault="00C21460" w:rsidP="00453340">
      <w:pPr>
        <w:spacing w:line="480" w:lineRule="auto"/>
        <w:jc w:val="both"/>
        <w:rPr>
          <w:rFonts w:ascii="Times New Roman" w:hAnsi="Times New Roman" w:cs="Times New Roman"/>
          <w:sz w:val="24"/>
          <w:szCs w:val="24"/>
        </w:rPr>
      </w:pPr>
    </w:p>
    <w:p w14:paraId="08692AC6" w14:textId="77777777" w:rsidR="00797316" w:rsidRPr="00F8240E" w:rsidRDefault="00797316">
      <w:pPr>
        <w:spacing w:after="160" w:line="259" w:lineRule="auto"/>
        <w:rPr>
          <w:rFonts w:ascii="Times New Roman" w:hAnsi="Times New Roman" w:cs="Times New Roman"/>
          <w:sz w:val="24"/>
          <w:szCs w:val="24"/>
        </w:rPr>
      </w:pPr>
      <w:r w:rsidRPr="00F8240E">
        <w:rPr>
          <w:rFonts w:ascii="Times New Roman" w:hAnsi="Times New Roman" w:cs="Times New Roman"/>
          <w:sz w:val="24"/>
          <w:szCs w:val="24"/>
        </w:rPr>
        <w:br w:type="page"/>
      </w:r>
    </w:p>
    <w:p w14:paraId="7454FB92" w14:textId="7D273489" w:rsidR="00125AA4" w:rsidRPr="00F8240E" w:rsidRDefault="00125AA4" w:rsidP="00453340">
      <w:pPr>
        <w:spacing w:line="480" w:lineRule="auto"/>
        <w:jc w:val="both"/>
        <w:rPr>
          <w:rFonts w:ascii="Times New Roman" w:hAnsi="Times New Roman" w:cs="Times New Roman"/>
          <w:sz w:val="24"/>
          <w:szCs w:val="24"/>
        </w:rPr>
      </w:pPr>
      <w:r w:rsidRPr="00F8240E">
        <w:rPr>
          <w:rFonts w:ascii="Times New Roman" w:hAnsi="Times New Roman" w:cs="Times New Roman"/>
          <w:sz w:val="24"/>
          <w:szCs w:val="24"/>
        </w:rPr>
        <w:t>Table and figures</w:t>
      </w:r>
    </w:p>
    <w:p w14:paraId="64176633" w14:textId="394F9647" w:rsidR="00797316" w:rsidRPr="00F8240E" w:rsidRDefault="00797316" w:rsidP="00453340">
      <w:pPr>
        <w:spacing w:line="480" w:lineRule="auto"/>
        <w:jc w:val="both"/>
        <w:rPr>
          <w:rFonts w:ascii="Times New Roman" w:hAnsi="Times New Roman" w:cs="Times New Roman"/>
          <w:sz w:val="24"/>
          <w:szCs w:val="24"/>
        </w:rPr>
      </w:pPr>
      <w:r w:rsidRPr="00F8240E">
        <w:rPr>
          <w:noProof/>
          <w:lang w:eastAsia="en-GB"/>
        </w:rPr>
        <w:drawing>
          <wp:inline distT="0" distB="0" distL="0" distR="0" wp14:anchorId="19933D3A" wp14:editId="44AF2B3D">
            <wp:extent cx="5731510" cy="36449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644953"/>
                    </a:xfrm>
                    <a:prstGeom prst="rect">
                      <a:avLst/>
                    </a:prstGeom>
                    <a:noFill/>
                    <a:ln>
                      <a:noFill/>
                    </a:ln>
                  </pic:spPr>
                </pic:pic>
              </a:graphicData>
            </a:graphic>
          </wp:inline>
        </w:drawing>
      </w:r>
    </w:p>
    <w:p w14:paraId="4D072C0C" w14:textId="459AA048" w:rsidR="00C21460" w:rsidRPr="00F8240E" w:rsidRDefault="00C21460" w:rsidP="00453340">
      <w:pPr>
        <w:spacing w:line="480" w:lineRule="auto"/>
        <w:jc w:val="both"/>
        <w:rPr>
          <w:i/>
          <w:sz w:val="24"/>
          <w:szCs w:val="24"/>
        </w:rPr>
      </w:pPr>
    </w:p>
    <w:p w14:paraId="5803C664" w14:textId="575BFA99" w:rsidR="00797316" w:rsidRPr="00F8240E" w:rsidRDefault="00797316" w:rsidP="00453340">
      <w:pPr>
        <w:spacing w:line="480" w:lineRule="auto"/>
        <w:jc w:val="both"/>
        <w:rPr>
          <w:i/>
          <w:sz w:val="24"/>
          <w:szCs w:val="24"/>
        </w:rPr>
      </w:pPr>
      <w:r w:rsidRPr="00F8240E">
        <w:rPr>
          <w:noProof/>
          <w:lang w:eastAsia="en-GB"/>
        </w:rPr>
        <w:drawing>
          <wp:inline distT="0" distB="0" distL="0" distR="0" wp14:anchorId="4EAB92EF" wp14:editId="590271C0">
            <wp:extent cx="5731510" cy="4810374"/>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810374"/>
                    </a:xfrm>
                    <a:prstGeom prst="rect">
                      <a:avLst/>
                    </a:prstGeom>
                    <a:noFill/>
                    <a:ln>
                      <a:noFill/>
                    </a:ln>
                  </pic:spPr>
                </pic:pic>
              </a:graphicData>
            </a:graphic>
          </wp:inline>
        </w:drawing>
      </w:r>
    </w:p>
    <w:p w14:paraId="078BBD98" w14:textId="0F1AA2EC" w:rsidR="00797316" w:rsidRPr="00F8240E" w:rsidRDefault="00797316">
      <w:pPr>
        <w:spacing w:after="160" w:line="259" w:lineRule="auto"/>
        <w:rPr>
          <w:sz w:val="24"/>
          <w:szCs w:val="24"/>
        </w:rPr>
      </w:pPr>
      <w:r w:rsidRPr="00F8240E">
        <w:rPr>
          <w:sz w:val="24"/>
          <w:szCs w:val="24"/>
        </w:rPr>
        <w:br w:type="page"/>
      </w:r>
    </w:p>
    <w:p w14:paraId="0BE8F075" w14:textId="0348F498" w:rsidR="0093248E" w:rsidRPr="00F8240E" w:rsidRDefault="00D428D5" w:rsidP="00453340">
      <w:pPr>
        <w:jc w:val="both"/>
        <w:rPr>
          <w:sz w:val="24"/>
          <w:szCs w:val="24"/>
        </w:rPr>
      </w:pPr>
      <w:r w:rsidRPr="00F8240E">
        <w:rPr>
          <w:noProof/>
          <w:sz w:val="24"/>
          <w:szCs w:val="24"/>
          <w:lang w:eastAsia="en-GB"/>
        </w:rPr>
        <w:drawing>
          <wp:inline distT="0" distB="0" distL="0" distR="0" wp14:anchorId="696D3598" wp14:editId="4C6CC185">
            <wp:extent cx="4291965" cy="2828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1965" cy="2828925"/>
                    </a:xfrm>
                    <a:prstGeom prst="rect">
                      <a:avLst/>
                    </a:prstGeom>
                    <a:noFill/>
                  </pic:spPr>
                </pic:pic>
              </a:graphicData>
            </a:graphic>
          </wp:inline>
        </w:drawing>
      </w:r>
    </w:p>
    <w:p w14:paraId="27F45A5B" w14:textId="7E127463" w:rsidR="00797316" w:rsidRPr="00F8240E" w:rsidRDefault="00797316" w:rsidP="00453340">
      <w:pPr>
        <w:jc w:val="both"/>
        <w:rPr>
          <w:sz w:val="24"/>
          <w:szCs w:val="24"/>
        </w:rPr>
      </w:pPr>
    </w:p>
    <w:p w14:paraId="2507E770" w14:textId="56DE8344" w:rsidR="00337A55" w:rsidRPr="00F8240E" w:rsidRDefault="005072F3">
      <w:pPr>
        <w:spacing w:after="160" w:line="259" w:lineRule="auto"/>
        <w:rPr>
          <w:rFonts w:ascii="Times New Roman" w:hAnsi="Times New Roman" w:cs="Times New Roman"/>
          <w:sz w:val="20"/>
          <w:szCs w:val="20"/>
        </w:rPr>
      </w:pPr>
      <w:bookmarkStart w:id="23" w:name="_Hlk513809103"/>
      <w:r w:rsidRPr="00F8240E">
        <w:rPr>
          <w:rFonts w:ascii="Times New Roman" w:hAnsi="Times New Roman" w:cs="Times New Roman"/>
          <w:sz w:val="20"/>
          <w:szCs w:val="20"/>
        </w:rPr>
        <w:t>Source: CWED dataset</w:t>
      </w:r>
      <w:bookmarkEnd w:id="23"/>
      <w:r w:rsidR="00337A55" w:rsidRPr="00F8240E">
        <w:rPr>
          <w:rFonts w:ascii="Times New Roman" w:hAnsi="Times New Roman" w:cs="Times New Roman"/>
          <w:sz w:val="20"/>
          <w:szCs w:val="20"/>
        </w:rPr>
        <w:br w:type="page"/>
      </w:r>
    </w:p>
    <w:p w14:paraId="0B74BEAE" w14:textId="77777777" w:rsidR="00337A55" w:rsidRPr="00F8240E" w:rsidRDefault="00337A55" w:rsidP="00453340">
      <w:pPr>
        <w:jc w:val="both"/>
        <w:rPr>
          <w:sz w:val="24"/>
          <w:szCs w:val="24"/>
        </w:rPr>
      </w:pPr>
    </w:p>
    <w:p w14:paraId="2C287B3F" w14:textId="77777777" w:rsidR="00337A55" w:rsidRPr="00F8240E" w:rsidRDefault="00337A55" w:rsidP="00453340">
      <w:pPr>
        <w:jc w:val="both"/>
        <w:rPr>
          <w:sz w:val="24"/>
          <w:szCs w:val="24"/>
        </w:rPr>
      </w:pPr>
    </w:p>
    <w:p w14:paraId="191E2ED8" w14:textId="1A42CBFA" w:rsidR="00337A55" w:rsidRPr="00F8240E" w:rsidRDefault="00D428D5" w:rsidP="00453340">
      <w:pPr>
        <w:jc w:val="both"/>
        <w:rPr>
          <w:sz w:val="24"/>
          <w:szCs w:val="24"/>
        </w:rPr>
      </w:pPr>
      <w:r w:rsidRPr="00F8240E">
        <w:rPr>
          <w:noProof/>
          <w:sz w:val="24"/>
          <w:szCs w:val="24"/>
          <w:lang w:eastAsia="en-GB"/>
        </w:rPr>
        <w:drawing>
          <wp:inline distT="0" distB="0" distL="0" distR="0" wp14:anchorId="278B42D7" wp14:editId="6179D73B">
            <wp:extent cx="4267835" cy="2865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835" cy="2865120"/>
                    </a:xfrm>
                    <a:prstGeom prst="rect">
                      <a:avLst/>
                    </a:prstGeom>
                    <a:noFill/>
                  </pic:spPr>
                </pic:pic>
              </a:graphicData>
            </a:graphic>
          </wp:inline>
        </w:drawing>
      </w:r>
    </w:p>
    <w:p w14:paraId="134E37D5" w14:textId="78DC32EC" w:rsidR="00337A55" w:rsidRPr="00F8240E" w:rsidRDefault="00337A55" w:rsidP="00453340">
      <w:pPr>
        <w:jc w:val="both"/>
        <w:rPr>
          <w:sz w:val="24"/>
          <w:szCs w:val="24"/>
        </w:rPr>
      </w:pPr>
    </w:p>
    <w:p w14:paraId="329A7668" w14:textId="03E4E326" w:rsidR="00337A55" w:rsidRPr="00F8240E" w:rsidRDefault="005072F3">
      <w:pPr>
        <w:spacing w:after="160" w:line="259" w:lineRule="auto"/>
        <w:rPr>
          <w:sz w:val="24"/>
          <w:szCs w:val="24"/>
        </w:rPr>
      </w:pPr>
      <w:r w:rsidRPr="00F8240E">
        <w:rPr>
          <w:rFonts w:ascii="Times New Roman" w:hAnsi="Times New Roman" w:cs="Times New Roman"/>
          <w:sz w:val="20"/>
          <w:szCs w:val="20"/>
        </w:rPr>
        <w:t>Source: CWED dataset</w:t>
      </w:r>
      <w:r w:rsidRPr="00F8240E">
        <w:rPr>
          <w:sz w:val="24"/>
          <w:szCs w:val="24"/>
        </w:rPr>
        <w:t xml:space="preserve"> </w:t>
      </w:r>
      <w:r w:rsidR="00337A55" w:rsidRPr="00F8240E">
        <w:rPr>
          <w:sz w:val="24"/>
          <w:szCs w:val="24"/>
        </w:rPr>
        <w:br w:type="page"/>
      </w:r>
    </w:p>
    <w:p w14:paraId="773B8DC4" w14:textId="244F36AF" w:rsidR="00337A55" w:rsidRPr="00F8240E" w:rsidRDefault="00D428D5" w:rsidP="00453340">
      <w:pPr>
        <w:jc w:val="both"/>
        <w:rPr>
          <w:sz w:val="24"/>
          <w:szCs w:val="24"/>
        </w:rPr>
      </w:pPr>
      <w:r w:rsidRPr="00F8240E">
        <w:rPr>
          <w:noProof/>
          <w:sz w:val="24"/>
          <w:szCs w:val="24"/>
          <w:lang w:eastAsia="en-GB"/>
        </w:rPr>
        <w:drawing>
          <wp:inline distT="0" distB="0" distL="0" distR="0" wp14:anchorId="4B35D575" wp14:editId="369C46A7">
            <wp:extent cx="4279900" cy="2853055"/>
            <wp:effectExtent l="0" t="0" r="635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9900" cy="2853055"/>
                    </a:xfrm>
                    <a:prstGeom prst="rect">
                      <a:avLst/>
                    </a:prstGeom>
                    <a:noFill/>
                  </pic:spPr>
                </pic:pic>
              </a:graphicData>
            </a:graphic>
          </wp:inline>
        </w:drawing>
      </w:r>
    </w:p>
    <w:p w14:paraId="5E367F17" w14:textId="4A1910EC" w:rsidR="00337A55" w:rsidRPr="00F8240E" w:rsidRDefault="00337A55" w:rsidP="00453340">
      <w:pPr>
        <w:jc w:val="both"/>
        <w:rPr>
          <w:sz w:val="24"/>
          <w:szCs w:val="24"/>
        </w:rPr>
      </w:pPr>
    </w:p>
    <w:p w14:paraId="3EAAFE35" w14:textId="113A1D0A" w:rsidR="00337A55" w:rsidRPr="00F8240E" w:rsidRDefault="005072F3">
      <w:pPr>
        <w:spacing w:after="160" w:line="259" w:lineRule="auto"/>
        <w:rPr>
          <w:sz w:val="24"/>
          <w:szCs w:val="24"/>
        </w:rPr>
      </w:pPr>
      <w:r w:rsidRPr="00F8240E">
        <w:rPr>
          <w:rFonts w:ascii="Times New Roman" w:hAnsi="Times New Roman" w:cs="Times New Roman"/>
          <w:sz w:val="20"/>
          <w:szCs w:val="20"/>
        </w:rPr>
        <w:t>Source: CWED dataset</w:t>
      </w:r>
      <w:r w:rsidRPr="00F8240E">
        <w:rPr>
          <w:sz w:val="24"/>
          <w:szCs w:val="24"/>
        </w:rPr>
        <w:t xml:space="preserve"> </w:t>
      </w:r>
      <w:r w:rsidR="00337A55" w:rsidRPr="00F8240E">
        <w:rPr>
          <w:sz w:val="24"/>
          <w:szCs w:val="24"/>
        </w:rPr>
        <w:br w:type="page"/>
      </w:r>
    </w:p>
    <w:p w14:paraId="7C0051F5" w14:textId="1365F82E" w:rsidR="00337A55" w:rsidRPr="00F8240E" w:rsidRDefault="00D428D5" w:rsidP="00453340">
      <w:pPr>
        <w:jc w:val="both"/>
        <w:rPr>
          <w:sz w:val="24"/>
          <w:szCs w:val="24"/>
        </w:rPr>
      </w:pPr>
      <w:r w:rsidRPr="00F8240E">
        <w:rPr>
          <w:noProof/>
          <w:sz w:val="24"/>
          <w:szCs w:val="24"/>
          <w:lang w:eastAsia="en-GB"/>
        </w:rPr>
        <w:drawing>
          <wp:inline distT="0" distB="0" distL="0" distR="0" wp14:anchorId="2332EE86" wp14:editId="2D7C44BE">
            <wp:extent cx="4273550" cy="28530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3550" cy="2853055"/>
                    </a:xfrm>
                    <a:prstGeom prst="rect">
                      <a:avLst/>
                    </a:prstGeom>
                    <a:noFill/>
                  </pic:spPr>
                </pic:pic>
              </a:graphicData>
            </a:graphic>
          </wp:inline>
        </w:drawing>
      </w:r>
    </w:p>
    <w:p w14:paraId="33DF7F2F" w14:textId="57EABD60" w:rsidR="00337A55" w:rsidRPr="00F8240E" w:rsidRDefault="00337A55" w:rsidP="00453340">
      <w:pPr>
        <w:jc w:val="both"/>
        <w:rPr>
          <w:sz w:val="24"/>
          <w:szCs w:val="24"/>
        </w:rPr>
      </w:pPr>
    </w:p>
    <w:p w14:paraId="636FF572" w14:textId="1F56277F" w:rsidR="00337A55" w:rsidRPr="00F8240E" w:rsidRDefault="005072F3">
      <w:pPr>
        <w:spacing w:after="160" w:line="259" w:lineRule="auto"/>
        <w:rPr>
          <w:sz w:val="24"/>
          <w:szCs w:val="24"/>
        </w:rPr>
      </w:pPr>
      <w:r w:rsidRPr="00F8240E">
        <w:rPr>
          <w:rFonts w:ascii="Times New Roman" w:hAnsi="Times New Roman" w:cs="Times New Roman"/>
          <w:sz w:val="20"/>
          <w:szCs w:val="20"/>
        </w:rPr>
        <w:t>Source: CWED dataset</w:t>
      </w:r>
      <w:r w:rsidRPr="00F8240E">
        <w:rPr>
          <w:sz w:val="24"/>
          <w:szCs w:val="24"/>
        </w:rPr>
        <w:t xml:space="preserve"> </w:t>
      </w:r>
      <w:r w:rsidR="00337A55" w:rsidRPr="00F8240E">
        <w:rPr>
          <w:sz w:val="24"/>
          <w:szCs w:val="24"/>
        </w:rPr>
        <w:br w:type="page"/>
      </w:r>
    </w:p>
    <w:p w14:paraId="7193E198" w14:textId="13610F56" w:rsidR="00337A55" w:rsidRPr="00F8240E" w:rsidRDefault="00D428D5" w:rsidP="00453340">
      <w:pPr>
        <w:jc w:val="both"/>
        <w:rPr>
          <w:sz w:val="24"/>
          <w:szCs w:val="24"/>
        </w:rPr>
      </w:pPr>
      <w:r w:rsidRPr="00F8240E">
        <w:rPr>
          <w:noProof/>
          <w:sz w:val="24"/>
          <w:szCs w:val="24"/>
          <w:lang w:eastAsia="en-GB"/>
        </w:rPr>
        <w:drawing>
          <wp:inline distT="0" distB="0" distL="0" distR="0" wp14:anchorId="79ACD18D" wp14:editId="5F77D631">
            <wp:extent cx="4316095" cy="2853055"/>
            <wp:effectExtent l="0" t="0" r="825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6095" cy="2853055"/>
                    </a:xfrm>
                    <a:prstGeom prst="rect">
                      <a:avLst/>
                    </a:prstGeom>
                    <a:noFill/>
                  </pic:spPr>
                </pic:pic>
              </a:graphicData>
            </a:graphic>
          </wp:inline>
        </w:drawing>
      </w:r>
    </w:p>
    <w:p w14:paraId="4D0CB8AA" w14:textId="716D0820" w:rsidR="00337A55" w:rsidRPr="00F8240E" w:rsidRDefault="00337A55" w:rsidP="00453340">
      <w:pPr>
        <w:jc w:val="both"/>
        <w:rPr>
          <w:sz w:val="24"/>
          <w:szCs w:val="24"/>
        </w:rPr>
      </w:pPr>
    </w:p>
    <w:p w14:paraId="7EDDBAF1" w14:textId="6A88D637" w:rsidR="00337A55" w:rsidRPr="00F8240E" w:rsidRDefault="005072F3">
      <w:pPr>
        <w:spacing w:after="160" w:line="259" w:lineRule="auto"/>
        <w:rPr>
          <w:sz w:val="24"/>
          <w:szCs w:val="24"/>
        </w:rPr>
      </w:pPr>
      <w:r w:rsidRPr="00F8240E">
        <w:rPr>
          <w:rFonts w:ascii="Times New Roman" w:hAnsi="Times New Roman" w:cs="Times New Roman"/>
          <w:sz w:val="20"/>
          <w:szCs w:val="20"/>
        </w:rPr>
        <w:t>Source: CWED dataset</w:t>
      </w:r>
      <w:r w:rsidRPr="00F8240E">
        <w:rPr>
          <w:sz w:val="24"/>
          <w:szCs w:val="24"/>
        </w:rPr>
        <w:t xml:space="preserve"> </w:t>
      </w:r>
      <w:r w:rsidR="00337A55" w:rsidRPr="00F8240E">
        <w:rPr>
          <w:sz w:val="24"/>
          <w:szCs w:val="24"/>
        </w:rPr>
        <w:br w:type="page"/>
      </w:r>
    </w:p>
    <w:p w14:paraId="5AFD4DC1" w14:textId="6D57B87B" w:rsidR="00337A55" w:rsidRPr="00F8240E" w:rsidRDefault="00D428D5" w:rsidP="00453340">
      <w:pPr>
        <w:jc w:val="both"/>
        <w:rPr>
          <w:noProof/>
          <w:sz w:val="24"/>
          <w:szCs w:val="24"/>
        </w:rPr>
      </w:pPr>
      <w:r w:rsidRPr="00F8240E">
        <w:rPr>
          <w:noProof/>
          <w:sz w:val="24"/>
          <w:szCs w:val="24"/>
          <w:lang w:eastAsia="en-GB"/>
        </w:rPr>
        <w:drawing>
          <wp:inline distT="0" distB="0" distL="0" distR="0" wp14:anchorId="2C1045FC" wp14:editId="47359310">
            <wp:extent cx="4298315" cy="285940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8315" cy="2859405"/>
                    </a:xfrm>
                    <a:prstGeom prst="rect">
                      <a:avLst/>
                    </a:prstGeom>
                    <a:noFill/>
                  </pic:spPr>
                </pic:pic>
              </a:graphicData>
            </a:graphic>
          </wp:inline>
        </w:drawing>
      </w:r>
    </w:p>
    <w:p w14:paraId="55B78F0C" w14:textId="77777777" w:rsidR="00D428D5" w:rsidRPr="00F8240E" w:rsidRDefault="00D428D5" w:rsidP="00453340">
      <w:pPr>
        <w:jc w:val="both"/>
        <w:rPr>
          <w:sz w:val="24"/>
          <w:szCs w:val="24"/>
        </w:rPr>
      </w:pPr>
    </w:p>
    <w:p w14:paraId="7F1BD765" w14:textId="1E8EE5C8" w:rsidR="00337A55" w:rsidRPr="00F8240E" w:rsidRDefault="005072F3" w:rsidP="00453340">
      <w:pPr>
        <w:jc w:val="both"/>
        <w:rPr>
          <w:sz w:val="24"/>
          <w:szCs w:val="24"/>
        </w:rPr>
      </w:pPr>
      <w:r w:rsidRPr="00F8240E">
        <w:rPr>
          <w:rFonts w:ascii="Times New Roman" w:hAnsi="Times New Roman" w:cs="Times New Roman"/>
          <w:sz w:val="20"/>
          <w:szCs w:val="20"/>
        </w:rPr>
        <w:t>Source: CWED dataset</w:t>
      </w:r>
    </w:p>
    <w:p w14:paraId="5DF060FA" w14:textId="69C54E54" w:rsidR="00337A55" w:rsidRPr="00F8240E" w:rsidRDefault="00337A55" w:rsidP="00453340">
      <w:pPr>
        <w:jc w:val="both"/>
        <w:rPr>
          <w:sz w:val="24"/>
          <w:szCs w:val="24"/>
        </w:rPr>
      </w:pPr>
    </w:p>
    <w:p w14:paraId="515AE1DA" w14:textId="0F8455EB" w:rsidR="00337A55" w:rsidRPr="00F8240E" w:rsidRDefault="00337A55" w:rsidP="00453340">
      <w:pPr>
        <w:jc w:val="both"/>
        <w:rPr>
          <w:rFonts w:ascii="Times New Roman" w:hAnsi="Times New Roman" w:cs="Times New Roman"/>
          <w:sz w:val="24"/>
          <w:szCs w:val="24"/>
        </w:rPr>
      </w:pPr>
      <w:r w:rsidRPr="00F8240E">
        <w:rPr>
          <w:rFonts w:ascii="Times New Roman" w:hAnsi="Times New Roman" w:cs="Times New Roman"/>
          <w:sz w:val="24"/>
          <w:szCs w:val="24"/>
        </w:rPr>
        <w:t>Notes</w:t>
      </w:r>
    </w:p>
    <w:sectPr w:rsidR="00337A55" w:rsidRPr="00F8240E">
      <w:footerReference w:type="default" r:id="rId2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D7D87" w14:textId="77777777" w:rsidR="005A48F0" w:rsidRDefault="005A48F0" w:rsidP="0093248E">
      <w:r>
        <w:separator/>
      </w:r>
    </w:p>
  </w:endnote>
  <w:endnote w:type="continuationSeparator" w:id="0">
    <w:p w14:paraId="78790D66" w14:textId="77777777" w:rsidR="005A48F0" w:rsidRDefault="005A48F0" w:rsidP="0093248E">
      <w:r>
        <w:continuationSeparator/>
      </w:r>
    </w:p>
  </w:endnote>
  <w:endnote w:id="1">
    <w:p w14:paraId="3A8AB089" w14:textId="702FA2AE" w:rsidR="00CB30A7" w:rsidRDefault="00CB30A7" w:rsidP="00BE2628">
      <w:pPr>
        <w:pStyle w:val="EndnoteText"/>
        <w:spacing w:line="480" w:lineRule="auto"/>
      </w:pPr>
      <w:r>
        <w:rPr>
          <w:rStyle w:val="EndnoteReference"/>
        </w:rPr>
        <w:endnoteRef/>
      </w:r>
      <w:r>
        <w:t xml:space="preserve"> </w:t>
      </w:r>
      <w:r w:rsidRPr="005C0B4F">
        <w:rPr>
          <w:rFonts w:ascii="Times New Roman" w:hAnsi="Times New Roman" w:cs="Times New Roman"/>
        </w:rPr>
        <w:t xml:space="preserve">The Swiss and Danish pension systems </w:t>
      </w:r>
      <w:r>
        <w:rPr>
          <w:rFonts w:ascii="Times New Roman" w:hAnsi="Times New Roman" w:cs="Times New Roman"/>
        </w:rPr>
        <w:t>in</w:t>
      </w:r>
      <w:r w:rsidRPr="005C0B4F">
        <w:rPr>
          <w:rFonts w:ascii="Times New Roman" w:hAnsi="Times New Roman" w:cs="Times New Roman"/>
        </w:rPr>
        <w:t xml:space="preserve"> 1980 could also be considered to have significant liberal features, but constraints of space preclude their inclusion in this study.</w:t>
      </w:r>
    </w:p>
  </w:endnote>
  <w:endnote w:id="2">
    <w:p w14:paraId="7B7B23B4" w14:textId="397385B5" w:rsidR="00E84A53" w:rsidRPr="008D1F07" w:rsidRDefault="00E84A53" w:rsidP="00E84A53">
      <w:pPr>
        <w:pStyle w:val="EndnoteText"/>
        <w:spacing w:line="480" w:lineRule="auto"/>
        <w:rPr>
          <w:rFonts w:ascii="Times New Roman" w:hAnsi="Times New Roman" w:cs="Times New Roman"/>
          <w:b/>
        </w:rPr>
      </w:pPr>
      <w:r w:rsidRPr="008D1F07">
        <w:rPr>
          <w:rStyle w:val="EndnoteReference"/>
          <w:b/>
        </w:rPr>
        <w:endnoteRef/>
      </w:r>
      <w:r w:rsidRPr="008D1F07">
        <w:rPr>
          <w:b/>
        </w:rPr>
        <w:t xml:space="preserve"> </w:t>
      </w:r>
      <w:r w:rsidRPr="008D1F07">
        <w:rPr>
          <w:rFonts w:ascii="Times New Roman" w:hAnsi="Times New Roman" w:cs="Times New Roman"/>
          <w:b/>
        </w:rPr>
        <w:t>The CWED replacement rates of the public pension systems in Austria and Germany for the single standard production worker in 1980 were 77 per cent and 73 per cent respectively (Scruggs et al, 2014).</w:t>
      </w:r>
    </w:p>
  </w:endnote>
  <w:endnote w:id="3">
    <w:p w14:paraId="4F78B3F6" w14:textId="77777777" w:rsidR="00CB30A7" w:rsidRDefault="00CB30A7" w:rsidP="00BE2628">
      <w:pPr>
        <w:spacing w:line="480" w:lineRule="auto"/>
        <w:jc w:val="both"/>
      </w:pPr>
      <w:r>
        <w:rPr>
          <w:rStyle w:val="EndnoteReference"/>
        </w:rPr>
        <w:endnoteRef/>
      </w:r>
      <w:r>
        <w:t xml:space="preserve"> C</w:t>
      </w:r>
      <w:r w:rsidRPr="007228FC">
        <w:rPr>
          <w:rFonts w:ascii="Times New Roman" w:hAnsi="Times New Roman" w:cs="Times New Roman"/>
          <w:sz w:val="20"/>
          <w:szCs w:val="20"/>
        </w:rPr>
        <w:t>oncerns about the reliability of the OECD’s pension data</w:t>
      </w:r>
      <w:r>
        <w:rPr>
          <w:rFonts w:ascii="Times New Roman" w:hAnsi="Times New Roman" w:cs="Times New Roman"/>
          <w:sz w:val="20"/>
          <w:szCs w:val="20"/>
        </w:rPr>
        <w:t xml:space="preserve"> in relation to</w:t>
      </w:r>
      <w:r w:rsidRPr="007228FC">
        <w:rPr>
          <w:rFonts w:ascii="Times New Roman" w:hAnsi="Times New Roman" w:cs="Times New Roman"/>
          <w:sz w:val="20"/>
          <w:szCs w:val="20"/>
        </w:rPr>
        <w:t xml:space="preserve"> the consistency of the benefits measured between countries (</w:t>
      </w:r>
      <w:bookmarkStart w:id="16" w:name="_Hlk511381582"/>
      <w:r w:rsidRPr="007228FC">
        <w:rPr>
          <w:rFonts w:ascii="Times New Roman" w:hAnsi="Times New Roman" w:cs="Times New Roman"/>
          <w:sz w:val="20"/>
          <w:szCs w:val="20"/>
        </w:rPr>
        <w:t>De Deken and Kittel 2007</w:t>
      </w:r>
      <w:bookmarkEnd w:id="16"/>
      <w:r w:rsidRPr="007228FC">
        <w:rPr>
          <w:rFonts w:ascii="Times New Roman" w:hAnsi="Times New Roman" w:cs="Times New Roman"/>
          <w:sz w:val="20"/>
          <w:szCs w:val="20"/>
        </w:rPr>
        <w:t>: 82-4)</w:t>
      </w:r>
      <w:r>
        <w:rPr>
          <w:rFonts w:ascii="Times New Roman" w:hAnsi="Times New Roman" w:cs="Times New Roman"/>
          <w:sz w:val="20"/>
          <w:szCs w:val="20"/>
        </w:rPr>
        <w:t xml:space="preserve"> have been addressed by the OECD by aggregating pension and survivors’ expenditure.</w:t>
      </w:r>
    </w:p>
  </w:endnote>
  <w:endnote w:id="4">
    <w:p w14:paraId="3FC39F1D" w14:textId="3577D9A3" w:rsidR="00CB30A7" w:rsidRDefault="00CB30A7" w:rsidP="00BE2628">
      <w:pPr>
        <w:spacing w:line="480" w:lineRule="auto"/>
        <w:jc w:val="both"/>
      </w:pPr>
      <w:r>
        <w:rPr>
          <w:rStyle w:val="EndnoteReference"/>
        </w:rPr>
        <w:endnoteRef/>
      </w:r>
      <w:r w:rsidRPr="00D72B31">
        <w:rPr>
          <w:sz w:val="20"/>
          <w:szCs w:val="20"/>
        </w:rPr>
        <w:t xml:space="preserve"> </w:t>
      </w:r>
      <w:r w:rsidRPr="00D72B31">
        <w:rPr>
          <w:rFonts w:ascii="Times New Roman" w:hAnsi="Times New Roman" w:cs="Times New Roman"/>
          <w:sz w:val="20"/>
          <w:szCs w:val="20"/>
        </w:rPr>
        <w:t>Th</w:t>
      </w:r>
      <w:r>
        <w:rPr>
          <w:rFonts w:ascii="Times New Roman" w:hAnsi="Times New Roman" w:cs="Times New Roman"/>
          <w:sz w:val="20"/>
          <w:szCs w:val="20"/>
        </w:rPr>
        <w:t>is problem can be addressed by the</w:t>
      </w:r>
      <w:r w:rsidRPr="00D72B31">
        <w:rPr>
          <w:rFonts w:ascii="Times New Roman" w:hAnsi="Times New Roman" w:cs="Times New Roman"/>
          <w:sz w:val="20"/>
          <w:szCs w:val="20"/>
        </w:rPr>
        <w:t xml:space="preserve"> </w:t>
      </w:r>
      <w:r>
        <w:rPr>
          <w:rFonts w:ascii="Times New Roman" w:hAnsi="Times New Roman" w:cs="Times New Roman"/>
          <w:sz w:val="20"/>
          <w:szCs w:val="20"/>
        </w:rPr>
        <w:t>p</w:t>
      </w:r>
      <w:r w:rsidRPr="00D72B31">
        <w:rPr>
          <w:rFonts w:ascii="Times New Roman" w:hAnsi="Times New Roman" w:cs="Times New Roman"/>
          <w:sz w:val="20"/>
          <w:szCs w:val="20"/>
        </w:rPr>
        <w:t xml:space="preserve">olicy simulation of pension entitlements for hypothetical workers </w:t>
      </w:r>
      <w:r>
        <w:rPr>
          <w:rFonts w:ascii="Times New Roman" w:hAnsi="Times New Roman" w:cs="Times New Roman"/>
          <w:sz w:val="20"/>
          <w:szCs w:val="20"/>
        </w:rPr>
        <w:t>assuming</w:t>
      </w:r>
      <w:r w:rsidRPr="00D72B31">
        <w:rPr>
          <w:rFonts w:ascii="Times New Roman" w:hAnsi="Times New Roman" w:cs="Times New Roman"/>
          <w:sz w:val="20"/>
          <w:szCs w:val="20"/>
        </w:rPr>
        <w:t xml:space="preserve"> they live their entire working life under current pension arrangements (eg OECD 2017), </w:t>
      </w:r>
      <w:r>
        <w:rPr>
          <w:rFonts w:ascii="Times New Roman" w:hAnsi="Times New Roman" w:cs="Times New Roman"/>
          <w:sz w:val="20"/>
          <w:szCs w:val="20"/>
        </w:rPr>
        <w:t xml:space="preserve">but </w:t>
      </w:r>
      <w:r w:rsidRPr="00D72B31">
        <w:rPr>
          <w:rFonts w:ascii="Times New Roman" w:hAnsi="Times New Roman" w:cs="Times New Roman"/>
          <w:sz w:val="20"/>
          <w:szCs w:val="20"/>
        </w:rPr>
        <w:t>unfortunately such data is only available from 2003.</w:t>
      </w:r>
    </w:p>
  </w:endnote>
  <w:endnote w:id="5">
    <w:p w14:paraId="570E895B" w14:textId="5B015B1A" w:rsidR="00CB30A7" w:rsidRPr="000E702B" w:rsidRDefault="00CB30A7" w:rsidP="00BE2628">
      <w:pPr>
        <w:pStyle w:val="EndnoteText"/>
        <w:spacing w:line="480" w:lineRule="auto"/>
        <w:rPr>
          <w:rFonts w:ascii="Times New Roman" w:hAnsi="Times New Roman" w:cs="Times New Roman"/>
        </w:rPr>
      </w:pPr>
      <w:r>
        <w:rPr>
          <w:rStyle w:val="EndnoteReference"/>
        </w:rPr>
        <w:endnoteRef/>
      </w:r>
      <w:r w:rsidRPr="000E702B">
        <w:rPr>
          <w:rFonts w:ascii="Times New Roman" w:hAnsi="Times New Roman" w:cs="Times New Roman"/>
        </w:rPr>
        <w:t xml:space="preserve"> The minimum pension an average </w:t>
      </w:r>
      <w:r>
        <w:rPr>
          <w:rFonts w:ascii="Times New Roman" w:hAnsi="Times New Roman" w:cs="Times New Roman"/>
        </w:rPr>
        <w:t xml:space="preserve">production </w:t>
      </w:r>
      <w:r w:rsidRPr="000E702B">
        <w:rPr>
          <w:rFonts w:ascii="Times New Roman" w:hAnsi="Times New Roman" w:cs="Times New Roman"/>
        </w:rPr>
        <w:t>worker could receive in Australia is the same.</w:t>
      </w:r>
    </w:p>
  </w:endnote>
  <w:endnote w:id="6">
    <w:p w14:paraId="66875513" w14:textId="67C148C5" w:rsidR="00CB30A7" w:rsidRDefault="00CB30A7" w:rsidP="00BE2628">
      <w:pPr>
        <w:pStyle w:val="EndnoteText"/>
        <w:spacing w:line="480" w:lineRule="auto"/>
      </w:pPr>
      <w:r w:rsidRPr="000E702B">
        <w:rPr>
          <w:rStyle w:val="EndnoteReference"/>
          <w:rFonts w:ascii="Times New Roman" w:hAnsi="Times New Roman" w:cs="Times New Roman"/>
        </w:rPr>
        <w:endnoteRef/>
      </w:r>
      <w:r w:rsidRPr="000E702B">
        <w:rPr>
          <w:rFonts w:ascii="Times New Roman" w:hAnsi="Times New Roman" w:cs="Times New Roman"/>
        </w:rPr>
        <w:t xml:space="preserve"> Full details are available in</w:t>
      </w:r>
      <w:r>
        <w:rPr>
          <w:rFonts w:ascii="Times New Roman" w:hAnsi="Times New Roman" w:cs="Times New Roman"/>
        </w:rPr>
        <w:t xml:space="preserve"> Myles and Pierson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473792"/>
      <w:docPartObj>
        <w:docPartGallery w:val="Page Numbers (Bottom of Page)"/>
        <w:docPartUnique/>
      </w:docPartObj>
    </w:sdtPr>
    <w:sdtEndPr>
      <w:rPr>
        <w:noProof/>
      </w:rPr>
    </w:sdtEndPr>
    <w:sdtContent>
      <w:p w14:paraId="34C79B68" w14:textId="0B1B639E" w:rsidR="00CB30A7" w:rsidRDefault="00CB30A7">
        <w:pPr>
          <w:pStyle w:val="Footer"/>
          <w:jc w:val="center"/>
        </w:pPr>
        <w:r>
          <w:fldChar w:fldCharType="begin"/>
        </w:r>
        <w:r>
          <w:instrText xml:space="preserve"> PAGE   \* MERGEFORMAT </w:instrText>
        </w:r>
        <w:r>
          <w:fldChar w:fldCharType="separate"/>
        </w:r>
        <w:r w:rsidR="005525C1">
          <w:rPr>
            <w:noProof/>
          </w:rPr>
          <w:t>1</w:t>
        </w:r>
        <w:r>
          <w:rPr>
            <w:noProof/>
          </w:rPr>
          <w:fldChar w:fldCharType="end"/>
        </w:r>
      </w:p>
    </w:sdtContent>
  </w:sdt>
  <w:p w14:paraId="5469DD65" w14:textId="77777777" w:rsidR="00CB30A7" w:rsidRDefault="00CB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ADFC" w14:textId="77777777" w:rsidR="005A48F0" w:rsidRDefault="005A48F0" w:rsidP="0093248E">
      <w:r>
        <w:separator/>
      </w:r>
    </w:p>
  </w:footnote>
  <w:footnote w:type="continuationSeparator" w:id="0">
    <w:p w14:paraId="6756A0A6" w14:textId="77777777" w:rsidR="005A48F0" w:rsidRDefault="005A48F0" w:rsidP="0093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9F4"/>
    <w:multiLevelType w:val="hybridMultilevel"/>
    <w:tmpl w:val="D45A02AE"/>
    <w:lvl w:ilvl="0" w:tplc="485EBE2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31F54"/>
    <w:multiLevelType w:val="hybridMultilevel"/>
    <w:tmpl w:val="FFD0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94E95"/>
    <w:multiLevelType w:val="hybridMultilevel"/>
    <w:tmpl w:val="DFFE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A4E92"/>
    <w:multiLevelType w:val="hybridMultilevel"/>
    <w:tmpl w:val="03F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B7F4E"/>
    <w:multiLevelType w:val="multilevel"/>
    <w:tmpl w:val="678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8E"/>
    <w:rsid w:val="00005A75"/>
    <w:rsid w:val="00015E6E"/>
    <w:rsid w:val="00022262"/>
    <w:rsid w:val="00035E9C"/>
    <w:rsid w:val="00040D4B"/>
    <w:rsid w:val="00046B92"/>
    <w:rsid w:val="000520DC"/>
    <w:rsid w:val="00061FE6"/>
    <w:rsid w:val="00065064"/>
    <w:rsid w:val="00070817"/>
    <w:rsid w:val="000A09C8"/>
    <w:rsid w:val="000B587C"/>
    <w:rsid w:val="000B596E"/>
    <w:rsid w:val="000C1A9D"/>
    <w:rsid w:val="000C2F56"/>
    <w:rsid w:val="000C4E68"/>
    <w:rsid w:val="000C5500"/>
    <w:rsid w:val="000D143F"/>
    <w:rsid w:val="000E4D88"/>
    <w:rsid w:val="000E62A8"/>
    <w:rsid w:val="000E702B"/>
    <w:rsid w:val="000F4924"/>
    <w:rsid w:val="000F5C56"/>
    <w:rsid w:val="00102B26"/>
    <w:rsid w:val="001078FC"/>
    <w:rsid w:val="001140A1"/>
    <w:rsid w:val="00115619"/>
    <w:rsid w:val="00116867"/>
    <w:rsid w:val="00117257"/>
    <w:rsid w:val="00125AA4"/>
    <w:rsid w:val="00130E9A"/>
    <w:rsid w:val="0014496A"/>
    <w:rsid w:val="00145D68"/>
    <w:rsid w:val="0014787B"/>
    <w:rsid w:val="001638FE"/>
    <w:rsid w:val="00163B7E"/>
    <w:rsid w:val="00172BF2"/>
    <w:rsid w:val="0018079B"/>
    <w:rsid w:val="001858FB"/>
    <w:rsid w:val="0019046E"/>
    <w:rsid w:val="00190568"/>
    <w:rsid w:val="00194909"/>
    <w:rsid w:val="0019769B"/>
    <w:rsid w:val="001A19BA"/>
    <w:rsid w:val="001A483C"/>
    <w:rsid w:val="001B0C23"/>
    <w:rsid w:val="001C3B02"/>
    <w:rsid w:val="001C60C5"/>
    <w:rsid w:val="001D57C3"/>
    <w:rsid w:val="001E4FE4"/>
    <w:rsid w:val="001E60A2"/>
    <w:rsid w:val="001F15A2"/>
    <w:rsid w:val="001F2CD6"/>
    <w:rsid w:val="00202954"/>
    <w:rsid w:val="002073A3"/>
    <w:rsid w:val="00210681"/>
    <w:rsid w:val="00211370"/>
    <w:rsid w:val="002200A0"/>
    <w:rsid w:val="002204A7"/>
    <w:rsid w:val="0022476D"/>
    <w:rsid w:val="00226B07"/>
    <w:rsid w:val="00232922"/>
    <w:rsid w:val="00250609"/>
    <w:rsid w:val="0025298E"/>
    <w:rsid w:val="002529D9"/>
    <w:rsid w:val="002610E7"/>
    <w:rsid w:val="0026144B"/>
    <w:rsid w:val="002661EC"/>
    <w:rsid w:val="002671D3"/>
    <w:rsid w:val="00273004"/>
    <w:rsid w:val="002751D2"/>
    <w:rsid w:val="00280D3E"/>
    <w:rsid w:val="002833CA"/>
    <w:rsid w:val="00284826"/>
    <w:rsid w:val="00294527"/>
    <w:rsid w:val="002A1DA1"/>
    <w:rsid w:val="002A5194"/>
    <w:rsid w:val="002A53A5"/>
    <w:rsid w:val="002A549D"/>
    <w:rsid w:val="002B0836"/>
    <w:rsid w:val="002B10EB"/>
    <w:rsid w:val="002B2BD2"/>
    <w:rsid w:val="002B3433"/>
    <w:rsid w:val="002B3DB4"/>
    <w:rsid w:val="002B4C49"/>
    <w:rsid w:val="002B5CC2"/>
    <w:rsid w:val="002C1071"/>
    <w:rsid w:val="002D43ED"/>
    <w:rsid w:val="002E2508"/>
    <w:rsid w:val="002E3524"/>
    <w:rsid w:val="002E7C93"/>
    <w:rsid w:val="002F39E9"/>
    <w:rsid w:val="002F506F"/>
    <w:rsid w:val="00301289"/>
    <w:rsid w:val="00302803"/>
    <w:rsid w:val="003114C2"/>
    <w:rsid w:val="00316FF4"/>
    <w:rsid w:val="003249F7"/>
    <w:rsid w:val="00324D70"/>
    <w:rsid w:val="00325152"/>
    <w:rsid w:val="00325B66"/>
    <w:rsid w:val="003359C5"/>
    <w:rsid w:val="00335CEA"/>
    <w:rsid w:val="00337A55"/>
    <w:rsid w:val="00346E62"/>
    <w:rsid w:val="003512A0"/>
    <w:rsid w:val="00354D27"/>
    <w:rsid w:val="00366B53"/>
    <w:rsid w:val="00377081"/>
    <w:rsid w:val="00393164"/>
    <w:rsid w:val="00397D8F"/>
    <w:rsid w:val="003A6D54"/>
    <w:rsid w:val="003B008D"/>
    <w:rsid w:val="003B0CC0"/>
    <w:rsid w:val="003B11E7"/>
    <w:rsid w:val="003B3CC9"/>
    <w:rsid w:val="003B586E"/>
    <w:rsid w:val="003C12BF"/>
    <w:rsid w:val="003C38C0"/>
    <w:rsid w:val="003D4B7C"/>
    <w:rsid w:val="003D65A1"/>
    <w:rsid w:val="003E28C6"/>
    <w:rsid w:val="003F0A4E"/>
    <w:rsid w:val="00404A42"/>
    <w:rsid w:val="00404A68"/>
    <w:rsid w:val="0040781E"/>
    <w:rsid w:val="0041160E"/>
    <w:rsid w:val="00417AF7"/>
    <w:rsid w:val="0042175C"/>
    <w:rsid w:val="00433641"/>
    <w:rsid w:val="004365A4"/>
    <w:rsid w:val="004416E2"/>
    <w:rsid w:val="00444DA4"/>
    <w:rsid w:val="00451437"/>
    <w:rsid w:val="00453340"/>
    <w:rsid w:val="00465D8F"/>
    <w:rsid w:val="00467712"/>
    <w:rsid w:val="00471435"/>
    <w:rsid w:val="004759C4"/>
    <w:rsid w:val="00475EE2"/>
    <w:rsid w:val="00480A64"/>
    <w:rsid w:val="00486947"/>
    <w:rsid w:val="00490569"/>
    <w:rsid w:val="0049224C"/>
    <w:rsid w:val="00493675"/>
    <w:rsid w:val="004943B5"/>
    <w:rsid w:val="00495542"/>
    <w:rsid w:val="004B4425"/>
    <w:rsid w:val="004B7053"/>
    <w:rsid w:val="004C2987"/>
    <w:rsid w:val="004C4360"/>
    <w:rsid w:val="004E2583"/>
    <w:rsid w:val="004F0088"/>
    <w:rsid w:val="005028C5"/>
    <w:rsid w:val="005072F3"/>
    <w:rsid w:val="00510A4F"/>
    <w:rsid w:val="00535438"/>
    <w:rsid w:val="005377C6"/>
    <w:rsid w:val="00542558"/>
    <w:rsid w:val="00543840"/>
    <w:rsid w:val="00551CDF"/>
    <w:rsid w:val="005525C1"/>
    <w:rsid w:val="00554FDD"/>
    <w:rsid w:val="00567742"/>
    <w:rsid w:val="00570194"/>
    <w:rsid w:val="005708EE"/>
    <w:rsid w:val="00574CF7"/>
    <w:rsid w:val="005758D0"/>
    <w:rsid w:val="005834D6"/>
    <w:rsid w:val="00584991"/>
    <w:rsid w:val="00590D6E"/>
    <w:rsid w:val="00594C2F"/>
    <w:rsid w:val="00597CE7"/>
    <w:rsid w:val="005A1B6A"/>
    <w:rsid w:val="005A1C32"/>
    <w:rsid w:val="005A1CF4"/>
    <w:rsid w:val="005A2D58"/>
    <w:rsid w:val="005A48F0"/>
    <w:rsid w:val="005B3CFE"/>
    <w:rsid w:val="005C0B4F"/>
    <w:rsid w:val="005C6069"/>
    <w:rsid w:val="005D039F"/>
    <w:rsid w:val="005D4A91"/>
    <w:rsid w:val="005E1E44"/>
    <w:rsid w:val="005E580A"/>
    <w:rsid w:val="005F48E3"/>
    <w:rsid w:val="00601BF4"/>
    <w:rsid w:val="00612A44"/>
    <w:rsid w:val="00621E1F"/>
    <w:rsid w:val="00632A39"/>
    <w:rsid w:val="00637A8F"/>
    <w:rsid w:val="00642F40"/>
    <w:rsid w:val="006506C3"/>
    <w:rsid w:val="006624EC"/>
    <w:rsid w:val="0066580B"/>
    <w:rsid w:val="00680846"/>
    <w:rsid w:val="006817A4"/>
    <w:rsid w:val="00686B0C"/>
    <w:rsid w:val="00687CAB"/>
    <w:rsid w:val="00691376"/>
    <w:rsid w:val="00691973"/>
    <w:rsid w:val="00696D40"/>
    <w:rsid w:val="006A7558"/>
    <w:rsid w:val="006D0A7E"/>
    <w:rsid w:val="006D37F0"/>
    <w:rsid w:val="006E13FB"/>
    <w:rsid w:val="006F6EBE"/>
    <w:rsid w:val="00701D73"/>
    <w:rsid w:val="00701E13"/>
    <w:rsid w:val="00705C57"/>
    <w:rsid w:val="00706FEE"/>
    <w:rsid w:val="00711515"/>
    <w:rsid w:val="007267EE"/>
    <w:rsid w:val="00746D0A"/>
    <w:rsid w:val="00750DB9"/>
    <w:rsid w:val="00757791"/>
    <w:rsid w:val="007618C6"/>
    <w:rsid w:val="007658C0"/>
    <w:rsid w:val="00767DA8"/>
    <w:rsid w:val="00770B82"/>
    <w:rsid w:val="00774503"/>
    <w:rsid w:val="00776AFA"/>
    <w:rsid w:val="00792D56"/>
    <w:rsid w:val="00797316"/>
    <w:rsid w:val="007A0919"/>
    <w:rsid w:val="007A1B5B"/>
    <w:rsid w:val="007A2688"/>
    <w:rsid w:val="007A352F"/>
    <w:rsid w:val="007A7E34"/>
    <w:rsid w:val="007C2E46"/>
    <w:rsid w:val="007D0598"/>
    <w:rsid w:val="007E111C"/>
    <w:rsid w:val="007F3176"/>
    <w:rsid w:val="007F3388"/>
    <w:rsid w:val="007F56D1"/>
    <w:rsid w:val="00803B22"/>
    <w:rsid w:val="00803FD6"/>
    <w:rsid w:val="00806B9E"/>
    <w:rsid w:val="00807ABF"/>
    <w:rsid w:val="00811794"/>
    <w:rsid w:val="008131D5"/>
    <w:rsid w:val="00813707"/>
    <w:rsid w:val="008176D9"/>
    <w:rsid w:val="0083620B"/>
    <w:rsid w:val="00842DDA"/>
    <w:rsid w:val="0085593D"/>
    <w:rsid w:val="00862BC1"/>
    <w:rsid w:val="00871A0C"/>
    <w:rsid w:val="00871D13"/>
    <w:rsid w:val="0087591C"/>
    <w:rsid w:val="008837E1"/>
    <w:rsid w:val="00891774"/>
    <w:rsid w:val="00892BD8"/>
    <w:rsid w:val="008961F4"/>
    <w:rsid w:val="008A209F"/>
    <w:rsid w:val="008A3712"/>
    <w:rsid w:val="008B18B5"/>
    <w:rsid w:val="008B64AC"/>
    <w:rsid w:val="008C0EDD"/>
    <w:rsid w:val="008C65DA"/>
    <w:rsid w:val="008D1F07"/>
    <w:rsid w:val="008E0170"/>
    <w:rsid w:val="008E27B5"/>
    <w:rsid w:val="008E4C40"/>
    <w:rsid w:val="008F6D03"/>
    <w:rsid w:val="008F744B"/>
    <w:rsid w:val="009018BC"/>
    <w:rsid w:val="0090283B"/>
    <w:rsid w:val="00911BA4"/>
    <w:rsid w:val="00911EFC"/>
    <w:rsid w:val="0091532C"/>
    <w:rsid w:val="009170FE"/>
    <w:rsid w:val="0092285F"/>
    <w:rsid w:val="00924CE9"/>
    <w:rsid w:val="0093186D"/>
    <w:rsid w:val="0093248E"/>
    <w:rsid w:val="00940A3E"/>
    <w:rsid w:val="00940B40"/>
    <w:rsid w:val="009443E2"/>
    <w:rsid w:val="00946CFD"/>
    <w:rsid w:val="00967647"/>
    <w:rsid w:val="0097259A"/>
    <w:rsid w:val="009839B4"/>
    <w:rsid w:val="00984DEF"/>
    <w:rsid w:val="00990957"/>
    <w:rsid w:val="00992D49"/>
    <w:rsid w:val="00995703"/>
    <w:rsid w:val="00996E92"/>
    <w:rsid w:val="009A0F56"/>
    <w:rsid w:val="009A3183"/>
    <w:rsid w:val="009A3C87"/>
    <w:rsid w:val="009B0795"/>
    <w:rsid w:val="009B2AED"/>
    <w:rsid w:val="009B5671"/>
    <w:rsid w:val="009B7FA1"/>
    <w:rsid w:val="009C482B"/>
    <w:rsid w:val="009D0A5F"/>
    <w:rsid w:val="009D0BAB"/>
    <w:rsid w:val="009E2CD8"/>
    <w:rsid w:val="009F2668"/>
    <w:rsid w:val="009F673C"/>
    <w:rsid w:val="00A01E5A"/>
    <w:rsid w:val="00A0382E"/>
    <w:rsid w:val="00A06208"/>
    <w:rsid w:val="00A145D4"/>
    <w:rsid w:val="00A1581F"/>
    <w:rsid w:val="00A2162B"/>
    <w:rsid w:val="00A21E5D"/>
    <w:rsid w:val="00A44E9A"/>
    <w:rsid w:val="00A47C39"/>
    <w:rsid w:val="00A5467F"/>
    <w:rsid w:val="00A64D51"/>
    <w:rsid w:val="00A65128"/>
    <w:rsid w:val="00A81E22"/>
    <w:rsid w:val="00A86933"/>
    <w:rsid w:val="00A908C0"/>
    <w:rsid w:val="00A9772E"/>
    <w:rsid w:val="00A97CFA"/>
    <w:rsid w:val="00AA5CCE"/>
    <w:rsid w:val="00AB37EB"/>
    <w:rsid w:val="00AB58AD"/>
    <w:rsid w:val="00AD5F45"/>
    <w:rsid w:val="00AE21E4"/>
    <w:rsid w:val="00AE4B7F"/>
    <w:rsid w:val="00AE63F0"/>
    <w:rsid w:val="00AF5880"/>
    <w:rsid w:val="00AF6980"/>
    <w:rsid w:val="00AF6AB4"/>
    <w:rsid w:val="00B1137B"/>
    <w:rsid w:val="00B12667"/>
    <w:rsid w:val="00B1643D"/>
    <w:rsid w:val="00B17605"/>
    <w:rsid w:val="00B22C7B"/>
    <w:rsid w:val="00B5298F"/>
    <w:rsid w:val="00B530B8"/>
    <w:rsid w:val="00B623E9"/>
    <w:rsid w:val="00B6241F"/>
    <w:rsid w:val="00B67AF6"/>
    <w:rsid w:val="00B71C56"/>
    <w:rsid w:val="00B7476F"/>
    <w:rsid w:val="00B76FEA"/>
    <w:rsid w:val="00B80EEB"/>
    <w:rsid w:val="00B81418"/>
    <w:rsid w:val="00B857A5"/>
    <w:rsid w:val="00B92FEA"/>
    <w:rsid w:val="00B96432"/>
    <w:rsid w:val="00BB2DF4"/>
    <w:rsid w:val="00BD03E9"/>
    <w:rsid w:val="00BE2628"/>
    <w:rsid w:val="00BF13C1"/>
    <w:rsid w:val="00C104BE"/>
    <w:rsid w:val="00C14463"/>
    <w:rsid w:val="00C15627"/>
    <w:rsid w:val="00C20DDB"/>
    <w:rsid w:val="00C21460"/>
    <w:rsid w:val="00C2181E"/>
    <w:rsid w:val="00C25CB0"/>
    <w:rsid w:val="00C275F7"/>
    <w:rsid w:val="00C410BC"/>
    <w:rsid w:val="00C434F5"/>
    <w:rsid w:val="00C43CBF"/>
    <w:rsid w:val="00C44B5F"/>
    <w:rsid w:val="00C65553"/>
    <w:rsid w:val="00C723C6"/>
    <w:rsid w:val="00C75FC4"/>
    <w:rsid w:val="00C7678E"/>
    <w:rsid w:val="00C7790D"/>
    <w:rsid w:val="00C84808"/>
    <w:rsid w:val="00C86D9D"/>
    <w:rsid w:val="00C90DE3"/>
    <w:rsid w:val="00C90EAC"/>
    <w:rsid w:val="00C92FAF"/>
    <w:rsid w:val="00CA5791"/>
    <w:rsid w:val="00CA6988"/>
    <w:rsid w:val="00CB0B13"/>
    <w:rsid w:val="00CB30A7"/>
    <w:rsid w:val="00CB45CE"/>
    <w:rsid w:val="00CB4C54"/>
    <w:rsid w:val="00CB4F66"/>
    <w:rsid w:val="00CC6700"/>
    <w:rsid w:val="00CD2E92"/>
    <w:rsid w:val="00CE0A1E"/>
    <w:rsid w:val="00CE18C2"/>
    <w:rsid w:val="00CE19AA"/>
    <w:rsid w:val="00CE2690"/>
    <w:rsid w:val="00CF4E42"/>
    <w:rsid w:val="00D01C3B"/>
    <w:rsid w:val="00D03043"/>
    <w:rsid w:val="00D160A6"/>
    <w:rsid w:val="00D2686F"/>
    <w:rsid w:val="00D32789"/>
    <w:rsid w:val="00D428D5"/>
    <w:rsid w:val="00D553EF"/>
    <w:rsid w:val="00D62FD5"/>
    <w:rsid w:val="00D66119"/>
    <w:rsid w:val="00D71EAE"/>
    <w:rsid w:val="00D72B48"/>
    <w:rsid w:val="00D761EC"/>
    <w:rsid w:val="00D77C92"/>
    <w:rsid w:val="00D83100"/>
    <w:rsid w:val="00D833D7"/>
    <w:rsid w:val="00D87BD0"/>
    <w:rsid w:val="00D953A0"/>
    <w:rsid w:val="00D95BFC"/>
    <w:rsid w:val="00DA564A"/>
    <w:rsid w:val="00DB605D"/>
    <w:rsid w:val="00DC7E62"/>
    <w:rsid w:val="00DD0771"/>
    <w:rsid w:val="00DD35F7"/>
    <w:rsid w:val="00DD6044"/>
    <w:rsid w:val="00E124B4"/>
    <w:rsid w:val="00E23F44"/>
    <w:rsid w:val="00E248FD"/>
    <w:rsid w:val="00E2512D"/>
    <w:rsid w:val="00E3270B"/>
    <w:rsid w:val="00E33DA4"/>
    <w:rsid w:val="00E33E1C"/>
    <w:rsid w:val="00E4054C"/>
    <w:rsid w:val="00E41872"/>
    <w:rsid w:val="00E419DF"/>
    <w:rsid w:val="00E4725E"/>
    <w:rsid w:val="00E5419D"/>
    <w:rsid w:val="00E56F96"/>
    <w:rsid w:val="00E57853"/>
    <w:rsid w:val="00E663FB"/>
    <w:rsid w:val="00E73BBC"/>
    <w:rsid w:val="00E8390A"/>
    <w:rsid w:val="00E84A53"/>
    <w:rsid w:val="00E9675F"/>
    <w:rsid w:val="00E97F4B"/>
    <w:rsid w:val="00EA5D2A"/>
    <w:rsid w:val="00EB1D12"/>
    <w:rsid w:val="00EC219F"/>
    <w:rsid w:val="00EC383D"/>
    <w:rsid w:val="00EC3CDC"/>
    <w:rsid w:val="00EC3E77"/>
    <w:rsid w:val="00EC3F76"/>
    <w:rsid w:val="00ED556C"/>
    <w:rsid w:val="00EE1220"/>
    <w:rsid w:val="00EE67DF"/>
    <w:rsid w:val="00EF328B"/>
    <w:rsid w:val="00F21852"/>
    <w:rsid w:val="00F266F3"/>
    <w:rsid w:val="00F315F1"/>
    <w:rsid w:val="00F40F36"/>
    <w:rsid w:val="00F410E0"/>
    <w:rsid w:val="00F6221E"/>
    <w:rsid w:val="00F62469"/>
    <w:rsid w:val="00F7151E"/>
    <w:rsid w:val="00F77831"/>
    <w:rsid w:val="00F8240E"/>
    <w:rsid w:val="00F864DC"/>
    <w:rsid w:val="00F93789"/>
    <w:rsid w:val="00FA0123"/>
    <w:rsid w:val="00FB4823"/>
    <w:rsid w:val="00FD0AF1"/>
    <w:rsid w:val="00FD671F"/>
    <w:rsid w:val="00FD7A9F"/>
    <w:rsid w:val="00FE3DC7"/>
    <w:rsid w:val="00FE60FD"/>
    <w:rsid w:val="00FF7045"/>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53A9"/>
  <w15:chartTrackingRefBased/>
  <w15:docId w15:val="{65E87B08-97E5-402B-8E04-D0DDD147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8E"/>
    <w:pPr>
      <w:spacing w:after="0" w:line="240" w:lineRule="auto"/>
    </w:pPr>
  </w:style>
  <w:style w:type="paragraph" w:styleId="Heading2">
    <w:name w:val="heading 2"/>
    <w:basedOn w:val="Normal"/>
    <w:next w:val="Normal"/>
    <w:link w:val="Heading2Char"/>
    <w:uiPriority w:val="9"/>
    <w:unhideWhenUsed/>
    <w:qFormat/>
    <w:rsid w:val="00040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48E"/>
    <w:pPr>
      <w:ind w:left="720"/>
      <w:contextualSpacing/>
    </w:pPr>
  </w:style>
  <w:style w:type="paragraph" w:styleId="EndnoteText">
    <w:name w:val="endnote text"/>
    <w:basedOn w:val="Normal"/>
    <w:link w:val="EndnoteTextChar"/>
    <w:uiPriority w:val="99"/>
    <w:semiHidden/>
    <w:unhideWhenUsed/>
    <w:rsid w:val="0093248E"/>
    <w:rPr>
      <w:sz w:val="20"/>
      <w:szCs w:val="20"/>
    </w:rPr>
  </w:style>
  <w:style w:type="character" w:customStyle="1" w:styleId="EndnoteTextChar">
    <w:name w:val="Endnote Text Char"/>
    <w:basedOn w:val="DefaultParagraphFont"/>
    <w:link w:val="EndnoteText"/>
    <w:uiPriority w:val="99"/>
    <w:semiHidden/>
    <w:rsid w:val="0093248E"/>
    <w:rPr>
      <w:sz w:val="20"/>
      <w:szCs w:val="20"/>
    </w:rPr>
  </w:style>
  <w:style w:type="character" w:styleId="EndnoteReference">
    <w:name w:val="endnote reference"/>
    <w:basedOn w:val="DefaultParagraphFont"/>
    <w:uiPriority w:val="99"/>
    <w:semiHidden/>
    <w:unhideWhenUsed/>
    <w:rsid w:val="0093248E"/>
    <w:rPr>
      <w:vertAlign w:val="superscript"/>
    </w:rPr>
  </w:style>
  <w:style w:type="character" w:customStyle="1" w:styleId="EndnoteTextChar1">
    <w:name w:val="Endnote Text Char1"/>
    <w:basedOn w:val="DefaultParagraphFont"/>
    <w:uiPriority w:val="99"/>
    <w:semiHidden/>
    <w:locked/>
    <w:rsid w:val="003A6D54"/>
    <w:rPr>
      <w:rFonts w:ascii="Times New Roman" w:eastAsia="Times New Roman" w:hAnsi="Times New Roman" w:cs="Times New Roman"/>
      <w:sz w:val="20"/>
      <w:szCs w:val="20"/>
      <w:lang w:val="en-US" w:eastAsia="en-GB"/>
    </w:rPr>
  </w:style>
  <w:style w:type="paragraph" w:styleId="BodyText">
    <w:name w:val="Body Text"/>
    <w:basedOn w:val="Normal"/>
    <w:link w:val="BodyTextChar"/>
    <w:rsid w:val="002E2508"/>
    <w:pPr>
      <w:spacing w:line="48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2E2508"/>
    <w:rPr>
      <w:rFonts w:ascii="Times New Roman" w:eastAsia="Times New Roman" w:hAnsi="Times New Roman" w:cs="Times New Roman"/>
      <w:sz w:val="24"/>
      <w:szCs w:val="24"/>
      <w:lang w:eastAsia="en-GB"/>
    </w:rPr>
  </w:style>
  <w:style w:type="character" w:styleId="Hyperlink">
    <w:name w:val="Hyperlink"/>
    <w:basedOn w:val="DefaultParagraphFont"/>
    <w:semiHidden/>
    <w:rsid w:val="002E2508"/>
    <w:rPr>
      <w:color w:val="0000FF"/>
      <w:u w:val="single"/>
    </w:rPr>
  </w:style>
  <w:style w:type="character" w:styleId="Emphasis">
    <w:name w:val="Emphasis"/>
    <w:basedOn w:val="DefaultParagraphFont"/>
    <w:uiPriority w:val="20"/>
    <w:qFormat/>
    <w:rsid w:val="002E2508"/>
    <w:rPr>
      <w:i/>
      <w:iCs/>
    </w:rPr>
  </w:style>
  <w:style w:type="character" w:customStyle="1" w:styleId="Subtitle1">
    <w:name w:val="Subtitle1"/>
    <w:basedOn w:val="DefaultParagraphFont"/>
    <w:rsid w:val="002E2508"/>
  </w:style>
  <w:style w:type="paragraph" w:customStyle="1" w:styleId="Default">
    <w:name w:val="Default"/>
    <w:rsid w:val="002E250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0A09C8"/>
    <w:rPr>
      <w:color w:val="808080"/>
      <w:shd w:val="clear" w:color="auto" w:fill="E6E6E6"/>
    </w:rPr>
  </w:style>
  <w:style w:type="character" w:customStyle="1" w:styleId="italic">
    <w:name w:val="italic"/>
    <w:basedOn w:val="DefaultParagraphFont"/>
    <w:rsid w:val="00D01C3B"/>
  </w:style>
  <w:style w:type="paragraph" w:styleId="BalloonText">
    <w:name w:val="Balloon Text"/>
    <w:basedOn w:val="Normal"/>
    <w:link w:val="BalloonTextChar"/>
    <w:uiPriority w:val="99"/>
    <w:semiHidden/>
    <w:unhideWhenUsed/>
    <w:rsid w:val="008117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794"/>
    <w:rPr>
      <w:rFonts w:ascii="Segoe UI" w:hAnsi="Segoe UI" w:cs="Segoe UI"/>
      <w:sz w:val="18"/>
      <w:szCs w:val="18"/>
    </w:rPr>
  </w:style>
  <w:style w:type="paragraph" w:styleId="Header">
    <w:name w:val="header"/>
    <w:basedOn w:val="Normal"/>
    <w:link w:val="HeaderChar"/>
    <w:uiPriority w:val="99"/>
    <w:unhideWhenUsed/>
    <w:rsid w:val="001A19BA"/>
    <w:pPr>
      <w:tabs>
        <w:tab w:val="center" w:pos="4513"/>
        <w:tab w:val="right" w:pos="9026"/>
      </w:tabs>
    </w:pPr>
  </w:style>
  <w:style w:type="character" w:customStyle="1" w:styleId="HeaderChar">
    <w:name w:val="Header Char"/>
    <w:basedOn w:val="DefaultParagraphFont"/>
    <w:link w:val="Header"/>
    <w:uiPriority w:val="99"/>
    <w:rsid w:val="001A19BA"/>
  </w:style>
  <w:style w:type="paragraph" w:styleId="Footer">
    <w:name w:val="footer"/>
    <w:basedOn w:val="Normal"/>
    <w:link w:val="FooterChar"/>
    <w:uiPriority w:val="99"/>
    <w:unhideWhenUsed/>
    <w:rsid w:val="001A19BA"/>
    <w:pPr>
      <w:tabs>
        <w:tab w:val="center" w:pos="4513"/>
        <w:tab w:val="right" w:pos="9026"/>
      </w:tabs>
    </w:pPr>
  </w:style>
  <w:style w:type="character" w:customStyle="1" w:styleId="FooterChar">
    <w:name w:val="Footer Char"/>
    <w:basedOn w:val="DefaultParagraphFont"/>
    <w:link w:val="Footer"/>
    <w:uiPriority w:val="99"/>
    <w:rsid w:val="001A19BA"/>
  </w:style>
  <w:style w:type="character" w:customStyle="1" w:styleId="Heading2Char">
    <w:name w:val="Heading 2 Char"/>
    <w:basedOn w:val="DefaultParagraphFont"/>
    <w:link w:val="Heading2"/>
    <w:uiPriority w:val="9"/>
    <w:rsid w:val="00040D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1536">
      <w:bodyDiv w:val="1"/>
      <w:marLeft w:val="0"/>
      <w:marRight w:val="0"/>
      <w:marTop w:val="0"/>
      <w:marBottom w:val="0"/>
      <w:divBdr>
        <w:top w:val="none" w:sz="0" w:space="0" w:color="auto"/>
        <w:left w:val="none" w:sz="0" w:space="0" w:color="auto"/>
        <w:bottom w:val="none" w:sz="0" w:space="0" w:color="auto"/>
        <w:right w:val="none" w:sz="0" w:space="0" w:color="auto"/>
      </w:divBdr>
    </w:div>
    <w:div w:id="305209393">
      <w:bodyDiv w:val="1"/>
      <w:marLeft w:val="0"/>
      <w:marRight w:val="0"/>
      <w:marTop w:val="0"/>
      <w:marBottom w:val="0"/>
      <w:divBdr>
        <w:top w:val="none" w:sz="0" w:space="0" w:color="auto"/>
        <w:left w:val="none" w:sz="0" w:space="0" w:color="auto"/>
        <w:bottom w:val="none" w:sz="0" w:space="0" w:color="auto"/>
        <w:right w:val="none" w:sz="0" w:space="0" w:color="auto"/>
      </w:divBdr>
    </w:div>
    <w:div w:id="415829870">
      <w:bodyDiv w:val="1"/>
      <w:marLeft w:val="0"/>
      <w:marRight w:val="0"/>
      <w:marTop w:val="0"/>
      <w:marBottom w:val="0"/>
      <w:divBdr>
        <w:top w:val="none" w:sz="0" w:space="0" w:color="auto"/>
        <w:left w:val="none" w:sz="0" w:space="0" w:color="auto"/>
        <w:bottom w:val="none" w:sz="0" w:space="0" w:color="auto"/>
        <w:right w:val="none" w:sz="0" w:space="0" w:color="auto"/>
      </w:divBdr>
    </w:div>
    <w:div w:id="467430817">
      <w:bodyDiv w:val="1"/>
      <w:marLeft w:val="0"/>
      <w:marRight w:val="0"/>
      <w:marTop w:val="0"/>
      <w:marBottom w:val="0"/>
      <w:divBdr>
        <w:top w:val="none" w:sz="0" w:space="0" w:color="auto"/>
        <w:left w:val="none" w:sz="0" w:space="0" w:color="auto"/>
        <w:bottom w:val="none" w:sz="0" w:space="0" w:color="auto"/>
        <w:right w:val="none" w:sz="0" w:space="0" w:color="auto"/>
      </w:divBdr>
      <w:divsChild>
        <w:div w:id="2142842170">
          <w:marLeft w:val="0"/>
          <w:marRight w:val="0"/>
          <w:marTop w:val="75"/>
          <w:marBottom w:val="75"/>
          <w:divBdr>
            <w:top w:val="none" w:sz="0" w:space="0" w:color="auto"/>
            <w:left w:val="none" w:sz="0" w:space="0" w:color="auto"/>
            <w:bottom w:val="none" w:sz="0" w:space="0" w:color="auto"/>
            <w:right w:val="none" w:sz="0" w:space="0" w:color="auto"/>
          </w:divBdr>
          <w:divsChild>
            <w:div w:id="677469048">
              <w:marLeft w:val="0"/>
              <w:marRight w:val="0"/>
              <w:marTop w:val="225"/>
              <w:marBottom w:val="0"/>
              <w:divBdr>
                <w:top w:val="none" w:sz="0" w:space="0" w:color="auto"/>
                <w:left w:val="none" w:sz="0" w:space="0" w:color="auto"/>
                <w:bottom w:val="none" w:sz="0" w:space="0" w:color="auto"/>
                <w:right w:val="none" w:sz="0" w:space="0" w:color="auto"/>
              </w:divBdr>
            </w:div>
            <w:div w:id="1012611646">
              <w:marLeft w:val="0"/>
              <w:marRight w:val="0"/>
              <w:marTop w:val="150"/>
              <w:marBottom w:val="150"/>
              <w:divBdr>
                <w:top w:val="none" w:sz="0" w:space="0" w:color="auto"/>
                <w:left w:val="none" w:sz="0" w:space="0" w:color="auto"/>
                <w:bottom w:val="none" w:sz="0" w:space="0" w:color="auto"/>
                <w:right w:val="none" w:sz="0" w:space="0" w:color="auto"/>
              </w:divBdr>
              <w:divsChild>
                <w:div w:id="1800218645">
                  <w:marLeft w:val="0"/>
                  <w:marRight w:val="0"/>
                  <w:marTop w:val="0"/>
                  <w:marBottom w:val="0"/>
                  <w:divBdr>
                    <w:top w:val="none" w:sz="0" w:space="0" w:color="auto"/>
                    <w:left w:val="none" w:sz="0" w:space="0" w:color="auto"/>
                    <w:bottom w:val="none" w:sz="0" w:space="0" w:color="auto"/>
                    <w:right w:val="none" w:sz="0" w:space="0" w:color="auto"/>
                  </w:divBdr>
                  <w:divsChild>
                    <w:div w:id="6190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3358">
      <w:bodyDiv w:val="1"/>
      <w:marLeft w:val="0"/>
      <w:marRight w:val="0"/>
      <w:marTop w:val="0"/>
      <w:marBottom w:val="0"/>
      <w:divBdr>
        <w:top w:val="none" w:sz="0" w:space="0" w:color="auto"/>
        <w:left w:val="none" w:sz="0" w:space="0" w:color="auto"/>
        <w:bottom w:val="none" w:sz="0" w:space="0" w:color="auto"/>
        <w:right w:val="none" w:sz="0" w:space="0" w:color="auto"/>
      </w:divBdr>
    </w:div>
    <w:div w:id="976683928">
      <w:bodyDiv w:val="1"/>
      <w:marLeft w:val="0"/>
      <w:marRight w:val="0"/>
      <w:marTop w:val="0"/>
      <w:marBottom w:val="0"/>
      <w:divBdr>
        <w:top w:val="none" w:sz="0" w:space="0" w:color="auto"/>
        <w:left w:val="none" w:sz="0" w:space="0" w:color="auto"/>
        <w:bottom w:val="none" w:sz="0" w:space="0" w:color="auto"/>
        <w:right w:val="none" w:sz="0" w:space="0" w:color="auto"/>
      </w:divBdr>
    </w:div>
    <w:div w:id="1032876729">
      <w:bodyDiv w:val="1"/>
      <w:marLeft w:val="0"/>
      <w:marRight w:val="0"/>
      <w:marTop w:val="0"/>
      <w:marBottom w:val="0"/>
      <w:divBdr>
        <w:top w:val="none" w:sz="0" w:space="0" w:color="auto"/>
        <w:left w:val="none" w:sz="0" w:space="0" w:color="auto"/>
        <w:bottom w:val="none" w:sz="0" w:space="0" w:color="auto"/>
        <w:right w:val="none" w:sz="0" w:space="0" w:color="auto"/>
      </w:divBdr>
      <w:divsChild>
        <w:div w:id="95638338">
          <w:marLeft w:val="0"/>
          <w:marRight w:val="0"/>
          <w:marTop w:val="0"/>
          <w:marBottom w:val="195"/>
          <w:divBdr>
            <w:top w:val="none" w:sz="0" w:space="0" w:color="auto"/>
            <w:left w:val="none" w:sz="0" w:space="0" w:color="auto"/>
            <w:bottom w:val="none" w:sz="0" w:space="0" w:color="auto"/>
            <w:right w:val="none" w:sz="0" w:space="0" w:color="auto"/>
          </w:divBdr>
        </w:div>
      </w:divsChild>
    </w:div>
    <w:div w:id="1266496080">
      <w:bodyDiv w:val="1"/>
      <w:marLeft w:val="0"/>
      <w:marRight w:val="0"/>
      <w:marTop w:val="0"/>
      <w:marBottom w:val="0"/>
      <w:divBdr>
        <w:top w:val="none" w:sz="0" w:space="0" w:color="auto"/>
        <w:left w:val="none" w:sz="0" w:space="0" w:color="auto"/>
        <w:bottom w:val="none" w:sz="0" w:space="0" w:color="auto"/>
        <w:right w:val="none" w:sz="0" w:space="0" w:color="auto"/>
      </w:divBdr>
    </w:div>
    <w:div w:id="1442798865">
      <w:bodyDiv w:val="1"/>
      <w:marLeft w:val="0"/>
      <w:marRight w:val="0"/>
      <w:marTop w:val="0"/>
      <w:marBottom w:val="0"/>
      <w:divBdr>
        <w:top w:val="none" w:sz="0" w:space="0" w:color="auto"/>
        <w:left w:val="none" w:sz="0" w:space="0" w:color="auto"/>
        <w:bottom w:val="none" w:sz="0" w:space="0" w:color="auto"/>
        <w:right w:val="none" w:sz="0" w:space="0" w:color="auto"/>
      </w:divBdr>
    </w:div>
    <w:div w:id="1774323014">
      <w:bodyDiv w:val="1"/>
      <w:marLeft w:val="0"/>
      <w:marRight w:val="0"/>
      <w:marTop w:val="0"/>
      <w:marBottom w:val="0"/>
      <w:divBdr>
        <w:top w:val="none" w:sz="0" w:space="0" w:color="auto"/>
        <w:left w:val="none" w:sz="0" w:space="0" w:color="auto"/>
        <w:bottom w:val="none" w:sz="0" w:space="0" w:color="auto"/>
        <w:right w:val="none" w:sz="0" w:space="0" w:color="auto"/>
      </w:divBdr>
    </w:div>
    <w:div w:id="1847213248">
      <w:bodyDiv w:val="1"/>
      <w:marLeft w:val="0"/>
      <w:marRight w:val="0"/>
      <w:marTop w:val="0"/>
      <w:marBottom w:val="0"/>
      <w:divBdr>
        <w:top w:val="none" w:sz="0" w:space="0" w:color="auto"/>
        <w:left w:val="none" w:sz="0" w:space="0" w:color="auto"/>
        <w:bottom w:val="none" w:sz="0" w:space="0" w:color="auto"/>
        <w:right w:val="none" w:sz="0" w:space="0" w:color="auto"/>
      </w:divBdr>
    </w:div>
    <w:div w:id="1881936807">
      <w:bodyDiv w:val="1"/>
      <w:marLeft w:val="0"/>
      <w:marRight w:val="0"/>
      <w:marTop w:val="0"/>
      <w:marBottom w:val="0"/>
      <w:divBdr>
        <w:top w:val="none" w:sz="0" w:space="0" w:color="auto"/>
        <w:left w:val="none" w:sz="0" w:space="0" w:color="auto"/>
        <w:bottom w:val="none" w:sz="0" w:space="0" w:color="auto"/>
        <w:right w:val="none" w:sz="0" w:space="0" w:color="auto"/>
      </w:divBdr>
    </w:div>
    <w:div w:id="18979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47279416000593" TargetMode="External"/><Relationship Id="rId13" Type="http://schemas.openxmlformats.org/officeDocument/2006/relationships/hyperlink" Target="https://stats.oecd.org/index.aspx?queryid=30197" TargetMode="External"/><Relationship Id="rId18" Type="http://schemas.openxmlformats.org/officeDocument/2006/relationships/hyperlink" Target="https://doi.org/10.1111/j.1467-9515.1995.tb00472.x"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dx.doi.org/10.1111/j.1745-5871.2011.00701.x" TargetMode="External"/><Relationship Id="rId17" Type="http://schemas.openxmlformats.org/officeDocument/2006/relationships/hyperlink" Target="https://www.un.org/development/desa/publications/world-population-prospects-the-2017-revision.html"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ensus.gov/content/dam/Census/library/publications/2017/demo/P60-259.pdf"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047279413000597"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msd.govt.nz/about-msd-and-our-work/publications-resources/journals-and-magazines/social-policy-journal/spj09/compulsory-retirement-savings-scheme-referendum.html"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doi.org/10.1111/j.1467-9515.2005.00468.x"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oi.org/10.1111/spol.12041" TargetMode="External"/><Relationship Id="rId14" Type="http://schemas.openxmlformats.org/officeDocument/2006/relationships/hyperlink" Target="https://stats.oecd.org/Index.aspx?DataSetCode=SOCX_AGG"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A62E-8F03-4D0C-95AE-952C5711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8998</Words>
  <Characters>51289</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Bridgen</dc:creator>
  <cp:keywords/>
  <dc:description/>
  <cp:lastModifiedBy>Edwards L.</cp:lastModifiedBy>
  <cp:revision>2</cp:revision>
  <cp:lastPrinted>2018-05-04T09:32:00Z</cp:lastPrinted>
  <dcterms:created xsi:type="dcterms:W3CDTF">2018-11-08T10:17:00Z</dcterms:created>
  <dcterms:modified xsi:type="dcterms:W3CDTF">2018-11-08T10:17:00Z</dcterms:modified>
</cp:coreProperties>
</file>