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908A" w14:textId="7DB5BE9C" w:rsidR="00B24D3D" w:rsidRDefault="00D34CE6" w:rsidP="0017473E">
      <w:pPr>
        <w:contextualSpacing/>
        <w:jc w:val="center"/>
        <w:rPr>
          <w:rFonts w:ascii="Garamond" w:hAnsi="Garamond" w:cs="Futura"/>
          <w:b/>
          <w:i/>
          <w:sz w:val="30"/>
          <w:szCs w:val="30"/>
        </w:rPr>
      </w:pPr>
      <w:bookmarkStart w:id="0" w:name="_GoBack"/>
      <w:bookmarkEnd w:id="0"/>
      <w:r>
        <w:rPr>
          <w:rFonts w:ascii="Garamond" w:hAnsi="Garamond" w:cs="Futura"/>
          <w:b/>
          <w:sz w:val="30"/>
          <w:szCs w:val="30"/>
        </w:rPr>
        <w:t>The</w:t>
      </w:r>
      <w:r w:rsidR="00C30C30">
        <w:rPr>
          <w:rFonts w:ascii="Garamond" w:hAnsi="Garamond" w:cs="Futura"/>
          <w:b/>
          <w:sz w:val="30"/>
          <w:szCs w:val="30"/>
        </w:rPr>
        <w:t xml:space="preserve"> Rule of Recognition</w:t>
      </w:r>
      <w:r w:rsidR="0017473E">
        <w:rPr>
          <w:rFonts w:ascii="Garamond" w:hAnsi="Garamond" w:cs="Futura"/>
          <w:b/>
          <w:sz w:val="30"/>
          <w:szCs w:val="30"/>
        </w:rPr>
        <w:t xml:space="preserve"> </w:t>
      </w:r>
      <w:r>
        <w:rPr>
          <w:rFonts w:ascii="Garamond" w:hAnsi="Garamond" w:cs="Futura"/>
          <w:b/>
          <w:sz w:val="30"/>
          <w:szCs w:val="30"/>
        </w:rPr>
        <w:t xml:space="preserve">and Sources of Law </w:t>
      </w:r>
      <w:r w:rsidR="0017473E">
        <w:rPr>
          <w:rFonts w:ascii="Garamond" w:hAnsi="Garamond" w:cs="Futura"/>
          <w:b/>
          <w:sz w:val="30"/>
          <w:szCs w:val="30"/>
        </w:rPr>
        <w:t xml:space="preserve">in </w:t>
      </w:r>
      <w:r w:rsidR="0017473E" w:rsidRPr="0017473E">
        <w:rPr>
          <w:rFonts w:ascii="Garamond" w:hAnsi="Garamond" w:cs="Futura"/>
          <w:b/>
          <w:i/>
          <w:sz w:val="30"/>
          <w:szCs w:val="30"/>
        </w:rPr>
        <w:t>Miller</w:t>
      </w:r>
    </w:p>
    <w:p w14:paraId="4AAA16AE" w14:textId="4A318A07" w:rsidR="00837F63" w:rsidRPr="00837F63" w:rsidRDefault="00837F63" w:rsidP="0017473E">
      <w:pPr>
        <w:contextualSpacing/>
        <w:jc w:val="center"/>
        <w:rPr>
          <w:rFonts w:ascii="Garamond" w:hAnsi="Garamond" w:cs="Futura"/>
          <w:sz w:val="24"/>
          <w:szCs w:val="24"/>
        </w:rPr>
      </w:pPr>
    </w:p>
    <w:p w14:paraId="6988FF2A" w14:textId="1103F511" w:rsidR="00837F63" w:rsidRDefault="00837F63" w:rsidP="0017473E">
      <w:pPr>
        <w:contextualSpacing/>
        <w:jc w:val="center"/>
        <w:rPr>
          <w:rFonts w:ascii="Garamond" w:hAnsi="Garamond" w:cs="Futura"/>
          <w:sz w:val="24"/>
          <w:szCs w:val="24"/>
        </w:rPr>
      </w:pPr>
    </w:p>
    <w:p w14:paraId="5FDD56D4" w14:textId="77777777" w:rsidR="000375F2" w:rsidRPr="00837F63" w:rsidRDefault="000375F2" w:rsidP="0017473E">
      <w:pPr>
        <w:contextualSpacing/>
        <w:jc w:val="center"/>
        <w:rPr>
          <w:rFonts w:ascii="Garamond" w:hAnsi="Garamond" w:cs="Futura"/>
          <w:sz w:val="24"/>
          <w:szCs w:val="24"/>
        </w:rPr>
      </w:pPr>
    </w:p>
    <w:p w14:paraId="595B5837" w14:textId="09322786" w:rsidR="00837F63" w:rsidRPr="00837F63" w:rsidRDefault="00837F63" w:rsidP="0017473E">
      <w:pPr>
        <w:contextualSpacing/>
        <w:jc w:val="center"/>
        <w:rPr>
          <w:rFonts w:ascii="Garamond" w:hAnsi="Garamond" w:cs="Futura"/>
          <w:sz w:val="24"/>
          <w:szCs w:val="24"/>
        </w:rPr>
      </w:pPr>
      <w:r w:rsidRPr="00837F63">
        <w:rPr>
          <w:rFonts w:ascii="Garamond" w:hAnsi="Garamond" w:cs="Futura"/>
          <w:sz w:val="24"/>
          <w:szCs w:val="24"/>
        </w:rPr>
        <w:t>Asif Hameed</w:t>
      </w:r>
      <w:r w:rsidR="001A3463" w:rsidRPr="00A22300">
        <w:rPr>
          <w:rStyle w:val="FootnoteReference"/>
          <w:rFonts w:ascii="Garamond" w:hAnsi="Garamond"/>
          <w:sz w:val="24"/>
          <w:szCs w:val="24"/>
        </w:rPr>
        <w:footnoteReference w:customMarkFollows="1" w:id="1"/>
        <w:sym w:font="Symbol" w:char="F02A"/>
      </w:r>
    </w:p>
    <w:p w14:paraId="74035A78" w14:textId="77777777" w:rsidR="004D48EA" w:rsidRPr="00837F63" w:rsidRDefault="004D48EA" w:rsidP="0059522C">
      <w:pPr>
        <w:contextualSpacing/>
        <w:rPr>
          <w:rFonts w:ascii="Garamond" w:hAnsi="Garamond" w:cs="Futura"/>
          <w:sz w:val="24"/>
          <w:szCs w:val="24"/>
        </w:rPr>
      </w:pPr>
    </w:p>
    <w:p w14:paraId="40097300" w14:textId="458D9EAB" w:rsidR="00D00C8B" w:rsidRPr="00837F63" w:rsidRDefault="00D00C8B" w:rsidP="0059522C">
      <w:pPr>
        <w:contextualSpacing/>
        <w:rPr>
          <w:rFonts w:ascii="Garamond" w:hAnsi="Garamond" w:cs="Futura"/>
          <w:sz w:val="24"/>
          <w:szCs w:val="24"/>
        </w:rPr>
      </w:pPr>
    </w:p>
    <w:p w14:paraId="52B1C868" w14:textId="76DAB5EF" w:rsidR="00394895" w:rsidRPr="00837F63" w:rsidRDefault="00394895" w:rsidP="0059522C">
      <w:pPr>
        <w:contextualSpacing/>
        <w:rPr>
          <w:rFonts w:ascii="Garamond" w:hAnsi="Garamond" w:cs="Futura"/>
          <w:sz w:val="24"/>
          <w:szCs w:val="24"/>
        </w:rPr>
      </w:pPr>
    </w:p>
    <w:p w14:paraId="47D35A8C" w14:textId="38F69B85" w:rsidR="00912943" w:rsidRPr="001356EE" w:rsidRDefault="00BE6BA0" w:rsidP="00912943">
      <w:pPr>
        <w:contextualSpacing/>
        <w:rPr>
          <w:rFonts w:ascii="Garamond" w:hAnsi="Garamond" w:cs="Futura"/>
          <w:sz w:val="24"/>
        </w:rPr>
      </w:pPr>
      <w:r>
        <w:rPr>
          <w:rFonts w:ascii="Garamond" w:hAnsi="Garamond" w:cs="Futura"/>
          <w:sz w:val="24"/>
        </w:rPr>
        <w:t>The Supreme Court’s</w:t>
      </w:r>
      <w:r w:rsidR="009038B9">
        <w:rPr>
          <w:rFonts w:ascii="Garamond" w:hAnsi="Garamond" w:cs="Futura"/>
          <w:sz w:val="24"/>
        </w:rPr>
        <w:t xml:space="preserve"> judgment in </w:t>
      </w:r>
      <w:r w:rsidR="009038B9" w:rsidRPr="00BE6BA0">
        <w:rPr>
          <w:rFonts w:ascii="Garamond" w:hAnsi="Garamond" w:cs="Futura"/>
          <w:i/>
          <w:sz w:val="24"/>
        </w:rPr>
        <w:t>Miller</w:t>
      </w:r>
      <w:r>
        <w:rPr>
          <w:rFonts w:ascii="Garamond" w:hAnsi="Garamond" w:cs="Futura"/>
          <w:sz w:val="24"/>
        </w:rPr>
        <w:t xml:space="preserve"> </w:t>
      </w:r>
      <w:r w:rsidR="00C47306">
        <w:rPr>
          <w:rFonts w:ascii="Garamond" w:hAnsi="Garamond" w:cs="Futura"/>
          <w:sz w:val="24"/>
        </w:rPr>
        <w:t>renew</w:t>
      </w:r>
      <w:r w:rsidR="00A45F86">
        <w:rPr>
          <w:rFonts w:ascii="Garamond" w:hAnsi="Garamond" w:cs="Futura"/>
          <w:sz w:val="24"/>
        </w:rPr>
        <w:t>s</w:t>
      </w:r>
      <w:r w:rsidR="00C47306">
        <w:rPr>
          <w:rFonts w:ascii="Garamond" w:hAnsi="Garamond" w:cs="Futura"/>
          <w:sz w:val="24"/>
        </w:rPr>
        <w:t xml:space="preserve"> </w:t>
      </w:r>
      <w:r>
        <w:rPr>
          <w:rFonts w:ascii="Garamond" w:hAnsi="Garamond" w:cs="Futura"/>
          <w:sz w:val="24"/>
        </w:rPr>
        <w:t xml:space="preserve">attention </w:t>
      </w:r>
      <w:r w:rsidR="00661164">
        <w:rPr>
          <w:rFonts w:ascii="Garamond" w:hAnsi="Garamond" w:cs="Futura"/>
          <w:sz w:val="24"/>
        </w:rPr>
        <w:t>in</w:t>
      </w:r>
      <w:r>
        <w:rPr>
          <w:rFonts w:ascii="Garamond" w:hAnsi="Garamond" w:cs="Futura"/>
          <w:sz w:val="24"/>
        </w:rPr>
        <w:t xml:space="preserve"> the </w:t>
      </w:r>
      <w:r w:rsidR="00661164">
        <w:rPr>
          <w:rFonts w:ascii="Garamond" w:hAnsi="Garamond" w:cs="Futura"/>
          <w:sz w:val="24"/>
        </w:rPr>
        <w:t>sources of law</w:t>
      </w:r>
      <w:r w:rsidR="00885C93">
        <w:rPr>
          <w:rFonts w:ascii="Garamond" w:hAnsi="Garamond" w:cs="Futura"/>
          <w:sz w:val="24"/>
        </w:rPr>
        <w:t>, particularly treaty-based sources</w:t>
      </w:r>
      <w:r w:rsidR="00661164">
        <w:rPr>
          <w:rFonts w:ascii="Garamond" w:hAnsi="Garamond" w:cs="Futura"/>
          <w:sz w:val="24"/>
        </w:rPr>
        <w:t>.</w:t>
      </w:r>
      <w:r w:rsidR="00661164">
        <w:rPr>
          <w:rStyle w:val="FootnoteReference"/>
          <w:rFonts w:ascii="Garamond" w:hAnsi="Garamond" w:cs="Futura"/>
          <w:sz w:val="24"/>
        </w:rPr>
        <w:footnoteReference w:id="2"/>
      </w:r>
      <w:r w:rsidR="00661164">
        <w:rPr>
          <w:rFonts w:ascii="Garamond" w:hAnsi="Garamond" w:cs="Futura"/>
          <w:sz w:val="24"/>
        </w:rPr>
        <w:t xml:space="preserve"> </w:t>
      </w:r>
      <w:r w:rsidR="00912943">
        <w:rPr>
          <w:rFonts w:ascii="Garamond" w:hAnsi="Garamond" w:cs="Futura"/>
          <w:sz w:val="24"/>
        </w:rPr>
        <w:t xml:space="preserve">The Court held by a majority of eight to three that the Government was not permitted to use the foreign affairs prerogative to notify the European Council of its intention to withdraw from the EU under Article 50(2) TEU without authorisation </w:t>
      </w:r>
      <w:r w:rsidR="00017130">
        <w:rPr>
          <w:rFonts w:ascii="Garamond" w:hAnsi="Garamond" w:cs="Futura"/>
          <w:sz w:val="24"/>
        </w:rPr>
        <w:t>from</w:t>
      </w:r>
      <w:r w:rsidR="00912943">
        <w:rPr>
          <w:rFonts w:ascii="Garamond" w:hAnsi="Garamond" w:cs="Futura"/>
          <w:sz w:val="24"/>
        </w:rPr>
        <w:t xml:space="preserve"> an Act of Parliament. </w:t>
      </w:r>
      <w:r w:rsidR="00C6151C">
        <w:rPr>
          <w:rFonts w:ascii="Garamond" w:hAnsi="Garamond" w:cs="Futura"/>
          <w:sz w:val="24"/>
        </w:rPr>
        <w:t>In response</w:t>
      </w:r>
      <w:r w:rsidR="00802208">
        <w:rPr>
          <w:rFonts w:ascii="Garamond" w:hAnsi="Garamond" w:cs="Futura"/>
          <w:sz w:val="24"/>
        </w:rPr>
        <w:t xml:space="preserve"> t</w:t>
      </w:r>
      <w:r w:rsidR="00940757">
        <w:rPr>
          <w:rFonts w:ascii="Garamond" w:hAnsi="Garamond" w:cs="Futura"/>
          <w:sz w:val="24"/>
        </w:rPr>
        <w:t>he</w:t>
      </w:r>
      <w:r w:rsidR="00912943">
        <w:rPr>
          <w:rFonts w:ascii="Garamond" w:hAnsi="Garamond" w:cs="Futura"/>
          <w:sz w:val="24"/>
        </w:rPr>
        <w:t xml:space="preserve"> European Union (Notification of Withdrawal) Act 2017 was </w:t>
      </w:r>
      <w:r w:rsidR="00940757">
        <w:rPr>
          <w:rFonts w:ascii="Garamond" w:hAnsi="Garamond" w:cs="Futura"/>
          <w:sz w:val="24"/>
        </w:rPr>
        <w:t>enacted</w:t>
      </w:r>
      <w:r w:rsidR="00912943">
        <w:rPr>
          <w:rFonts w:ascii="Garamond" w:hAnsi="Garamond" w:cs="Futura"/>
          <w:sz w:val="24"/>
        </w:rPr>
        <w:t>.</w:t>
      </w:r>
      <w:r w:rsidR="00912943">
        <w:rPr>
          <w:rStyle w:val="FootnoteReference"/>
          <w:rFonts w:ascii="Garamond" w:hAnsi="Garamond" w:cs="Futura"/>
          <w:sz w:val="24"/>
        </w:rPr>
        <w:footnoteReference w:id="3"/>
      </w:r>
    </w:p>
    <w:p w14:paraId="141DE407" w14:textId="646C74F0" w:rsidR="00C47306" w:rsidRDefault="001F2396" w:rsidP="00912943">
      <w:pPr>
        <w:ind w:firstLine="624"/>
        <w:contextualSpacing/>
        <w:rPr>
          <w:rFonts w:ascii="Garamond" w:hAnsi="Garamond" w:cs="Futura"/>
          <w:sz w:val="24"/>
        </w:rPr>
      </w:pPr>
      <w:r>
        <w:rPr>
          <w:rFonts w:ascii="Garamond" w:hAnsi="Garamond" w:cs="Futura"/>
          <w:sz w:val="24"/>
        </w:rPr>
        <w:t xml:space="preserve">The majority’s reasoning has been criticised, </w:t>
      </w:r>
      <w:r w:rsidR="00C6151C">
        <w:rPr>
          <w:rFonts w:ascii="Garamond" w:hAnsi="Garamond" w:cs="Futura"/>
          <w:sz w:val="24"/>
        </w:rPr>
        <w:t xml:space="preserve">including </w:t>
      </w:r>
      <w:r>
        <w:rPr>
          <w:rFonts w:ascii="Garamond" w:hAnsi="Garamond" w:cs="Futura"/>
          <w:sz w:val="24"/>
        </w:rPr>
        <w:t xml:space="preserve">its </w:t>
      </w:r>
      <w:r w:rsidR="00BF0360">
        <w:rPr>
          <w:rFonts w:ascii="Garamond" w:hAnsi="Garamond" w:cs="Futura"/>
          <w:sz w:val="24"/>
        </w:rPr>
        <w:t>twin</w:t>
      </w:r>
      <w:r w:rsidR="00505A70">
        <w:rPr>
          <w:rFonts w:ascii="Garamond" w:hAnsi="Garamond" w:cs="Futura"/>
          <w:sz w:val="24"/>
        </w:rPr>
        <w:t xml:space="preserve"> </w:t>
      </w:r>
      <w:r>
        <w:rPr>
          <w:rFonts w:ascii="Garamond" w:hAnsi="Garamond" w:cs="Futura"/>
          <w:sz w:val="24"/>
        </w:rPr>
        <w:t>claim</w:t>
      </w:r>
      <w:r w:rsidR="00FC383C">
        <w:rPr>
          <w:rFonts w:ascii="Garamond" w:hAnsi="Garamond" w:cs="Futura"/>
          <w:sz w:val="24"/>
        </w:rPr>
        <w:t>s</w:t>
      </w:r>
      <w:r>
        <w:rPr>
          <w:rFonts w:ascii="Garamond" w:hAnsi="Garamond" w:cs="Futura"/>
          <w:sz w:val="24"/>
        </w:rPr>
        <w:t xml:space="preserve"> that EU law is</w:t>
      </w:r>
      <w:r w:rsidR="00802208">
        <w:rPr>
          <w:rFonts w:ascii="Garamond" w:hAnsi="Garamond" w:cs="Futura"/>
          <w:sz w:val="24"/>
        </w:rPr>
        <w:t xml:space="preserve"> a direct, </w:t>
      </w:r>
      <w:r>
        <w:rPr>
          <w:rFonts w:ascii="Garamond" w:hAnsi="Garamond" w:cs="Futura"/>
          <w:sz w:val="24"/>
        </w:rPr>
        <w:t>independent</w:t>
      </w:r>
      <w:r w:rsidR="00802208">
        <w:rPr>
          <w:rFonts w:ascii="Garamond" w:hAnsi="Garamond" w:cs="Futura"/>
          <w:sz w:val="24"/>
        </w:rPr>
        <w:t xml:space="preserve"> and overriding</w:t>
      </w:r>
      <w:r>
        <w:rPr>
          <w:rFonts w:ascii="Garamond" w:hAnsi="Garamond" w:cs="Futura"/>
          <w:sz w:val="24"/>
        </w:rPr>
        <w:t xml:space="preserve"> source of law</w:t>
      </w:r>
      <w:r w:rsidR="00FC383C">
        <w:rPr>
          <w:rFonts w:ascii="Garamond" w:hAnsi="Garamond" w:cs="Futura"/>
          <w:sz w:val="24"/>
        </w:rPr>
        <w:t xml:space="preserve"> and that </w:t>
      </w:r>
      <w:r w:rsidR="00C36D74">
        <w:rPr>
          <w:rFonts w:ascii="Garamond" w:hAnsi="Garamond" w:cs="Futura"/>
          <w:sz w:val="24"/>
        </w:rPr>
        <w:t xml:space="preserve">UK </w:t>
      </w:r>
      <w:r w:rsidR="00FC383C">
        <w:rPr>
          <w:rFonts w:ascii="Garamond" w:hAnsi="Garamond" w:cs="Futura"/>
          <w:sz w:val="24"/>
        </w:rPr>
        <w:t xml:space="preserve">membership </w:t>
      </w:r>
      <w:r w:rsidR="00C6151C">
        <w:rPr>
          <w:rFonts w:ascii="Garamond" w:hAnsi="Garamond" w:cs="Futura"/>
          <w:sz w:val="24"/>
        </w:rPr>
        <w:t>of the EU did not alter the UK</w:t>
      </w:r>
      <w:r w:rsidR="006C79B5">
        <w:rPr>
          <w:rFonts w:ascii="Garamond" w:hAnsi="Garamond" w:cs="Futura"/>
          <w:sz w:val="24"/>
        </w:rPr>
        <w:t>’s</w:t>
      </w:r>
      <w:r w:rsidR="00FC383C">
        <w:rPr>
          <w:rFonts w:ascii="Garamond" w:hAnsi="Garamond" w:cs="Futura"/>
          <w:sz w:val="24"/>
        </w:rPr>
        <w:t xml:space="preserve"> rule of recognition</w:t>
      </w:r>
      <w:r>
        <w:rPr>
          <w:rFonts w:ascii="Garamond" w:hAnsi="Garamond" w:cs="Futura"/>
          <w:sz w:val="24"/>
        </w:rPr>
        <w:t>.</w:t>
      </w:r>
      <w:r w:rsidR="00661164">
        <w:rPr>
          <w:rFonts w:ascii="Garamond" w:hAnsi="Garamond" w:cs="Futura"/>
          <w:sz w:val="24"/>
        </w:rPr>
        <w:t xml:space="preserve"> </w:t>
      </w:r>
      <w:r w:rsidR="00AC3803">
        <w:rPr>
          <w:rFonts w:ascii="Garamond" w:hAnsi="Garamond" w:cs="Futura"/>
          <w:sz w:val="24"/>
        </w:rPr>
        <w:t xml:space="preserve">I will </w:t>
      </w:r>
      <w:r w:rsidR="00FD2C37">
        <w:rPr>
          <w:rFonts w:ascii="Garamond" w:hAnsi="Garamond" w:cs="Futura"/>
          <w:sz w:val="24"/>
        </w:rPr>
        <w:t>begin by arguing</w:t>
      </w:r>
      <w:r w:rsidR="00AC3803">
        <w:rPr>
          <w:rFonts w:ascii="Garamond" w:hAnsi="Garamond" w:cs="Futura"/>
          <w:sz w:val="24"/>
        </w:rPr>
        <w:t xml:space="preserve"> that</w:t>
      </w:r>
      <w:r w:rsidR="00C6151C">
        <w:rPr>
          <w:rFonts w:ascii="Garamond" w:hAnsi="Garamond" w:cs="Futura"/>
          <w:sz w:val="24"/>
        </w:rPr>
        <w:t xml:space="preserve"> </w:t>
      </w:r>
      <w:r w:rsidR="00AC3803">
        <w:rPr>
          <w:rFonts w:ascii="Garamond" w:hAnsi="Garamond" w:cs="Futura"/>
          <w:sz w:val="24"/>
        </w:rPr>
        <w:t>these twin claims</w:t>
      </w:r>
      <w:r w:rsidR="00DE4F29">
        <w:rPr>
          <w:rFonts w:ascii="Garamond" w:hAnsi="Garamond" w:cs="Futura"/>
          <w:sz w:val="24"/>
        </w:rPr>
        <w:t xml:space="preserve"> are</w:t>
      </w:r>
      <w:r w:rsidR="00BF56C4">
        <w:rPr>
          <w:rFonts w:ascii="Garamond" w:hAnsi="Garamond" w:cs="Futura"/>
          <w:sz w:val="24"/>
        </w:rPr>
        <w:t xml:space="preserve"> </w:t>
      </w:r>
      <w:r>
        <w:rPr>
          <w:rFonts w:ascii="Garamond" w:hAnsi="Garamond" w:cs="Futura"/>
          <w:sz w:val="24"/>
        </w:rPr>
        <w:t>defensible</w:t>
      </w:r>
      <w:r w:rsidR="00FD5F08">
        <w:rPr>
          <w:rFonts w:ascii="Garamond" w:hAnsi="Garamond" w:cs="Futura"/>
          <w:sz w:val="24"/>
        </w:rPr>
        <w:t>.</w:t>
      </w:r>
      <w:r w:rsidR="00B45DFA">
        <w:rPr>
          <w:rFonts w:ascii="Garamond" w:hAnsi="Garamond" w:cs="Futura"/>
          <w:sz w:val="24"/>
        </w:rPr>
        <w:t xml:space="preserve"> At the same time,</w:t>
      </w:r>
      <w:r w:rsidR="00FD5F08">
        <w:rPr>
          <w:rFonts w:ascii="Garamond" w:hAnsi="Garamond" w:cs="Futura"/>
          <w:sz w:val="24"/>
        </w:rPr>
        <w:t xml:space="preserve"> </w:t>
      </w:r>
      <w:r w:rsidR="006B38F5" w:rsidRPr="006B38F5">
        <w:rPr>
          <w:rFonts w:ascii="Garamond" w:hAnsi="Garamond" w:cs="Futura"/>
          <w:i/>
          <w:sz w:val="24"/>
        </w:rPr>
        <w:t>Miller</w:t>
      </w:r>
      <w:r w:rsidR="00FD5F08">
        <w:rPr>
          <w:rFonts w:ascii="Garamond" w:hAnsi="Garamond" w:cs="Futura"/>
          <w:sz w:val="24"/>
        </w:rPr>
        <w:t xml:space="preserve"> </w:t>
      </w:r>
      <w:r w:rsidR="00DE4F29">
        <w:rPr>
          <w:rFonts w:ascii="Garamond" w:hAnsi="Garamond" w:cs="Futura"/>
          <w:sz w:val="24"/>
        </w:rPr>
        <w:t>does leave</w:t>
      </w:r>
      <w:r w:rsidR="00D738A2">
        <w:rPr>
          <w:rFonts w:ascii="Garamond" w:hAnsi="Garamond" w:cs="Futura"/>
          <w:sz w:val="24"/>
        </w:rPr>
        <w:t xml:space="preserve"> </w:t>
      </w:r>
      <w:r w:rsidR="00505A70">
        <w:rPr>
          <w:rFonts w:ascii="Garamond" w:hAnsi="Garamond" w:cs="Futura"/>
          <w:sz w:val="24"/>
        </w:rPr>
        <w:t xml:space="preserve">unresolved important </w:t>
      </w:r>
      <w:r w:rsidR="00D738A2">
        <w:rPr>
          <w:rFonts w:ascii="Garamond" w:hAnsi="Garamond" w:cs="Futura"/>
          <w:sz w:val="24"/>
        </w:rPr>
        <w:t>questions</w:t>
      </w:r>
      <w:r w:rsidR="00B45DFA">
        <w:rPr>
          <w:rFonts w:ascii="Garamond" w:hAnsi="Garamond" w:cs="Futura"/>
          <w:sz w:val="24"/>
        </w:rPr>
        <w:t xml:space="preserve"> of constitutional</w:t>
      </w:r>
      <w:r w:rsidR="00795F81">
        <w:rPr>
          <w:rFonts w:ascii="Garamond" w:hAnsi="Garamond" w:cs="Futura"/>
          <w:sz w:val="24"/>
        </w:rPr>
        <w:t xml:space="preserve"> law</w:t>
      </w:r>
      <w:r w:rsidR="00B45DFA">
        <w:rPr>
          <w:rFonts w:ascii="Garamond" w:hAnsi="Garamond" w:cs="Futura"/>
          <w:sz w:val="24"/>
        </w:rPr>
        <w:t xml:space="preserve"> </w:t>
      </w:r>
      <w:r w:rsidR="003A6190">
        <w:rPr>
          <w:rFonts w:ascii="Garamond" w:hAnsi="Garamond" w:cs="Futura"/>
          <w:sz w:val="24"/>
        </w:rPr>
        <w:t xml:space="preserve">– </w:t>
      </w:r>
      <w:r w:rsidR="00CD6C5A">
        <w:rPr>
          <w:rFonts w:ascii="Garamond" w:hAnsi="Garamond" w:cs="Futura"/>
          <w:sz w:val="24"/>
        </w:rPr>
        <w:t>in parti</w:t>
      </w:r>
      <w:r w:rsidR="00030623">
        <w:rPr>
          <w:rFonts w:ascii="Garamond" w:hAnsi="Garamond" w:cs="Futura"/>
          <w:sz w:val="24"/>
        </w:rPr>
        <w:t xml:space="preserve">cular, what the </w:t>
      </w:r>
      <w:r w:rsidR="00630BD0">
        <w:rPr>
          <w:rFonts w:ascii="Garamond" w:hAnsi="Garamond" w:cs="Futura"/>
          <w:sz w:val="24"/>
        </w:rPr>
        <w:t>precedential significance</w:t>
      </w:r>
      <w:r w:rsidR="006B38F5">
        <w:rPr>
          <w:rFonts w:ascii="Garamond" w:hAnsi="Garamond" w:cs="Futura"/>
          <w:sz w:val="24"/>
        </w:rPr>
        <w:t xml:space="preserve"> of the majority’s reasoning</w:t>
      </w:r>
      <w:r w:rsidR="00030623">
        <w:rPr>
          <w:rFonts w:ascii="Garamond" w:hAnsi="Garamond" w:cs="Futura"/>
          <w:sz w:val="24"/>
        </w:rPr>
        <w:t xml:space="preserve"> might be</w:t>
      </w:r>
      <w:r w:rsidR="00CD6C5A">
        <w:rPr>
          <w:rFonts w:ascii="Garamond" w:hAnsi="Garamond" w:cs="Futura"/>
          <w:sz w:val="24"/>
        </w:rPr>
        <w:t xml:space="preserve"> for</w:t>
      </w:r>
      <w:r w:rsidR="00B811FC">
        <w:rPr>
          <w:rFonts w:ascii="Garamond" w:hAnsi="Garamond" w:cs="Futura"/>
          <w:sz w:val="24"/>
        </w:rPr>
        <w:t xml:space="preserve"> </w:t>
      </w:r>
      <w:r w:rsidR="00B811FC" w:rsidRPr="00B811FC">
        <w:rPr>
          <w:rFonts w:ascii="Garamond" w:hAnsi="Garamond" w:cs="Futura"/>
          <w:i/>
          <w:sz w:val="24"/>
        </w:rPr>
        <w:t>other</w:t>
      </w:r>
      <w:r w:rsidR="00B811FC">
        <w:rPr>
          <w:rFonts w:ascii="Garamond" w:hAnsi="Garamond" w:cs="Futura"/>
          <w:sz w:val="24"/>
        </w:rPr>
        <w:t xml:space="preserve"> </w:t>
      </w:r>
      <w:r w:rsidR="00CD6C5A">
        <w:rPr>
          <w:rFonts w:ascii="Garamond" w:hAnsi="Garamond" w:cs="Futura"/>
          <w:sz w:val="24"/>
        </w:rPr>
        <w:t>t</w:t>
      </w:r>
      <w:r w:rsidR="00B811FC">
        <w:rPr>
          <w:rFonts w:ascii="Garamond" w:hAnsi="Garamond" w:cs="Futura"/>
          <w:sz w:val="24"/>
        </w:rPr>
        <w:t>reaty-based sources</w:t>
      </w:r>
      <w:r w:rsidR="00A60AC5">
        <w:rPr>
          <w:rFonts w:ascii="Garamond" w:hAnsi="Garamond" w:cs="Futura"/>
          <w:sz w:val="24"/>
        </w:rPr>
        <w:t xml:space="preserve"> of law</w:t>
      </w:r>
      <w:r w:rsidR="00030623">
        <w:rPr>
          <w:rFonts w:ascii="Garamond" w:hAnsi="Garamond" w:cs="Futura"/>
          <w:sz w:val="24"/>
        </w:rPr>
        <w:t>.</w:t>
      </w:r>
      <w:r w:rsidR="00795F81">
        <w:rPr>
          <w:rFonts w:ascii="Garamond" w:hAnsi="Garamond" w:cs="Futura"/>
          <w:sz w:val="24"/>
        </w:rPr>
        <w:t xml:space="preserve"> </w:t>
      </w:r>
      <w:r w:rsidR="00630BD0">
        <w:rPr>
          <w:rFonts w:ascii="Garamond" w:hAnsi="Garamond" w:cs="Futura"/>
          <w:sz w:val="24"/>
        </w:rPr>
        <w:t xml:space="preserve">Is </w:t>
      </w:r>
      <w:r w:rsidR="00630BD0" w:rsidRPr="00630BD0">
        <w:rPr>
          <w:rFonts w:ascii="Garamond" w:hAnsi="Garamond" w:cs="Futura"/>
          <w:i/>
          <w:sz w:val="24"/>
        </w:rPr>
        <w:t>Miller</w:t>
      </w:r>
      <w:r w:rsidR="00630BD0">
        <w:rPr>
          <w:rFonts w:ascii="Garamond" w:hAnsi="Garamond" w:cs="Futura"/>
          <w:sz w:val="24"/>
        </w:rPr>
        <w:t xml:space="preserve"> a one-off case, not to be repeated again in our lifetimes, or might it have implications for other treaty-based sources</w:t>
      </w:r>
      <w:r w:rsidR="00132443">
        <w:rPr>
          <w:rFonts w:ascii="Garamond" w:hAnsi="Garamond" w:cs="Futura"/>
          <w:sz w:val="24"/>
        </w:rPr>
        <w:t xml:space="preserve"> that are given effect under domestic legislation</w:t>
      </w:r>
      <w:r w:rsidR="00630BD0">
        <w:rPr>
          <w:rFonts w:ascii="Garamond" w:hAnsi="Garamond" w:cs="Futura"/>
          <w:sz w:val="24"/>
        </w:rPr>
        <w:t xml:space="preserve">? </w:t>
      </w:r>
      <w:r w:rsidR="00FD2C37">
        <w:rPr>
          <w:rFonts w:ascii="Garamond" w:hAnsi="Garamond" w:cs="Futura"/>
          <w:sz w:val="24"/>
        </w:rPr>
        <w:t>The</w:t>
      </w:r>
      <w:r w:rsidR="007B6BEB">
        <w:rPr>
          <w:rFonts w:ascii="Garamond" w:hAnsi="Garamond" w:cs="Futura"/>
          <w:sz w:val="24"/>
        </w:rPr>
        <w:t xml:space="preserve"> </w:t>
      </w:r>
      <w:r w:rsidR="00EF02C1">
        <w:rPr>
          <w:rFonts w:ascii="Garamond" w:hAnsi="Garamond" w:cs="Futura"/>
          <w:sz w:val="24"/>
        </w:rPr>
        <w:t>paper</w:t>
      </w:r>
      <w:r w:rsidR="00DE4F29">
        <w:rPr>
          <w:rFonts w:ascii="Garamond" w:hAnsi="Garamond" w:cs="Futura"/>
          <w:sz w:val="24"/>
        </w:rPr>
        <w:t>’s second aim</w:t>
      </w:r>
      <w:r w:rsidR="007B6BEB">
        <w:rPr>
          <w:rFonts w:ascii="Garamond" w:hAnsi="Garamond" w:cs="Futura"/>
          <w:sz w:val="24"/>
        </w:rPr>
        <w:t xml:space="preserve"> is </w:t>
      </w:r>
      <w:r w:rsidR="00030623">
        <w:rPr>
          <w:rFonts w:ascii="Garamond" w:hAnsi="Garamond" w:cs="Futura"/>
          <w:sz w:val="24"/>
        </w:rPr>
        <w:t xml:space="preserve">to </w:t>
      </w:r>
      <w:r w:rsidR="007E5DD9">
        <w:rPr>
          <w:rFonts w:ascii="Garamond" w:hAnsi="Garamond" w:cs="Futura"/>
          <w:sz w:val="24"/>
        </w:rPr>
        <w:t>explore</w:t>
      </w:r>
      <w:r w:rsidR="00197C71">
        <w:rPr>
          <w:rFonts w:ascii="Garamond" w:hAnsi="Garamond" w:cs="Futura"/>
          <w:sz w:val="24"/>
        </w:rPr>
        <w:t xml:space="preserve"> </w:t>
      </w:r>
      <w:r w:rsidR="00795F81">
        <w:rPr>
          <w:rFonts w:ascii="Garamond" w:hAnsi="Garamond" w:cs="Futura"/>
          <w:sz w:val="24"/>
        </w:rPr>
        <w:t>this</w:t>
      </w:r>
      <w:r w:rsidR="00197C71">
        <w:rPr>
          <w:rFonts w:ascii="Garamond" w:hAnsi="Garamond" w:cs="Futura"/>
          <w:sz w:val="24"/>
        </w:rPr>
        <w:t xml:space="preserve"> question</w:t>
      </w:r>
      <w:r w:rsidR="00630BD0">
        <w:rPr>
          <w:rFonts w:ascii="Garamond" w:hAnsi="Garamond" w:cs="Futura"/>
          <w:sz w:val="24"/>
        </w:rPr>
        <w:t>,</w:t>
      </w:r>
      <w:r w:rsidR="00197C71">
        <w:rPr>
          <w:rFonts w:ascii="Garamond" w:hAnsi="Garamond" w:cs="Futura"/>
          <w:sz w:val="24"/>
        </w:rPr>
        <w:t xml:space="preserve"> </w:t>
      </w:r>
      <w:r w:rsidR="00CD6C5A">
        <w:rPr>
          <w:rFonts w:ascii="Garamond" w:hAnsi="Garamond" w:cs="Futura"/>
          <w:sz w:val="24"/>
        </w:rPr>
        <w:t xml:space="preserve">and </w:t>
      </w:r>
      <w:r w:rsidR="00630BD0">
        <w:rPr>
          <w:rFonts w:ascii="Garamond" w:hAnsi="Garamond" w:cs="Futura"/>
          <w:sz w:val="24"/>
        </w:rPr>
        <w:t xml:space="preserve">also </w:t>
      </w:r>
      <w:r w:rsidR="00CD6C5A">
        <w:rPr>
          <w:rFonts w:ascii="Garamond" w:hAnsi="Garamond" w:cs="Futura"/>
          <w:sz w:val="24"/>
        </w:rPr>
        <w:t>to offer proposals</w:t>
      </w:r>
      <w:r w:rsidR="00030623">
        <w:rPr>
          <w:rFonts w:ascii="Garamond" w:hAnsi="Garamond" w:cs="Futura"/>
          <w:sz w:val="24"/>
        </w:rPr>
        <w:t xml:space="preserve"> </w:t>
      </w:r>
      <w:r w:rsidR="00003835">
        <w:rPr>
          <w:rFonts w:ascii="Garamond" w:hAnsi="Garamond" w:cs="Futura"/>
          <w:sz w:val="24"/>
        </w:rPr>
        <w:t xml:space="preserve">to address </w:t>
      </w:r>
      <w:r w:rsidR="00F35656">
        <w:rPr>
          <w:rFonts w:ascii="Garamond" w:hAnsi="Garamond" w:cs="Futura"/>
          <w:sz w:val="24"/>
        </w:rPr>
        <w:t xml:space="preserve">some key </w:t>
      </w:r>
      <w:r w:rsidR="00630BD0">
        <w:rPr>
          <w:rFonts w:ascii="Garamond" w:hAnsi="Garamond" w:cs="Futura"/>
          <w:sz w:val="24"/>
        </w:rPr>
        <w:t>uncertainties</w:t>
      </w:r>
      <w:r w:rsidR="00F35656">
        <w:rPr>
          <w:rFonts w:ascii="Garamond" w:hAnsi="Garamond" w:cs="Futura"/>
          <w:sz w:val="24"/>
        </w:rPr>
        <w:t xml:space="preserve"> th</w:t>
      </w:r>
      <w:r w:rsidR="002264C3">
        <w:rPr>
          <w:rFonts w:ascii="Garamond" w:hAnsi="Garamond" w:cs="Futura"/>
          <w:sz w:val="24"/>
        </w:rPr>
        <w:t>at remain.</w:t>
      </w:r>
    </w:p>
    <w:p w14:paraId="51D11AC9" w14:textId="5DFD646A" w:rsidR="00394895" w:rsidRDefault="00394895" w:rsidP="0059522C">
      <w:pPr>
        <w:contextualSpacing/>
        <w:rPr>
          <w:rFonts w:ascii="Garamond" w:hAnsi="Garamond" w:cs="Futura"/>
          <w:sz w:val="24"/>
        </w:rPr>
      </w:pPr>
    </w:p>
    <w:p w14:paraId="5D0216B7" w14:textId="77F0700E" w:rsidR="00394895" w:rsidRPr="00CE2755" w:rsidRDefault="00DC7459" w:rsidP="00CE2755">
      <w:pPr>
        <w:contextualSpacing/>
        <w:jc w:val="center"/>
        <w:rPr>
          <w:rFonts w:ascii="Garamond" w:hAnsi="Garamond" w:cs="Futura"/>
          <w:b/>
          <w:sz w:val="24"/>
        </w:rPr>
      </w:pPr>
      <w:r>
        <w:rPr>
          <w:rFonts w:ascii="Garamond" w:hAnsi="Garamond" w:cs="Futura"/>
          <w:b/>
          <w:sz w:val="24"/>
        </w:rPr>
        <w:t xml:space="preserve">I. </w:t>
      </w:r>
      <w:r w:rsidR="00A74BF2">
        <w:rPr>
          <w:rFonts w:ascii="Garamond" w:hAnsi="Garamond" w:cs="Futura"/>
          <w:b/>
          <w:sz w:val="24"/>
        </w:rPr>
        <w:t>T</w:t>
      </w:r>
      <w:r w:rsidR="00CE2755" w:rsidRPr="00CE2755">
        <w:rPr>
          <w:rFonts w:ascii="Garamond" w:hAnsi="Garamond" w:cs="Futura"/>
          <w:b/>
          <w:sz w:val="24"/>
        </w:rPr>
        <w:t xml:space="preserve">he majority’s </w:t>
      </w:r>
      <w:r w:rsidR="008A2AFD">
        <w:rPr>
          <w:rFonts w:ascii="Garamond" w:hAnsi="Garamond" w:cs="Futura"/>
          <w:b/>
          <w:sz w:val="24"/>
        </w:rPr>
        <w:t>reasoning about sources of law</w:t>
      </w:r>
    </w:p>
    <w:p w14:paraId="3525E33B" w14:textId="098B1CBD" w:rsidR="00CE2755" w:rsidRDefault="00CE2755" w:rsidP="0059522C">
      <w:pPr>
        <w:contextualSpacing/>
        <w:rPr>
          <w:rFonts w:ascii="Garamond" w:hAnsi="Garamond" w:cs="Futura"/>
          <w:sz w:val="24"/>
        </w:rPr>
      </w:pPr>
    </w:p>
    <w:p w14:paraId="714E7270" w14:textId="4C019396" w:rsidR="000574DA" w:rsidRDefault="00556BC8" w:rsidP="00E06201">
      <w:pPr>
        <w:contextualSpacing/>
        <w:rPr>
          <w:rFonts w:ascii="Garamond" w:hAnsi="Garamond" w:cs="Futura"/>
          <w:sz w:val="24"/>
        </w:rPr>
      </w:pPr>
      <w:r>
        <w:rPr>
          <w:rFonts w:ascii="Garamond" w:hAnsi="Garamond" w:cs="Futura"/>
          <w:sz w:val="24"/>
        </w:rPr>
        <w:lastRenderedPageBreak/>
        <w:t>The majority held that “</w:t>
      </w:r>
      <w:r w:rsidRPr="00556BC8">
        <w:rPr>
          <w:rFonts w:ascii="Garamond" w:hAnsi="Garamond" w:cs="Futura"/>
          <w:sz w:val="24"/>
        </w:rPr>
        <w:t xml:space="preserve">in light of the terms and effect of the </w:t>
      </w:r>
      <w:r>
        <w:rPr>
          <w:rFonts w:ascii="Garamond" w:hAnsi="Garamond" w:cs="Futura"/>
          <w:sz w:val="24"/>
        </w:rPr>
        <w:t>[European Communities</w:t>
      </w:r>
      <w:r w:rsidRPr="00556BC8">
        <w:rPr>
          <w:rFonts w:ascii="Garamond" w:hAnsi="Garamond" w:cs="Futura"/>
          <w:sz w:val="24"/>
        </w:rPr>
        <w:t xml:space="preserve"> Act</w:t>
      </w:r>
      <w:r>
        <w:rPr>
          <w:rFonts w:ascii="Garamond" w:hAnsi="Garamond" w:cs="Futura"/>
          <w:sz w:val="24"/>
        </w:rPr>
        <w:t xml:space="preserve"> 1972</w:t>
      </w:r>
      <w:r w:rsidR="00C721F5">
        <w:rPr>
          <w:rFonts w:ascii="Garamond" w:hAnsi="Garamond" w:cs="Futura"/>
          <w:sz w:val="24"/>
        </w:rPr>
        <w:t>, hereafter the ECA</w:t>
      </w:r>
      <w:r>
        <w:rPr>
          <w:rFonts w:ascii="Garamond" w:hAnsi="Garamond" w:cs="Futura"/>
          <w:sz w:val="24"/>
        </w:rPr>
        <w:t>] …</w:t>
      </w:r>
      <w:r w:rsidRPr="00556BC8">
        <w:rPr>
          <w:rFonts w:ascii="Garamond" w:hAnsi="Garamond" w:cs="Futura"/>
          <w:sz w:val="24"/>
        </w:rPr>
        <w:t xml:space="preserve"> the prerogative could not be invoked by ministers to justify giving Notice: ministers require the authority of primary legislation</w:t>
      </w:r>
      <w:r>
        <w:rPr>
          <w:rFonts w:ascii="Garamond" w:hAnsi="Garamond" w:cs="Futura"/>
          <w:sz w:val="24"/>
        </w:rPr>
        <w:t>”</w:t>
      </w:r>
      <w:r w:rsidRPr="00556BC8">
        <w:rPr>
          <w:rFonts w:ascii="Garamond" w:hAnsi="Garamond" w:cs="Futura"/>
          <w:sz w:val="24"/>
        </w:rPr>
        <w:t>.</w:t>
      </w:r>
      <w:r>
        <w:rPr>
          <w:rStyle w:val="FootnoteReference"/>
          <w:rFonts w:ascii="Garamond" w:hAnsi="Garamond" w:cs="Futura"/>
          <w:sz w:val="24"/>
        </w:rPr>
        <w:footnoteReference w:id="4"/>
      </w:r>
      <w:r w:rsidRPr="00556BC8">
        <w:rPr>
          <w:rFonts w:ascii="Garamond" w:hAnsi="Garamond" w:cs="Futura"/>
          <w:sz w:val="24"/>
        </w:rPr>
        <w:t xml:space="preserve"> </w:t>
      </w:r>
      <w:r w:rsidR="00F4385B">
        <w:rPr>
          <w:rFonts w:ascii="Garamond" w:hAnsi="Garamond" w:cs="Futura"/>
          <w:sz w:val="24"/>
        </w:rPr>
        <w:t>Central to the majority’s reasoning was</w:t>
      </w:r>
      <w:r w:rsidR="00DF2BD2">
        <w:rPr>
          <w:rFonts w:ascii="Garamond" w:hAnsi="Garamond" w:cs="Futura"/>
          <w:sz w:val="24"/>
        </w:rPr>
        <w:t xml:space="preserve"> </w:t>
      </w:r>
      <w:r w:rsidR="00E52E22">
        <w:rPr>
          <w:rFonts w:ascii="Garamond" w:hAnsi="Garamond" w:cs="Futura"/>
          <w:sz w:val="24"/>
        </w:rPr>
        <w:t xml:space="preserve">the </w:t>
      </w:r>
      <w:r w:rsidR="006000A2">
        <w:rPr>
          <w:rFonts w:ascii="Garamond" w:hAnsi="Garamond" w:cs="Futura"/>
          <w:sz w:val="24"/>
        </w:rPr>
        <w:t>view</w:t>
      </w:r>
      <w:r w:rsidR="00CA116E">
        <w:rPr>
          <w:rFonts w:ascii="Garamond" w:hAnsi="Garamond" w:cs="Futura"/>
          <w:sz w:val="24"/>
        </w:rPr>
        <w:t xml:space="preserve"> that in </w:t>
      </w:r>
      <w:r w:rsidR="004C552F">
        <w:rPr>
          <w:rFonts w:ascii="Garamond" w:hAnsi="Garamond" w:cs="Futura"/>
          <w:sz w:val="24"/>
        </w:rPr>
        <w:t>passing</w:t>
      </w:r>
      <w:r w:rsidR="00CA116E">
        <w:rPr>
          <w:rFonts w:ascii="Garamond" w:hAnsi="Garamond" w:cs="Futura"/>
          <w:sz w:val="24"/>
        </w:rPr>
        <w:t xml:space="preserve"> the </w:t>
      </w:r>
      <w:r w:rsidR="00C721F5">
        <w:rPr>
          <w:rFonts w:ascii="Garamond" w:hAnsi="Garamond" w:cs="Futura"/>
          <w:sz w:val="24"/>
        </w:rPr>
        <w:t>ECA</w:t>
      </w:r>
      <w:r w:rsidR="006000A2">
        <w:rPr>
          <w:rFonts w:ascii="Garamond" w:hAnsi="Garamond" w:cs="Futura"/>
          <w:sz w:val="24"/>
        </w:rPr>
        <w:t xml:space="preserve"> Parliament</w:t>
      </w:r>
      <w:r w:rsidR="00CA116E">
        <w:rPr>
          <w:rFonts w:ascii="Garamond" w:hAnsi="Garamond" w:cs="Futura"/>
          <w:sz w:val="24"/>
        </w:rPr>
        <w:t xml:space="preserve"> had established a new source of law. </w:t>
      </w:r>
      <w:r w:rsidR="00E52E22">
        <w:rPr>
          <w:rFonts w:ascii="Garamond" w:hAnsi="Garamond" w:cs="Futura"/>
          <w:sz w:val="24"/>
        </w:rPr>
        <w:t>According to</w:t>
      </w:r>
      <w:r w:rsidR="00650CA2">
        <w:rPr>
          <w:rFonts w:ascii="Garamond" w:hAnsi="Garamond" w:cs="Futura"/>
          <w:sz w:val="24"/>
        </w:rPr>
        <w:t xml:space="preserve"> s</w:t>
      </w:r>
      <w:r w:rsidR="000574DA">
        <w:rPr>
          <w:rFonts w:ascii="Garamond" w:hAnsi="Garamond" w:cs="Futura"/>
          <w:sz w:val="24"/>
        </w:rPr>
        <w:t>. 2(1):</w:t>
      </w:r>
    </w:p>
    <w:p w14:paraId="354BB176" w14:textId="33E3D88E" w:rsidR="000574DA" w:rsidRDefault="000574DA" w:rsidP="00E06201">
      <w:pPr>
        <w:contextualSpacing/>
        <w:rPr>
          <w:rFonts w:ascii="Garamond" w:hAnsi="Garamond" w:cs="Futura"/>
          <w:sz w:val="24"/>
        </w:rPr>
      </w:pPr>
    </w:p>
    <w:p w14:paraId="46F78D83" w14:textId="2C182973" w:rsidR="000574DA" w:rsidRPr="000574DA" w:rsidRDefault="000574DA" w:rsidP="000574DA">
      <w:pPr>
        <w:contextualSpacing/>
        <w:rPr>
          <w:rFonts w:ascii="Garamond" w:hAnsi="Garamond" w:cs="Futura"/>
          <w:sz w:val="20"/>
          <w:szCs w:val="20"/>
        </w:rPr>
      </w:pPr>
      <w:r w:rsidRPr="000574DA">
        <w:rPr>
          <w:rFonts w:ascii="Garamond" w:hAnsi="Garamond" w:cs="Futura"/>
          <w:sz w:val="20"/>
          <w:szCs w:val="20"/>
        </w:rPr>
        <w:t>All such rights, powers, liabilities, obligations and restrictions from time to time created or arising by or under the Treaties, and all such remedies and procedures from time to time provided for by or under the Treaties, as in accordance with the Treaties are without further enactment to be given legal effect or used in the United Kingdom shall be recognised and available in law, and be enforced, allowed and followed accordingly …</w:t>
      </w:r>
    </w:p>
    <w:p w14:paraId="10F0AB94" w14:textId="614CB295" w:rsidR="000574DA" w:rsidRDefault="000574DA" w:rsidP="00E06201">
      <w:pPr>
        <w:contextualSpacing/>
        <w:rPr>
          <w:rFonts w:ascii="Garamond" w:hAnsi="Garamond" w:cs="Futura"/>
          <w:sz w:val="24"/>
        </w:rPr>
      </w:pPr>
    </w:p>
    <w:p w14:paraId="1AF2BE82" w14:textId="7EE73863" w:rsidR="00E64464" w:rsidRDefault="006000A2" w:rsidP="00E06201">
      <w:pPr>
        <w:contextualSpacing/>
        <w:rPr>
          <w:rFonts w:ascii="Garamond" w:hAnsi="Garamond" w:cs="Futura"/>
          <w:sz w:val="24"/>
        </w:rPr>
      </w:pPr>
      <w:r>
        <w:rPr>
          <w:rFonts w:ascii="Garamond" w:hAnsi="Garamond" w:cs="Futura"/>
          <w:sz w:val="24"/>
        </w:rPr>
        <w:t>EU law</w:t>
      </w:r>
      <w:r w:rsidR="00F93102">
        <w:rPr>
          <w:rFonts w:ascii="Garamond" w:hAnsi="Garamond" w:cs="Futura"/>
          <w:sz w:val="24"/>
        </w:rPr>
        <w:t>’s status</w:t>
      </w:r>
      <w:r>
        <w:rPr>
          <w:rFonts w:ascii="Garamond" w:hAnsi="Garamond" w:cs="Futura"/>
          <w:sz w:val="24"/>
        </w:rPr>
        <w:t xml:space="preserve"> </w:t>
      </w:r>
      <w:r w:rsidR="00F93102">
        <w:rPr>
          <w:rFonts w:ascii="Garamond" w:hAnsi="Garamond" w:cs="Futura"/>
          <w:sz w:val="24"/>
        </w:rPr>
        <w:t>as</w:t>
      </w:r>
      <w:r>
        <w:rPr>
          <w:rFonts w:ascii="Garamond" w:hAnsi="Garamond" w:cs="Futura"/>
          <w:sz w:val="24"/>
        </w:rPr>
        <w:t xml:space="preserve"> a sou</w:t>
      </w:r>
      <w:r w:rsidR="00F93102">
        <w:rPr>
          <w:rFonts w:ascii="Garamond" w:hAnsi="Garamond" w:cs="Futura"/>
          <w:sz w:val="24"/>
        </w:rPr>
        <w:t xml:space="preserve">rce of law was a running </w:t>
      </w:r>
      <w:r w:rsidR="00DD5409">
        <w:rPr>
          <w:rFonts w:ascii="Garamond" w:hAnsi="Garamond" w:cs="Futura"/>
          <w:sz w:val="24"/>
        </w:rPr>
        <w:t xml:space="preserve">theme. </w:t>
      </w:r>
      <w:r w:rsidR="009923B8">
        <w:rPr>
          <w:rFonts w:ascii="Garamond" w:hAnsi="Garamond" w:cs="Futura"/>
          <w:sz w:val="24"/>
        </w:rPr>
        <w:t>The majority</w:t>
      </w:r>
      <w:r>
        <w:rPr>
          <w:rFonts w:ascii="Garamond" w:hAnsi="Garamond" w:cs="Futura"/>
          <w:sz w:val="24"/>
        </w:rPr>
        <w:t xml:space="preserve"> </w:t>
      </w:r>
      <w:r w:rsidR="00F45CD7">
        <w:rPr>
          <w:rFonts w:ascii="Garamond" w:hAnsi="Garamond" w:cs="Futura"/>
          <w:sz w:val="24"/>
        </w:rPr>
        <w:t xml:space="preserve">stated that under the </w:t>
      </w:r>
      <w:r w:rsidR="00EB48A2">
        <w:rPr>
          <w:rFonts w:ascii="Garamond" w:hAnsi="Garamond" w:cs="Futura"/>
          <w:sz w:val="24"/>
        </w:rPr>
        <w:t>ECA</w:t>
      </w:r>
      <w:r w:rsidR="00F45CD7">
        <w:rPr>
          <w:rFonts w:ascii="Garamond" w:hAnsi="Garamond" w:cs="Futura"/>
          <w:sz w:val="24"/>
        </w:rPr>
        <w:t xml:space="preserve"> “</w:t>
      </w:r>
      <w:r w:rsidR="00F45CD7" w:rsidRPr="00F45CD7">
        <w:rPr>
          <w:rFonts w:ascii="Garamond" w:hAnsi="Garamond" w:cs="Futura"/>
          <w:sz w:val="24"/>
        </w:rPr>
        <w:t>EU law not only becomes a source of UK law, but actually takes precedence over all domestic source</w:t>
      </w:r>
      <w:r w:rsidR="00F45CD7">
        <w:rPr>
          <w:rFonts w:ascii="Garamond" w:hAnsi="Garamond" w:cs="Futura"/>
          <w:sz w:val="24"/>
        </w:rPr>
        <w:t>s of UK law, including statutes”.</w:t>
      </w:r>
      <w:r w:rsidR="00F45CD7">
        <w:rPr>
          <w:rStyle w:val="FootnoteReference"/>
          <w:rFonts w:ascii="Garamond" w:hAnsi="Garamond" w:cs="Futura"/>
          <w:sz w:val="24"/>
        </w:rPr>
        <w:footnoteReference w:id="5"/>
      </w:r>
      <w:r w:rsidR="00F45CD7">
        <w:rPr>
          <w:rFonts w:ascii="Garamond" w:hAnsi="Garamond" w:cs="Futura"/>
          <w:sz w:val="24"/>
        </w:rPr>
        <w:t xml:space="preserve"> </w:t>
      </w:r>
      <w:r w:rsidR="00742D17">
        <w:rPr>
          <w:rFonts w:ascii="Garamond" w:hAnsi="Garamond" w:cs="Futura"/>
          <w:sz w:val="24"/>
        </w:rPr>
        <w:t>It also</w:t>
      </w:r>
      <w:r w:rsidR="002D290F">
        <w:rPr>
          <w:rFonts w:ascii="Garamond" w:hAnsi="Garamond" w:cs="Futura"/>
          <w:sz w:val="24"/>
        </w:rPr>
        <w:t xml:space="preserve"> stated</w:t>
      </w:r>
      <w:r w:rsidR="00F45CD7">
        <w:rPr>
          <w:rFonts w:ascii="Garamond" w:hAnsi="Garamond" w:cs="Futura"/>
          <w:sz w:val="24"/>
        </w:rPr>
        <w:t xml:space="preserve"> that </w:t>
      </w:r>
      <w:r w:rsidR="00742D17">
        <w:rPr>
          <w:rFonts w:ascii="Garamond" w:hAnsi="Garamond" w:cs="Futura"/>
          <w:sz w:val="24"/>
        </w:rPr>
        <w:t>“</w:t>
      </w:r>
      <w:r w:rsidR="00742D17" w:rsidRPr="001E17D8">
        <w:rPr>
          <w:rFonts w:ascii="Garamond" w:hAnsi="Garamond" w:cs="Futura"/>
          <w:sz w:val="24"/>
        </w:rPr>
        <w:t>the EU Treaties, EU legislation and the interpretations placed on these instruments by the Court of Justice are direct sources of UK law</w:t>
      </w:r>
      <w:r w:rsidR="00742D17">
        <w:rPr>
          <w:rFonts w:ascii="Garamond" w:hAnsi="Garamond" w:cs="Futura"/>
          <w:sz w:val="24"/>
        </w:rPr>
        <w:t>”,</w:t>
      </w:r>
      <w:r w:rsidR="00742D17">
        <w:rPr>
          <w:rStyle w:val="FootnoteReference"/>
          <w:rFonts w:ascii="Garamond" w:hAnsi="Garamond" w:cs="Futura"/>
          <w:sz w:val="24"/>
        </w:rPr>
        <w:footnoteReference w:id="6"/>
      </w:r>
      <w:r w:rsidR="00742D17">
        <w:rPr>
          <w:rFonts w:ascii="Garamond" w:hAnsi="Garamond" w:cs="Futura"/>
          <w:sz w:val="24"/>
        </w:rPr>
        <w:t xml:space="preserve"> </w:t>
      </w:r>
      <w:r w:rsidR="009923B8">
        <w:rPr>
          <w:rFonts w:ascii="Garamond" w:hAnsi="Garamond" w:cs="Futura"/>
          <w:sz w:val="24"/>
        </w:rPr>
        <w:t xml:space="preserve">that </w:t>
      </w:r>
      <w:r w:rsidR="00F4385B">
        <w:rPr>
          <w:rFonts w:ascii="Garamond" w:hAnsi="Garamond" w:cs="Futura"/>
          <w:sz w:val="24"/>
        </w:rPr>
        <w:t xml:space="preserve">the </w:t>
      </w:r>
      <w:r w:rsidR="00EB48A2">
        <w:rPr>
          <w:rFonts w:ascii="Garamond" w:hAnsi="Garamond" w:cs="Futura"/>
          <w:sz w:val="24"/>
        </w:rPr>
        <w:t>ECA</w:t>
      </w:r>
      <w:r w:rsidR="009A2F7C">
        <w:rPr>
          <w:rFonts w:ascii="Garamond" w:hAnsi="Garamond" w:cs="Futura"/>
          <w:sz w:val="24"/>
        </w:rPr>
        <w:t xml:space="preserve"> established EU law as an</w:t>
      </w:r>
      <w:r w:rsidR="002D290F">
        <w:rPr>
          <w:rFonts w:ascii="Garamond" w:hAnsi="Garamond" w:cs="Futura"/>
          <w:sz w:val="24"/>
        </w:rPr>
        <w:t xml:space="preserve"> “independent and overriding source of domestic law”</w:t>
      </w:r>
      <w:r w:rsidR="00F4385B">
        <w:rPr>
          <w:rFonts w:ascii="Garamond" w:hAnsi="Garamond" w:cs="Futura"/>
          <w:sz w:val="24"/>
        </w:rPr>
        <w:t>,</w:t>
      </w:r>
      <w:r w:rsidR="002D290F">
        <w:rPr>
          <w:rStyle w:val="FootnoteReference"/>
          <w:rFonts w:ascii="Garamond" w:hAnsi="Garamond" w:cs="Futura"/>
          <w:sz w:val="24"/>
        </w:rPr>
        <w:footnoteReference w:id="7"/>
      </w:r>
      <w:r w:rsidR="00F4385B">
        <w:rPr>
          <w:rFonts w:ascii="Garamond" w:hAnsi="Garamond" w:cs="Futura"/>
          <w:sz w:val="24"/>
        </w:rPr>
        <w:t xml:space="preserve"> and </w:t>
      </w:r>
      <w:r w:rsidR="009923B8">
        <w:rPr>
          <w:rFonts w:ascii="Garamond" w:hAnsi="Garamond" w:cs="Futura"/>
          <w:sz w:val="24"/>
        </w:rPr>
        <w:t xml:space="preserve">that </w:t>
      </w:r>
      <w:r w:rsidR="00F4385B">
        <w:rPr>
          <w:rFonts w:ascii="Garamond" w:hAnsi="Garamond" w:cs="Futura"/>
          <w:sz w:val="24"/>
        </w:rPr>
        <w:t xml:space="preserve">“a dynamic, international source of law was </w:t>
      </w:r>
      <w:r w:rsidR="00F4385B" w:rsidRPr="00F4385B">
        <w:rPr>
          <w:rFonts w:ascii="Garamond" w:hAnsi="Garamond" w:cs="Futura"/>
          <w:sz w:val="24"/>
        </w:rPr>
        <w:t>grafted onto, and above, the well-established existing sources of domestic law: Parliament and the courts</w:t>
      </w:r>
      <w:r w:rsidR="00F4385B">
        <w:rPr>
          <w:rFonts w:ascii="Garamond" w:hAnsi="Garamond" w:cs="Futura"/>
          <w:sz w:val="24"/>
        </w:rPr>
        <w:t>”.</w:t>
      </w:r>
      <w:r w:rsidR="00F4385B">
        <w:rPr>
          <w:rStyle w:val="FootnoteReference"/>
          <w:rFonts w:ascii="Garamond" w:hAnsi="Garamond" w:cs="Futura"/>
          <w:sz w:val="24"/>
        </w:rPr>
        <w:footnoteReference w:id="8"/>
      </w:r>
    </w:p>
    <w:p w14:paraId="682DD9A5" w14:textId="0B045944" w:rsidR="00E64464" w:rsidRDefault="00AD26E3" w:rsidP="00E06201">
      <w:pPr>
        <w:contextualSpacing/>
        <w:rPr>
          <w:rFonts w:ascii="Garamond" w:hAnsi="Garamond" w:cs="Futura"/>
          <w:sz w:val="24"/>
        </w:rPr>
      </w:pPr>
      <w:r>
        <w:rPr>
          <w:rFonts w:ascii="Garamond" w:hAnsi="Garamond" w:cs="Futura"/>
          <w:sz w:val="24"/>
        </w:rPr>
        <w:tab/>
      </w:r>
      <w:r w:rsidR="00F9300F">
        <w:rPr>
          <w:rFonts w:ascii="Garamond" w:hAnsi="Garamond" w:cs="Futura"/>
          <w:sz w:val="24"/>
        </w:rPr>
        <w:t>In light of this,</w:t>
      </w:r>
      <w:r w:rsidR="006000A2">
        <w:rPr>
          <w:rFonts w:ascii="Garamond" w:hAnsi="Garamond" w:cs="Futura"/>
          <w:sz w:val="24"/>
        </w:rPr>
        <w:t xml:space="preserve"> the</w:t>
      </w:r>
      <w:r>
        <w:rPr>
          <w:rFonts w:ascii="Garamond" w:hAnsi="Garamond" w:cs="Futura"/>
          <w:sz w:val="24"/>
        </w:rPr>
        <w:t xml:space="preserve"> majority </w:t>
      </w:r>
      <w:r w:rsidR="009923B8">
        <w:rPr>
          <w:rFonts w:ascii="Garamond" w:hAnsi="Garamond" w:cs="Futura"/>
          <w:sz w:val="24"/>
        </w:rPr>
        <w:t>held</w:t>
      </w:r>
      <w:r>
        <w:rPr>
          <w:rFonts w:ascii="Garamond" w:hAnsi="Garamond" w:cs="Futura"/>
          <w:sz w:val="24"/>
        </w:rPr>
        <w:t xml:space="preserve"> that the Government could not use </w:t>
      </w:r>
      <w:r w:rsidR="006000A2">
        <w:rPr>
          <w:rFonts w:ascii="Garamond" w:hAnsi="Garamond" w:cs="Futura"/>
          <w:sz w:val="24"/>
        </w:rPr>
        <w:t>the</w:t>
      </w:r>
      <w:r>
        <w:rPr>
          <w:rFonts w:ascii="Garamond" w:hAnsi="Garamond" w:cs="Futura"/>
          <w:sz w:val="24"/>
        </w:rPr>
        <w:t xml:space="preserve"> prerogative to </w:t>
      </w:r>
      <w:r w:rsidR="006000A2">
        <w:rPr>
          <w:rFonts w:ascii="Garamond" w:hAnsi="Garamond" w:cs="Futura"/>
          <w:sz w:val="24"/>
        </w:rPr>
        <w:t>withdraw from the EU</w:t>
      </w:r>
      <w:r w:rsidR="00CA116E">
        <w:rPr>
          <w:rFonts w:ascii="Garamond" w:hAnsi="Garamond" w:cs="Futura"/>
          <w:sz w:val="24"/>
        </w:rPr>
        <w:t xml:space="preserve"> and </w:t>
      </w:r>
      <w:r w:rsidR="006000A2">
        <w:rPr>
          <w:rFonts w:ascii="Garamond" w:hAnsi="Garamond" w:cs="Futura"/>
          <w:sz w:val="24"/>
        </w:rPr>
        <w:t xml:space="preserve">thereby </w:t>
      </w:r>
      <w:r>
        <w:rPr>
          <w:rFonts w:ascii="Garamond" w:hAnsi="Garamond" w:cs="Futura"/>
          <w:sz w:val="24"/>
        </w:rPr>
        <w:t xml:space="preserve">“cut off” </w:t>
      </w:r>
      <w:r w:rsidR="00CA116E">
        <w:rPr>
          <w:rFonts w:ascii="Garamond" w:hAnsi="Garamond" w:cs="Futura"/>
          <w:sz w:val="24"/>
        </w:rPr>
        <w:t xml:space="preserve">this source of law without prior authorisation </w:t>
      </w:r>
      <w:r w:rsidR="005F2AF2">
        <w:rPr>
          <w:rFonts w:ascii="Garamond" w:hAnsi="Garamond" w:cs="Futura"/>
          <w:sz w:val="24"/>
        </w:rPr>
        <w:t>from</w:t>
      </w:r>
      <w:r w:rsidR="00A13F47">
        <w:rPr>
          <w:rFonts w:ascii="Garamond" w:hAnsi="Garamond" w:cs="Futura"/>
          <w:sz w:val="24"/>
        </w:rPr>
        <w:t xml:space="preserve"> an Act of</w:t>
      </w:r>
      <w:r w:rsidR="00CA116E">
        <w:rPr>
          <w:rFonts w:ascii="Garamond" w:hAnsi="Garamond" w:cs="Futura"/>
          <w:sz w:val="24"/>
        </w:rPr>
        <w:t xml:space="preserve"> Parliament.</w:t>
      </w:r>
      <w:r w:rsidR="009923B8">
        <w:rPr>
          <w:rStyle w:val="FootnoteReference"/>
          <w:rFonts w:ascii="Garamond" w:hAnsi="Garamond" w:cs="Futura"/>
          <w:sz w:val="24"/>
        </w:rPr>
        <w:footnoteReference w:id="9"/>
      </w:r>
      <w:r w:rsidR="00FB3367">
        <w:rPr>
          <w:rFonts w:ascii="Garamond" w:hAnsi="Garamond" w:cs="Futura"/>
          <w:sz w:val="24"/>
        </w:rPr>
        <w:t xml:space="preserve"> </w:t>
      </w:r>
      <w:r w:rsidR="00D64D00">
        <w:rPr>
          <w:rFonts w:ascii="Garamond" w:hAnsi="Garamond" w:cs="Futura"/>
          <w:sz w:val="24"/>
        </w:rPr>
        <w:t>There was novelty to this</w:t>
      </w:r>
      <w:r w:rsidR="00F4385B">
        <w:rPr>
          <w:rFonts w:ascii="Garamond" w:hAnsi="Garamond" w:cs="Futura"/>
          <w:sz w:val="24"/>
        </w:rPr>
        <w:t xml:space="preserve"> reasoning.</w:t>
      </w:r>
      <w:r w:rsidR="00F4385B">
        <w:rPr>
          <w:rStyle w:val="FootnoteReference"/>
          <w:rFonts w:ascii="Garamond" w:hAnsi="Garamond" w:cs="Futura"/>
          <w:sz w:val="24"/>
        </w:rPr>
        <w:footnoteReference w:id="10"/>
      </w:r>
      <w:r w:rsidR="00F4385B">
        <w:rPr>
          <w:rFonts w:ascii="Garamond" w:hAnsi="Garamond" w:cs="Futura"/>
          <w:sz w:val="24"/>
        </w:rPr>
        <w:t xml:space="preserve"> </w:t>
      </w:r>
      <w:r w:rsidR="00FB3367">
        <w:rPr>
          <w:rFonts w:ascii="Garamond" w:hAnsi="Garamond" w:cs="Futura"/>
          <w:sz w:val="24"/>
        </w:rPr>
        <w:t xml:space="preserve">It was not </w:t>
      </w:r>
      <w:r w:rsidR="00892FBC">
        <w:rPr>
          <w:rFonts w:ascii="Garamond" w:hAnsi="Garamond" w:cs="Futura"/>
          <w:sz w:val="24"/>
        </w:rPr>
        <w:t>only</w:t>
      </w:r>
      <w:r w:rsidR="00F91289">
        <w:rPr>
          <w:rFonts w:ascii="Garamond" w:hAnsi="Garamond" w:cs="Futura"/>
          <w:sz w:val="24"/>
        </w:rPr>
        <w:t xml:space="preserve"> that </w:t>
      </w:r>
      <w:r w:rsidR="00FB3367">
        <w:rPr>
          <w:rFonts w:ascii="Garamond" w:hAnsi="Garamond" w:cs="Futura"/>
          <w:sz w:val="24"/>
        </w:rPr>
        <w:t xml:space="preserve">legal rights </w:t>
      </w:r>
      <w:r w:rsidR="005F089F">
        <w:rPr>
          <w:rFonts w:ascii="Garamond" w:hAnsi="Garamond" w:cs="Futura"/>
          <w:sz w:val="24"/>
        </w:rPr>
        <w:t>derived from</w:t>
      </w:r>
      <w:r w:rsidR="00FB3367">
        <w:rPr>
          <w:rFonts w:ascii="Garamond" w:hAnsi="Garamond" w:cs="Futura"/>
          <w:sz w:val="24"/>
        </w:rPr>
        <w:t xml:space="preserve"> EU law would</w:t>
      </w:r>
      <w:r w:rsidR="00524DBB">
        <w:rPr>
          <w:rFonts w:ascii="Garamond" w:hAnsi="Garamond" w:cs="Futura"/>
          <w:sz w:val="24"/>
        </w:rPr>
        <w:t xml:space="preserve"> </w:t>
      </w:r>
      <w:r w:rsidR="00FB3367">
        <w:rPr>
          <w:rFonts w:ascii="Garamond" w:hAnsi="Garamond" w:cs="Futura"/>
          <w:sz w:val="24"/>
        </w:rPr>
        <w:t xml:space="preserve">be </w:t>
      </w:r>
      <w:r w:rsidR="00524DBB">
        <w:rPr>
          <w:rFonts w:ascii="Garamond" w:hAnsi="Garamond" w:cs="Futura"/>
          <w:sz w:val="24"/>
        </w:rPr>
        <w:t>nullified</w:t>
      </w:r>
      <w:r w:rsidR="00FB3367">
        <w:rPr>
          <w:rFonts w:ascii="Garamond" w:hAnsi="Garamond" w:cs="Futura"/>
          <w:sz w:val="24"/>
        </w:rPr>
        <w:t>.</w:t>
      </w:r>
      <w:r w:rsidR="008C75DA">
        <w:rPr>
          <w:rFonts w:ascii="Garamond" w:hAnsi="Garamond" w:cs="Futura"/>
          <w:sz w:val="24"/>
        </w:rPr>
        <w:t xml:space="preserve"> EU law as </w:t>
      </w:r>
      <w:r w:rsidR="008C75DA">
        <w:rPr>
          <w:rFonts w:ascii="Garamond" w:hAnsi="Garamond" w:cs="Futura"/>
          <w:sz w:val="24"/>
        </w:rPr>
        <w:lastRenderedPageBreak/>
        <w:t xml:space="preserve">a </w:t>
      </w:r>
      <w:r w:rsidR="00FB3367">
        <w:rPr>
          <w:rFonts w:ascii="Garamond" w:hAnsi="Garamond" w:cs="Futura"/>
          <w:sz w:val="24"/>
        </w:rPr>
        <w:t>source of law would be</w:t>
      </w:r>
      <w:r w:rsidR="00F91289">
        <w:rPr>
          <w:rFonts w:ascii="Garamond" w:hAnsi="Garamond" w:cs="Futura"/>
          <w:sz w:val="24"/>
        </w:rPr>
        <w:t xml:space="preserve"> impermissibly</w:t>
      </w:r>
      <w:r w:rsidR="00112BDC">
        <w:rPr>
          <w:rFonts w:ascii="Garamond" w:hAnsi="Garamond" w:cs="Futura"/>
          <w:sz w:val="24"/>
        </w:rPr>
        <w:t xml:space="preserve"> extinguished</w:t>
      </w:r>
      <w:r w:rsidR="00C80935">
        <w:rPr>
          <w:rFonts w:ascii="Garamond" w:hAnsi="Garamond" w:cs="Futura"/>
          <w:sz w:val="24"/>
        </w:rPr>
        <w:t>, representing “</w:t>
      </w:r>
      <w:r w:rsidR="00DE0BF6" w:rsidRPr="00DE0BF6">
        <w:rPr>
          <w:rFonts w:ascii="Garamond" w:hAnsi="Garamond" w:cs="Futura"/>
          <w:sz w:val="24"/>
        </w:rPr>
        <w:t>a change which is different not just in degree but in kind from the abrogation of particular rights, duties or rules derived from EU law”.</w:t>
      </w:r>
      <w:r w:rsidR="00DE0BF6">
        <w:rPr>
          <w:rStyle w:val="FootnoteReference"/>
          <w:rFonts w:ascii="Garamond" w:hAnsi="Garamond" w:cs="Futura"/>
          <w:sz w:val="24"/>
        </w:rPr>
        <w:footnoteReference w:id="11"/>
      </w:r>
      <w:r w:rsidR="00DE0BF6">
        <w:rPr>
          <w:rFonts w:ascii="Garamond" w:hAnsi="Garamond" w:cs="Futura"/>
          <w:sz w:val="24"/>
        </w:rPr>
        <w:t xml:space="preserve"> </w:t>
      </w:r>
      <w:r w:rsidR="008A2AFD">
        <w:rPr>
          <w:rFonts w:ascii="Garamond" w:hAnsi="Garamond" w:cs="Futura"/>
          <w:sz w:val="24"/>
        </w:rPr>
        <w:t xml:space="preserve">The majority </w:t>
      </w:r>
      <w:r w:rsidR="008C75DA">
        <w:rPr>
          <w:rFonts w:ascii="Garamond" w:hAnsi="Garamond" w:cs="Futura"/>
          <w:sz w:val="24"/>
        </w:rPr>
        <w:t>did</w:t>
      </w:r>
      <w:r w:rsidR="008A2AFD">
        <w:rPr>
          <w:rFonts w:ascii="Garamond" w:hAnsi="Garamond" w:cs="Futura"/>
          <w:sz w:val="24"/>
        </w:rPr>
        <w:t xml:space="preserve"> not accept </w:t>
      </w:r>
      <w:r w:rsidR="008C75DA">
        <w:rPr>
          <w:rFonts w:ascii="Garamond" w:hAnsi="Garamond" w:cs="Futura"/>
          <w:sz w:val="24"/>
        </w:rPr>
        <w:t>that this change could be achieved “</w:t>
      </w:r>
      <w:r w:rsidRPr="00696B54">
        <w:rPr>
          <w:rFonts w:ascii="Garamond" w:hAnsi="Garamond" w:cs="Futura"/>
          <w:sz w:val="24"/>
        </w:rPr>
        <w:t xml:space="preserve">by </w:t>
      </w:r>
      <w:r w:rsidR="00F3311C">
        <w:rPr>
          <w:rFonts w:ascii="Garamond" w:hAnsi="Garamond" w:cs="Futura"/>
          <w:sz w:val="24"/>
        </w:rPr>
        <w:t>…</w:t>
      </w:r>
      <w:r w:rsidRPr="00696B54">
        <w:rPr>
          <w:rFonts w:ascii="Garamond" w:hAnsi="Garamond" w:cs="Futura"/>
          <w:sz w:val="24"/>
        </w:rPr>
        <w:t xml:space="preserve"> ministerial action alone</w:t>
      </w:r>
      <w:r w:rsidR="008A2AFD">
        <w:rPr>
          <w:rFonts w:ascii="Garamond" w:hAnsi="Garamond" w:cs="Futura"/>
          <w:sz w:val="24"/>
        </w:rPr>
        <w:t>”</w:t>
      </w:r>
      <w:r w:rsidRPr="00696B54">
        <w:rPr>
          <w:rFonts w:ascii="Garamond" w:hAnsi="Garamond" w:cs="Futura"/>
          <w:sz w:val="24"/>
        </w:rPr>
        <w:t>.</w:t>
      </w:r>
      <w:r w:rsidR="008A2AFD">
        <w:rPr>
          <w:rStyle w:val="FootnoteReference"/>
          <w:rFonts w:ascii="Garamond" w:hAnsi="Garamond" w:cs="Futura"/>
          <w:sz w:val="24"/>
        </w:rPr>
        <w:footnoteReference w:id="12"/>
      </w:r>
    </w:p>
    <w:p w14:paraId="0B0095B0" w14:textId="1327C510" w:rsidR="00524DBB" w:rsidRPr="00E06201" w:rsidRDefault="00524DBB" w:rsidP="00E06201">
      <w:pPr>
        <w:contextualSpacing/>
        <w:rPr>
          <w:rFonts w:ascii="Garamond" w:hAnsi="Garamond" w:cs="Futura"/>
          <w:sz w:val="24"/>
        </w:rPr>
      </w:pPr>
      <w:r>
        <w:rPr>
          <w:rFonts w:ascii="Garamond" w:hAnsi="Garamond" w:cs="Futura"/>
          <w:sz w:val="24"/>
        </w:rPr>
        <w:tab/>
      </w:r>
      <w:r w:rsidR="00A77665">
        <w:rPr>
          <w:rFonts w:ascii="Garamond" w:hAnsi="Garamond" w:cs="Futura"/>
          <w:sz w:val="24"/>
        </w:rPr>
        <w:t>At the same time</w:t>
      </w:r>
      <w:r w:rsidR="000574DA">
        <w:rPr>
          <w:rFonts w:ascii="Garamond" w:hAnsi="Garamond" w:cs="Futura"/>
          <w:sz w:val="24"/>
        </w:rPr>
        <w:t xml:space="preserve"> the majority </w:t>
      </w:r>
      <w:r w:rsidR="008D107F">
        <w:rPr>
          <w:rFonts w:ascii="Garamond" w:hAnsi="Garamond" w:cs="Futura"/>
          <w:sz w:val="24"/>
        </w:rPr>
        <w:t>expressly denied</w:t>
      </w:r>
      <w:r w:rsidR="001E4765">
        <w:rPr>
          <w:rFonts w:ascii="Garamond" w:hAnsi="Garamond" w:cs="Futura"/>
          <w:sz w:val="24"/>
        </w:rPr>
        <w:t xml:space="preserve"> that </w:t>
      </w:r>
      <w:r w:rsidR="008D107F">
        <w:rPr>
          <w:rFonts w:ascii="Garamond" w:hAnsi="Garamond" w:cs="Futura"/>
          <w:sz w:val="24"/>
        </w:rPr>
        <w:t>UK</w:t>
      </w:r>
      <w:r w:rsidR="001E4765">
        <w:rPr>
          <w:rFonts w:ascii="Garamond" w:hAnsi="Garamond" w:cs="Futura"/>
          <w:sz w:val="24"/>
        </w:rPr>
        <w:t xml:space="preserve"> </w:t>
      </w:r>
      <w:r w:rsidR="00742D17">
        <w:rPr>
          <w:rFonts w:ascii="Garamond" w:hAnsi="Garamond" w:cs="Futura"/>
          <w:sz w:val="24"/>
        </w:rPr>
        <w:t>membership of</w:t>
      </w:r>
      <w:r w:rsidR="001E4765">
        <w:rPr>
          <w:rFonts w:ascii="Garamond" w:hAnsi="Garamond" w:cs="Futura"/>
          <w:sz w:val="24"/>
        </w:rPr>
        <w:t xml:space="preserve"> </w:t>
      </w:r>
      <w:r w:rsidR="00F45CD7">
        <w:rPr>
          <w:rFonts w:ascii="Garamond" w:hAnsi="Garamond" w:cs="Futura"/>
          <w:sz w:val="24"/>
        </w:rPr>
        <w:t xml:space="preserve">the </w:t>
      </w:r>
      <w:r w:rsidR="00742D17">
        <w:rPr>
          <w:rFonts w:ascii="Garamond" w:hAnsi="Garamond" w:cs="Futura"/>
          <w:sz w:val="24"/>
        </w:rPr>
        <w:t xml:space="preserve">EU </w:t>
      </w:r>
      <w:r w:rsidR="00F45CD7">
        <w:rPr>
          <w:rFonts w:ascii="Garamond" w:hAnsi="Garamond" w:cs="Futura"/>
          <w:sz w:val="24"/>
        </w:rPr>
        <w:t>changed the UK’s rule of recognition: “</w:t>
      </w:r>
      <w:r w:rsidR="00742D17" w:rsidRPr="001E17D8">
        <w:rPr>
          <w:rFonts w:ascii="Garamond" w:hAnsi="Garamond" w:cs="Futura"/>
          <w:sz w:val="24"/>
        </w:rPr>
        <w:t>the 1972 Act can be repealed like any other statute. For that reason, we would not accept that the so-called fundamental rule of recognition (ie the fundamental rule by reference to which all other rules are validated) underlying UK laws has been varied by the 1972 Act or would be varied by its repeal</w:t>
      </w:r>
      <w:r w:rsidR="00F45CD7">
        <w:rPr>
          <w:rFonts w:ascii="Garamond" w:hAnsi="Garamond" w:cs="Futura"/>
          <w:sz w:val="24"/>
        </w:rPr>
        <w:t>”.</w:t>
      </w:r>
      <w:r w:rsidR="00F45CD7">
        <w:rPr>
          <w:rStyle w:val="FootnoteReference"/>
          <w:rFonts w:ascii="Garamond" w:hAnsi="Garamond" w:cs="Futura"/>
          <w:sz w:val="24"/>
        </w:rPr>
        <w:footnoteReference w:id="13"/>
      </w:r>
    </w:p>
    <w:p w14:paraId="5A52A6AB" w14:textId="4DBA3367" w:rsidR="00F4385B" w:rsidRDefault="00F4385B" w:rsidP="00431F86">
      <w:pPr>
        <w:contextualSpacing/>
        <w:rPr>
          <w:rFonts w:ascii="Garamond" w:hAnsi="Garamond" w:cs="Futura"/>
          <w:sz w:val="24"/>
        </w:rPr>
      </w:pPr>
    </w:p>
    <w:p w14:paraId="2FA961B9" w14:textId="2DBB575D" w:rsidR="00A74BF2" w:rsidRPr="00A74BF2" w:rsidRDefault="004D710C" w:rsidP="00A74BF2">
      <w:pPr>
        <w:contextualSpacing/>
        <w:jc w:val="center"/>
        <w:rPr>
          <w:rFonts w:ascii="Garamond" w:hAnsi="Garamond" w:cs="Futura"/>
          <w:b/>
          <w:sz w:val="24"/>
        </w:rPr>
      </w:pPr>
      <w:r>
        <w:rPr>
          <w:rFonts w:ascii="Garamond" w:hAnsi="Garamond" w:cs="Futura"/>
          <w:b/>
          <w:sz w:val="24"/>
        </w:rPr>
        <w:t xml:space="preserve">II. </w:t>
      </w:r>
      <w:r w:rsidR="009579C1">
        <w:rPr>
          <w:rFonts w:ascii="Garamond" w:hAnsi="Garamond" w:cs="Futura"/>
          <w:b/>
          <w:sz w:val="24"/>
        </w:rPr>
        <w:t>Defending</w:t>
      </w:r>
      <w:r w:rsidR="00A74BF2" w:rsidRPr="00A74BF2">
        <w:rPr>
          <w:rFonts w:ascii="Garamond" w:hAnsi="Garamond" w:cs="Futura"/>
          <w:b/>
          <w:sz w:val="24"/>
        </w:rPr>
        <w:t xml:space="preserve"> the majority</w:t>
      </w:r>
      <w:r w:rsidR="008A2AFD">
        <w:rPr>
          <w:rFonts w:ascii="Garamond" w:hAnsi="Garamond" w:cs="Futura"/>
          <w:b/>
          <w:sz w:val="24"/>
        </w:rPr>
        <w:t xml:space="preserve">’s reasoning </w:t>
      </w:r>
      <w:r w:rsidR="00E2407F">
        <w:rPr>
          <w:rFonts w:ascii="Garamond" w:hAnsi="Garamond" w:cs="Futura"/>
          <w:b/>
          <w:sz w:val="24"/>
        </w:rPr>
        <w:t>about</w:t>
      </w:r>
      <w:r w:rsidR="009579C1">
        <w:rPr>
          <w:rFonts w:ascii="Garamond" w:hAnsi="Garamond" w:cs="Futura"/>
          <w:b/>
          <w:sz w:val="24"/>
        </w:rPr>
        <w:t xml:space="preserve"> the</w:t>
      </w:r>
      <w:r w:rsidR="008A2AFD">
        <w:rPr>
          <w:rFonts w:ascii="Garamond" w:hAnsi="Garamond" w:cs="Futura"/>
          <w:b/>
          <w:sz w:val="24"/>
        </w:rPr>
        <w:t xml:space="preserve"> sources of law</w:t>
      </w:r>
    </w:p>
    <w:p w14:paraId="5574B6D3" w14:textId="77777777" w:rsidR="00A74BF2" w:rsidRDefault="00A74BF2" w:rsidP="00431F86">
      <w:pPr>
        <w:contextualSpacing/>
        <w:rPr>
          <w:rFonts w:ascii="Garamond" w:hAnsi="Garamond" w:cs="Futura"/>
          <w:sz w:val="24"/>
        </w:rPr>
      </w:pPr>
    </w:p>
    <w:p w14:paraId="76488457" w14:textId="633069D8" w:rsidR="008A32C6" w:rsidRDefault="00D64D00" w:rsidP="00431F86">
      <w:pPr>
        <w:contextualSpacing/>
        <w:rPr>
          <w:rFonts w:ascii="Garamond" w:hAnsi="Garamond" w:cs="Futura"/>
          <w:sz w:val="24"/>
        </w:rPr>
      </w:pPr>
      <w:r>
        <w:rPr>
          <w:rFonts w:ascii="Garamond" w:hAnsi="Garamond" w:cs="Futura"/>
          <w:sz w:val="24"/>
        </w:rPr>
        <w:t>The majority</w:t>
      </w:r>
      <w:r w:rsidR="008A32C6">
        <w:rPr>
          <w:rFonts w:ascii="Garamond" w:hAnsi="Garamond" w:cs="Futura"/>
          <w:sz w:val="24"/>
        </w:rPr>
        <w:t xml:space="preserve">’s reasoning </w:t>
      </w:r>
      <w:r w:rsidR="00413AFF">
        <w:rPr>
          <w:rFonts w:ascii="Garamond" w:hAnsi="Garamond" w:cs="Futura"/>
          <w:sz w:val="24"/>
        </w:rPr>
        <w:t xml:space="preserve">has come under attack. </w:t>
      </w:r>
      <w:r w:rsidR="007A79B8">
        <w:rPr>
          <w:rFonts w:ascii="Garamond" w:hAnsi="Garamond" w:cs="Futura"/>
          <w:sz w:val="24"/>
        </w:rPr>
        <w:t xml:space="preserve">Much of the debate </w:t>
      </w:r>
      <w:r w:rsidR="00EF02C1">
        <w:rPr>
          <w:rFonts w:ascii="Garamond" w:hAnsi="Garamond" w:cs="Futura"/>
          <w:sz w:val="24"/>
        </w:rPr>
        <w:t xml:space="preserve">has </w:t>
      </w:r>
      <w:r w:rsidR="00A77665">
        <w:rPr>
          <w:rFonts w:ascii="Garamond" w:hAnsi="Garamond" w:cs="Futura"/>
          <w:sz w:val="24"/>
        </w:rPr>
        <w:t>examined</w:t>
      </w:r>
      <w:r w:rsidR="007A79B8">
        <w:rPr>
          <w:rFonts w:ascii="Garamond" w:hAnsi="Garamond" w:cs="Futura"/>
          <w:sz w:val="24"/>
        </w:rPr>
        <w:t xml:space="preserve"> whether </w:t>
      </w:r>
      <w:r w:rsidR="008A32C6">
        <w:rPr>
          <w:rFonts w:ascii="Garamond" w:hAnsi="Garamond" w:cs="Futura"/>
          <w:sz w:val="24"/>
        </w:rPr>
        <w:t xml:space="preserve">the </w:t>
      </w:r>
      <w:r w:rsidR="00EB48A2">
        <w:rPr>
          <w:rFonts w:ascii="Garamond" w:hAnsi="Garamond" w:cs="Futura"/>
          <w:sz w:val="24"/>
        </w:rPr>
        <w:t xml:space="preserve">ECA </w:t>
      </w:r>
      <w:r w:rsidR="007A79B8">
        <w:rPr>
          <w:rFonts w:ascii="Garamond" w:hAnsi="Garamond" w:cs="Futura"/>
          <w:sz w:val="24"/>
        </w:rPr>
        <w:t xml:space="preserve">was </w:t>
      </w:r>
      <w:r w:rsidR="00100B03">
        <w:rPr>
          <w:rFonts w:ascii="Garamond" w:hAnsi="Garamond" w:cs="Futura"/>
          <w:sz w:val="24"/>
        </w:rPr>
        <w:t>properly construed</w:t>
      </w:r>
      <w:r w:rsidR="00E2407F">
        <w:rPr>
          <w:rFonts w:ascii="Garamond" w:hAnsi="Garamond" w:cs="Futura"/>
          <w:sz w:val="24"/>
        </w:rPr>
        <w:t xml:space="preserve">, but </w:t>
      </w:r>
      <w:r w:rsidR="00EF02C1">
        <w:rPr>
          <w:rFonts w:ascii="Garamond" w:hAnsi="Garamond" w:cs="Futura"/>
          <w:sz w:val="24"/>
        </w:rPr>
        <w:t xml:space="preserve">since </w:t>
      </w:r>
      <w:r w:rsidR="00E2407F">
        <w:rPr>
          <w:rFonts w:ascii="Garamond" w:hAnsi="Garamond" w:cs="Futura"/>
          <w:sz w:val="24"/>
        </w:rPr>
        <w:t>those</w:t>
      </w:r>
      <w:r w:rsidR="00EF02C1">
        <w:rPr>
          <w:rFonts w:ascii="Garamond" w:hAnsi="Garamond" w:cs="Futura"/>
          <w:sz w:val="24"/>
        </w:rPr>
        <w:t xml:space="preserve"> issues have been well ventilated I will </w:t>
      </w:r>
      <w:r w:rsidR="00E2407F">
        <w:rPr>
          <w:rFonts w:ascii="Garamond" w:hAnsi="Garamond" w:cs="Futura"/>
          <w:sz w:val="24"/>
        </w:rPr>
        <w:t>leave</w:t>
      </w:r>
      <w:r w:rsidR="00EF02C1">
        <w:rPr>
          <w:rFonts w:ascii="Garamond" w:hAnsi="Garamond" w:cs="Futura"/>
          <w:sz w:val="24"/>
        </w:rPr>
        <w:t xml:space="preserve"> them to one side</w:t>
      </w:r>
      <w:r w:rsidR="007A79B8">
        <w:rPr>
          <w:rFonts w:ascii="Garamond" w:hAnsi="Garamond" w:cs="Futura"/>
          <w:sz w:val="24"/>
        </w:rPr>
        <w:t>.</w:t>
      </w:r>
      <w:r w:rsidR="00A77665">
        <w:rPr>
          <w:rStyle w:val="FootnoteReference"/>
          <w:rFonts w:ascii="Garamond" w:hAnsi="Garamond" w:cs="Futura"/>
          <w:sz w:val="24"/>
        </w:rPr>
        <w:footnoteReference w:id="14"/>
      </w:r>
      <w:r w:rsidR="00100B03">
        <w:rPr>
          <w:rFonts w:ascii="Garamond" w:hAnsi="Garamond" w:cs="Futura"/>
          <w:sz w:val="24"/>
        </w:rPr>
        <w:t xml:space="preserve"> In </w:t>
      </w:r>
      <w:r w:rsidR="007728EF">
        <w:rPr>
          <w:rFonts w:ascii="Garamond" w:hAnsi="Garamond" w:cs="Futura"/>
          <w:sz w:val="24"/>
        </w:rPr>
        <w:t>this section</w:t>
      </w:r>
      <w:r w:rsidR="00100B03">
        <w:rPr>
          <w:rFonts w:ascii="Garamond" w:hAnsi="Garamond" w:cs="Futura"/>
          <w:sz w:val="24"/>
        </w:rPr>
        <w:t xml:space="preserve"> I wish </w:t>
      </w:r>
      <w:r w:rsidR="00EF02C1">
        <w:rPr>
          <w:rFonts w:ascii="Garamond" w:hAnsi="Garamond" w:cs="Futura"/>
          <w:sz w:val="24"/>
        </w:rPr>
        <w:t xml:space="preserve">specifically </w:t>
      </w:r>
      <w:r w:rsidR="00100B03">
        <w:rPr>
          <w:rFonts w:ascii="Garamond" w:hAnsi="Garamond" w:cs="Futura"/>
          <w:sz w:val="24"/>
        </w:rPr>
        <w:t xml:space="preserve">to </w:t>
      </w:r>
      <w:r w:rsidR="00EF02C1">
        <w:rPr>
          <w:rFonts w:ascii="Garamond" w:hAnsi="Garamond" w:cs="Futura"/>
          <w:sz w:val="24"/>
        </w:rPr>
        <w:t>address</w:t>
      </w:r>
      <w:r w:rsidR="00100B03">
        <w:rPr>
          <w:rFonts w:ascii="Garamond" w:hAnsi="Garamond" w:cs="Futura"/>
          <w:sz w:val="24"/>
        </w:rPr>
        <w:t xml:space="preserve"> the majority’s reasoning about the sources of law and the rule of recognition. </w:t>
      </w:r>
      <w:r w:rsidR="007A79B8">
        <w:rPr>
          <w:rFonts w:ascii="Garamond" w:hAnsi="Garamond" w:cs="Futura"/>
          <w:sz w:val="24"/>
        </w:rPr>
        <w:t>Th</w:t>
      </w:r>
      <w:r w:rsidR="00EC0BD9">
        <w:rPr>
          <w:rFonts w:ascii="Garamond" w:hAnsi="Garamond" w:cs="Futura"/>
          <w:sz w:val="24"/>
        </w:rPr>
        <w:t>ese</w:t>
      </w:r>
      <w:r w:rsidR="007A79B8">
        <w:rPr>
          <w:rFonts w:ascii="Garamond" w:hAnsi="Garamond" w:cs="Futura"/>
          <w:sz w:val="24"/>
        </w:rPr>
        <w:t xml:space="preserve"> </w:t>
      </w:r>
      <w:r w:rsidR="00EC0BD9">
        <w:rPr>
          <w:rFonts w:ascii="Garamond" w:hAnsi="Garamond" w:cs="Futura"/>
          <w:sz w:val="24"/>
        </w:rPr>
        <w:t xml:space="preserve">aspects of </w:t>
      </w:r>
      <w:r w:rsidR="007A79B8">
        <w:rPr>
          <w:rFonts w:ascii="Garamond" w:hAnsi="Garamond" w:cs="Futura"/>
          <w:sz w:val="24"/>
        </w:rPr>
        <w:t>its</w:t>
      </w:r>
      <w:r w:rsidR="00100B03">
        <w:rPr>
          <w:rFonts w:ascii="Garamond" w:hAnsi="Garamond" w:cs="Futura"/>
          <w:sz w:val="24"/>
        </w:rPr>
        <w:t xml:space="preserve"> reasoning </w:t>
      </w:r>
      <w:r w:rsidR="006B5E87">
        <w:rPr>
          <w:rFonts w:ascii="Garamond" w:hAnsi="Garamond" w:cs="Futura"/>
          <w:sz w:val="24"/>
        </w:rPr>
        <w:t>have</w:t>
      </w:r>
      <w:r w:rsidR="00100B03">
        <w:rPr>
          <w:rFonts w:ascii="Garamond" w:hAnsi="Garamond" w:cs="Futura"/>
          <w:sz w:val="24"/>
        </w:rPr>
        <w:t xml:space="preserve"> faced sustained criticism, including from those who are sympathetic to other </w:t>
      </w:r>
      <w:r w:rsidR="00EC0BD9">
        <w:rPr>
          <w:rFonts w:ascii="Garamond" w:hAnsi="Garamond" w:cs="Futura"/>
          <w:sz w:val="24"/>
        </w:rPr>
        <w:t>parts</w:t>
      </w:r>
      <w:r w:rsidR="00100B03">
        <w:rPr>
          <w:rFonts w:ascii="Garamond" w:hAnsi="Garamond" w:cs="Futura"/>
          <w:sz w:val="24"/>
        </w:rPr>
        <w:t xml:space="preserve"> of </w:t>
      </w:r>
      <w:r w:rsidR="00EC0BD9">
        <w:rPr>
          <w:rFonts w:ascii="Garamond" w:hAnsi="Garamond" w:cs="Futura"/>
          <w:sz w:val="24"/>
        </w:rPr>
        <w:t>the</w:t>
      </w:r>
      <w:r w:rsidR="00100B03">
        <w:rPr>
          <w:rFonts w:ascii="Garamond" w:hAnsi="Garamond" w:cs="Futura"/>
          <w:sz w:val="24"/>
        </w:rPr>
        <w:t xml:space="preserve"> judgment</w:t>
      </w:r>
      <w:r w:rsidR="00413AFF">
        <w:rPr>
          <w:rFonts w:ascii="Garamond" w:hAnsi="Garamond" w:cs="Futura"/>
          <w:sz w:val="24"/>
        </w:rPr>
        <w:t>.</w:t>
      </w:r>
      <w:r w:rsidR="00100B03">
        <w:rPr>
          <w:rFonts w:ascii="Garamond" w:hAnsi="Garamond" w:cs="Futura"/>
          <w:sz w:val="24"/>
        </w:rPr>
        <w:t xml:space="preserve"> </w:t>
      </w:r>
      <w:r w:rsidR="00A77665">
        <w:rPr>
          <w:rFonts w:ascii="Garamond" w:hAnsi="Garamond" w:cs="Futura"/>
          <w:sz w:val="24"/>
        </w:rPr>
        <w:t>Can we</w:t>
      </w:r>
      <w:r w:rsidR="00100B03">
        <w:rPr>
          <w:rFonts w:ascii="Garamond" w:hAnsi="Garamond" w:cs="Futura"/>
          <w:sz w:val="24"/>
        </w:rPr>
        <w:t xml:space="preserve"> come to the </w:t>
      </w:r>
      <w:r w:rsidR="007A79B8">
        <w:rPr>
          <w:rFonts w:ascii="Garamond" w:hAnsi="Garamond" w:cs="Futura"/>
          <w:sz w:val="24"/>
        </w:rPr>
        <w:t>majority’s defence</w:t>
      </w:r>
      <w:r w:rsidR="00100B03">
        <w:rPr>
          <w:rFonts w:ascii="Garamond" w:hAnsi="Garamond" w:cs="Futura"/>
          <w:sz w:val="24"/>
        </w:rPr>
        <w:t>?</w:t>
      </w:r>
    </w:p>
    <w:p w14:paraId="6316482A" w14:textId="3859D6D5" w:rsidR="001F58E7" w:rsidRDefault="005A4B0E" w:rsidP="005A4B0E">
      <w:pPr>
        <w:ind w:firstLine="624"/>
        <w:contextualSpacing/>
        <w:rPr>
          <w:rFonts w:ascii="Garamond" w:hAnsi="Garamond" w:cs="Futura"/>
          <w:sz w:val="24"/>
        </w:rPr>
      </w:pPr>
      <w:r>
        <w:rPr>
          <w:rFonts w:ascii="Garamond" w:hAnsi="Garamond" w:cs="Futura"/>
          <w:sz w:val="24"/>
        </w:rPr>
        <w:t xml:space="preserve">I should </w:t>
      </w:r>
      <w:r w:rsidR="00A77665">
        <w:rPr>
          <w:rFonts w:ascii="Garamond" w:hAnsi="Garamond" w:cs="Futura"/>
          <w:sz w:val="24"/>
        </w:rPr>
        <w:t xml:space="preserve">first </w:t>
      </w:r>
      <w:r>
        <w:rPr>
          <w:rFonts w:ascii="Garamond" w:hAnsi="Garamond" w:cs="Futura"/>
          <w:sz w:val="24"/>
        </w:rPr>
        <w:t xml:space="preserve">expand on what the criticisms are. </w:t>
      </w:r>
      <w:r w:rsidR="009E3DE9">
        <w:rPr>
          <w:rFonts w:ascii="Garamond" w:hAnsi="Garamond" w:cs="Futura"/>
          <w:sz w:val="24"/>
        </w:rPr>
        <w:t>Lord Reed offered a robust dissent.</w:t>
      </w:r>
      <w:r w:rsidR="00705EB8">
        <w:rPr>
          <w:rFonts w:ascii="Garamond" w:hAnsi="Garamond" w:cs="Futura"/>
          <w:sz w:val="24"/>
        </w:rPr>
        <w:t xml:space="preserve"> </w:t>
      </w:r>
      <w:r w:rsidR="009E3DE9">
        <w:rPr>
          <w:rFonts w:ascii="Garamond" w:hAnsi="Garamond" w:cs="Futura"/>
          <w:sz w:val="24"/>
        </w:rPr>
        <w:t>He</w:t>
      </w:r>
      <w:r w:rsidR="004C552F">
        <w:rPr>
          <w:rFonts w:ascii="Garamond" w:hAnsi="Garamond" w:cs="Futura"/>
          <w:sz w:val="24"/>
        </w:rPr>
        <w:t xml:space="preserve"> </w:t>
      </w:r>
      <w:r w:rsidR="00DD444C">
        <w:rPr>
          <w:rFonts w:ascii="Garamond" w:hAnsi="Garamond" w:cs="Futura"/>
          <w:sz w:val="24"/>
        </w:rPr>
        <w:t>agreed</w:t>
      </w:r>
      <w:r w:rsidR="00BB6938">
        <w:rPr>
          <w:rFonts w:ascii="Garamond" w:hAnsi="Garamond" w:cs="Futura"/>
          <w:sz w:val="24"/>
        </w:rPr>
        <w:t xml:space="preserve"> </w:t>
      </w:r>
      <w:r w:rsidR="004C552F">
        <w:rPr>
          <w:rFonts w:ascii="Garamond" w:hAnsi="Garamond" w:cs="Futura"/>
          <w:sz w:val="24"/>
        </w:rPr>
        <w:t xml:space="preserve">with the majority </w:t>
      </w:r>
      <w:r w:rsidR="00BB6938">
        <w:rPr>
          <w:rFonts w:ascii="Garamond" w:hAnsi="Garamond" w:cs="Futura"/>
          <w:sz w:val="24"/>
        </w:rPr>
        <w:t>that membership of the EU did not alter the rule of recognition</w:t>
      </w:r>
      <w:r w:rsidR="009E62D4">
        <w:rPr>
          <w:rFonts w:ascii="Garamond" w:hAnsi="Garamond" w:cs="Futura"/>
          <w:sz w:val="24"/>
        </w:rPr>
        <w:t xml:space="preserve"> but rejected the majority’s </w:t>
      </w:r>
      <w:r w:rsidR="008A2AFD">
        <w:rPr>
          <w:rFonts w:ascii="Garamond" w:hAnsi="Garamond" w:cs="Futura"/>
          <w:sz w:val="24"/>
        </w:rPr>
        <w:t>claim</w:t>
      </w:r>
      <w:r w:rsidR="009E62D4">
        <w:rPr>
          <w:rFonts w:ascii="Garamond" w:hAnsi="Garamond" w:cs="Futura"/>
          <w:sz w:val="24"/>
        </w:rPr>
        <w:t xml:space="preserve"> that EU law was an “independent source of law”</w:t>
      </w:r>
      <w:r w:rsidR="00DD444C">
        <w:rPr>
          <w:rFonts w:ascii="Garamond" w:hAnsi="Garamond" w:cs="Futura"/>
          <w:sz w:val="24"/>
        </w:rPr>
        <w:t>.</w:t>
      </w:r>
      <w:r w:rsidR="00DD444C">
        <w:rPr>
          <w:rStyle w:val="FootnoteReference"/>
          <w:rFonts w:ascii="Garamond" w:hAnsi="Garamond" w:cs="Futura"/>
          <w:sz w:val="24"/>
        </w:rPr>
        <w:footnoteReference w:id="15"/>
      </w:r>
      <w:r w:rsidR="00DD444C">
        <w:rPr>
          <w:rFonts w:ascii="Garamond" w:hAnsi="Garamond" w:cs="Futura"/>
          <w:sz w:val="24"/>
        </w:rPr>
        <w:t xml:space="preserve"> Rather,</w:t>
      </w:r>
      <w:r w:rsidR="009E62D4">
        <w:rPr>
          <w:rFonts w:ascii="Garamond" w:hAnsi="Garamond" w:cs="Futura"/>
          <w:sz w:val="24"/>
        </w:rPr>
        <w:t xml:space="preserve"> </w:t>
      </w:r>
      <w:r w:rsidR="00DD444C">
        <w:rPr>
          <w:rFonts w:ascii="Garamond" w:hAnsi="Garamond" w:cs="Futura"/>
          <w:sz w:val="24"/>
        </w:rPr>
        <w:t>EU</w:t>
      </w:r>
      <w:r w:rsidR="00497699">
        <w:rPr>
          <w:rFonts w:ascii="Garamond" w:hAnsi="Garamond" w:cs="Futura"/>
          <w:sz w:val="24"/>
        </w:rPr>
        <w:t xml:space="preserve"> law</w:t>
      </w:r>
      <w:r w:rsidR="009E62D4">
        <w:rPr>
          <w:rFonts w:ascii="Garamond" w:hAnsi="Garamond" w:cs="Futura"/>
          <w:sz w:val="24"/>
        </w:rPr>
        <w:t xml:space="preserve"> depended “for its effect … on the 1972 Act”</w:t>
      </w:r>
      <w:r w:rsidR="00EE4B2D">
        <w:rPr>
          <w:rFonts w:ascii="Garamond" w:hAnsi="Garamond" w:cs="Futura"/>
          <w:sz w:val="24"/>
        </w:rPr>
        <w:t>,</w:t>
      </w:r>
      <w:r w:rsidR="009E62D4">
        <w:rPr>
          <w:rStyle w:val="FootnoteReference"/>
          <w:rFonts w:ascii="Garamond" w:hAnsi="Garamond" w:cs="Futura"/>
          <w:sz w:val="24"/>
        </w:rPr>
        <w:footnoteReference w:id="16"/>
      </w:r>
      <w:r w:rsidR="00FC73E0">
        <w:rPr>
          <w:rFonts w:ascii="Garamond" w:hAnsi="Garamond" w:cs="Futura"/>
          <w:sz w:val="24"/>
        </w:rPr>
        <w:t xml:space="preserve"> </w:t>
      </w:r>
      <w:r w:rsidR="00EE4B2D">
        <w:rPr>
          <w:rFonts w:ascii="Garamond" w:hAnsi="Garamond" w:cs="Futura"/>
          <w:sz w:val="24"/>
        </w:rPr>
        <w:t xml:space="preserve">and </w:t>
      </w:r>
      <w:r w:rsidR="00FC7495">
        <w:rPr>
          <w:rFonts w:ascii="Garamond" w:hAnsi="Garamond" w:cs="Futura"/>
          <w:sz w:val="24"/>
        </w:rPr>
        <w:t>EU membership</w:t>
      </w:r>
      <w:r w:rsidR="00EE4B2D">
        <w:rPr>
          <w:rFonts w:ascii="Garamond" w:hAnsi="Garamond" w:cs="Futura"/>
          <w:sz w:val="24"/>
        </w:rPr>
        <w:t xml:space="preserve"> </w:t>
      </w:r>
      <w:r w:rsidR="009E62D4">
        <w:rPr>
          <w:rFonts w:ascii="Garamond" w:hAnsi="Garamond" w:cs="Futura"/>
          <w:sz w:val="24"/>
        </w:rPr>
        <w:t>“has not altered any fundamental constitutional principle in respect of the identification of sources of law”</w:t>
      </w:r>
      <w:r w:rsidR="00EE4B2D">
        <w:rPr>
          <w:rFonts w:ascii="Garamond" w:hAnsi="Garamond" w:cs="Futura"/>
          <w:sz w:val="24"/>
        </w:rPr>
        <w:t>.</w:t>
      </w:r>
      <w:r w:rsidR="009E62D4">
        <w:rPr>
          <w:rStyle w:val="FootnoteReference"/>
          <w:rFonts w:ascii="Garamond" w:hAnsi="Garamond" w:cs="Futura"/>
          <w:sz w:val="24"/>
        </w:rPr>
        <w:footnoteReference w:id="17"/>
      </w:r>
      <w:r w:rsidR="009E62D4">
        <w:rPr>
          <w:rFonts w:ascii="Garamond" w:hAnsi="Garamond" w:cs="Futura"/>
          <w:sz w:val="24"/>
        </w:rPr>
        <w:t xml:space="preserve"> </w:t>
      </w:r>
      <w:r w:rsidR="009E3DE9">
        <w:rPr>
          <w:rFonts w:ascii="Garamond" w:hAnsi="Garamond" w:cs="Futura"/>
          <w:sz w:val="24"/>
        </w:rPr>
        <w:t>Consequently, Lord Reed denied</w:t>
      </w:r>
      <w:r w:rsidR="00047C2B">
        <w:rPr>
          <w:rFonts w:ascii="Garamond" w:hAnsi="Garamond" w:cs="Futura"/>
          <w:sz w:val="24"/>
        </w:rPr>
        <w:t xml:space="preserve"> that “for </w:t>
      </w:r>
      <w:r w:rsidR="00047C2B" w:rsidRPr="00047C2B">
        <w:rPr>
          <w:rFonts w:ascii="Garamond" w:hAnsi="Garamond" w:cs="Futura"/>
          <w:sz w:val="24"/>
        </w:rPr>
        <w:t>EU law to cease to have effect in our domestic law would be a major change in the UK’s constitution</w:t>
      </w:r>
      <w:r w:rsidR="00047C2B">
        <w:rPr>
          <w:rFonts w:ascii="Garamond" w:hAnsi="Garamond" w:cs="Futura"/>
          <w:sz w:val="24"/>
        </w:rPr>
        <w:t>”.</w:t>
      </w:r>
      <w:r w:rsidR="00047C2B">
        <w:rPr>
          <w:rStyle w:val="FootnoteReference"/>
          <w:rFonts w:ascii="Garamond" w:hAnsi="Garamond" w:cs="Futura"/>
          <w:sz w:val="24"/>
        </w:rPr>
        <w:footnoteReference w:id="18"/>
      </w:r>
      <w:r w:rsidR="009E3221">
        <w:rPr>
          <w:rFonts w:ascii="Garamond" w:hAnsi="Garamond" w:cs="Futura"/>
          <w:sz w:val="24"/>
        </w:rPr>
        <w:t xml:space="preserve"> </w:t>
      </w:r>
      <w:r w:rsidR="004C552F">
        <w:rPr>
          <w:rFonts w:ascii="Garamond" w:hAnsi="Garamond" w:cs="Futura"/>
          <w:sz w:val="24"/>
        </w:rPr>
        <w:t xml:space="preserve">His </w:t>
      </w:r>
      <w:r>
        <w:rPr>
          <w:rFonts w:ascii="Garamond" w:hAnsi="Garamond" w:cs="Futura"/>
          <w:sz w:val="24"/>
        </w:rPr>
        <w:t>view</w:t>
      </w:r>
      <w:r w:rsidR="004C552F">
        <w:rPr>
          <w:rFonts w:ascii="Garamond" w:hAnsi="Garamond" w:cs="Futura"/>
          <w:sz w:val="24"/>
        </w:rPr>
        <w:t xml:space="preserve"> was that “</w:t>
      </w:r>
      <w:r w:rsidR="00F5187D" w:rsidRPr="00F5187D">
        <w:rPr>
          <w:rFonts w:ascii="Garamond" w:hAnsi="Garamond" w:cs="Futura"/>
          <w:sz w:val="24"/>
        </w:rPr>
        <w:t xml:space="preserve">Parliament has created a </w:t>
      </w:r>
      <w:r w:rsidR="00F5187D" w:rsidRPr="00F5187D">
        <w:rPr>
          <w:rFonts w:ascii="Garamond" w:hAnsi="Garamond" w:cs="Futura"/>
          <w:sz w:val="24"/>
        </w:rPr>
        <w:lastRenderedPageBreak/>
        <w:t>scheme under which domestic law tracks the obligations of the UK at the international level, whatever they may be</w:t>
      </w:r>
      <w:r w:rsidR="004C552F">
        <w:rPr>
          <w:rFonts w:ascii="Garamond" w:hAnsi="Garamond" w:cs="Futura"/>
          <w:sz w:val="24"/>
        </w:rPr>
        <w:t>”.</w:t>
      </w:r>
      <w:r w:rsidR="004C552F">
        <w:rPr>
          <w:rStyle w:val="FootnoteReference"/>
          <w:rFonts w:ascii="Garamond" w:hAnsi="Garamond" w:cs="Futura"/>
          <w:sz w:val="24"/>
        </w:rPr>
        <w:footnoteReference w:id="19"/>
      </w:r>
    </w:p>
    <w:p w14:paraId="66CA0141" w14:textId="0D707305" w:rsidR="00DA1CE9" w:rsidRDefault="00413AFF" w:rsidP="001C72F8">
      <w:pPr>
        <w:ind w:firstLine="624"/>
        <w:contextualSpacing/>
        <w:rPr>
          <w:rFonts w:ascii="Garamond" w:hAnsi="Garamond" w:cs="Futura"/>
          <w:sz w:val="24"/>
          <w:szCs w:val="24"/>
        </w:rPr>
      </w:pPr>
      <w:r>
        <w:rPr>
          <w:rFonts w:ascii="Garamond" w:hAnsi="Garamond" w:cs="Futura"/>
          <w:sz w:val="24"/>
        </w:rPr>
        <w:t>Writers</w:t>
      </w:r>
      <w:r w:rsidR="004C552F">
        <w:rPr>
          <w:rFonts w:ascii="Garamond" w:hAnsi="Garamond" w:cs="Futura"/>
          <w:sz w:val="24"/>
        </w:rPr>
        <w:t xml:space="preserve"> have also </w:t>
      </w:r>
      <w:r w:rsidR="005A4B0E">
        <w:rPr>
          <w:rFonts w:ascii="Garamond" w:hAnsi="Garamond" w:cs="Futura"/>
          <w:sz w:val="24"/>
        </w:rPr>
        <w:t>targeted</w:t>
      </w:r>
      <w:r>
        <w:rPr>
          <w:rFonts w:ascii="Garamond" w:hAnsi="Garamond" w:cs="Futura"/>
          <w:sz w:val="24"/>
        </w:rPr>
        <w:t xml:space="preserve"> </w:t>
      </w:r>
      <w:r w:rsidR="005A4B0E">
        <w:rPr>
          <w:rFonts w:ascii="Garamond" w:hAnsi="Garamond" w:cs="Futura"/>
          <w:sz w:val="24"/>
        </w:rPr>
        <w:t>the</w:t>
      </w:r>
      <w:r w:rsidR="000457CF">
        <w:rPr>
          <w:rFonts w:ascii="Garamond" w:hAnsi="Garamond" w:cs="Futura"/>
          <w:sz w:val="24"/>
        </w:rPr>
        <w:t>se</w:t>
      </w:r>
      <w:r w:rsidR="00CB6A9D">
        <w:rPr>
          <w:rFonts w:ascii="Garamond" w:hAnsi="Garamond" w:cs="Futura"/>
          <w:sz w:val="24"/>
        </w:rPr>
        <w:t xml:space="preserve"> </w:t>
      </w:r>
      <w:r w:rsidR="00BF0360">
        <w:rPr>
          <w:rFonts w:ascii="Garamond" w:hAnsi="Garamond" w:cs="Futura"/>
          <w:sz w:val="24"/>
        </w:rPr>
        <w:t>twin</w:t>
      </w:r>
      <w:r w:rsidR="00CB6A9D">
        <w:rPr>
          <w:rFonts w:ascii="Garamond" w:hAnsi="Garamond" w:cs="Futura"/>
          <w:sz w:val="24"/>
        </w:rPr>
        <w:t xml:space="preserve"> claims that EU law is </w:t>
      </w:r>
      <w:r w:rsidR="00FF42B2">
        <w:rPr>
          <w:rFonts w:ascii="Garamond" w:hAnsi="Garamond" w:cs="Futura"/>
          <w:sz w:val="24"/>
        </w:rPr>
        <w:t xml:space="preserve">established as </w:t>
      </w:r>
      <w:r w:rsidR="00CB6A9D">
        <w:rPr>
          <w:rFonts w:ascii="Garamond" w:hAnsi="Garamond" w:cs="Futura"/>
          <w:sz w:val="24"/>
        </w:rPr>
        <w:t xml:space="preserve">a </w:t>
      </w:r>
      <w:r w:rsidR="00DA2D77">
        <w:rPr>
          <w:rFonts w:ascii="Garamond" w:hAnsi="Garamond" w:cs="Futura"/>
          <w:sz w:val="24"/>
        </w:rPr>
        <w:t>source of law</w:t>
      </w:r>
      <w:r w:rsidR="00CB6A9D">
        <w:rPr>
          <w:rFonts w:ascii="Garamond" w:hAnsi="Garamond" w:cs="Futura"/>
          <w:sz w:val="24"/>
        </w:rPr>
        <w:t xml:space="preserve"> and that membership of the EU has not changed the </w:t>
      </w:r>
      <w:r w:rsidR="009E3DE9">
        <w:rPr>
          <w:rFonts w:ascii="Garamond" w:hAnsi="Garamond" w:cs="Futura"/>
          <w:sz w:val="24"/>
        </w:rPr>
        <w:t xml:space="preserve">UK’s </w:t>
      </w:r>
      <w:r w:rsidR="00CB6A9D">
        <w:rPr>
          <w:rFonts w:ascii="Garamond" w:hAnsi="Garamond" w:cs="Futura"/>
          <w:sz w:val="24"/>
        </w:rPr>
        <w:t>rule of recognition.</w:t>
      </w:r>
      <w:r w:rsidR="00DA2D77">
        <w:rPr>
          <w:rFonts w:ascii="Garamond" w:hAnsi="Garamond" w:cs="Futura"/>
          <w:sz w:val="24"/>
        </w:rPr>
        <w:t xml:space="preserve"> </w:t>
      </w:r>
      <w:r w:rsidR="009E3221">
        <w:rPr>
          <w:rFonts w:ascii="Garamond" w:hAnsi="Garamond" w:cs="Futura"/>
          <w:sz w:val="24"/>
        </w:rPr>
        <w:t>How can both claims be true</w:t>
      </w:r>
      <w:r w:rsidR="00FF42B2">
        <w:rPr>
          <w:rFonts w:ascii="Garamond" w:hAnsi="Garamond" w:cs="Futura"/>
          <w:sz w:val="24"/>
        </w:rPr>
        <w:t xml:space="preserve"> </w:t>
      </w:r>
      <w:r w:rsidR="009E3221">
        <w:rPr>
          <w:rFonts w:ascii="Garamond" w:hAnsi="Garamond" w:cs="Futura"/>
          <w:sz w:val="24"/>
        </w:rPr>
        <w:t>if</w:t>
      </w:r>
      <w:r w:rsidR="00FF42B2">
        <w:rPr>
          <w:rFonts w:ascii="Garamond" w:hAnsi="Garamond" w:cs="Futura"/>
          <w:sz w:val="24"/>
        </w:rPr>
        <w:t xml:space="preserve"> </w:t>
      </w:r>
      <w:r w:rsidR="00DA2D77">
        <w:rPr>
          <w:rFonts w:ascii="Garamond" w:hAnsi="Garamond" w:cs="Futura"/>
          <w:sz w:val="24"/>
        </w:rPr>
        <w:t xml:space="preserve">the rule of recognition </w:t>
      </w:r>
      <w:r w:rsidR="009E3221">
        <w:rPr>
          <w:rFonts w:ascii="Garamond" w:hAnsi="Garamond" w:cs="Futura"/>
          <w:sz w:val="24"/>
        </w:rPr>
        <w:t>identifies</w:t>
      </w:r>
      <w:r w:rsidR="00DA2D77">
        <w:rPr>
          <w:rFonts w:ascii="Garamond" w:hAnsi="Garamond" w:cs="Futura"/>
          <w:sz w:val="24"/>
        </w:rPr>
        <w:t xml:space="preserve"> the system’s </w:t>
      </w:r>
      <w:r w:rsidR="009E3DE9">
        <w:rPr>
          <w:rFonts w:ascii="Garamond" w:hAnsi="Garamond" w:cs="Futura"/>
          <w:sz w:val="24"/>
        </w:rPr>
        <w:t>legal sources</w:t>
      </w:r>
      <w:r w:rsidR="00DA2D77">
        <w:rPr>
          <w:rFonts w:ascii="Garamond" w:hAnsi="Garamond" w:cs="Futura"/>
          <w:sz w:val="24"/>
        </w:rPr>
        <w:t xml:space="preserve">? Thus, </w:t>
      </w:r>
      <w:r w:rsidR="005A4B0E">
        <w:rPr>
          <w:rFonts w:ascii="Garamond" w:hAnsi="Garamond" w:cs="Futura"/>
          <w:sz w:val="24"/>
        </w:rPr>
        <w:t>Mark Elliott</w:t>
      </w:r>
      <w:r w:rsidR="006A15AF">
        <w:rPr>
          <w:rFonts w:ascii="Garamond" w:hAnsi="Garamond" w:cs="Futura"/>
          <w:sz w:val="24"/>
        </w:rPr>
        <w:t xml:space="preserve"> </w:t>
      </w:r>
      <w:r w:rsidR="0039611F">
        <w:rPr>
          <w:rFonts w:ascii="Garamond" w:hAnsi="Garamond" w:cs="Futura"/>
          <w:sz w:val="24"/>
        </w:rPr>
        <w:t>suggests</w:t>
      </w:r>
      <w:r w:rsidR="005A4B0E">
        <w:rPr>
          <w:rFonts w:ascii="Garamond" w:hAnsi="Garamond" w:cs="Futura"/>
          <w:sz w:val="24"/>
        </w:rPr>
        <w:t xml:space="preserve"> that the majority’s reasoning </w:t>
      </w:r>
      <w:r w:rsidR="006A15AF">
        <w:rPr>
          <w:rFonts w:ascii="Garamond" w:hAnsi="Garamond" w:cs="Futura"/>
          <w:sz w:val="24"/>
        </w:rPr>
        <w:t>“fails to provide a coherent intellectual basis” for its decision.</w:t>
      </w:r>
      <w:r w:rsidR="006A15AF">
        <w:rPr>
          <w:rStyle w:val="FootnoteReference"/>
          <w:rFonts w:ascii="Garamond" w:hAnsi="Garamond" w:cs="Futura"/>
          <w:sz w:val="24"/>
        </w:rPr>
        <w:footnoteReference w:id="20"/>
      </w:r>
      <w:r w:rsidR="008E10B6">
        <w:rPr>
          <w:rFonts w:ascii="Garamond" w:hAnsi="Garamond" w:cs="Futura"/>
          <w:sz w:val="24"/>
        </w:rPr>
        <w:t xml:space="preserve"> This is picked up by Paul Craig</w:t>
      </w:r>
      <w:r w:rsidR="00DF0FB7">
        <w:rPr>
          <w:rFonts w:ascii="Garamond" w:hAnsi="Garamond" w:cs="Futura"/>
          <w:sz w:val="24"/>
        </w:rPr>
        <w:t xml:space="preserve"> who also disagrees with the majority’s reasoning</w:t>
      </w:r>
      <w:r w:rsidR="008E10B6">
        <w:rPr>
          <w:rFonts w:ascii="Garamond" w:hAnsi="Garamond" w:cs="Futura"/>
          <w:sz w:val="24"/>
        </w:rPr>
        <w:t>: “</w:t>
      </w:r>
      <w:r w:rsidR="00DF0FB7" w:rsidRPr="00DF0FB7">
        <w:rPr>
          <w:rFonts w:ascii="Garamond" w:hAnsi="Garamond" w:cs="Futura"/>
          <w:sz w:val="24"/>
        </w:rPr>
        <w:t xml:space="preserve">there </w:t>
      </w:r>
      <w:r w:rsidR="00DF0FB7">
        <w:rPr>
          <w:rFonts w:ascii="Garamond" w:hAnsi="Garamond" w:cs="Futura"/>
          <w:sz w:val="24"/>
        </w:rPr>
        <w:t>is, as Mark Elliott has noted,</w:t>
      </w:r>
      <w:r w:rsidR="00DF0FB7" w:rsidRPr="00DF0FB7">
        <w:rPr>
          <w:rFonts w:ascii="Garamond" w:hAnsi="Garamond" w:cs="Futura"/>
          <w:sz w:val="24"/>
        </w:rPr>
        <w:t xml:space="preserve"> a tension between regarding EU law as a new source of law and yet rej</w:t>
      </w:r>
      <w:r w:rsidR="00DF0FB7">
        <w:rPr>
          <w:rFonts w:ascii="Garamond" w:hAnsi="Garamond" w:cs="Futura"/>
          <w:sz w:val="24"/>
        </w:rPr>
        <w:t>ecting the contention that the</w:t>
      </w:r>
      <w:r w:rsidR="00DF0FB7" w:rsidRPr="00DF0FB7">
        <w:rPr>
          <w:rFonts w:ascii="Garamond" w:hAnsi="Garamond" w:cs="Futura"/>
          <w:sz w:val="24"/>
        </w:rPr>
        <w:t xml:space="preserve"> rule of</w:t>
      </w:r>
      <w:r w:rsidR="00DF0FB7">
        <w:rPr>
          <w:rFonts w:ascii="Garamond" w:hAnsi="Garamond" w:cs="Futura"/>
          <w:sz w:val="24"/>
        </w:rPr>
        <w:t xml:space="preserve"> recognition has been altered”.</w:t>
      </w:r>
      <w:r w:rsidR="00DF0FB7">
        <w:rPr>
          <w:rStyle w:val="FootnoteReference"/>
          <w:rFonts w:ascii="Garamond" w:hAnsi="Garamond" w:cs="Futura"/>
          <w:sz w:val="24"/>
        </w:rPr>
        <w:footnoteReference w:id="21"/>
      </w:r>
      <w:r w:rsidR="001C72F8">
        <w:rPr>
          <w:rFonts w:ascii="Garamond" w:hAnsi="Garamond" w:cs="Futura"/>
          <w:sz w:val="24"/>
        </w:rPr>
        <w:t xml:space="preserve"> </w:t>
      </w:r>
      <w:r w:rsidR="00B87A48">
        <w:rPr>
          <w:rFonts w:ascii="Garamond" w:hAnsi="Garamond" w:cs="Futura"/>
          <w:sz w:val="24"/>
        </w:rPr>
        <w:t>Similar criticisms have been enunciated elsewhere,</w:t>
      </w:r>
      <w:r w:rsidR="00B87A48">
        <w:rPr>
          <w:rStyle w:val="FootnoteReference"/>
          <w:rFonts w:ascii="Garamond" w:hAnsi="Garamond" w:cs="Futura"/>
          <w:sz w:val="24"/>
        </w:rPr>
        <w:footnoteReference w:id="22"/>
      </w:r>
      <w:r w:rsidR="00B87A48">
        <w:rPr>
          <w:rFonts w:ascii="Garamond" w:hAnsi="Garamond" w:cs="Futura"/>
          <w:sz w:val="24"/>
        </w:rPr>
        <w:t xml:space="preserve"> and if correct</w:t>
      </w:r>
      <w:r w:rsidR="00B87A48">
        <w:rPr>
          <w:rFonts w:ascii="Garamond" w:hAnsi="Garamond" w:cs="Futura"/>
          <w:sz w:val="24"/>
          <w:szCs w:val="24"/>
        </w:rPr>
        <w:t xml:space="preserve"> </w:t>
      </w:r>
      <w:r w:rsidR="00DA1CE9">
        <w:rPr>
          <w:rFonts w:ascii="Garamond" w:hAnsi="Garamond" w:cs="Futura"/>
          <w:sz w:val="24"/>
          <w:szCs w:val="24"/>
        </w:rPr>
        <w:t xml:space="preserve">they </w:t>
      </w:r>
      <w:r w:rsidR="009E3DE9">
        <w:rPr>
          <w:rFonts w:ascii="Garamond" w:hAnsi="Garamond" w:cs="Futura"/>
          <w:sz w:val="24"/>
          <w:szCs w:val="24"/>
        </w:rPr>
        <w:t>eliminate</w:t>
      </w:r>
      <w:r w:rsidR="00DA1CE9">
        <w:rPr>
          <w:rFonts w:ascii="Garamond" w:hAnsi="Garamond" w:cs="Futura"/>
          <w:sz w:val="24"/>
          <w:szCs w:val="24"/>
        </w:rPr>
        <w:t xml:space="preserve"> a central plank of the majority’s reasoning.</w:t>
      </w:r>
    </w:p>
    <w:p w14:paraId="378D7081" w14:textId="0F16F1CE" w:rsidR="00981494" w:rsidRDefault="00650CA2" w:rsidP="007728EF">
      <w:pPr>
        <w:ind w:firstLine="624"/>
        <w:contextualSpacing/>
        <w:rPr>
          <w:rFonts w:ascii="Garamond" w:hAnsi="Garamond" w:cs="Futura"/>
          <w:sz w:val="24"/>
          <w:szCs w:val="24"/>
        </w:rPr>
      </w:pPr>
      <w:r>
        <w:rPr>
          <w:rFonts w:ascii="Garamond" w:hAnsi="Garamond" w:cs="Futura"/>
          <w:sz w:val="24"/>
          <w:szCs w:val="24"/>
        </w:rPr>
        <w:t>These</w:t>
      </w:r>
      <w:r w:rsidR="00681065">
        <w:rPr>
          <w:rFonts w:ascii="Garamond" w:hAnsi="Garamond" w:cs="Futura"/>
          <w:sz w:val="24"/>
          <w:szCs w:val="24"/>
        </w:rPr>
        <w:t xml:space="preserve"> criticisms </w:t>
      </w:r>
      <w:r w:rsidR="00261E21">
        <w:rPr>
          <w:rFonts w:ascii="Garamond" w:hAnsi="Garamond" w:cs="Futura"/>
          <w:sz w:val="24"/>
          <w:szCs w:val="24"/>
        </w:rPr>
        <w:t>– that</w:t>
      </w:r>
      <w:r w:rsidR="00681065">
        <w:rPr>
          <w:rFonts w:ascii="Garamond" w:hAnsi="Garamond" w:cs="Futura"/>
          <w:sz w:val="24"/>
          <w:szCs w:val="24"/>
        </w:rPr>
        <w:t xml:space="preserve"> the majority’s reasoning</w:t>
      </w:r>
      <w:r w:rsidR="00497699">
        <w:rPr>
          <w:rFonts w:ascii="Garamond" w:hAnsi="Garamond" w:cs="Futura"/>
          <w:sz w:val="24"/>
          <w:szCs w:val="24"/>
        </w:rPr>
        <w:t xml:space="preserve"> </w:t>
      </w:r>
      <w:r w:rsidR="001B1667">
        <w:rPr>
          <w:rFonts w:ascii="Garamond" w:hAnsi="Garamond" w:cs="Futura"/>
          <w:sz w:val="24"/>
          <w:szCs w:val="24"/>
        </w:rPr>
        <w:t>is</w:t>
      </w:r>
      <w:r w:rsidR="00261E21">
        <w:rPr>
          <w:rFonts w:ascii="Garamond" w:hAnsi="Garamond" w:cs="Futura"/>
          <w:sz w:val="24"/>
          <w:szCs w:val="24"/>
        </w:rPr>
        <w:t xml:space="preserve"> theoretically unsound – </w:t>
      </w:r>
      <w:r w:rsidR="004A775D">
        <w:rPr>
          <w:rFonts w:ascii="Garamond" w:hAnsi="Garamond" w:cs="Futura"/>
          <w:sz w:val="24"/>
          <w:szCs w:val="24"/>
        </w:rPr>
        <w:t>do</w:t>
      </w:r>
      <w:r w:rsidR="00B87A48">
        <w:rPr>
          <w:rFonts w:ascii="Garamond" w:hAnsi="Garamond" w:cs="Futura"/>
          <w:sz w:val="24"/>
          <w:szCs w:val="24"/>
        </w:rPr>
        <w:t xml:space="preserve"> not</w:t>
      </w:r>
      <w:r w:rsidR="00681065">
        <w:rPr>
          <w:rFonts w:ascii="Garamond" w:hAnsi="Garamond" w:cs="Futura"/>
          <w:sz w:val="24"/>
          <w:szCs w:val="24"/>
        </w:rPr>
        <w:t xml:space="preserve"> hit their mark</w:t>
      </w:r>
      <w:r w:rsidR="00B87A48">
        <w:rPr>
          <w:rFonts w:ascii="Garamond" w:hAnsi="Garamond" w:cs="Futura"/>
          <w:sz w:val="24"/>
          <w:szCs w:val="24"/>
        </w:rPr>
        <w:t>, however</w:t>
      </w:r>
      <w:r w:rsidR="00681065">
        <w:rPr>
          <w:rFonts w:ascii="Garamond" w:hAnsi="Garamond" w:cs="Futura"/>
          <w:sz w:val="24"/>
          <w:szCs w:val="24"/>
        </w:rPr>
        <w:t xml:space="preserve">. </w:t>
      </w:r>
      <w:r w:rsidR="00E80727">
        <w:rPr>
          <w:rFonts w:ascii="Garamond" w:hAnsi="Garamond" w:cs="Futura"/>
          <w:sz w:val="24"/>
          <w:szCs w:val="24"/>
        </w:rPr>
        <w:t>It is possible to</w:t>
      </w:r>
      <w:r w:rsidR="005B6E3D">
        <w:rPr>
          <w:rFonts w:ascii="Garamond" w:hAnsi="Garamond" w:cs="Futura"/>
          <w:sz w:val="24"/>
          <w:szCs w:val="24"/>
        </w:rPr>
        <w:t xml:space="preserve"> </w:t>
      </w:r>
      <w:r w:rsidR="00ED0702">
        <w:rPr>
          <w:rFonts w:ascii="Garamond" w:hAnsi="Garamond" w:cs="Futura"/>
          <w:sz w:val="24"/>
          <w:szCs w:val="24"/>
        </w:rPr>
        <w:t>provide an</w:t>
      </w:r>
      <w:r w:rsidR="0061257D">
        <w:rPr>
          <w:rFonts w:ascii="Garamond" w:hAnsi="Garamond" w:cs="Futura"/>
          <w:sz w:val="24"/>
          <w:szCs w:val="24"/>
        </w:rPr>
        <w:t xml:space="preserve"> account of the </w:t>
      </w:r>
      <w:r w:rsidR="00ED0702">
        <w:rPr>
          <w:rFonts w:ascii="Garamond" w:hAnsi="Garamond" w:cs="Futura"/>
          <w:sz w:val="24"/>
          <w:szCs w:val="24"/>
        </w:rPr>
        <w:t xml:space="preserve">relation between the </w:t>
      </w:r>
      <w:r w:rsidR="0061257D">
        <w:rPr>
          <w:rFonts w:ascii="Garamond" w:hAnsi="Garamond" w:cs="Futura"/>
          <w:sz w:val="24"/>
          <w:szCs w:val="24"/>
        </w:rPr>
        <w:t xml:space="preserve">rule of recognition and </w:t>
      </w:r>
      <w:r w:rsidR="00ED0702">
        <w:rPr>
          <w:rFonts w:ascii="Garamond" w:hAnsi="Garamond" w:cs="Futura"/>
          <w:sz w:val="24"/>
          <w:szCs w:val="24"/>
        </w:rPr>
        <w:t xml:space="preserve">the </w:t>
      </w:r>
      <w:r w:rsidR="0061257D">
        <w:rPr>
          <w:rFonts w:ascii="Garamond" w:hAnsi="Garamond" w:cs="Futura"/>
          <w:sz w:val="24"/>
          <w:szCs w:val="24"/>
        </w:rPr>
        <w:t>sources of law that dissolves the criticisms.</w:t>
      </w:r>
    </w:p>
    <w:p w14:paraId="4ECD374F" w14:textId="6DE32F48" w:rsidR="00995ECA" w:rsidRDefault="00090ADD" w:rsidP="00E0184F">
      <w:pPr>
        <w:ind w:firstLine="624"/>
        <w:contextualSpacing/>
        <w:rPr>
          <w:rFonts w:ascii="Garamond" w:hAnsi="Garamond" w:cs="Futura"/>
          <w:sz w:val="24"/>
          <w:szCs w:val="24"/>
        </w:rPr>
      </w:pPr>
      <w:r>
        <w:rPr>
          <w:rFonts w:ascii="Garamond" w:hAnsi="Garamond" w:cs="Futura"/>
          <w:sz w:val="24"/>
          <w:szCs w:val="24"/>
        </w:rPr>
        <w:t xml:space="preserve">H.L.A. Hart’s </w:t>
      </w:r>
      <w:r w:rsidR="00E0184F">
        <w:rPr>
          <w:rFonts w:ascii="Garamond" w:hAnsi="Garamond" w:cs="Futura"/>
          <w:sz w:val="24"/>
          <w:szCs w:val="24"/>
        </w:rPr>
        <w:t>analysis</w:t>
      </w:r>
      <w:r w:rsidR="004A775D">
        <w:rPr>
          <w:rFonts w:ascii="Garamond" w:hAnsi="Garamond" w:cs="Futura"/>
          <w:sz w:val="24"/>
          <w:szCs w:val="24"/>
        </w:rPr>
        <w:t xml:space="preserve"> </w:t>
      </w:r>
      <w:r w:rsidR="00650CA2">
        <w:rPr>
          <w:rFonts w:ascii="Garamond" w:hAnsi="Garamond" w:cs="Futura"/>
          <w:sz w:val="24"/>
          <w:szCs w:val="24"/>
        </w:rPr>
        <w:t xml:space="preserve">of the rule of recognition </w:t>
      </w:r>
      <w:r w:rsidR="0076370F">
        <w:rPr>
          <w:rFonts w:ascii="Garamond" w:hAnsi="Garamond" w:cs="Futura"/>
          <w:sz w:val="24"/>
          <w:szCs w:val="24"/>
        </w:rPr>
        <w:t>mainly</w:t>
      </w:r>
      <w:r w:rsidR="00650CA2">
        <w:rPr>
          <w:rFonts w:ascii="Garamond" w:hAnsi="Garamond" w:cs="Futura"/>
          <w:sz w:val="24"/>
          <w:szCs w:val="24"/>
        </w:rPr>
        <w:t xml:space="preserve"> </w:t>
      </w:r>
      <w:r w:rsidR="00E0184F">
        <w:rPr>
          <w:rFonts w:ascii="Garamond" w:hAnsi="Garamond" w:cs="Futura"/>
          <w:sz w:val="24"/>
          <w:szCs w:val="24"/>
        </w:rPr>
        <w:t>focuses</w:t>
      </w:r>
      <w:r w:rsidR="00497699">
        <w:rPr>
          <w:rFonts w:ascii="Garamond" w:hAnsi="Garamond" w:cs="Futura"/>
          <w:sz w:val="24"/>
          <w:szCs w:val="24"/>
        </w:rPr>
        <w:t xml:space="preserve"> on</w:t>
      </w:r>
      <w:r w:rsidR="00650CA2">
        <w:rPr>
          <w:rFonts w:ascii="Garamond" w:hAnsi="Garamond" w:cs="Futura"/>
          <w:sz w:val="24"/>
          <w:szCs w:val="24"/>
        </w:rPr>
        <w:t xml:space="preserve"> </w:t>
      </w:r>
      <w:r w:rsidR="009007E1">
        <w:rPr>
          <w:rFonts w:ascii="Garamond" w:hAnsi="Garamond" w:cs="Futura"/>
          <w:sz w:val="24"/>
          <w:szCs w:val="24"/>
        </w:rPr>
        <w:t xml:space="preserve">an </w:t>
      </w:r>
      <w:r w:rsidR="009007E1" w:rsidRPr="009007E1">
        <w:rPr>
          <w:rFonts w:ascii="Garamond" w:hAnsi="Garamond" w:cs="Futura"/>
          <w:i/>
          <w:sz w:val="24"/>
          <w:szCs w:val="24"/>
        </w:rPr>
        <w:t>ultimate</w:t>
      </w:r>
      <w:r w:rsidR="009007E1">
        <w:rPr>
          <w:rFonts w:ascii="Garamond" w:hAnsi="Garamond" w:cs="Futura"/>
          <w:sz w:val="24"/>
          <w:szCs w:val="24"/>
        </w:rPr>
        <w:t xml:space="preserve"> rule of recognition </w:t>
      </w:r>
      <w:r w:rsidR="003605DA">
        <w:rPr>
          <w:rFonts w:ascii="Garamond" w:hAnsi="Garamond" w:cs="Futura"/>
          <w:sz w:val="24"/>
          <w:szCs w:val="24"/>
        </w:rPr>
        <w:t>identifying</w:t>
      </w:r>
      <w:r w:rsidR="00F22EEC">
        <w:rPr>
          <w:rFonts w:ascii="Garamond" w:hAnsi="Garamond" w:cs="Futura"/>
          <w:sz w:val="24"/>
          <w:szCs w:val="24"/>
        </w:rPr>
        <w:t xml:space="preserve"> </w:t>
      </w:r>
      <w:r w:rsidR="00AB192A" w:rsidRPr="00AB192A">
        <w:rPr>
          <w:rFonts w:ascii="Garamond" w:hAnsi="Garamond" w:cs="Futura"/>
          <w:i/>
          <w:sz w:val="24"/>
          <w:szCs w:val="24"/>
        </w:rPr>
        <w:t>fundamental</w:t>
      </w:r>
      <w:r w:rsidR="00AB192A">
        <w:rPr>
          <w:rFonts w:ascii="Garamond" w:hAnsi="Garamond" w:cs="Futura"/>
          <w:sz w:val="24"/>
          <w:szCs w:val="24"/>
        </w:rPr>
        <w:t xml:space="preserve"> sources of law within </w:t>
      </w:r>
      <w:r w:rsidR="00AB3690">
        <w:rPr>
          <w:rFonts w:ascii="Garamond" w:hAnsi="Garamond" w:cs="Futura"/>
          <w:sz w:val="24"/>
          <w:szCs w:val="24"/>
        </w:rPr>
        <w:t>a</w:t>
      </w:r>
      <w:r w:rsidR="00F22EEC">
        <w:rPr>
          <w:rFonts w:ascii="Garamond" w:hAnsi="Garamond" w:cs="Futura"/>
          <w:sz w:val="24"/>
          <w:szCs w:val="24"/>
        </w:rPr>
        <w:t xml:space="preserve"> legal system</w:t>
      </w:r>
      <w:r w:rsidR="009007E1">
        <w:rPr>
          <w:rFonts w:ascii="Garamond" w:hAnsi="Garamond" w:cs="Futura"/>
          <w:sz w:val="24"/>
          <w:szCs w:val="24"/>
        </w:rPr>
        <w:t>.</w:t>
      </w:r>
      <w:r w:rsidR="007B1A4C">
        <w:rPr>
          <w:rStyle w:val="FootnoteReference"/>
          <w:rFonts w:ascii="Garamond" w:hAnsi="Garamond" w:cs="Futura"/>
          <w:sz w:val="24"/>
          <w:szCs w:val="24"/>
        </w:rPr>
        <w:footnoteReference w:id="23"/>
      </w:r>
      <w:r w:rsidR="009007E1">
        <w:rPr>
          <w:rFonts w:ascii="Garamond" w:hAnsi="Garamond" w:cs="Futura"/>
          <w:sz w:val="24"/>
          <w:szCs w:val="24"/>
        </w:rPr>
        <w:t xml:space="preserve"> </w:t>
      </w:r>
      <w:r w:rsidR="001730DD">
        <w:rPr>
          <w:rFonts w:ascii="Garamond" w:hAnsi="Garamond" w:cs="Futura"/>
          <w:sz w:val="24"/>
          <w:szCs w:val="24"/>
        </w:rPr>
        <w:t>These</w:t>
      </w:r>
      <w:r w:rsidR="009007E1">
        <w:rPr>
          <w:rFonts w:ascii="Garamond" w:hAnsi="Garamond" w:cs="Futura"/>
          <w:sz w:val="24"/>
          <w:szCs w:val="24"/>
        </w:rPr>
        <w:t xml:space="preserve"> </w:t>
      </w:r>
      <w:r w:rsidR="00F22EEC">
        <w:rPr>
          <w:rFonts w:ascii="Garamond" w:hAnsi="Garamond" w:cs="Futura"/>
          <w:sz w:val="24"/>
          <w:szCs w:val="24"/>
        </w:rPr>
        <w:t>are</w:t>
      </w:r>
      <w:r>
        <w:rPr>
          <w:rFonts w:ascii="Garamond" w:hAnsi="Garamond" w:cs="Futura"/>
          <w:sz w:val="24"/>
          <w:szCs w:val="24"/>
        </w:rPr>
        <w:t xml:space="preserve"> </w:t>
      </w:r>
      <w:r w:rsidR="000A6DAA">
        <w:rPr>
          <w:rFonts w:ascii="Garamond" w:hAnsi="Garamond" w:cs="Futura"/>
          <w:sz w:val="24"/>
          <w:szCs w:val="24"/>
        </w:rPr>
        <w:t xml:space="preserve">fundamental </w:t>
      </w:r>
      <w:r w:rsidR="00F22EEC">
        <w:rPr>
          <w:rFonts w:ascii="Garamond" w:hAnsi="Garamond" w:cs="Futura"/>
          <w:sz w:val="24"/>
          <w:szCs w:val="24"/>
        </w:rPr>
        <w:t xml:space="preserve">sources </w:t>
      </w:r>
      <w:r w:rsidR="00650CA2">
        <w:rPr>
          <w:rFonts w:ascii="Garamond" w:hAnsi="Garamond" w:cs="Futura"/>
          <w:sz w:val="24"/>
          <w:szCs w:val="24"/>
        </w:rPr>
        <w:t>because, in being identified</w:t>
      </w:r>
      <w:r w:rsidR="000A6DAA">
        <w:rPr>
          <w:rFonts w:ascii="Garamond" w:hAnsi="Garamond" w:cs="Futura"/>
          <w:sz w:val="24"/>
          <w:szCs w:val="24"/>
        </w:rPr>
        <w:t xml:space="preserve"> by t</w:t>
      </w:r>
      <w:r w:rsidR="00650CA2">
        <w:rPr>
          <w:rFonts w:ascii="Garamond" w:hAnsi="Garamond" w:cs="Futura"/>
          <w:sz w:val="24"/>
          <w:szCs w:val="24"/>
        </w:rPr>
        <w:t xml:space="preserve">he ultimate rule of recognition, they </w:t>
      </w:r>
      <w:r w:rsidR="000A6DAA">
        <w:rPr>
          <w:rFonts w:ascii="Garamond" w:hAnsi="Garamond" w:cs="Futura"/>
          <w:sz w:val="24"/>
          <w:szCs w:val="24"/>
        </w:rPr>
        <w:t>“</w:t>
      </w:r>
      <w:r w:rsidR="00C30C30" w:rsidRPr="00C30C30">
        <w:rPr>
          <w:rFonts w:ascii="Garamond" w:hAnsi="Garamond" w:cs="Futura"/>
          <w:sz w:val="24"/>
          <w:szCs w:val="24"/>
        </w:rPr>
        <w:t>do not r</w:t>
      </w:r>
      <w:r w:rsidR="00C30C30">
        <w:rPr>
          <w:rFonts w:ascii="Garamond" w:hAnsi="Garamond" w:cs="Futura"/>
          <w:sz w:val="24"/>
          <w:szCs w:val="24"/>
        </w:rPr>
        <w:t xml:space="preserve">est on any further </w:t>
      </w:r>
      <w:r w:rsidR="00DC45BE">
        <w:rPr>
          <w:rFonts w:ascii="Garamond" w:hAnsi="Garamond" w:cs="Futura"/>
          <w:sz w:val="24"/>
          <w:szCs w:val="24"/>
        </w:rPr>
        <w:t>…</w:t>
      </w:r>
      <w:r>
        <w:rPr>
          <w:rFonts w:ascii="Garamond" w:hAnsi="Garamond" w:cs="Futura"/>
          <w:sz w:val="24"/>
          <w:szCs w:val="24"/>
        </w:rPr>
        <w:t xml:space="preserve"> basis”</w:t>
      </w:r>
      <w:r w:rsidR="00C30C30">
        <w:rPr>
          <w:rFonts w:ascii="Garamond" w:hAnsi="Garamond" w:cs="Futura"/>
          <w:sz w:val="24"/>
          <w:szCs w:val="24"/>
        </w:rPr>
        <w:t>.</w:t>
      </w:r>
      <w:r w:rsidR="00C30C30">
        <w:rPr>
          <w:rStyle w:val="FootnoteReference"/>
          <w:rFonts w:ascii="Garamond" w:hAnsi="Garamond" w:cs="Futura"/>
          <w:sz w:val="24"/>
          <w:szCs w:val="24"/>
        </w:rPr>
        <w:footnoteReference w:id="24"/>
      </w:r>
      <w:r w:rsidR="00E0184F">
        <w:rPr>
          <w:rFonts w:ascii="Garamond" w:hAnsi="Garamond" w:cs="Futura"/>
          <w:sz w:val="24"/>
          <w:szCs w:val="24"/>
        </w:rPr>
        <w:t xml:space="preserve"> </w:t>
      </w:r>
      <w:r w:rsidR="00995ECA">
        <w:rPr>
          <w:rFonts w:ascii="Garamond" w:hAnsi="Garamond" w:cs="Futura"/>
          <w:sz w:val="24"/>
          <w:szCs w:val="24"/>
        </w:rPr>
        <w:t xml:space="preserve">As </w:t>
      </w:r>
      <w:r w:rsidR="00ED0702">
        <w:rPr>
          <w:rFonts w:ascii="Garamond" w:hAnsi="Garamond" w:cs="Futura"/>
          <w:sz w:val="24"/>
          <w:szCs w:val="24"/>
        </w:rPr>
        <w:t>these remarks</w:t>
      </w:r>
      <w:r w:rsidR="00995ECA">
        <w:rPr>
          <w:rFonts w:ascii="Garamond" w:hAnsi="Garamond" w:cs="Futura"/>
          <w:sz w:val="24"/>
          <w:szCs w:val="24"/>
        </w:rPr>
        <w:t xml:space="preserve"> already </w:t>
      </w:r>
      <w:r w:rsidR="00443DBE">
        <w:rPr>
          <w:rFonts w:ascii="Garamond" w:hAnsi="Garamond" w:cs="Futura"/>
          <w:sz w:val="24"/>
          <w:szCs w:val="24"/>
        </w:rPr>
        <w:t>suggest</w:t>
      </w:r>
      <w:r w:rsidR="00995ECA">
        <w:rPr>
          <w:rFonts w:ascii="Garamond" w:hAnsi="Garamond" w:cs="Futura"/>
          <w:sz w:val="24"/>
          <w:szCs w:val="24"/>
        </w:rPr>
        <w:t xml:space="preserve">, a legal system may </w:t>
      </w:r>
      <w:r w:rsidR="007B0E2F">
        <w:rPr>
          <w:rFonts w:ascii="Garamond" w:hAnsi="Garamond" w:cs="Futura"/>
          <w:sz w:val="24"/>
          <w:szCs w:val="24"/>
        </w:rPr>
        <w:t xml:space="preserve">also </w:t>
      </w:r>
      <w:r w:rsidR="00995ECA">
        <w:rPr>
          <w:rFonts w:ascii="Garamond" w:hAnsi="Garamond" w:cs="Futura"/>
          <w:sz w:val="24"/>
          <w:szCs w:val="24"/>
        </w:rPr>
        <w:t xml:space="preserve">recognise non-fundamental sources of law – </w:t>
      </w:r>
      <w:r w:rsidR="001D1CE7">
        <w:rPr>
          <w:rFonts w:ascii="Garamond" w:hAnsi="Garamond" w:cs="Futura"/>
          <w:sz w:val="24"/>
          <w:szCs w:val="24"/>
        </w:rPr>
        <w:t>i.e.</w:t>
      </w:r>
      <w:r w:rsidR="00995ECA">
        <w:rPr>
          <w:rFonts w:ascii="Garamond" w:hAnsi="Garamond" w:cs="Futura"/>
          <w:sz w:val="24"/>
          <w:szCs w:val="24"/>
        </w:rPr>
        <w:t xml:space="preserve"> sources of law </w:t>
      </w:r>
      <w:r w:rsidR="00435F5B">
        <w:rPr>
          <w:rFonts w:ascii="Garamond" w:hAnsi="Garamond" w:cs="Futura"/>
          <w:sz w:val="24"/>
          <w:szCs w:val="24"/>
        </w:rPr>
        <w:t xml:space="preserve">that </w:t>
      </w:r>
      <w:r w:rsidR="00995ECA" w:rsidRPr="00E02153">
        <w:rPr>
          <w:rFonts w:ascii="Garamond" w:hAnsi="Garamond" w:cs="Futura"/>
          <w:sz w:val="24"/>
          <w:szCs w:val="24"/>
        </w:rPr>
        <w:t>do</w:t>
      </w:r>
      <w:r w:rsidR="00995ECA">
        <w:rPr>
          <w:rFonts w:ascii="Garamond" w:hAnsi="Garamond" w:cs="Futura"/>
          <w:sz w:val="24"/>
          <w:szCs w:val="24"/>
        </w:rPr>
        <w:t xml:space="preserve"> rest on a </w:t>
      </w:r>
      <w:r w:rsidR="00E02153">
        <w:rPr>
          <w:rFonts w:ascii="Garamond" w:hAnsi="Garamond" w:cs="Futura"/>
          <w:sz w:val="24"/>
          <w:szCs w:val="24"/>
        </w:rPr>
        <w:t>further legal</w:t>
      </w:r>
      <w:r w:rsidR="00995ECA">
        <w:rPr>
          <w:rFonts w:ascii="Garamond" w:hAnsi="Garamond" w:cs="Futura"/>
          <w:sz w:val="24"/>
          <w:szCs w:val="24"/>
        </w:rPr>
        <w:t xml:space="preserve"> footing such as a statute. </w:t>
      </w:r>
      <w:r w:rsidR="00EA7C82">
        <w:rPr>
          <w:rFonts w:ascii="Garamond" w:hAnsi="Garamond" w:cs="Futura"/>
          <w:sz w:val="24"/>
          <w:szCs w:val="24"/>
        </w:rPr>
        <w:t>The matter is well established in the literature.</w:t>
      </w:r>
      <w:r w:rsidR="00EA7C82">
        <w:rPr>
          <w:rStyle w:val="FootnoteReference"/>
          <w:rFonts w:ascii="Garamond" w:hAnsi="Garamond" w:cs="Futura"/>
          <w:sz w:val="24"/>
          <w:szCs w:val="24"/>
        </w:rPr>
        <w:footnoteReference w:id="25"/>
      </w:r>
      <w:r w:rsidR="00EB60C1">
        <w:rPr>
          <w:rFonts w:ascii="Garamond" w:hAnsi="Garamond" w:cs="Futura"/>
          <w:sz w:val="24"/>
          <w:szCs w:val="24"/>
        </w:rPr>
        <w:t xml:space="preserve"> N</w:t>
      </w:r>
      <w:r w:rsidR="00995ECA">
        <w:rPr>
          <w:rFonts w:ascii="Garamond" w:hAnsi="Garamond" w:cs="Futura"/>
          <w:sz w:val="24"/>
          <w:szCs w:val="24"/>
        </w:rPr>
        <w:t xml:space="preserve">on-fundamental sources may be called </w:t>
      </w:r>
      <w:r w:rsidR="00995ECA" w:rsidRPr="00995ECA">
        <w:rPr>
          <w:rFonts w:ascii="Garamond" w:hAnsi="Garamond" w:cs="Futura"/>
          <w:i/>
          <w:sz w:val="24"/>
          <w:szCs w:val="24"/>
        </w:rPr>
        <w:t>derivative</w:t>
      </w:r>
      <w:r w:rsidR="00995ECA">
        <w:rPr>
          <w:rFonts w:ascii="Garamond" w:hAnsi="Garamond" w:cs="Futura"/>
          <w:sz w:val="24"/>
          <w:szCs w:val="24"/>
        </w:rPr>
        <w:t xml:space="preserve"> </w:t>
      </w:r>
      <w:r w:rsidR="00995ECA">
        <w:rPr>
          <w:rFonts w:ascii="Garamond" w:hAnsi="Garamond" w:cs="Futura"/>
          <w:sz w:val="24"/>
          <w:szCs w:val="24"/>
        </w:rPr>
        <w:lastRenderedPageBreak/>
        <w:t>sources.</w:t>
      </w:r>
      <w:r w:rsidR="00C0173A">
        <w:rPr>
          <w:rFonts w:ascii="Garamond" w:hAnsi="Garamond" w:cs="Futura"/>
          <w:sz w:val="24"/>
          <w:szCs w:val="24"/>
        </w:rPr>
        <w:t xml:space="preserve"> As Matthew Kramer explains, </w:t>
      </w:r>
      <w:r w:rsidR="00C0173A" w:rsidRPr="00C0173A">
        <w:rPr>
          <w:rFonts w:ascii="Garamond" w:hAnsi="Garamond" w:cs="Futura"/>
          <w:sz w:val="24"/>
          <w:szCs w:val="24"/>
        </w:rPr>
        <w:t>“[n]ot every standard for legal validity is a component of [an ultimate] Rule of Recognition, for some such standards are derivative of the criteria which make up that overarching rule”</w:t>
      </w:r>
      <w:r w:rsidR="00C0173A">
        <w:rPr>
          <w:rFonts w:ascii="Garamond" w:hAnsi="Garamond" w:cs="Futura"/>
          <w:sz w:val="24"/>
          <w:szCs w:val="24"/>
        </w:rPr>
        <w:t>.</w:t>
      </w:r>
      <w:r w:rsidR="00995ECA">
        <w:rPr>
          <w:rStyle w:val="FootnoteReference"/>
          <w:rFonts w:ascii="Garamond" w:hAnsi="Garamond" w:cs="Futura"/>
          <w:sz w:val="24"/>
          <w:szCs w:val="24"/>
        </w:rPr>
        <w:footnoteReference w:id="26"/>
      </w:r>
    </w:p>
    <w:p w14:paraId="166D39BB" w14:textId="40B351FF" w:rsidR="001730DD" w:rsidRDefault="00EB1E36" w:rsidP="00E0184F">
      <w:pPr>
        <w:ind w:firstLine="624"/>
        <w:contextualSpacing/>
        <w:rPr>
          <w:rFonts w:ascii="Garamond" w:hAnsi="Garamond" w:cs="Futura"/>
          <w:sz w:val="24"/>
          <w:szCs w:val="24"/>
        </w:rPr>
      </w:pPr>
      <w:r>
        <w:rPr>
          <w:rFonts w:ascii="Garamond" w:hAnsi="Garamond" w:cs="Futura"/>
          <w:sz w:val="24"/>
          <w:szCs w:val="24"/>
        </w:rPr>
        <w:t>The implication</w:t>
      </w:r>
      <w:r w:rsidR="001730DD">
        <w:rPr>
          <w:rFonts w:ascii="Garamond" w:hAnsi="Garamond" w:cs="Futura"/>
          <w:sz w:val="24"/>
          <w:szCs w:val="24"/>
        </w:rPr>
        <w:t xml:space="preserve"> </w:t>
      </w:r>
      <w:r>
        <w:rPr>
          <w:rFonts w:ascii="Garamond" w:hAnsi="Garamond" w:cs="Futura"/>
          <w:sz w:val="24"/>
          <w:szCs w:val="24"/>
        </w:rPr>
        <w:t>is</w:t>
      </w:r>
      <w:r w:rsidR="001730DD">
        <w:rPr>
          <w:rFonts w:ascii="Garamond" w:hAnsi="Garamond" w:cs="Futura"/>
          <w:sz w:val="24"/>
          <w:szCs w:val="24"/>
        </w:rPr>
        <w:t xml:space="preserve"> that, in </w:t>
      </w:r>
      <w:r w:rsidR="00774E8E">
        <w:rPr>
          <w:rFonts w:ascii="Garamond" w:hAnsi="Garamond" w:cs="Futura"/>
          <w:sz w:val="24"/>
          <w:szCs w:val="24"/>
        </w:rPr>
        <w:t>many</w:t>
      </w:r>
      <w:r w:rsidR="001730DD">
        <w:rPr>
          <w:rFonts w:ascii="Garamond" w:hAnsi="Garamond" w:cs="Futura"/>
          <w:sz w:val="24"/>
          <w:szCs w:val="24"/>
        </w:rPr>
        <w:t xml:space="preserve"> legal systems, even primary legislation may be understood as a derivative source of law. Consider a legal system with a capital-C Constitution that establishes </w:t>
      </w:r>
      <w:r w:rsidR="00016D38">
        <w:rPr>
          <w:rFonts w:ascii="Garamond" w:hAnsi="Garamond" w:cs="Futura"/>
          <w:sz w:val="24"/>
          <w:szCs w:val="24"/>
        </w:rPr>
        <w:t xml:space="preserve">various branches of government including </w:t>
      </w:r>
      <w:r w:rsidR="001730DD">
        <w:rPr>
          <w:rFonts w:ascii="Garamond" w:hAnsi="Garamond" w:cs="Futura"/>
          <w:sz w:val="24"/>
          <w:szCs w:val="24"/>
        </w:rPr>
        <w:t xml:space="preserve">a </w:t>
      </w:r>
      <w:r w:rsidR="0013469E">
        <w:rPr>
          <w:rFonts w:ascii="Garamond" w:hAnsi="Garamond" w:cs="Futura"/>
          <w:sz w:val="24"/>
          <w:szCs w:val="24"/>
        </w:rPr>
        <w:t>parliament</w:t>
      </w:r>
      <w:r w:rsidR="0001016E">
        <w:rPr>
          <w:rFonts w:ascii="Garamond" w:hAnsi="Garamond" w:cs="Futura"/>
          <w:sz w:val="24"/>
          <w:szCs w:val="24"/>
        </w:rPr>
        <w:t xml:space="preserve"> </w:t>
      </w:r>
      <w:r w:rsidR="00016D38">
        <w:rPr>
          <w:rFonts w:ascii="Garamond" w:hAnsi="Garamond" w:cs="Futura"/>
          <w:sz w:val="24"/>
          <w:szCs w:val="24"/>
        </w:rPr>
        <w:t xml:space="preserve">that is authorised to make legislative acts. </w:t>
      </w:r>
      <w:r w:rsidR="00FB3A8B">
        <w:rPr>
          <w:rFonts w:ascii="Garamond" w:hAnsi="Garamond" w:cs="Futura"/>
          <w:sz w:val="24"/>
          <w:szCs w:val="24"/>
        </w:rPr>
        <w:t>P</w:t>
      </w:r>
      <w:r w:rsidR="0013469E">
        <w:rPr>
          <w:rFonts w:ascii="Garamond" w:hAnsi="Garamond" w:cs="Futura"/>
          <w:sz w:val="24"/>
          <w:szCs w:val="24"/>
        </w:rPr>
        <w:t>arliamentary</w:t>
      </w:r>
      <w:r w:rsidR="006466D0">
        <w:rPr>
          <w:rFonts w:ascii="Garamond" w:hAnsi="Garamond" w:cs="Futura"/>
          <w:sz w:val="24"/>
          <w:szCs w:val="24"/>
        </w:rPr>
        <w:t xml:space="preserve"> </w:t>
      </w:r>
      <w:r w:rsidR="00016D38">
        <w:rPr>
          <w:rFonts w:ascii="Garamond" w:hAnsi="Garamond" w:cs="Futura"/>
          <w:sz w:val="24"/>
          <w:szCs w:val="24"/>
        </w:rPr>
        <w:t>legislation is</w:t>
      </w:r>
      <w:r w:rsidR="009767CE">
        <w:rPr>
          <w:rFonts w:ascii="Garamond" w:hAnsi="Garamond" w:cs="Futura"/>
          <w:sz w:val="24"/>
          <w:szCs w:val="24"/>
        </w:rPr>
        <w:t xml:space="preserve">, in the </w:t>
      </w:r>
      <w:r w:rsidR="000506D3">
        <w:rPr>
          <w:rFonts w:ascii="Garamond" w:hAnsi="Garamond" w:cs="Futura"/>
          <w:sz w:val="24"/>
          <w:szCs w:val="24"/>
        </w:rPr>
        <w:t>way</w:t>
      </w:r>
      <w:r w:rsidR="009767CE">
        <w:rPr>
          <w:rFonts w:ascii="Garamond" w:hAnsi="Garamond" w:cs="Futura"/>
          <w:sz w:val="24"/>
          <w:szCs w:val="24"/>
        </w:rPr>
        <w:t xml:space="preserve"> just described,</w:t>
      </w:r>
      <w:r w:rsidR="00016D38">
        <w:rPr>
          <w:rFonts w:ascii="Garamond" w:hAnsi="Garamond" w:cs="Futura"/>
          <w:sz w:val="24"/>
          <w:szCs w:val="24"/>
        </w:rPr>
        <w:t xml:space="preserve"> </w:t>
      </w:r>
      <w:r w:rsidR="00774E8E">
        <w:rPr>
          <w:rFonts w:ascii="Garamond" w:hAnsi="Garamond" w:cs="Futura"/>
          <w:sz w:val="24"/>
          <w:szCs w:val="24"/>
        </w:rPr>
        <w:t>a derivative rather than a fundamental source of law</w:t>
      </w:r>
      <w:r w:rsidR="00016D38">
        <w:rPr>
          <w:rFonts w:ascii="Garamond" w:hAnsi="Garamond" w:cs="Futura"/>
          <w:sz w:val="24"/>
          <w:szCs w:val="24"/>
        </w:rPr>
        <w:t>. The fundamental source identified by the ultimate rule of recognition is t</w:t>
      </w:r>
      <w:r w:rsidR="006466D0">
        <w:rPr>
          <w:rFonts w:ascii="Garamond" w:hAnsi="Garamond" w:cs="Futura"/>
          <w:sz w:val="24"/>
          <w:szCs w:val="24"/>
        </w:rPr>
        <w:t xml:space="preserve">he capital-C Constitution, which itself recognises further </w:t>
      </w:r>
      <w:r w:rsidR="00774E8E">
        <w:rPr>
          <w:rFonts w:ascii="Garamond" w:hAnsi="Garamond" w:cs="Futura"/>
          <w:sz w:val="24"/>
          <w:szCs w:val="24"/>
        </w:rPr>
        <w:t xml:space="preserve">(derivative) </w:t>
      </w:r>
      <w:r w:rsidR="006466D0">
        <w:rPr>
          <w:rFonts w:ascii="Garamond" w:hAnsi="Garamond" w:cs="Futura"/>
          <w:sz w:val="24"/>
          <w:szCs w:val="24"/>
        </w:rPr>
        <w:t>sources.</w:t>
      </w:r>
    </w:p>
    <w:p w14:paraId="61675F77" w14:textId="69A0872A" w:rsidR="006466D0" w:rsidRPr="001A6DC0" w:rsidRDefault="006466D0" w:rsidP="00EC5C79">
      <w:pPr>
        <w:ind w:firstLine="624"/>
        <w:contextualSpacing/>
        <w:rPr>
          <w:rFonts w:ascii="Garamond" w:hAnsi="Garamond" w:cs="Futura"/>
          <w:sz w:val="24"/>
        </w:rPr>
      </w:pPr>
      <w:r>
        <w:rPr>
          <w:rFonts w:ascii="Garamond" w:hAnsi="Garamond" w:cs="Futura"/>
          <w:sz w:val="24"/>
          <w:szCs w:val="24"/>
        </w:rPr>
        <w:t>Derivative sourc</w:t>
      </w:r>
      <w:r w:rsidR="00774E8E">
        <w:rPr>
          <w:rFonts w:ascii="Garamond" w:hAnsi="Garamond" w:cs="Futura"/>
          <w:sz w:val="24"/>
          <w:szCs w:val="24"/>
        </w:rPr>
        <w:t>es of law are common</w:t>
      </w:r>
      <w:r w:rsidR="00AD1B07">
        <w:rPr>
          <w:rFonts w:ascii="Garamond" w:hAnsi="Garamond" w:cs="Futura"/>
          <w:sz w:val="24"/>
          <w:szCs w:val="24"/>
        </w:rPr>
        <w:t xml:space="preserve"> in mature legal systems</w:t>
      </w:r>
      <w:r w:rsidR="00774E8E">
        <w:rPr>
          <w:rFonts w:ascii="Garamond" w:hAnsi="Garamond" w:cs="Futura"/>
          <w:sz w:val="24"/>
          <w:szCs w:val="24"/>
        </w:rPr>
        <w:t xml:space="preserve">. In the UK, devolution legislation provides a </w:t>
      </w:r>
      <w:r w:rsidR="005541E9">
        <w:rPr>
          <w:rFonts w:ascii="Garamond" w:hAnsi="Garamond" w:cs="Futura"/>
          <w:sz w:val="24"/>
          <w:szCs w:val="24"/>
        </w:rPr>
        <w:t>familiar</w:t>
      </w:r>
      <w:r w:rsidR="00774E8E">
        <w:rPr>
          <w:rFonts w:ascii="Garamond" w:hAnsi="Garamond" w:cs="Futura"/>
          <w:sz w:val="24"/>
          <w:szCs w:val="24"/>
        </w:rPr>
        <w:t xml:space="preserve"> example. Another is</w:t>
      </w:r>
      <w:r>
        <w:rPr>
          <w:rFonts w:ascii="Garamond" w:hAnsi="Garamond" w:cs="Futura"/>
          <w:sz w:val="24"/>
          <w:szCs w:val="24"/>
        </w:rPr>
        <w:t xml:space="preserve"> the </w:t>
      </w:r>
      <w:r w:rsidRPr="001A6DC0">
        <w:rPr>
          <w:rFonts w:ascii="Garamond" w:hAnsi="Garamond" w:cs="Futura"/>
          <w:sz w:val="24"/>
        </w:rPr>
        <w:t>Intern</w:t>
      </w:r>
      <w:r w:rsidR="00774E8E">
        <w:rPr>
          <w:rFonts w:ascii="Garamond" w:hAnsi="Garamond" w:cs="Futura"/>
          <w:sz w:val="24"/>
        </w:rPr>
        <w:t xml:space="preserve">ational Criminal Court Act 2001 which </w:t>
      </w:r>
      <w:r w:rsidR="0072133B">
        <w:rPr>
          <w:rFonts w:ascii="Garamond" w:hAnsi="Garamond" w:cs="Futura"/>
          <w:sz w:val="24"/>
        </w:rPr>
        <w:t xml:space="preserve">gives effect to </w:t>
      </w:r>
      <w:r w:rsidR="00EF67AE">
        <w:rPr>
          <w:rFonts w:ascii="Garamond" w:hAnsi="Garamond" w:cs="Futura"/>
          <w:sz w:val="24"/>
        </w:rPr>
        <w:t>a treaty</w:t>
      </w:r>
      <w:r w:rsidR="0057387C">
        <w:rPr>
          <w:rFonts w:ascii="Garamond" w:hAnsi="Garamond" w:cs="Futura"/>
          <w:sz w:val="24"/>
        </w:rPr>
        <w:t xml:space="preserve"> to which the UK is party</w:t>
      </w:r>
      <w:r w:rsidR="00EF67AE">
        <w:rPr>
          <w:rFonts w:ascii="Garamond" w:hAnsi="Garamond" w:cs="Futura"/>
          <w:sz w:val="24"/>
        </w:rPr>
        <w:t xml:space="preserve">: </w:t>
      </w:r>
      <w:r w:rsidR="00774E8E">
        <w:rPr>
          <w:rFonts w:ascii="Garamond" w:hAnsi="Garamond" w:cs="Futura"/>
          <w:sz w:val="24"/>
        </w:rPr>
        <w:t>the</w:t>
      </w:r>
      <w:r w:rsidRPr="001A6DC0">
        <w:rPr>
          <w:rFonts w:ascii="Garamond" w:hAnsi="Garamond" w:cs="Futura"/>
          <w:sz w:val="24"/>
        </w:rPr>
        <w:t xml:space="preserve"> </w:t>
      </w:r>
      <w:r w:rsidR="007C5CE2">
        <w:rPr>
          <w:rFonts w:ascii="Garamond" w:hAnsi="Garamond" w:cs="Futura"/>
          <w:sz w:val="24"/>
        </w:rPr>
        <w:t xml:space="preserve">Rome </w:t>
      </w:r>
      <w:r w:rsidRPr="001A6DC0">
        <w:rPr>
          <w:rFonts w:ascii="Garamond" w:hAnsi="Garamond" w:cs="Futura"/>
          <w:sz w:val="24"/>
        </w:rPr>
        <w:t>Statute of th</w:t>
      </w:r>
      <w:r w:rsidR="0072133B">
        <w:rPr>
          <w:rFonts w:ascii="Garamond" w:hAnsi="Garamond" w:cs="Futura"/>
          <w:sz w:val="24"/>
        </w:rPr>
        <w:t xml:space="preserve">e International Criminal Court. </w:t>
      </w:r>
      <w:r w:rsidR="001F6C51">
        <w:rPr>
          <w:rFonts w:ascii="Garamond" w:hAnsi="Garamond" w:cs="Futura"/>
          <w:sz w:val="24"/>
        </w:rPr>
        <w:t xml:space="preserve">The Rome Statute was adopted </w:t>
      </w:r>
      <w:r w:rsidR="0057387C">
        <w:rPr>
          <w:rFonts w:ascii="Garamond" w:hAnsi="Garamond" w:cs="Futura"/>
          <w:sz w:val="24"/>
        </w:rPr>
        <w:t xml:space="preserve">by states at a diplomatic conference </w:t>
      </w:r>
      <w:r w:rsidR="001F6C51">
        <w:rPr>
          <w:rFonts w:ascii="Garamond" w:hAnsi="Garamond" w:cs="Futura"/>
          <w:sz w:val="24"/>
        </w:rPr>
        <w:t xml:space="preserve">in 1998, and </w:t>
      </w:r>
      <w:r w:rsidR="008E30F3">
        <w:rPr>
          <w:rFonts w:ascii="Garamond" w:hAnsi="Garamond" w:cs="Futura"/>
          <w:sz w:val="24"/>
        </w:rPr>
        <w:t xml:space="preserve">the ICC began operating in 2002 when </w:t>
      </w:r>
      <w:r w:rsidR="001F6C51">
        <w:rPr>
          <w:rFonts w:ascii="Garamond" w:hAnsi="Garamond" w:cs="Futura"/>
          <w:sz w:val="24"/>
        </w:rPr>
        <w:t xml:space="preserve">the </w:t>
      </w:r>
      <w:r w:rsidR="009A338D">
        <w:rPr>
          <w:rFonts w:ascii="Garamond" w:hAnsi="Garamond" w:cs="Futura"/>
          <w:sz w:val="24"/>
        </w:rPr>
        <w:t xml:space="preserve">requisite number of state ratifications </w:t>
      </w:r>
      <w:r w:rsidR="008E30F3">
        <w:rPr>
          <w:rFonts w:ascii="Garamond" w:hAnsi="Garamond" w:cs="Futura"/>
          <w:sz w:val="24"/>
        </w:rPr>
        <w:t>was met</w:t>
      </w:r>
      <w:r w:rsidR="009A338D">
        <w:rPr>
          <w:rFonts w:ascii="Garamond" w:hAnsi="Garamond" w:cs="Futura"/>
          <w:sz w:val="24"/>
        </w:rPr>
        <w:t xml:space="preserve">. The ICC investigates and </w:t>
      </w:r>
      <w:r w:rsidR="00C805E8">
        <w:rPr>
          <w:rFonts w:ascii="Garamond" w:hAnsi="Garamond" w:cs="Futura"/>
          <w:sz w:val="24"/>
        </w:rPr>
        <w:t>tries individua</w:t>
      </w:r>
      <w:r w:rsidR="00113E58">
        <w:rPr>
          <w:rFonts w:ascii="Garamond" w:hAnsi="Garamond" w:cs="Futura"/>
          <w:sz w:val="24"/>
        </w:rPr>
        <w:t>ls charged with</w:t>
      </w:r>
      <w:r w:rsidR="00665A67">
        <w:rPr>
          <w:rFonts w:ascii="Garamond" w:hAnsi="Garamond" w:cs="Futura"/>
          <w:sz w:val="24"/>
        </w:rPr>
        <w:t xml:space="preserve"> certain </w:t>
      </w:r>
      <w:r w:rsidR="00C805E8">
        <w:rPr>
          <w:rFonts w:ascii="Garamond" w:hAnsi="Garamond" w:cs="Futura"/>
          <w:sz w:val="24"/>
        </w:rPr>
        <w:t xml:space="preserve">international </w:t>
      </w:r>
      <w:r w:rsidR="00113E58">
        <w:rPr>
          <w:rFonts w:ascii="Garamond" w:hAnsi="Garamond" w:cs="Futura"/>
          <w:sz w:val="24"/>
        </w:rPr>
        <w:t>crimes stipulated under the treaty</w:t>
      </w:r>
      <w:r w:rsidR="009F5AA7">
        <w:rPr>
          <w:rFonts w:ascii="Garamond" w:hAnsi="Garamond" w:cs="Futura"/>
          <w:sz w:val="24"/>
        </w:rPr>
        <w:t xml:space="preserve"> </w:t>
      </w:r>
      <w:r w:rsidR="00113E58">
        <w:rPr>
          <w:rFonts w:ascii="Garamond" w:hAnsi="Garamond" w:cs="Futura"/>
          <w:sz w:val="24"/>
        </w:rPr>
        <w:t>– namely,</w:t>
      </w:r>
      <w:r w:rsidR="009F5AA7">
        <w:rPr>
          <w:rFonts w:ascii="Garamond" w:hAnsi="Garamond" w:cs="Futura"/>
          <w:sz w:val="24"/>
        </w:rPr>
        <w:t xml:space="preserve"> gen</w:t>
      </w:r>
      <w:r w:rsidR="00113E58">
        <w:rPr>
          <w:rFonts w:ascii="Garamond" w:hAnsi="Garamond" w:cs="Futura"/>
          <w:sz w:val="24"/>
        </w:rPr>
        <w:t>ocide, crimes against humanity,</w:t>
      </w:r>
      <w:r w:rsidR="00EA3879">
        <w:rPr>
          <w:rFonts w:ascii="Garamond" w:hAnsi="Garamond" w:cs="Futura"/>
          <w:sz w:val="24"/>
        </w:rPr>
        <w:t xml:space="preserve"> </w:t>
      </w:r>
      <w:r w:rsidR="009F5AA7">
        <w:rPr>
          <w:rFonts w:ascii="Garamond" w:hAnsi="Garamond" w:cs="Futura"/>
          <w:sz w:val="24"/>
        </w:rPr>
        <w:t>war crimes</w:t>
      </w:r>
      <w:r w:rsidR="00EA3879">
        <w:rPr>
          <w:rFonts w:ascii="Garamond" w:hAnsi="Garamond" w:cs="Futura"/>
          <w:sz w:val="24"/>
        </w:rPr>
        <w:t xml:space="preserve">, </w:t>
      </w:r>
      <w:r w:rsidR="00113E58">
        <w:rPr>
          <w:rFonts w:ascii="Garamond" w:hAnsi="Garamond" w:cs="Futura"/>
          <w:sz w:val="24"/>
        </w:rPr>
        <w:t xml:space="preserve">and now </w:t>
      </w:r>
      <w:r w:rsidR="00665A67">
        <w:rPr>
          <w:rFonts w:ascii="Garamond" w:hAnsi="Garamond" w:cs="Futura"/>
          <w:sz w:val="24"/>
        </w:rPr>
        <w:t xml:space="preserve">the crime of </w:t>
      </w:r>
      <w:r w:rsidR="00EA3879">
        <w:rPr>
          <w:rFonts w:ascii="Garamond" w:hAnsi="Garamond" w:cs="Futura"/>
          <w:sz w:val="24"/>
        </w:rPr>
        <w:t>a</w:t>
      </w:r>
      <w:r w:rsidR="0057387C">
        <w:rPr>
          <w:rFonts w:ascii="Garamond" w:hAnsi="Garamond" w:cs="Futura"/>
          <w:sz w:val="24"/>
        </w:rPr>
        <w:t>ggression.</w:t>
      </w:r>
      <w:r w:rsidR="00513150">
        <w:rPr>
          <w:rStyle w:val="FootnoteReference"/>
          <w:rFonts w:ascii="Garamond" w:hAnsi="Garamond" w:cs="Futura"/>
          <w:sz w:val="24"/>
          <w:szCs w:val="24"/>
        </w:rPr>
        <w:footnoteReference w:id="27"/>
      </w:r>
      <w:r w:rsidR="0057387C">
        <w:rPr>
          <w:rFonts w:ascii="Garamond" w:hAnsi="Garamond" w:cs="Futura"/>
          <w:sz w:val="24"/>
        </w:rPr>
        <w:t xml:space="preserve"> </w:t>
      </w:r>
      <w:r w:rsidR="0072133B">
        <w:rPr>
          <w:rFonts w:ascii="Garamond" w:hAnsi="Garamond" w:cs="Futura"/>
          <w:sz w:val="24"/>
        </w:rPr>
        <w:t>S</w:t>
      </w:r>
      <w:r w:rsidRPr="001A6DC0">
        <w:rPr>
          <w:rFonts w:ascii="Garamond" w:hAnsi="Garamond" w:cs="Futura"/>
          <w:sz w:val="24"/>
        </w:rPr>
        <w:t xml:space="preserve">.50(1) </w:t>
      </w:r>
      <w:r w:rsidR="0057387C">
        <w:rPr>
          <w:rFonts w:ascii="Garamond" w:hAnsi="Garamond" w:cs="Futura"/>
          <w:sz w:val="24"/>
        </w:rPr>
        <w:t xml:space="preserve">of the ICC Act </w:t>
      </w:r>
      <w:r w:rsidR="0004632A">
        <w:rPr>
          <w:rFonts w:ascii="Garamond" w:hAnsi="Garamond" w:cs="Futura"/>
          <w:sz w:val="24"/>
        </w:rPr>
        <w:t xml:space="preserve">2001 </w:t>
      </w:r>
      <w:r>
        <w:rPr>
          <w:rFonts w:ascii="Garamond" w:hAnsi="Garamond" w:cs="Futura"/>
          <w:sz w:val="24"/>
        </w:rPr>
        <w:t>defines</w:t>
      </w:r>
      <w:r w:rsidRPr="001A6DC0">
        <w:rPr>
          <w:rFonts w:ascii="Garamond" w:hAnsi="Garamond" w:cs="Futura"/>
          <w:sz w:val="24"/>
        </w:rPr>
        <w:t xml:space="preserve"> </w:t>
      </w:r>
      <w:r>
        <w:rPr>
          <w:rFonts w:ascii="Garamond" w:hAnsi="Garamond" w:cs="Futura"/>
          <w:sz w:val="24"/>
        </w:rPr>
        <w:t>“</w:t>
      </w:r>
      <w:r w:rsidRPr="001A6DC0">
        <w:rPr>
          <w:rFonts w:ascii="Garamond" w:hAnsi="Garamond" w:cs="Futura"/>
          <w:sz w:val="24"/>
        </w:rPr>
        <w:t>genocide</w:t>
      </w:r>
      <w:r>
        <w:rPr>
          <w:rFonts w:ascii="Garamond" w:hAnsi="Garamond" w:cs="Futura"/>
          <w:sz w:val="24"/>
        </w:rPr>
        <w:t>”</w:t>
      </w:r>
      <w:r w:rsidR="00CE2925">
        <w:rPr>
          <w:rFonts w:ascii="Garamond" w:hAnsi="Garamond" w:cs="Futura"/>
          <w:sz w:val="24"/>
        </w:rPr>
        <w:t xml:space="preserve">, </w:t>
      </w:r>
      <w:r>
        <w:rPr>
          <w:rFonts w:ascii="Garamond" w:hAnsi="Garamond" w:cs="Futura"/>
          <w:sz w:val="24"/>
        </w:rPr>
        <w:t>“</w:t>
      </w:r>
      <w:r w:rsidR="00CE2925">
        <w:rPr>
          <w:rFonts w:ascii="Garamond" w:hAnsi="Garamond" w:cs="Futura"/>
          <w:sz w:val="24"/>
        </w:rPr>
        <w:t>crime</w:t>
      </w:r>
      <w:r w:rsidRPr="001A6DC0">
        <w:rPr>
          <w:rFonts w:ascii="Garamond" w:hAnsi="Garamond" w:cs="Futura"/>
          <w:sz w:val="24"/>
        </w:rPr>
        <w:t xml:space="preserve"> against humanity</w:t>
      </w:r>
      <w:r>
        <w:rPr>
          <w:rFonts w:ascii="Garamond" w:hAnsi="Garamond" w:cs="Futura"/>
          <w:sz w:val="24"/>
        </w:rPr>
        <w:t>”</w:t>
      </w:r>
      <w:r w:rsidR="0072133B">
        <w:rPr>
          <w:rFonts w:ascii="Garamond" w:hAnsi="Garamond" w:cs="Futura"/>
          <w:sz w:val="24"/>
        </w:rPr>
        <w:t xml:space="preserve"> </w:t>
      </w:r>
      <w:r w:rsidR="00467801">
        <w:rPr>
          <w:rFonts w:ascii="Garamond" w:hAnsi="Garamond" w:cs="Futura"/>
          <w:sz w:val="24"/>
        </w:rPr>
        <w:t>and “war crime”</w:t>
      </w:r>
      <w:r w:rsidR="00A711DF">
        <w:rPr>
          <w:rFonts w:ascii="Garamond" w:hAnsi="Garamond" w:cs="Futura"/>
          <w:sz w:val="24"/>
        </w:rPr>
        <w:t>, a</w:t>
      </w:r>
      <w:r w:rsidR="00EC5C79">
        <w:rPr>
          <w:rFonts w:ascii="Garamond" w:hAnsi="Garamond" w:cs="Futura"/>
          <w:sz w:val="24"/>
        </w:rPr>
        <w:t>nd a</w:t>
      </w:r>
      <w:r w:rsidRPr="001A6DC0">
        <w:rPr>
          <w:rFonts w:ascii="Garamond" w:hAnsi="Garamond" w:cs="Futura"/>
          <w:sz w:val="24"/>
        </w:rPr>
        <w:t>ccording to s.50(5):</w:t>
      </w:r>
    </w:p>
    <w:p w14:paraId="55C65090" w14:textId="77777777" w:rsidR="006466D0" w:rsidRPr="001A6DC0" w:rsidRDefault="006466D0" w:rsidP="006466D0">
      <w:pPr>
        <w:contextualSpacing/>
        <w:rPr>
          <w:rFonts w:ascii="Garamond" w:hAnsi="Garamond" w:cs="Futura"/>
          <w:sz w:val="24"/>
        </w:rPr>
      </w:pPr>
    </w:p>
    <w:p w14:paraId="340D9994" w14:textId="58D9E10C" w:rsidR="006466D0" w:rsidRPr="00F14376" w:rsidRDefault="006466D0" w:rsidP="006466D0">
      <w:pPr>
        <w:contextualSpacing/>
        <w:rPr>
          <w:rFonts w:ascii="Garamond" w:hAnsi="Garamond" w:cs="Futura"/>
          <w:sz w:val="20"/>
          <w:szCs w:val="20"/>
        </w:rPr>
      </w:pPr>
      <w:r w:rsidRPr="00F14376">
        <w:rPr>
          <w:rFonts w:ascii="Garamond" w:hAnsi="Garamond" w:cs="Futura"/>
          <w:sz w:val="20"/>
          <w:szCs w:val="20"/>
        </w:rPr>
        <w:t xml:space="preserve">In interpreting and applying the </w:t>
      </w:r>
      <w:r w:rsidR="004A38C9">
        <w:rPr>
          <w:rFonts w:ascii="Garamond" w:hAnsi="Garamond" w:cs="Futura"/>
          <w:sz w:val="20"/>
          <w:szCs w:val="20"/>
        </w:rPr>
        <w:t>[terms in s.50</w:t>
      </w:r>
      <w:r w:rsidRPr="00F14376">
        <w:rPr>
          <w:rFonts w:ascii="Garamond" w:hAnsi="Garamond" w:cs="Futura"/>
          <w:sz w:val="20"/>
          <w:szCs w:val="20"/>
        </w:rPr>
        <w:t>(1)</w:t>
      </w:r>
      <w:r w:rsidR="004A38C9">
        <w:rPr>
          <w:rFonts w:ascii="Garamond" w:hAnsi="Garamond" w:cs="Futura"/>
          <w:sz w:val="20"/>
          <w:szCs w:val="20"/>
        </w:rPr>
        <w:t>]</w:t>
      </w:r>
      <w:r w:rsidRPr="00F14376">
        <w:rPr>
          <w:rFonts w:ascii="Garamond" w:hAnsi="Garamond" w:cs="Futura"/>
          <w:sz w:val="20"/>
          <w:szCs w:val="20"/>
        </w:rPr>
        <w:t xml:space="preserve"> the court shall take into account any relevant judgment or decision of the ICC. Account may also be taken of any other relevant international jurisprudence.</w:t>
      </w:r>
    </w:p>
    <w:p w14:paraId="08C98083" w14:textId="77777777" w:rsidR="006466D0" w:rsidRPr="001A6DC0" w:rsidRDefault="006466D0" w:rsidP="006466D0">
      <w:pPr>
        <w:contextualSpacing/>
        <w:rPr>
          <w:rFonts w:ascii="Garamond" w:hAnsi="Garamond" w:cs="Futura"/>
          <w:sz w:val="24"/>
        </w:rPr>
      </w:pPr>
    </w:p>
    <w:p w14:paraId="3D36D1FD" w14:textId="7AAFA2D0" w:rsidR="0083732A" w:rsidRDefault="006466D0" w:rsidP="0083732A">
      <w:pPr>
        <w:contextualSpacing/>
        <w:rPr>
          <w:rFonts w:ascii="Garamond" w:hAnsi="Garamond" w:cs="Futura"/>
          <w:sz w:val="24"/>
        </w:rPr>
      </w:pPr>
      <w:r w:rsidRPr="001A6DC0">
        <w:rPr>
          <w:rFonts w:ascii="Garamond" w:hAnsi="Garamond" w:cs="Futura"/>
          <w:sz w:val="24"/>
        </w:rPr>
        <w:t xml:space="preserve">The first sentence of s.50(5) provides that the </w:t>
      </w:r>
      <w:r w:rsidR="00A711DF">
        <w:rPr>
          <w:rFonts w:ascii="Garamond" w:hAnsi="Garamond" w:cs="Futura"/>
          <w:sz w:val="24"/>
        </w:rPr>
        <w:t xml:space="preserve">domestic </w:t>
      </w:r>
      <w:r w:rsidRPr="001A6DC0">
        <w:rPr>
          <w:rFonts w:ascii="Garamond" w:hAnsi="Garamond" w:cs="Futura"/>
          <w:sz w:val="24"/>
        </w:rPr>
        <w:t xml:space="preserve">court treat judgments of the </w:t>
      </w:r>
      <w:r w:rsidR="00580009">
        <w:rPr>
          <w:rFonts w:ascii="Garamond" w:hAnsi="Garamond" w:cs="Futura"/>
          <w:sz w:val="24"/>
        </w:rPr>
        <w:t>ICC</w:t>
      </w:r>
      <w:r w:rsidRPr="001A6DC0">
        <w:rPr>
          <w:rFonts w:ascii="Garamond" w:hAnsi="Garamond" w:cs="Futura"/>
          <w:sz w:val="24"/>
        </w:rPr>
        <w:t xml:space="preserve"> as a mandatory source of law. </w:t>
      </w:r>
      <w:r w:rsidR="004A38C9">
        <w:rPr>
          <w:rFonts w:ascii="Garamond" w:hAnsi="Garamond" w:cs="Futura"/>
          <w:sz w:val="24"/>
        </w:rPr>
        <w:t>According to Hart, a</w:t>
      </w:r>
      <w:r w:rsidR="0072133B">
        <w:rPr>
          <w:rFonts w:ascii="Garamond" w:hAnsi="Garamond" w:cs="Futura"/>
          <w:sz w:val="24"/>
        </w:rPr>
        <w:t xml:space="preserve"> mandatory source of law</w:t>
      </w:r>
      <w:r w:rsidR="004A38C9">
        <w:rPr>
          <w:rFonts w:ascii="Garamond" w:hAnsi="Garamond" w:cs="Futura"/>
          <w:sz w:val="24"/>
        </w:rPr>
        <w:t xml:space="preserve"> is a source which “a court in deciding a case is bound to attend to”.</w:t>
      </w:r>
      <w:r w:rsidR="004A38C9" w:rsidRPr="0072133B">
        <w:rPr>
          <w:rFonts w:ascii="Garamond" w:hAnsi="Garamond" w:cs="Futura"/>
          <w:sz w:val="24"/>
          <w:szCs w:val="24"/>
          <w:vertAlign w:val="superscript"/>
        </w:rPr>
        <w:footnoteReference w:id="28"/>
      </w:r>
      <w:r w:rsidR="004A38C9">
        <w:rPr>
          <w:rFonts w:ascii="Garamond" w:hAnsi="Garamond" w:cs="Futura"/>
          <w:sz w:val="24"/>
        </w:rPr>
        <w:t xml:space="preserve"> </w:t>
      </w:r>
      <w:r w:rsidRPr="001A6DC0">
        <w:rPr>
          <w:rFonts w:ascii="Garamond" w:hAnsi="Garamond" w:cs="Futura"/>
          <w:sz w:val="24"/>
        </w:rPr>
        <w:t>The second sentence</w:t>
      </w:r>
      <w:r w:rsidR="004A38C9">
        <w:rPr>
          <w:rFonts w:ascii="Garamond" w:hAnsi="Garamond" w:cs="Futura"/>
          <w:sz w:val="24"/>
        </w:rPr>
        <w:t xml:space="preserve"> of s.50(5)</w:t>
      </w:r>
      <w:r w:rsidRPr="001A6DC0">
        <w:rPr>
          <w:rFonts w:ascii="Garamond" w:hAnsi="Garamond" w:cs="Futura"/>
          <w:sz w:val="24"/>
        </w:rPr>
        <w:t xml:space="preserve"> provides that the </w:t>
      </w:r>
      <w:r w:rsidR="00E1254F">
        <w:rPr>
          <w:rFonts w:ascii="Garamond" w:hAnsi="Garamond" w:cs="Futura"/>
          <w:sz w:val="24"/>
        </w:rPr>
        <w:t xml:space="preserve">domestic </w:t>
      </w:r>
      <w:r w:rsidRPr="001A6DC0">
        <w:rPr>
          <w:rFonts w:ascii="Garamond" w:hAnsi="Garamond" w:cs="Futura"/>
          <w:sz w:val="24"/>
        </w:rPr>
        <w:t xml:space="preserve">court treat judgments of other </w:t>
      </w:r>
      <w:r w:rsidRPr="001A6DC0">
        <w:rPr>
          <w:rFonts w:ascii="Garamond" w:hAnsi="Garamond" w:cs="Futura"/>
          <w:sz w:val="24"/>
        </w:rPr>
        <w:lastRenderedPageBreak/>
        <w:t>international courts as a permissive source of law.</w:t>
      </w:r>
      <w:r w:rsidR="004A38C9">
        <w:rPr>
          <w:rFonts w:ascii="Garamond" w:hAnsi="Garamond" w:cs="Futura"/>
          <w:sz w:val="24"/>
        </w:rPr>
        <w:t xml:space="preserve"> Hart explains that, in the case of a permissive source, the “legal system does not </w:t>
      </w:r>
      <w:r w:rsidR="004A38C9" w:rsidRPr="004A38C9">
        <w:rPr>
          <w:rFonts w:ascii="Garamond" w:hAnsi="Garamond" w:cs="Futura"/>
          <w:i/>
          <w:sz w:val="24"/>
        </w:rPr>
        <w:t>require</w:t>
      </w:r>
      <w:r w:rsidR="004A38C9">
        <w:rPr>
          <w:rFonts w:ascii="Garamond" w:hAnsi="Garamond" w:cs="Futura"/>
          <w:sz w:val="24"/>
        </w:rPr>
        <w:t>”, but rather permits, the court to attend to the source in reaching a decision.</w:t>
      </w:r>
      <w:r w:rsidR="004A38C9" w:rsidRPr="004A38C9">
        <w:rPr>
          <w:rFonts w:ascii="Garamond" w:hAnsi="Garamond" w:cs="Futura"/>
          <w:sz w:val="24"/>
          <w:szCs w:val="24"/>
          <w:vertAlign w:val="superscript"/>
        </w:rPr>
        <w:footnoteReference w:id="29"/>
      </w:r>
    </w:p>
    <w:p w14:paraId="06B834B9" w14:textId="11C2756F" w:rsidR="004A38C9" w:rsidRPr="00CE2925" w:rsidRDefault="00F21BAE" w:rsidP="00CE2925">
      <w:pPr>
        <w:ind w:firstLine="624"/>
        <w:contextualSpacing/>
        <w:rPr>
          <w:rFonts w:ascii="Garamond" w:hAnsi="Garamond" w:cs="Futura"/>
          <w:sz w:val="24"/>
        </w:rPr>
      </w:pPr>
      <w:r>
        <w:rPr>
          <w:rFonts w:ascii="Garamond" w:hAnsi="Garamond" w:cs="Futura"/>
          <w:sz w:val="24"/>
        </w:rPr>
        <w:t>S</w:t>
      </w:r>
      <w:r w:rsidR="004A38C9">
        <w:rPr>
          <w:rFonts w:ascii="Garamond" w:hAnsi="Garamond" w:cs="Futura"/>
          <w:sz w:val="24"/>
        </w:rPr>
        <w:t>.50(5) of the ICC Act establishes two derivative sources</w:t>
      </w:r>
      <w:r w:rsidR="0083732A">
        <w:rPr>
          <w:rFonts w:ascii="Garamond" w:hAnsi="Garamond" w:cs="Futura"/>
          <w:sz w:val="24"/>
        </w:rPr>
        <w:t xml:space="preserve"> of law</w:t>
      </w:r>
      <w:r w:rsidR="00257D09">
        <w:rPr>
          <w:rFonts w:ascii="Garamond" w:hAnsi="Garamond" w:cs="Futura"/>
          <w:sz w:val="24"/>
        </w:rPr>
        <w:t>, one mandatory and the other permissive</w:t>
      </w:r>
      <w:r w:rsidR="004A38C9">
        <w:rPr>
          <w:rFonts w:ascii="Garamond" w:hAnsi="Garamond" w:cs="Futura"/>
          <w:sz w:val="24"/>
        </w:rPr>
        <w:t>.</w:t>
      </w:r>
      <w:r w:rsidR="00F85731">
        <w:rPr>
          <w:rStyle w:val="FootnoteReference"/>
          <w:rFonts w:ascii="Garamond" w:hAnsi="Garamond" w:cs="Futura"/>
          <w:sz w:val="24"/>
        </w:rPr>
        <w:footnoteReference w:id="30"/>
      </w:r>
      <w:r w:rsidR="0083732A">
        <w:rPr>
          <w:rFonts w:ascii="Garamond" w:hAnsi="Garamond" w:cs="Futura"/>
          <w:sz w:val="24"/>
        </w:rPr>
        <w:t xml:space="preserve"> The</w:t>
      </w:r>
      <w:r w:rsidR="00CE2925">
        <w:rPr>
          <w:rFonts w:ascii="Garamond" w:hAnsi="Garamond" w:cs="Futura"/>
          <w:sz w:val="24"/>
        </w:rPr>
        <w:t>se</w:t>
      </w:r>
      <w:r w:rsidR="0083732A">
        <w:rPr>
          <w:rFonts w:ascii="Garamond" w:hAnsi="Garamond" w:cs="Futura"/>
          <w:sz w:val="24"/>
        </w:rPr>
        <w:t xml:space="preserve"> are sources of law in that they are sources of legal norms –</w:t>
      </w:r>
      <w:r w:rsidR="00553A6C">
        <w:rPr>
          <w:rFonts w:ascii="Garamond" w:hAnsi="Garamond" w:cs="Futura"/>
          <w:sz w:val="24"/>
        </w:rPr>
        <w:t xml:space="preserve"> </w:t>
      </w:r>
      <w:r w:rsidR="0083732A">
        <w:rPr>
          <w:rFonts w:ascii="Garamond" w:hAnsi="Garamond" w:cs="Futura"/>
          <w:sz w:val="24"/>
        </w:rPr>
        <w:t xml:space="preserve">sources that </w:t>
      </w:r>
      <w:r w:rsidR="00553A6C">
        <w:rPr>
          <w:rFonts w:ascii="Garamond" w:hAnsi="Garamond" w:cs="Futura"/>
          <w:sz w:val="24"/>
        </w:rPr>
        <w:t>go to determining</w:t>
      </w:r>
      <w:r w:rsidR="0083732A">
        <w:rPr>
          <w:rFonts w:ascii="Garamond" w:hAnsi="Garamond" w:cs="Futura"/>
          <w:sz w:val="24"/>
        </w:rPr>
        <w:t xml:space="preserve"> what counts as the prohibited conduct of genocide, </w:t>
      </w:r>
      <w:r w:rsidR="00416C46">
        <w:rPr>
          <w:rFonts w:ascii="Garamond" w:hAnsi="Garamond" w:cs="Futura"/>
          <w:sz w:val="24"/>
        </w:rPr>
        <w:t>etc</w:t>
      </w:r>
      <w:r w:rsidR="0083732A">
        <w:rPr>
          <w:rFonts w:ascii="Garamond" w:hAnsi="Garamond" w:cs="Futura"/>
          <w:sz w:val="24"/>
        </w:rPr>
        <w:t xml:space="preserve">. They </w:t>
      </w:r>
      <w:r w:rsidR="00CE2925">
        <w:rPr>
          <w:rFonts w:ascii="Garamond" w:hAnsi="Garamond" w:cs="Futura"/>
          <w:sz w:val="24"/>
        </w:rPr>
        <w:t xml:space="preserve">are </w:t>
      </w:r>
      <w:r w:rsidR="0083732A">
        <w:rPr>
          <w:rFonts w:ascii="Garamond" w:hAnsi="Garamond" w:cs="Futura"/>
          <w:sz w:val="24"/>
        </w:rPr>
        <w:t xml:space="preserve">also foreign </w:t>
      </w:r>
      <w:r w:rsidR="00CE2925">
        <w:rPr>
          <w:rFonts w:ascii="Garamond" w:hAnsi="Garamond" w:cs="Futura"/>
          <w:sz w:val="24"/>
        </w:rPr>
        <w:t>rather than domestic sources</w:t>
      </w:r>
      <w:r w:rsidR="0083732A">
        <w:rPr>
          <w:rFonts w:ascii="Garamond" w:hAnsi="Garamond" w:cs="Futura"/>
          <w:sz w:val="24"/>
        </w:rPr>
        <w:t xml:space="preserve">. </w:t>
      </w:r>
      <w:r w:rsidR="00CE2925">
        <w:rPr>
          <w:rFonts w:ascii="Garamond" w:hAnsi="Garamond" w:cs="Futura"/>
          <w:sz w:val="24"/>
        </w:rPr>
        <w:t>S</w:t>
      </w:r>
      <w:r w:rsidR="0083732A">
        <w:rPr>
          <w:rFonts w:ascii="Garamond" w:hAnsi="Garamond" w:cs="Futura"/>
          <w:sz w:val="24"/>
        </w:rPr>
        <w:t xml:space="preserve">.50(5) </w:t>
      </w:r>
      <w:r w:rsidR="00257D09">
        <w:rPr>
          <w:rFonts w:ascii="Garamond" w:hAnsi="Garamond" w:cs="Futura"/>
          <w:sz w:val="24"/>
        </w:rPr>
        <w:t xml:space="preserve">usefully </w:t>
      </w:r>
      <w:r w:rsidR="00CE2925">
        <w:rPr>
          <w:rFonts w:ascii="Garamond" w:hAnsi="Garamond" w:cs="Futura"/>
          <w:sz w:val="24"/>
        </w:rPr>
        <w:t>illustrates</w:t>
      </w:r>
      <w:r w:rsidR="004A38C9">
        <w:rPr>
          <w:rFonts w:ascii="Garamond" w:hAnsi="Garamond" w:cs="Futura"/>
          <w:sz w:val="24"/>
        </w:rPr>
        <w:t xml:space="preserve"> </w:t>
      </w:r>
      <w:r w:rsidR="00257D09">
        <w:rPr>
          <w:rFonts w:ascii="Garamond" w:hAnsi="Garamond" w:cs="Futura"/>
          <w:sz w:val="24"/>
        </w:rPr>
        <w:t>some different ways in which</w:t>
      </w:r>
      <w:r w:rsidR="0083732A">
        <w:rPr>
          <w:rFonts w:ascii="Garamond" w:hAnsi="Garamond" w:cs="Futura"/>
          <w:sz w:val="24"/>
        </w:rPr>
        <w:t xml:space="preserve"> foreign source</w:t>
      </w:r>
      <w:r w:rsidR="00CE2925">
        <w:rPr>
          <w:rFonts w:ascii="Garamond" w:hAnsi="Garamond" w:cs="Futura"/>
          <w:sz w:val="24"/>
        </w:rPr>
        <w:t>s</w:t>
      </w:r>
      <w:r w:rsidR="00257D09">
        <w:rPr>
          <w:rFonts w:ascii="Garamond" w:hAnsi="Garamond" w:cs="Futura"/>
          <w:sz w:val="24"/>
        </w:rPr>
        <w:t xml:space="preserve"> may be recognised</w:t>
      </w:r>
      <w:r w:rsidR="009012BE">
        <w:rPr>
          <w:rFonts w:ascii="Garamond" w:hAnsi="Garamond" w:cs="Futura"/>
          <w:sz w:val="24"/>
        </w:rPr>
        <w:t>. T</w:t>
      </w:r>
      <w:r w:rsidR="00257D09">
        <w:rPr>
          <w:rFonts w:ascii="Garamond" w:hAnsi="Garamond" w:cs="Futura"/>
          <w:sz w:val="24"/>
        </w:rPr>
        <w:t xml:space="preserve">he possibilities are </w:t>
      </w:r>
      <w:r>
        <w:rPr>
          <w:rFonts w:ascii="Garamond" w:hAnsi="Garamond" w:cs="Futura"/>
          <w:sz w:val="24"/>
        </w:rPr>
        <w:t>numerous</w:t>
      </w:r>
      <w:r w:rsidR="00257D09">
        <w:rPr>
          <w:rFonts w:ascii="Garamond" w:hAnsi="Garamond" w:cs="Futura"/>
          <w:sz w:val="24"/>
        </w:rPr>
        <w:t xml:space="preserve">. </w:t>
      </w:r>
      <w:r w:rsidR="0083732A">
        <w:rPr>
          <w:rFonts w:ascii="Garamond" w:hAnsi="Garamond" w:cs="Futura"/>
          <w:sz w:val="24"/>
        </w:rPr>
        <w:t xml:space="preserve">For instance, where </w:t>
      </w:r>
      <w:r w:rsidR="00794158">
        <w:rPr>
          <w:rFonts w:ascii="Garamond" w:hAnsi="Garamond" w:cs="Futura"/>
          <w:sz w:val="24"/>
        </w:rPr>
        <w:t>a foreign source</w:t>
      </w:r>
      <w:r w:rsidR="0083732A">
        <w:rPr>
          <w:rFonts w:ascii="Garamond" w:hAnsi="Garamond" w:cs="Futura"/>
          <w:sz w:val="24"/>
        </w:rPr>
        <w:t xml:space="preserve"> </w:t>
      </w:r>
      <w:r w:rsidR="00794158">
        <w:rPr>
          <w:rFonts w:ascii="Garamond" w:hAnsi="Garamond" w:cs="Futura"/>
          <w:sz w:val="24"/>
        </w:rPr>
        <w:t>is</w:t>
      </w:r>
      <w:r w:rsidR="0083732A">
        <w:rPr>
          <w:rFonts w:ascii="Garamond" w:hAnsi="Garamond" w:cs="Futura"/>
          <w:sz w:val="24"/>
        </w:rPr>
        <w:t xml:space="preserve"> </w:t>
      </w:r>
      <w:r w:rsidR="00257D09">
        <w:rPr>
          <w:rFonts w:ascii="Garamond" w:hAnsi="Garamond" w:cs="Futura"/>
          <w:sz w:val="24"/>
        </w:rPr>
        <w:t xml:space="preserve">recognised as mandatory, domestic </w:t>
      </w:r>
      <w:r w:rsidR="004A38C9">
        <w:rPr>
          <w:rFonts w:ascii="Garamond" w:hAnsi="Garamond" w:cs="Futura"/>
          <w:sz w:val="24"/>
          <w:szCs w:val="24"/>
        </w:rPr>
        <w:t xml:space="preserve">courts </w:t>
      </w:r>
      <w:r w:rsidR="0083732A">
        <w:rPr>
          <w:rFonts w:ascii="Garamond" w:hAnsi="Garamond" w:cs="Futura"/>
          <w:sz w:val="24"/>
          <w:szCs w:val="24"/>
        </w:rPr>
        <w:t>may be</w:t>
      </w:r>
      <w:r w:rsidR="004A38C9">
        <w:rPr>
          <w:rFonts w:ascii="Garamond" w:hAnsi="Garamond" w:cs="Futura"/>
          <w:sz w:val="24"/>
          <w:szCs w:val="24"/>
        </w:rPr>
        <w:t xml:space="preserve"> required to </w:t>
      </w:r>
      <w:r w:rsidR="004A38C9" w:rsidRPr="0083732A">
        <w:rPr>
          <w:rFonts w:ascii="Garamond" w:hAnsi="Garamond" w:cs="Futura"/>
          <w:i/>
          <w:sz w:val="24"/>
          <w:szCs w:val="24"/>
        </w:rPr>
        <w:t>take into account</w:t>
      </w:r>
      <w:r w:rsidR="004A38C9">
        <w:rPr>
          <w:rFonts w:ascii="Garamond" w:hAnsi="Garamond" w:cs="Futura"/>
          <w:sz w:val="24"/>
          <w:szCs w:val="24"/>
        </w:rPr>
        <w:t xml:space="preserve">, or </w:t>
      </w:r>
      <w:r w:rsidR="0083732A">
        <w:rPr>
          <w:rFonts w:ascii="Garamond" w:hAnsi="Garamond" w:cs="Futura"/>
          <w:sz w:val="24"/>
          <w:szCs w:val="24"/>
        </w:rPr>
        <w:t>perhaps</w:t>
      </w:r>
      <w:r w:rsidR="004A38C9">
        <w:rPr>
          <w:rFonts w:ascii="Garamond" w:hAnsi="Garamond" w:cs="Futura"/>
          <w:sz w:val="24"/>
          <w:szCs w:val="24"/>
        </w:rPr>
        <w:t xml:space="preserve"> to </w:t>
      </w:r>
      <w:r w:rsidR="004A38C9" w:rsidRPr="0083732A">
        <w:rPr>
          <w:rFonts w:ascii="Garamond" w:hAnsi="Garamond" w:cs="Futura"/>
          <w:i/>
          <w:sz w:val="24"/>
          <w:szCs w:val="24"/>
        </w:rPr>
        <w:t>follow</w:t>
      </w:r>
      <w:r w:rsidR="004A38C9">
        <w:rPr>
          <w:rFonts w:ascii="Garamond" w:hAnsi="Garamond" w:cs="Futura"/>
          <w:sz w:val="24"/>
          <w:szCs w:val="24"/>
        </w:rPr>
        <w:t xml:space="preserve">, </w:t>
      </w:r>
      <w:r w:rsidR="00257D09">
        <w:rPr>
          <w:rFonts w:ascii="Garamond" w:hAnsi="Garamond" w:cs="Futura"/>
          <w:sz w:val="24"/>
          <w:szCs w:val="24"/>
        </w:rPr>
        <w:t>the</w:t>
      </w:r>
      <w:r w:rsidR="004A38C9">
        <w:rPr>
          <w:rFonts w:ascii="Garamond" w:hAnsi="Garamond" w:cs="Futura"/>
          <w:sz w:val="24"/>
          <w:szCs w:val="24"/>
        </w:rPr>
        <w:t xml:space="preserve"> sour</w:t>
      </w:r>
      <w:r w:rsidR="0083732A">
        <w:rPr>
          <w:rFonts w:ascii="Garamond" w:hAnsi="Garamond" w:cs="Futura"/>
          <w:sz w:val="24"/>
          <w:szCs w:val="24"/>
        </w:rPr>
        <w:t xml:space="preserve">ce. </w:t>
      </w:r>
      <w:r w:rsidR="00257D09">
        <w:rPr>
          <w:rFonts w:ascii="Garamond" w:hAnsi="Garamond" w:cs="Futura"/>
          <w:sz w:val="24"/>
          <w:szCs w:val="24"/>
        </w:rPr>
        <w:t>A</w:t>
      </w:r>
      <w:r w:rsidR="000278AB">
        <w:rPr>
          <w:rFonts w:ascii="Garamond" w:hAnsi="Garamond" w:cs="Futura"/>
          <w:sz w:val="24"/>
          <w:szCs w:val="24"/>
        </w:rPr>
        <w:t>nd a</w:t>
      </w:r>
      <w:r w:rsidR="00257D09">
        <w:rPr>
          <w:rFonts w:ascii="Garamond" w:hAnsi="Garamond" w:cs="Futura"/>
          <w:sz w:val="24"/>
          <w:szCs w:val="24"/>
        </w:rPr>
        <w:t xml:space="preserve">s well as variations in the </w:t>
      </w:r>
      <w:r w:rsidR="00794158">
        <w:rPr>
          <w:rFonts w:ascii="Garamond" w:hAnsi="Garamond" w:cs="Futura"/>
          <w:sz w:val="24"/>
          <w:szCs w:val="24"/>
        </w:rPr>
        <w:t xml:space="preserve">duty’s </w:t>
      </w:r>
      <w:r w:rsidR="00257D09">
        <w:rPr>
          <w:rFonts w:ascii="Garamond" w:hAnsi="Garamond" w:cs="Futura"/>
          <w:sz w:val="24"/>
          <w:szCs w:val="24"/>
        </w:rPr>
        <w:t xml:space="preserve">content, </w:t>
      </w:r>
      <w:r w:rsidR="000278AB">
        <w:rPr>
          <w:rFonts w:ascii="Garamond" w:hAnsi="Garamond" w:cs="Futura"/>
          <w:sz w:val="24"/>
          <w:szCs w:val="24"/>
        </w:rPr>
        <w:t>the duty’s</w:t>
      </w:r>
      <w:r w:rsidR="00257D09">
        <w:rPr>
          <w:rFonts w:ascii="Garamond" w:hAnsi="Garamond" w:cs="Futura"/>
          <w:sz w:val="24"/>
          <w:szCs w:val="24"/>
        </w:rPr>
        <w:t xml:space="preserve"> strength </w:t>
      </w:r>
      <w:r w:rsidR="0041118B">
        <w:rPr>
          <w:rFonts w:ascii="Garamond" w:hAnsi="Garamond" w:cs="Futura"/>
          <w:sz w:val="24"/>
          <w:szCs w:val="24"/>
        </w:rPr>
        <w:t>may also differ.</w:t>
      </w:r>
    </w:p>
    <w:p w14:paraId="74FD3E42" w14:textId="374CFEFE" w:rsidR="00CB3AF5" w:rsidRDefault="00257D09" w:rsidP="00E10058">
      <w:pPr>
        <w:ind w:firstLine="624"/>
        <w:contextualSpacing/>
        <w:rPr>
          <w:rFonts w:ascii="Garamond" w:hAnsi="Garamond" w:cs="Futura"/>
          <w:sz w:val="24"/>
          <w:szCs w:val="24"/>
        </w:rPr>
      </w:pPr>
      <w:r>
        <w:rPr>
          <w:rFonts w:ascii="Garamond" w:hAnsi="Garamond" w:cs="Futura"/>
          <w:sz w:val="24"/>
          <w:szCs w:val="24"/>
        </w:rPr>
        <w:t>With all this in mind, it is</w:t>
      </w:r>
      <w:r w:rsidR="00553A6C">
        <w:rPr>
          <w:rFonts w:ascii="Garamond" w:hAnsi="Garamond" w:cs="Futura"/>
          <w:sz w:val="24"/>
          <w:szCs w:val="24"/>
        </w:rPr>
        <w:t xml:space="preserve"> unproblematic </w:t>
      </w:r>
      <w:r w:rsidR="00E65B7A">
        <w:rPr>
          <w:rFonts w:ascii="Garamond" w:hAnsi="Garamond" w:cs="Futura"/>
          <w:sz w:val="24"/>
          <w:szCs w:val="24"/>
        </w:rPr>
        <w:t>that</w:t>
      </w:r>
      <w:r w:rsidR="00553A6C">
        <w:rPr>
          <w:rFonts w:ascii="Garamond" w:hAnsi="Garamond" w:cs="Futura"/>
          <w:sz w:val="24"/>
          <w:szCs w:val="24"/>
        </w:rPr>
        <w:t xml:space="preserve"> the majority advance</w:t>
      </w:r>
      <w:r w:rsidR="00E65B7A">
        <w:rPr>
          <w:rFonts w:ascii="Garamond" w:hAnsi="Garamond" w:cs="Futura"/>
          <w:sz w:val="24"/>
          <w:szCs w:val="24"/>
        </w:rPr>
        <w:t>s</w:t>
      </w:r>
      <w:r w:rsidR="00553A6C">
        <w:rPr>
          <w:rFonts w:ascii="Garamond" w:hAnsi="Garamond" w:cs="Futura"/>
          <w:sz w:val="24"/>
          <w:szCs w:val="24"/>
        </w:rPr>
        <w:t xml:space="preserve"> the twin claims that EU law is a (foreign</w:t>
      </w:r>
      <w:r w:rsidR="003542EC">
        <w:rPr>
          <w:rFonts w:ascii="Garamond" w:hAnsi="Garamond" w:cs="Futura"/>
          <w:sz w:val="24"/>
          <w:szCs w:val="24"/>
        </w:rPr>
        <w:t xml:space="preserve"> treaty-based</w:t>
      </w:r>
      <w:r w:rsidR="00553A6C">
        <w:rPr>
          <w:rFonts w:ascii="Garamond" w:hAnsi="Garamond" w:cs="Futura"/>
          <w:sz w:val="24"/>
          <w:szCs w:val="24"/>
        </w:rPr>
        <w:t>) source of law and that UK membership of the EU has not changed the (ultimate) rule of recognition.</w:t>
      </w:r>
      <w:r w:rsidR="00F85731">
        <w:rPr>
          <w:rFonts w:ascii="Garamond" w:hAnsi="Garamond" w:cs="Futura"/>
          <w:sz w:val="24"/>
          <w:szCs w:val="24"/>
        </w:rPr>
        <w:t xml:space="preserve"> These </w:t>
      </w:r>
      <w:r w:rsidR="006E4E34">
        <w:rPr>
          <w:rFonts w:ascii="Garamond" w:hAnsi="Garamond" w:cs="Futura"/>
          <w:sz w:val="24"/>
          <w:szCs w:val="24"/>
        </w:rPr>
        <w:t>are not</w:t>
      </w:r>
      <w:r w:rsidR="00F85731">
        <w:rPr>
          <w:rFonts w:ascii="Garamond" w:hAnsi="Garamond" w:cs="Futura"/>
          <w:sz w:val="24"/>
          <w:szCs w:val="24"/>
        </w:rPr>
        <w:t xml:space="preserve"> incoherent</w:t>
      </w:r>
      <w:r w:rsidR="006E4E34">
        <w:rPr>
          <w:rFonts w:ascii="Garamond" w:hAnsi="Garamond" w:cs="Futura"/>
          <w:sz w:val="24"/>
          <w:szCs w:val="24"/>
        </w:rPr>
        <w:t xml:space="preserve"> claims</w:t>
      </w:r>
      <w:r w:rsidR="00F85731">
        <w:rPr>
          <w:rFonts w:ascii="Garamond" w:hAnsi="Garamond" w:cs="Futura"/>
          <w:sz w:val="24"/>
          <w:szCs w:val="24"/>
        </w:rPr>
        <w:t>. It is true that the majority does not always help itself in some of its statements.</w:t>
      </w:r>
      <w:r w:rsidR="00F85731">
        <w:rPr>
          <w:rStyle w:val="FootnoteReference"/>
          <w:rFonts w:ascii="Garamond" w:hAnsi="Garamond" w:cs="Futura"/>
          <w:sz w:val="24"/>
          <w:szCs w:val="24"/>
        </w:rPr>
        <w:footnoteReference w:id="31"/>
      </w:r>
      <w:r w:rsidR="00CB7DAD">
        <w:rPr>
          <w:rFonts w:ascii="Garamond" w:hAnsi="Garamond" w:cs="Futura"/>
          <w:sz w:val="24"/>
          <w:szCs w:val="24"/>
        </w:rPr>
        <w:t xml:space="preserve"> But</w:t>
      </w:r>
      <w:r>
        <w:rPr>
          <w:rFonts w:ascii="Garamond" w:hAnsi="Garamond" w:cs="Futura"/>
          <w:sz w:val="24"/>
          <w:szCs w:val="24"/>
        </w:rPr>
        <w:t xml:space="preserve"> </w:t>
      </w:r>
      <w:r w:rsidR="00CB3AF5">
        <w:rPr>
          <w:rFonts w:ascii="Garamond" w:hAnsi="Garamond" w:cs="Futura"/>
          <w:sz w:val="24"/>
          <w:szCs w:val="24"/>
        </w:rPr>
        <w:t>the basic</w:t>
      </w:r>
      <w:r>
        <w:rPr>
          <w:rFonts w:ascii="Garamond" w:hAnsi="Garamond" w:cs="Futura"/>
          <w:sz w:val="24"/>
          <w:szCs w:val="24"/>
        </w:rPr>
        <w:t xml:space="preserve"> </w:t>
      </w:r>
      <w:r w:rsidR="000278AB">
        <w:rPr>
          <w:rFonts w:ascii="Garamond" w:hAnsi="Garamond" w:cs="Futura"/>
          <w:sz w:val="24"/>
          <w:szCs w:val="24"/>
        </w:rPr>
        <w:t>argument</w:t>
      </w:r>
      <w:r w:rsidR="00CB3AF5">
        <w:rPr>
          <w:rFonts w:ascii="Garamond" w:hAnsi="Garamond" w:cs="Futura"/>
          <w:sz w:val="24"/>
          <w:szCs w:val="24"/>
        </w:rPr>
        <w:t xml:space="preserve"> is theoretically sound.</w:t>
      </w:r>
    </w:p>
    <w:p w14:paraId="7BA42EB0" w14:textId="070EFE74" w:rsidR="00410E81" w:rsidRPr="00DC19C7" w:rsidRDefault="00B569A3" w:rsidP="00DF56D7">
      <w:pPr>
        <w:contextualSpacing/>
        <w:rPr>
          <w:rFonts w:ascii="Garamond" w:hAnsi="Garamond" w:cs="Futura"/>
          <w:sz w:val="24"/>
          <w:szCs w:val="24"/>
        </w:rPr>
      </w:pPr>
      <w:r>
        <w:rPr>
          <w:rFonts w:ascii="Garamond" w:hAnsi="Garamond" w:cs="Futura"/>
          <w:sz w:val="24"/>
        </w:rPr>
        <w:tab/>
      </w:r>
      <w:r w:rsidR="005A6BC9">
        <w:rPr>
          <w:rFonts w:ascii="Garamond" w:hAnsi="Garamond" w:cs="Futura"/>
          <w:sz w:val="24"/>
        </w:rPr>
        <w:t>All these</w:t>
      </w:r>
      <w:r w:rsidR="006F03CF">
        <w:rPr>
          <w:rFonts w:ascii="Garamond" w:hAnsi="Garamond" w:cs="Futura"/>
          <w:sz w:val="24"/>
        </w:rPr>
        <w:t xml:space="preserve"> </w:t>
      </w:r>
      <w:r w:rsidR="00734109">
        <w:rPr>
          <w:rFonts w:ascii="Garamond" w:hAnsi="Garamond" w:cs="Futura"/>
          <w:sz w:val="24"/>
        </w:rPr>
        <w:t>complications</w:t>
      </w:r>
      <w:r w:rsidR="006F03CF">
        <w:rPr>
          <w:rFonts w:ascii="Garamond" w:hAnsi="Garamond" w:cs="Futura"/>
          <w:sz w:val="24"/>
        </w:rPr>
        <w:t xml:space="preserve"> </w:t>
      </w:r>
      <w:r w:rsidR="00741A05">
        <w:rPr>
          <w:rFonts w:ascii="Garamond" w:hAnsi="Garamond" w:cs="Futura"/>
          <w:sz w:val="24"/>
        </w:rPr>
        <w:t>could</w:t>
      </w:r>
      <w:r w:rsidR="00734109">
        <w:rPr>
          <w:rFonts w:ascii="Garamond" w:hAnsi="Garamond" w:cs="Futura"/>
          <w:sz w:val="24"/>
        </w:rPr>
        <w:t xml:space="preserve"> </w:t>
      </w:r>
      <w:r w:rsidR="007C3189">
        <w:rPr>
          <w:rFonts w:ascii="Garamond" w:hAnsi="Garamond" w:cs="Futura"/>
          <w:sz w:val="24"/>
        </w:rPr>
        <w:t>be</w:t>
      </w:r>
      <w:r w:rsidR="00741A05">
        <w:rPr>
          <w:rFonts w:ascii="Garamond" w:hAnsi="Garamond" w:cs="Futura"/>
          <w:sz w:val="24"/>
        </w:rPr>
        <w:t xml:space="preserve"> avoided if the (ultimate) rule of recognition </w:t>
      </w:r>
      <w:r w:rsidR="007C3189">
        <w:rPr>
          <w:rFonts w:ascii="Garamond" w:hAnsi="Garamond" w:cs="Futura"/>
          <w:sz w:val="24"/>
        </w:rPr>
        <w:t>were</w:t>
      </w:r>
      <w:r w:rsidR="00741A05">
        <w:rPr>
          <w:rFonts w:ascii="Garamond" w:hAnsi="Garamond" w:cs="Futura"/>
          <w:sz w:val="24"/>
        </w:rPr>
        <w:t xml:space="preserve"> left to one side. It is something of a red herring, at least </w:t>
      </w:r>
      <w:r w:rsidR="00D514FA">
        <w:rPr>
          <w:rFonts w:ascii="Garamond" w:hAnsi="Garamond" w:cs="Futura"/>
          <w:sz w:val="24"/>
        </w:rPr>
        <w:t>with regard to</w:t>
      </w:r>
      <w:r w:rsidR="00E24F4F">
        <w:rPr>
          <w:rFonts w:ascii="Garamond" w:hAnsi="Garamond" w:cs="Futura"/>
          <w:sz w:val="24"/>
        </w:rPr>
        <w:t xml:space="preserve"> the question</w:t>
      </w:r>
      <w:r w:rsidR="00741A05">
        <w:rPr>
          <w:rFonts w:ascii="Garamond" w:hAnsi="Garamond" w:cs="Futura"/>
          <w:sz w:val="24"/>
        </w:rPr>
        <w:t xml:space="preserve"> in </w:t>
      </w:r>
      <w:r w:rsidR="00741A05" w:rsidRPr="00741A05">
        <w:rPr>
          <w:rFonts w:ascii="Garamond" w:hAnsi="Garamond" w:cs="Futura"/>
          <w:i/>
          <w:sz w:val="24"/>
        </w:rPr>
        <w:t>Miller</w:t>
      </w:r>
      <w:r w:rsidR="00741A05">
        <w:rPr>
          <w:rFonts w:ascii="Garamond" w:hAnsi="Garamond" w:cs="Futura"/>
          <w:sz w:val="24"/>
        </w:rPr>
        <w:t>.</w:t>
      </w:r>
      <w:r w:rsidR="008C19CC">
        <w:rPr>
          <w:rStyle w:val="FootnoteReference"/>
          <w:rFonts w:ascii="Garamond" w:hAnsi="Garamond" w:cs="Futura"/>
          <w:sz w:val="24"/>
        </w:rPr>
        <w:footnoteReference w:id="32"/>
      </w:r>
      <w:r w:rsidR="00741A05">
        <w:rPr>
          <w:rFonts w:ascii="Garamond" w:hAnsi="Garamond" w:cs="Futura"/>
          <w:sz w:val="24"/>
        </w:rPr>
        <w:t xml:space="preserve"> But there is another way in which </w:t>
      </w:r>
      <w:r w:rsidR="00027237">
        <w:rPr>
          <w:rFonts w:ascii="Garamond" w:hAnsi="Garamond" w:cs="Futura"/>
          <w:sz w:val="24"/>
        </w:rPr>
        <w:t xml:space="preserve">its </w:t>
      </w:r>
      <w:r w:rsidR="00741A05">
        <w:rPr>
          <w:rFonts w:ascii="Garamond" w:hAnsi="Garamond" w:cs="Futura"/>
          <w:sz w:val="24"/>
        </w:rPr>
        <w:t>overemphasis risks polluting the analysis.</w:t>
      </w:r>
      <w:r w:rsidR="00DD03DC">
        <w:rPr>
          <w:rFonts w:ascii="Garamond" w:hAnsi="Garamond" w:cs="Futura"/>
          <w:sz w:val="24"/>
        </w:rPr>
        <w:t xml:space="preserve"> </w:t>
      </w:r>
      <w:r w:rsidR="00DD03DC">
        <w:rPr>
          <w:rFonts w:ascii="Garamond" w:hAnsi="Garamond" w:cs="Futura"/>
          <w:sz w:val="24"/>
          <w:szCs w:val="24"/>
        </w:rPr>
        <w:t xml:space="preserve">Suppose </w:t>
      </w:r>
      <w:r w:rsidR="00A6243A">
        <w:rPr>
          <w:rFonts w:ascii="Garamond" w:hAnsi="Garamond" w:cs="Futura"/>
          <w:sz w:val="24"/>
          <w:szCs w:val="24"/>
        </w:rPr>
        <w:t xml:space="preserve">for a moment </w:t>
      </w:r>
      <w:r w:rsidR="00DD03DC">
        <w:rPr>
          <w:rFonts w:ascii="Garamond" w:hAnsi="Garamond" w:cs="Futura"/>
          <w:sz w:val="24"/>
          <w:szCs w:val="24"/>
        </w:rPr>
        <w:t xml:space="preserve">that, in the UK, </w:t>
      </w:r>
      <w:r w:rsidR="00DF56D7">
        <w:rPr>
          <w:rFonts w:ascii="Garamond" w:hAnsi="Garamond" w:cs="Futura"/>
          <w:sz w:val="24"/>
          <w:szCs w:val="24"/>
        </w:rPr>
        <w:t>EU law</w:t>
      </w:r>
      <w:r w:rsidR="00DD03DC">
        <w:rPr>
          <w:rFonts w:ascii="Garamond" w:hAnsi="Garamond" w:cs="Futura"/>
          <w:sz w:val="24"/>
          <w:szCs w:val="24"/>
        </w:rPr>
        <w:t xml:space="preserve"> is indeed recognised as </w:t>
      </w:r>
      <w:r w:rsidR="00DF56D7">
        <w:rPr>
          <w:rFonts w:ascii="Garamond" w:hAnsi="Garamond" w:cs="Futura"/>
          <w:sz w:val="24"/>
          <w:szCs w:val="24"/>
        </w:rPr>
        <w:t xml:space="preserve">a source of law </w:t>
      </w:r>
      <w:r w:rsidR="00DD03DC">
        <w:rPr>
          <w:rFonts w:ascii="Garamond" w:hAnsi="Garamond" w:cs="Futura"/>
          <w:sz w:val="24"/>
          <w:szCs w:val="24"/>
        </w:rPr>
        <w:t>according to criteria in</w:t>
      </w:r>
      <w:r w:rsidR="00DF56D7">
        <w:rPr>
          <w:rFonts w:ascii="Garamond" w:hAnsi="Garamond" w:cs="Futura"/>
          <w:sz w:val="24"/>
          <w:szCs w:val="24"/>
        </w:rPr>
        <w:t xml:space="preserve"> an ultimate rule of recognition. Even so, </w:t>
      </w:r>
      <w:r w:rsidR="00DD03DC">
        <w:rPr>
          <w:rFonts w:ascii="Garamond" w:hAnsi="Garamond" w:cs="Futura"/>
          <w:sz w:val="24"/>
          <w:szCs w:val="24"/>
        </w:rPr>
        <w:t xml:space="preserve">what turns on this? </w:t>
      </w:r>
      <w:r w:rsidR="00410E81">
        <w:rPr>
          <w:rFonts w:ascii="Garamond" w:hAnsi="Garamond" w:cs="Futura"/>
          <w:sz w:val="24"/>
        </w:rPr>
        <w:t xml:space="preserve">Does </w:t>
      </w:r>
      <w:r w:rsidR="009A606E">
        <w:rPr>
          <w:rFonts w:ascii="Garamond" w:hAnsi="Garamond" w:cs="Futura"/>
          <w:sz w:val="24"/>
        </w:rPr>
        <w:t>it</w:t>
      </w:r>
      <w:r w:rsidR="00410E81">
        <w:rPr>
          <w:rFonts w:ascii="Garamond" w:hAnsi="Garamond" w:cs="Futura"/>
          <w:sz w:val="24"/>
        </w:rPr>
        <w:t xml:space="preserve"> mean</w:t>
      </w:r>
      <w:r w:rsidR="000B5418">
        <w:rPr>
          <w:rFonts w:ascii="Garamond" w:hAnsi="Garamond" w:cs="Futura"/>
          <w:sz w:val="24"/>
        </w:rPr>
        <w:t xml:space="preserve"> that </w:t>
      </w:r>
      <w:r w:rsidR="00463C0E">
        <w:rPr>
          <w:rFonts w:ascii="Garamond" w:hAnsi="Garamond" w:cs="Futura"/>
          <w:sz w:val="24"/>
        </w:rPr>
        <w:t xml:space="preserve">the </w:t>
      </w:r>
      <w:r w:rsidR="000B5418" w:rsidRPr="001A6DC0">
        <w:rPr>
          <w:rFonts w:ascii="Garamond" w:hAnsi="Garamond" w:cs="Futura"/>
          <w:sz w:val="24"/>
        </w:rPr>
        <w:t xml:space="preserve">foreign affairs prerogative </w:t>
      </w:r>
      <w:r w:rsidR="00463C0E">
        <w:rPr>
          <w:rFonts w:ascii="Garamond" w:hAnsi="Garamond" w:cs="Futura"/>
          <w:sz w:val="24"/>
        </w:rPr>
        <w:t>cannot be used</w:t>
      </w:r>
      <w:r w:rsidR="000B5418" w:rsidRPr="001A6DC0">
        <w:rPr>
          <w:rFonts w:ascii="Garamond" w:hAnsi="Garamond" w:cs="Futura"/>
          <w:sz w:val="24"/>
        </w:rPr>
        <w:t xml:space="preserve"> </w:t>
      </w:r>
      <w:r w:rsidR="00410E81">
        <w:rPr>
          <w:rFonts w:ascii="Garamond" w:hAnsi="Garamond" w:cs="Futura"/>
          <w:sz w:val="24"/>
        </w:rPr>
        <w:t>without</w:t>
      </w:r>
      <w:r w:rsidR="000B5418" w:rsidRPr="001A6DC0">
        <w:rPr>
          <w:rFonts w:ascii="Garamond" w:hAnsi="Garamond" w:cs="Futura"/>
          <w:sz w:val="24"/>
        </w:rPr>
        <w:t xml:space="preserve"> </w:t>
      </w:r>
      <w:r w:rsidR="00463C0E">
        <w:rPr>
          <w:rFonts w:ascii="Garamond" w:hAnsi="Garamond" w:cs="Futura"/>
          <w:sz w:val="24"/>
        </w:rPr>
        <w:t xml:space="preserve">statutory </w:t>
      </w:r>
      <w:r w:rsidR="000B5418" w:rsidRPr="001A6DC0">
        <w:rPr>
          <w:rFonts w:ascii="Garamond" w:hAnsi="Garamond" w:cs="Futura"/>
          <w:sz w:val="24"/>
        </w:rPr>
        <w:t xml:space="preserve">authorisation? </w:t>
      </w:r>
      <w:r w:rsidR="00DD03DC">
        <w:rPr>
          <w:rFonts w:ascii="Garamond" w:hAnsi="Garamond" w:cs="Futura"/>
          <w:sz w:val="24"/>
          <w:szCs w:val="24"/>
        </w:rPr>
        <w:t>I</w:t>
      </w:r>
      <w:r w:rsidR="00DF56D7">
        <w:rPr>
          <w:rFonts w:ascii="Garamond" w:hAnsi="Garamond" w:cs="Futura"/>
          <w:sz w:val="24"/>
          <w:szCs w:val="24"/>
        </w:rPr>
        <w:t xml:space="preserve">t is </w:t>
      </w:r>
      <w:r w:rsidR="00DF56D7">
        <w:rPr>
          <w:rFonts w:ascii="Garamond" w:hAnsi="Garamond" w:cs="Futura"/>
          <w:sz w:val="24"/>
          <w:szCs w:val="24"/>
        </w:rPr>
        <w:lastRenderedPageBreak/>
        <w:t>wholly unclear why</w:t>
      </w:r>
      <w:r w:rsidR="00E8344D">
        <w:rPr>
          <w:rFonts w:ascii="Garamond" w:hAnsi="Garamond" w:cs="Futura"/>
          <w:sz w:val="24"/>
          <w:szCs w:val="24"/>
        </w:rPr>
        <w:t>, or on what basis,</w:t>
      </w:r>
      <w:r w:rsidR="00DF56D7">
        <w:rPr>
          <w:rFonts w:ascii="Garamond" w:hAnsi="Garamond" w:cs="Futura"/>
          <w:sz w:val="24"/>
          <w:szCs w:val="24"/>
        </w:rPr>
        <w:t xml:space="preserve"> </w:t>
      </w:r>
      <w:r w:rsidR="00E8344D">
        <w:rPr>
          <w:rFonts w:ascii="Garamond" w:hAnsi="Garamond" w:cs="Futura"/>
          <w:sz w:val="24"/>
          <w:szCs w:val="24"/>
        </w:rPr>
        <w:t>a</w:t>
      </w:r>
      <w:r w:rsidR="00DF56D7">
        <w:rPr>
          <w:rFonts w:ascii="Garamond" w:hAnsi="Garamond" w:cs="Futura"/>
          <w:sz w:val="24"/>
          <w:szCs w:val="24"/>
        </w:rPr>
        <w:t xml:space="preserve"> change to </w:t>
      </w:r>
      <w:r w:rsidR="00DD03DC">
        <w:rPr>
          <w:rFonts w:ascii="Garamond" w:hAnsi="Garamond" w:cs="Futura"/>
          <w:sz w:val="24"/>
          <w:szCs w:val="24"/>
        </w:rPr>
        <w:t>the ultimate</w:t>
      </w:r>
      <w:r w:rsidR="00DF56D7">
        <w:rPr>
          <w:rFonts w:ascii="Garamond" w:hAnsi="Garamond" w:cs="Futura"/>
          <w:sz w:val="24"/>
          <w:szCs w:val="24"/>
        </w:rPr>
        <w:t xml:space="preserve"> rule of recognition </w:t>
      </w:r>
      <w:r w:rsidR="00DD03DC">
        <w:rPr>
          <w:rFonts w:ascii="Garamond" w:hAnsi="Garamond" w:cs="Futura"/>
          <w:sz w:val="24"/>
          <w:szCs w:val="24"/>
        </w:rPr>
        <w:t>would</w:t>
      </w:r>
      <w:r w:rsidR="00091DDF">
        <w:rPr>
          <w:rFonts w:ascii="Garamond" w:hAnsi="Garamond" w:cs="Futura"/>
          <w:sz w:val="24"/>
          <w:szCs w:val="24"/>
        </w:rPr>
        <w:t xml:space="preserve"> </w:t>
      </w:r>
      <w:r w:rsidR="00DD03DC">
        <w:rPr>
          <w:rFonts w:ascii="Garamond" w:hAnsi="Garamond" w:cs="Futura"/>
          <w:sz w:val="24"/>
          <w:szCs w:val="24"/>
        </w:rPr>
        <w:t xml:space="preserve">require an Act of Parliament. The ultimate rule of recognition is </w:t>
      </w:r>
      <w:r w:rsidR="00E8344D">
        <w:rPr>
          <w:rFonts w:ascii="Garamond" w:hAnsi="Garamond" w:cs="Futura"/>
          <w:sz w:val="24"/>
          <w:szCs w:val="24"/>
        </w:rPr>
        <w:t>a customary rule that depends</w:t>
      </w:r>
      <w:r w:rsidR="00DD03DC">
        <w:rPr>
          <w:rFonts w:ascii="Garamond" w:hAnsi="Garamond" w:cs="Futura"/>
          <w:sz w:val="24"/>
          <w:szCs w:val="24"/>
        </w:rPr>
        <w:t xml:space="preserve"> </w:t>
      </w:r>
      <w:r w:rsidR="00E8344D">
        <w:rPr>
          <w:rFonts w:ascii="Garamond" w:hAnsi="Garamond" w:cs="Futura"/>
          <w:sz w:val="24"/>
          <w:szCs w:val="24"/>
        </w:rPr>
        <w:t>on the shared practice and acceptance of officials</w:t>
      </w:r>
      <w:r w:rsidR="00DD03DC">
        <w:rPr>
          <w:rFonts w:ascii="Garamond" w:hAnsi="Garamond" w:cs="Futura"/>
          <w:sz w:val="24"/>
          <w:szCs w:val="24"/>
        </w:rPr>
        <w:t>.</w:t>
      </w:r>
      <w:r w:rsidR="00E8344D">
        <w:rPr>
          <w:rFonts w:ascii="Garamond" w:hAnsi="Garamond" w:cs="Futura"/>
          <w:sz w:val="24"/>
          <w:szCs w:val="24"/>
        </w:rPr>
        <w:t xml:space="preserve"> The rule is not in Parliament’s keeping in the sense that it may not be </w:t>
      </w:r>
      <w:r w:rsidR="001860A8">
        <w:rPr>
          <w:rFonts w:ascii="Garamond" w:hAnsi="Garamond" w:cs="Futura"/>
          <w:sz w:val="24"/>
          <w:szCs w:val="24"/>
        </w:rPr>
        <w:t>unilaterally</w:t>
      </w:r>
      <w:r w:rsidR="00E8344D">
        <w:rPr>
          <w:rFonts w:ascii="Garamond" w:hAnsi="Garamond" w:cs="Futura"/>
          <w:sz w:val="24"/>
          <w:szCs w:val="24"/>
        </w:rPr>
        <w:t xml:space="preserve"> changed </w:t>
      </w:r>
      <w:r w:rsidR="000B5418">
        <w:rPr>
          <w:rFonts w:ascii="Garamond" w:hAnsi="Garamond" w:cs="Futura"/>
          <w:sz w:val="24"/>
          <w:szCs w:val="24"/>
        </w:rPr>
        <w:t xml:space="preserve">by Act of </w:t>
      </w:r>
      <w:r w:rsidR="00E8344D">
        <w:rPr>
          <w:rFonts w:ascii="Garamond" w:hAnsi="Garamond" w:cs="Futura"/>
          <w:sz w:val="24"/>
          <w:szCs w:val="24"/>
        </w:rPr>
        <w:t xml:space="preserve">Parliament, although of course enactments may </w:t>
      </w:r>
      <w:r w:rsidR="000B5418">
        <w:rPr>
          <w:rFonts w:ascii="Garamond" w:hAnsi="Garamond" w:cs="Futura"/>
          <w:sz w:val="24"/>
          <w:szCs w:val="24"/>
        </w:rPr>
        <w:t xml:space="preserve">ultimately </w:t>
      </w:r>
      <w:r w:rsidR="006865CE" w:rsidRPr="006023DF">
        <w:rPr>
          <w:rFonts w:ascii="Garamond" w:hAnsi="Garamond" w:cs="Futura"/>
          <w:i/>
          <w:sz w:val="24"/>
          <w:szCs w:val="24"/>
        </w:rPr>
        <w:t>cause</w:t>
      </w:r>
      <w:r w:rsidR="00E8344D">
        <w:rPr>
          <w:rFonts w:ascii="Garamond" w:hAnsi="Garamond" w:cs="Futura"/>
          <w:sz w:val="24"/>
          <w:szCs w:val="24"/>
        </w:rPr>
        <w:t xml:space="preserve"> changes in the rule </w:t>
      </w:r>
      <w:r w:rsidR="006023DF">
        <w:rPr>
          <w:rFonts w:ascii="Garamond" w:hAnsi="Garamond" w:cs="Futura"/>
          <w:sz w:val="24"/>
          <w:szCs w:val="24"/>
        </w:rPr>
        <w:t xml:space="preserve">if </w:t>
      </w:r>
      <w:r w:rsidR="000B5418">
        <w:rPr>
          <w:rFonts w:ascii="Garamond" w:hAnsi="Garamond" w:cs="Futura"/>
          <w:sz w:val="24"/>
          <w:szCs w:val="24"/>
        </w:rPr>
        <w:t xml:space="preserve">they </w:t>
      </w:r>
      <w:r w:rsidR="006023DF">
        <w:rPr>
          <w:rFonts w:ascii="Garamond" w:hAnsi="Garamond" w:cs="Futura"/>
          <w:sz w:val="24"/>
          <w:szCs w:val="24"/>
        </w:rPr>
        <w:t>trigger</w:t>
      </w:r>
      <w:r w:rsidR="00E8344D">
        <w:rPr>
          <w:rFonts w:ascii="Garamond" w:hAnsi="Garamond" w:cs="Futura"/>
          <w:sz w:val="24"/>
          <w:szCs w:val="24"/>
        </w:rPr>
        <w:t xml:space="preserve"> changes in </w:t>
      </w:r>
      <w:r w:rsidR="003830F2">
        <w:rPr>
          <w:rFonts w:ascii="Garamond" w:hAnsi="Garamond" w:cs="Futura"/>
          <w:sz w:val="24"/>
          <w:szCs w:val="24"/>
        </w:rPr>
        <w:t xml:space="preserve">relevant </w:t>
      </w:r>
      <w:r w:rsidR="00E8344D">
        <w:rPr>
          <w:rFonts w:ascii="Garamond" w:hAnsi="Garamond" w:cs="Futura"/>
          <w:sz w:val="24"/>
          <w:szCs w:val="24"/>
        </w:rPr>
        <w:t>official practice.</w:t>
      </w:r>
      <w:r w:rsidR="008C19CC">
        <w:rPr>
          <w:rFonts w:ascii="Garamond" w:hAnsi="Garamond" w:cs="Futura"/>
          <w:sz w:val="24"/>
          <w:szCs w:val="24"/>
        </w:rPr>
        <w:t xml:space="preserve"> </w:t>
      </w:r>
      <w:r w:rsidR="00575FD4">
        <w:rPr>
          <w:rFonts w:ascii="Garamond" w:hAnsi="Garamond" w:cs="Futura"/>
          <w:sz w:val="24"/>
          <w:szCs w:val="24"/>
        </w:rPr>
        <w:t xml:space="preserve">It </w:t>
      </w:r>
      <w:r w:rsidR="003830F2">
        <w:rPr>
          <w:rFonts w:ascii="Garamond" w:hAnsi="Garamond" w:cs="Futura"/>
          <w:sz w:val="24"/>
          <w:szCs w:val="24"/>
        </w:rPr>
        <w:t>is</w:t>
      </w:r>
      <w:r w:rsidR="007D13BC">
        <w:rPr>
          <w:rFonts w:ascii="Garamond" w:hAnsi="Garamond" w:cs="Futura"/>
          <w:sz w:val="24"/>
          <w:szCs w:val="24"/>
        </w:rPr>
        <w:t xml:space="preserve"> therefore</w:t>
      </w:r>
      <w:r w:rsidR="003830F2">
        <w:rPr>
          <w:rFonts w:ascii="Garamond" w:hAnsi="Garamond" w:cs="Futura"/>
          <w:sz w:val="24"/>
          <w:szCs w:val="24"/>
        </w:rPr>
        <w:t xml:space="preserve"> </w:t>
      </w:r>
      <w:r w:rsidR="00734109">
        <w:rPr>
          <w:rFonts w:ascii="Garamond" w:hAnsi="Garamond" w:cs="Futura"/>
          <w:sz w:val="24"/>
          <w:szCs w:val="24"/>
        </w:rPr>
        <w:t xml:space="preserve">not quite right </w:t>
      </w:r>
      <w:r w:rsidR="00E8344D">
        <w:rPr>
          <w:rFonts w:ascii="Garamond" w:hAnsi="Garamond" w:cs="Futura"/>
          <w:sz w:val="24"/>
          <w:szCs w:val="24"/>
        </w:rPr>
        <w:t xml:space="preserve">to say that </w:t>
      </w:r>
      <w:r w:rsidR="00E8344D" w:rsidRPr="003830F2">
        <w:rPr>
          <w:rFonts w:ascii="Garamond" w:hAnsi="Garamond" w:cs="Futura"/>
          <w:i/>
          <w:sz w:val="24"/>
          <w:szCs w:val="24"/>
        </w:rPr>
        <w:t>Miller</w:t>
      </w:r>
      <w:r w:rsidR="00E8344D">
        <w:rPr>
          <w:rFonts w:ascii="Garamond" w:hAnsi="Garamond" w:cs="Futura"/>
          <w:sz w:val="24"/>
          <w:szCs w:val="24"/>
        </w:rPr>
        <w:t xml:space="preserve"> </w:t>
      </w:r>
      <w:r w:rsidR="003830F2">
        <w:rPr>
          <w:rFonts w:ascii="Garamond" w:hAnsi="Garamond" w:cs="Futura"/>
          <w:sz w:val="24"/>
          <w:szCs w:val="24"/>
        </w:rPr>
        <w:t>was “</w:t>
      </w:r>
      <w:r w:rsidR="00DF56D7" w:rsidRPr="00852BDC">
        <w:rPr>
          <w:rFonts w:ascii="Garamond" w:hAnsi="Garamond" w:cs="Futura"/>
          <w:sz w:val="24"/>
          <w:szCs w:val="24"/>
        </w:rPr>
        <w:t xml:space="preserve">about sources of law within the domestic legal system (and therefore concerned the sphere in which </w:t>
      </w:r>
      <w:r w:rsidR="00DF56D7" w:rsidRPr="006A5CFD">
        <w:rPr>
          <w:rFonts w:ascii="Garamond" w:hAnsi="Garamond" w:cs="Futura"/>
          <w:i/>
          <w:sz w:val="24"/>
          <w:szCs w:val="24"/>
        </w:rPr>
        <w:t>Parliament</w:t>
      </w:r>
      <w:r w:rsidR="00DF56D7" w:rsidRPr="00852BDC">
        <w:rPr>
          <w:rFonts w:ascii="Garamond" w:hAnsi="Garamond" w:cs="Futura"/>
          <w:sz w:val="24"/>
          <w:szCs w:val="24"/>
        </w:rPr>
        <w:t xml:space="preserve">, not the Crown, </w:t>
      </w:r>
      <w:r w:rsidR="00DF56D7" w:rsidRPr="00FD7204">
        <w:rPr>
          <w:rFonts w:ascii="Garamond" w:hAnsi="Garamond" w:cs="Futura"/>
          <w:i/>
          <w:sz w:val="24"/>
          <w:szCs w:val="24"/>
        </w:rPr>
        <w:t>determines the content of the law</w:t>
      </w:r>
      <w:r w:rsidR="00DF56D7" w:rsidRPr="00852BDC">
        <w:rPr>
          <w:rFonts w:ascii="Garamond" w:hAnsi="Garamond" w:cs="Futura"/>
          <w:sz w:val="24"/>
          <w:szCs w:val="24"/>
        </w:rPr>
        <w:t>)</w:t>
      </w:r>
      <w:r w:rsidR="00DF56D7">
        <w:rPr>
          <w:rFonts w:ascii="Garamond" w:hAnsi="Garamond" w:cs="Futura"/>
          <w:sz w:val="24"/>
          <w:szCs w:val="24"/>
        </w:rPr>
        <w:t>”.</w:t>
      </w:r>
      <w:r w:rsidR="00DF56D7">
        <w:rPr>
          <w:rStyle w:val="FootnoteReference"/>
          <w:rFonts w:ascii="Garamond" w:hAnsi="Garamond" w:cs="Futura"/>
          <w:sz w:val="24"/>
          <w:szCs w:val="24"/>
        </w:rPr>
        <w:footnoteReference w:id="33"/>
      </w:r>
      <w:r w:rsidR="003830F2">
        <w:rPr>
          <w:rFonts w:ascii="Garamond" w:hAnsi="Garamond" w:cs="Futura"/>
          <w:sz w:val="24"/>
          <w:szCs w:val="24"/>
        </w:rPr>
        <w:t xml:space="preserve"> </w:t>
      </w:r>
      <w:r w:rsidR="00ED1386">
        <w:rPr>
          <w:rFonts w:ascii="Garamond" w:hAnsi="Garamond" w:cs="Futura"/>
          <w:sz w:val="24"/>
          <w:szCs w:val="24"/>
        </w:rPr>
        <w:t>Acts of Parliament</w:t>
      </w:r>
      <w:r w:rsidR="003830F2">
        <w:rPr>
          <w:rFonts w:ascii="Garamond" w:hAnsi="Garamond" w:cs="Futura"/>
          <w:sz w:val="24"/>
          <w:szCs w:val="24"/>
        </w:rPr>
        <w:t xml:space="preserve"> </w:t>
      </w:r>
      <w:r w:rsidR="00ED1386">
        <w:rPr>
          <w:rFonts w:ascii="Garamond" w:hAnsi="Garamond" w:cs="Futura"/>
          <w:sz w:val="24"/>
          <w:szCs w:val="24"/>
        </w:rPr>
        <w:t>may establish</w:t>
      </w:r>
      <w:r w:rsidR="003830F2">
        <w:rPr>
          <w:rFonts w:ascii="Garamond" w:hAnsi="Garamond" w:cs="Futura"/>
          <w:sz w:val="24"/>
          <w:szCs w:val="24"/>
        </w:rPr>
        <w:t xml:space="preserve"> derivative sources of law – e.g. the </w:t>
      </w:r>
      <w:r w:rsidR="00734109">
        <w:rPr>
          <w:rFonts w:ascii="Garamond" w:hAnsi="Garamond" w:cs="Futura"/>
          <w:sz w:val="24"/>
          <w:szCs w:val="24"/>
        </w:rPr>
        <w:t>ICC</w:t>
      </w:r>
      <w:r w:rsidR="003830F2">
        <w:rPr>
          <w:rFonts w:ascii="Garamond" w:hAnsi="Garamond" w:cs="Futura"/>
          <w:sz w:val="24"/>
          <w:szCs w:val="24"/>
        </w:rPr>
        <w:t xml:space="preserve"> Act, or devolution legislation. But fundamental sources</w:t>
      </w:r>
      <w:r w:rsidR="00ED1386">
        <w:rPr>
          <w:rFonts w:ascii="Garamond" w:hAnsi="Garamond" w:cs="Futura"/>
          <w:sz w:val="24"/>
          <w:szCs w:val="24"/>
        </w:rPr>
        <w:t>, such as Acts of Parliament,</w:t>
      </w:r>
      <w:r w:rsidR="003830F2">
        <w:rPr>
          <w:rFonts w:ascii="Garamond" w:hAnsi="Garamond" w:cs="Futura"/>
          <w:sz w:val="24"/>
          <w:szCs w:val="24"/>
        </w:rPr>
        <w:t xml:space="preserve"> are determined by the (ultimate) rule of recognition</w:t>
      </w:r>
      <w:r w:rsidR="00290083">
        <w:rPr>
          <w:rFonts w:ascii="Garamond" w:hAnsi="Garamond" w:cs="Futura"/>
          <w:sz w:val="24"/>
          <w:szCs w:val="24"/>
        </w:rPr>
        <w:t>.</w:t>
      </w:r>
    </w:p>
    <w:p w14:paraId="66A3A6C2" w14:textId="06FFF980" w:rsidR="00C6681D" w:rsidRPr="007F303B" w:rsidRDefault="005E341B" w:rsidP="00410E81">
      <w:pPr>
        <w:ind w:firstLine="624"/>
        <w:contextualSpacing/>
        <w:rPr>
          <w:rFonts w:ascii="Garamond" w:hAnsi="Garamond" w:cs="Futura"/>
          <w:sz w:val="24"/>
        </w:rPr>
      </w:pPr>
      <w:r>
        <w:rPr>
          <w:rFonts w:ascii="Garamond" w:hAnsi="Garamond" w:cs="Futura"/>
          <w:sz w:val="24"/>
        </w:rPr>
        <w:t xml:space="preserve">To develop these </w:t>
      </w:r>
      <w:r w:rsidR="00575FD4">
        <w:rPr>
          <w:rFonts w:ascii="Garamond" w:hAnsi="Garamond" w:cs="Futura"/>
          <w:sz w:val="24"/>
        </w:rPr>
        <w:t xml:space="preserve">points further, we should </w:t>
      </w:r>
      <w:r w:rsidR="004D77F6">
        <w:rPr>
          <w:rFonts w:ascii="Garamond" w:hAnsi="Garamond" w:cs="Futura"/>
          <w:sz w:val="24"/>
        </w:rPr>
        <w:t>explore</w:t>
      </w:r>
      <w:r w:rsidR="00575FD4">
        <w:rPr>
          <w:rFonts w:ascii="Garamond" w:hAnsi="Garamond" w:cs="Futura"/>
          <w:sz w:val="24"/>
        </w:rPr>
        <w:t xml:space="preserve"> o</w:t>
      </w:r>
      <w:r w:rsidR="00CE7578">
        <w:rPr>
          <w:rFonts w:ascii="Garamond" w:hAnsi="Garamond" w:cs="Futura"/>
          <w:sz w:val="24"/>
        </w:rPr>
        <w:t>ne</w:t>
      </w:r>
      <w:r w:rsidR="00CE172B">
        <w:rPr>
          <w:rFonts w:ascii="Garamond" w:hAnsi="Garamond" w:cs="Futura"/>
          <w:sz w:val="24"/>
        </w:rPr>
        <w:t xml:space="preserve"> last – </w:t>
      </w:r>
      <w:r w:rsidR="00DC19C7">
        <w:rPr>
          <w:rFonts w:ascii="Garamond" w:hAnsi="Garamond" w:cs="Futura"/>
          <w:sz w:val="24"/>
        </w:rPr>
        <w:t>and</w:t>
      </w:r>
      <w:r w:rsidR="00971D23">
        <w:rPr>
          <w:rFonts w:ascii="Garamond" w:hAnsi="Garamond" w:cs="Futura"/>
          <w:sz w:val="24"/>
        </w:rPr>
        <w:t xml:space="preserve">, I </w:t>
      </w:r>
      <w:r w:rsidR="004D77F6">
        <w:rPr>
          <w:rFonts w:ascii="Garamond" w:hAnsi="Garamond" w:cs="Futura"/>
          <w:sz w:val="24"/>
        </w:rPr>
        <w:t>would</w:t>
      </w:r>
      <w:r w:rsidR="00971D23">
        <w:rPr>
          <w:rFonts w:ascii="Garamond" w:hAnsi="Garamond" w:cs="Futura"/>
          <w:sz w:val="24"/>
        </w:rPr>
        <w:t xml:space="preserve"> suggest, </w:t>
      </w:r>
      <w:r w:rsidR="004D77F6">
        <w:rPr>
          <w:rFonts w:ascii="Garamond" w:hAnsi="Garamond" w:cs="Futura"/>
          <w:sz w:val="24"/>
        </w:rPr>
        <w:t xml:space="preserve">similarly </w:t>
      </w:r>
      <w:r w:rsidR="00971D23">
        <w:rPr>
          <w:rFonts w:ascii="Garamond" w:hAnsi="Garamond" w:cs="Futura"/>
          <w:sz w:val="24"/>
        </w:rPr>
        <w:t xml:space="preserve">unsuccessful – </w:t>
      </w:r>
      <w:r w:rsidR="00CE7578">
        <w:rPr>
          <w:rFonts w:ascii="Garamond" w:hAnsi="Garamond" w:cs="Futura"/>
          <w:sz w:val="24"/>
        </w:rPr>
        <w:t>argument</w:t>
      </w:r>
      <w:r w:rsidR="00052867">
        <w:rPr>
          <w:rFonts w:ascii="Garamond" w:hAnsi="Garamond" w:cs="Futura"/>
          <w:sz w:val="24"/>
        </w:rPr>
        <w:t xml:space="preserve"> </w:t>
      </w:r>
      <w:r w:rsidR="007F0838">
        <w:rPr>
          <w:rFonts w:ascii="Garamond" w:hAnsi="Garamond" w:cs="Futura"/>
          <w:sz w:val="24"/>
        </w:rPr>
        <w:t xml:space="preserve">that also </w:t>
      </w:r>
      <w:r>
        <w:rPr>
          <w:rFonts w:ascii="Garamond" w:hAnsi="Garamond" w:cs="Futura"/>
          <w:sz w:val="24"/>
        </w:rPr>
        <w:t>seeks to press</w:t>
      </w:r>
      <w:r w:rsidR="00052867">
        <w:rPr>
          <w:rFonts w:ascii="Garamond" w:hAnsi="Garamond" w:cs="Futura"/>
          <w:sz w:val="24"/>
        </w:rPr>
        <w:t xml:space="preserve"> </w:t>
      </w:r>
      <w:r w:rsidR="004B0508">
        <w:rPr>
          <w:rFonts w:ascii="Garamond" w:hAnsi="Garamond" w:cs="Futura"/>
          <w:sz w:val="24"/>
        </w:rPr>
        <w:t>the (ultimate) rule of recognition</w:t>
      </w:r>
      <w:r w:rsidR="007F0838">
        <w:rPr>
          <w:rFonts w:ascii="Garamond" w:hAnsi="Garamond" w:cs="Futura"/>
          <w:sz w:val="24"/>
        </w:rPr>
        <w:t xml:space="preserve"> into service</w:t>
      </w:r>
      <w:r w:rsidR="00052867">
        <w:rPr>
          <w:rFonts w:ascii="Garamond" w:hAnsi="Garamond" w:cs="Futura"/>
          <w:sz w:val="24"/>
        </w:rPr>
        <w:t>.</w:t>
      </w:r>
      <w:r w:rsidR="00EC4034">
        <w:rPr>
          <w:rFonts w:ascii="Garamond" w:hAnsi="Garamond" w:cs="Futura"/>
          <w:sz w:val="24"/>
        </w:rPr>
        <w:t xml:space="preserve"> </w:t>
      </w:r>
      <w:r w:rsidR="00BE14B4">
        <w:rPr>
          <w:rFonts w:ascii="Garamond" w:hAnsi="Garamond" w:cs="Futura"/>
          <w:sz w:val="24"/>
        </w:rPr>
        <w:t>As the argument runs</w:t>
      </w:r>
      <w:r w:rsidR="00B65E55">
        <w:rPr>
          <w:rFonts w:ascii="Garamond" w:hAnsi="Garamond" w:cs="Futura"/>
          <w:sz w:val="24"/>
        </w:rPr>
        <w:t>,</w:t>
      </w:r>
      <w:r w:rsidR="002F3C29">
        <w:rPr>
          <w:rFonts w:ascii="Garamond" w:hAnsi="Garamond" w:cs="Futura"/>
          <w:sz w:val="24"/>
        </w:rPr>
        <w:t xml:space="preserve"> </w:t>
      </w:r>
      <w:r w:rsidR="00B65E55">
        <w:rPr>
          <w:rFonts w:ascii="Garamond" w:hAnsi="Garamond" w:cs="Futura"/>
          <w:sz w:val="24"/>
          <w:szCs w:val="24"/>
        </w:rPr>
        <w:t xml:space="preserve">the foreign affairs prerogative </w:t>
      </w:r>
      <w:r w:rsidR="00AD1C5C">
        <w:rPr>
          <w:rFonts w:ascii="Garamond" w:hAnsi="Garamond" w:cs="Futura"/>
          <w:sz w:val="24"/>
          <w:szCs w:val="24"/>
        </w:rPr>
        <w:t xml:space="preserve">cannot be used </w:t>
      </w:r>
      <w:r w:rsidR="00EC4034">
        <w:rPr>
          <w:rFonts w:ascii="Garamond" w:hAnsi="Garamond" w:cs="Futura"/>
          <w:sz w:val="24"/>
          <w:szCs w:val="24"/>
        </w:rPr>
        <w:t>if</w:t>
      </w:r>
      <w:r w:rsidR="002F3C29">
        <w:rPr>
          <w:rFonts w:ascii="Garamond" w:hAnsi="Garamond" w:cs="Futura"/>
          <w:sz w:val="24"/>
          <w:szCs w:val="24"/>
        </w:rPr>
        <w:t xml:space="preserve"> this</w:t>
      </w:r>
      <w:r w:rsidR="00694388">
        <w:rPr>
          <w:rFonts w:ascii="Garamond" w:hAnsi="Garamond" w:cs="Futura"/>
          <w:sz w:val="24"/>
          <w:szCs w:val="24"/>
        </w:rPr>
        <w:t xml:space="preserve"> will </w:t>
      </w:r>
      <w:r w:rsidR="00AD1C5C">
        <w:rPr>
          <w:rFonts w:ascii="Garamond" w:hAnsi="Garamond" w:cs="Futura"/>
          <w:sz w:val="24"/>
          <w:szCs w:val="24"/>
        </w:rPr>
        <w:t>“bring about”</w:t>
      </w:r>
      <w:r w:rsidR="00694388">
        <w:rPr>
          <w:rFonts w:ascii="Garamond" w:hAnsi="Garamond" w:cs="Futura"/>
          <w:sz w:val="24"/>
          <w:szCs w:val="24"/>
        </w:rPr>
        <w:t xml:space="preserve"> a change </w:t>
      </w:r>
      <w:r w:rsidR="008A2FEC">
        <w:rPr>
          <w:rFonts w:ascii="Garamond" w:hAnsi="Garamond" w:cs="Futura"/>
          <w:sz w:val="24"/>
          <w:szCs w:val="24"/>
        </w:rPr>
        <w:t>in</w:t>
      </w:r>
      <w:r w:rsidR="00694388">
        <w:rPr>
          <w:rFonts w:ascii="Garamond" w:hAnsi="Garamond" w:cs="Futura"/>
          <w:sz w:val="24"/>
          <w:szCs w:val="24"/>
        </w:rPr>
        <w:t xml:space="preserve"> the (ultimate) rule of recognition. </w:t>
      </w:r>
      <w:r w:rsidR="00B163BB">
        <w:rPr>
          <w:rFonts w:ascii="Garamond" w:hAnsi="Garamond" w:cs="Futura"/>
          <w:sz w:val="24"/>
          <w:szCs w:val="24"/>
        </w:rPr>
        <w:t xml:space="preserve">If </w:t>
      </w:r>
      <w:r w:rsidR="00DD1980">
        <w:rPr>
          <w:rFonts w:ascii="Garamond" w:hAnsi="Garamond" w:cs="Futura"/>
          <w:sz w:val="24"/>
          <w:szCs w:val="24"/>
        </w:rPr>
        <w:t>this</w:t>
      </w:r>
      <w:r w:rsidR="006023DF">
        <w:rPr>
          <w:rFonts w:ascii="Garamond" w:hAnsi="Garamond" w:cs="Futura"/>
          <w:sz w:val="24"/>
          <w:szCs w:val="24"/>
        </w:rPr>
        <w:t xml:space="preserve"> </w:t>
      </w:r>
      <w:r w:rsidR="00DD1980">
        <w:rPr>
          <w:rFonts w:ascii="Garamond" w:hAnsi="Garamond" w:cs="Futura"/>
          <w:sz w:val="24"/>
          <w:szCs w:val="24"/>
        </w:rPr>
        <w:t>thesis</w:t>
      </w:r>
      <w:r w:rsidR="006023DF">
        <w:rPr>
          <w:rFonts w:ascii="Garamond" w:hAnsi="Garamond" w:cs="Futura"/>
          <w:sz w:val="24"/>
          <w:szCs w:val="24"/>
        </w:rPr>
        <w:t xml:space="preserve"> </w:t>
      </w:r>
      <w:r w:rsidR="00B163BB">
        <w:rPr>
          <w:rFonts w:ascii="Garamond" w:hAnsi="Garamond" w:cs="Futura"/>
          <w:sz w:val="24"/>
          <w:szCs w:val="24"/>
        </w:rPr>
        <w:t>is</w:t>
      </w:r>
      <w:r w:rsidR="006023DF">
        <w:rPr>
          <w:rFonts w:ascii="Garamond" w:hAnsi="Garamond" w:cs="Futura"/>
          <w:sz w:val="24"/>
          <w:szCs w:val="24"/>
        </w:rPr>
        <w:t xml:space="preserve"> correct, we </w:t>
      </w:r>
      <w:r w:rsidR="00B163BB">
        <w:rPr>
          <w:rFonts w:ascii="Garamond" w:hAnsi="Garamond" w:cs="Futura"/>
          <w:sz w:val="24"/>
          <w:szCs w:val="24"/>
        </w:rPr>
        <w:t xml:space="preserve">indeed ought to </w:t>
      </w:r>
      <w:r w:rsidR="006023DF">
        <w:rPr>
          <w:rFonts w:ascii="Garamond" w:hAnsi="Garamond" w:cs="Futura"/>
          <w:sz w:val="24"/>
          <w:szCs w:val="24"/>
        </w:rPr>
        <w:t xml:space="preserve">settle whether EU law </w:t>
      </w:r>
      <w:r w:rsidR="00B163BB">
        <w:rPr>
          <w:rFonts w:ascii="Garamond" w:hAnsi="Garamond" w:cs="Futura"/>
          <w:sz w:val="24"/>
          <w:szCs w:val="24"/>
        </w:rPr>
        <w:t>is</w:t>
      </w:r>
      <w:r w:rsidR="006023DF">
        <w:rPr>
          <w:rFonts w:ascii="Garamond" w:hAnsi="Garamond" w:cs="Futura"/>
          <w:sz w:val="24"/>
          <w:szCs w:val="24"/>
        </w:rPr>
        <w:t xml:space="preserve"> identified </w:t>
      </w:r>
      <w:r w:rsidR="00E35606">
        <w:rPr>
          <w:rFonts w:ascii="Garamond" w:hAnsi="Garamond" w:cs="Futura"/>
          <w:sz w:val="24"/>
          <w:szCs w:val="24"/>
        </w:rPr>
        <w:t>in</w:t>
      </w:r>
      <w:r w:rsidR="006023DF">
        <w:rPr>
          <w:rFonts w:ascii="Garamond" w:hAnsi="Garamond" w:cs="Futura"/>
          <w:sz w:val="24"/>
          <w:szCs w:val="24"/>
        </w:rPr>
        <w:t xml:space="preserve"> the (ultimate) rule of recognition. </w:t>
      </w:r>
      <w:r w:rsidR="00694388">
        <w:rPr>
          <w:rFonts w:ascii="Garamond" w:hAnsi="Garamond" w:cs="Futura"/>
          <w:sz w:val="24"/>
          <w:szCs w:val="24"/>
        </w:rPr>
        <w:t xml:space="preserve">But </w:t>
      </w:r>
      <w:r w:rsidR="006023DF">
        <w:rPr>
          <w:rFonts w:ascii="Garamond" w:hAnsi="Garamond" w:cs="Futura"/>
          <w:sz w:val="24"/>
          <w:szCs w:val="24"/>
        </w:rPr>
        <w:t>th</w:t>
      </w:r>
      <w:r w:rsidR="00DD1980">
        <w:rPr>
          <w:rFonts w:ascii="Garamond" w:hAnsi="Garamond" w:cs="Futura"/>
          <w:sz w:val="24"/>
          <w:szCs w:val="24"/>
        </w:rPr>
        <w:t xml:space="preserve">e thesis </w:t>
      </w:r>
      <w:r w:rsidR="00694388">
        <w:rPr>
          <w:rFonts w:ascii="Garamond" w:hAnsi="Garamond" w:cs="Futura"/>
          <w:sz w:val="24"/>
          <w:szCs w:val="24"/>
        </w:rPr>
        <w:t>remains unmotivated.</w:t>
      </w:r>
      <w:r w:rsidR="007F303B">
        <w:rPr>
          <w:rFonts w:ascii="Garamond" w:hAnsi="Garamond" w:cs="Futura"/>
          <w:sz w:val="24"/>
        </w:rPr>
        <w:t xml:space="preserve"> </w:t>
      </w:r>
      <w:r w:rsidR="007F303B">
        <w:rPr>
          <w:rFonts w:ascii="Garamond" w:hAnsi="Garamond" w:cs="Futura"/>
          <w:sz w:val="24"/>
          <w:szCs w:val="24"/>
        </w:rPr>
        <w:t>This can be seen by</w:t>
      </w:r>
      <w:r w:rsidR="00DD1980">
        <w:rPr>
          <w:rFonts w:ascii="Garamond" w:hAnsi="Garamond" w:cs="Futura"/>
          <w:sz w:val="24"/>
          <w:szCs w:val="24"/>
        </w:rPr>
        <w:t xml:space="preserve"> considering </w:t>
      </w:r>
      <w:r w:rsidR="008D0BAD">
        <w:rPr>
          <w:rFonts w:ascii="Garamond" w:hAnsi="Garamond" w:cs="Futura"/>
          <w:sz w:val="24"/>
          <w:szCs w:val="24"/>
        </w:rPr>
        <w:t xml:space="preserve">Paul Craig’s </w:t>
      </w:r>
      <w:r w:rsidR="00AD1C5C">
        <w:rPr>
          <w:rFonts w:ascii="Garamond" w:hAnsi="Garamond" w:cs="Futura"/>
          <w:sz w:val="24"/>
          <w:szCs w:val="24"/>
        </w:rPr>
        <w:t>important</w:t>
      </w:r>
      <w:r w:rsidR="00AC5D15">
        <w:rPr>
          <w:rFonts w:ascii="Garamond" w:hAnsi="Garamond" w:cs="Futura"/>
          <w:sz w:val="24"/>
          <w:szCs w:val="24"/>
        </w:rPr>
        <w:t xml:space="preserve"> </w:t>
      </w:r>
      <w:r w:rsidR="00C61EDF">
        <w:rPr>
          <w:rFonts w:ascii="Garamond" w:hAnsi="Garamond" w:cs="Futura"/>
          <w:sz w:val="24"/>
          <w:szCs w:val="24"/>
        </w:rPr>
        <w:t>analysis</w:t>
      </w:r>
      <w:r w:rsidR="00AC5D15">
        <w:rPr>
          <w:rFonts w:ascii="Garamond" w:hAnsi="Garamond" w:cs="Futura"/>
          <w:sz w:val="24"/>
          <w:szCs w:val="24"/>
        </w:rPr>
        <w:t xml:space="preserve">. Craig argues </w:t>
      </w:r>
      <w:r w:rsidR="00027237">
        <w:rPr>
          <w:rFonts w:ascii="Garamond" w:hAnsi="Garamond" w:cs="Futura"/>
          <w:sz w:val="24"/>
          <w:szCs w:val="24"/>
        </w:rPr>
        <w:t>that “</w:t>
      </w:r>
      <w:r w:rsidR="00C6681D" w:rsidRPr="00480B28">
        <w:rPr>
          <w:rFonts w:ascii="Garamond" w:hAnsi="Garamond" w:cs="Futura"/>
          <w:sz w:val="24"/>
          <w:szCs w:val="24"/>
        </w:rPr>
        <w:t>withdrawal from the EU would alter the rule of recognition, which constitutes part of the law of the land, and h</w:t>
      </w:r>
      <w:r w:rsidR="00C6681D">
        <w:rPr>
          <w:rFonts w:ascii="Garamond" w:hAnsi="Garamond" w:cs="Futura"/>
          <w:sz w:val="24"/>
          <w:szCs w:val="24"/>
        </w:rPr>
        <w:t>ence could not be done by the executive”.</w:t>
      </w:r>
      <w:r w:rsidR="00C6681D">
        <w:rPr>
          <w:rStyle w:val="FootnoteReference"/>
          <w:rFonts w:ascii="Garamond" w:hAnsi="Garamond" w:cs="Futura"/>
          <w:sz w:val="24"/>
        </w:rPr>
        <w:footnoteReference w:id="34"/>
      </w:r>
      <w:r w:rsidR="00AA7F28">
        <w:rPr>
          <w:rFonts w:ascii="Garamond" w:hAnsi="Garamond" w:cs="Futura"/>
          <w:sz w:val="24"/>
          <w:szCs w:val="24"/>
        </w:rPr>
        <w:t xml:space="preserve"> </w:t>
      </w:r>
      <w:r w:rsidR="00AC5D15">
        <w:rPr>
          <w:rFonts w:ascii="Garamond" w:hAnsi="Garamond" w:cs="Futura"/>
          <w:sz w:val="24"/>
          <w:szCs w:val="24"/>
        </w:rPr>
        <w:t>He</w:t>
      </w:r>
      <w:r w:rsidR="001860A8">
        <w:rPr>
          <w:rFonts w:ascii="Garamond" w:hAnsi="Garamond" w:cs="Futura"/>
          <w:sz w:val="24"/>
          <w:szCs w:val="24"/>
        </w:rPr>
        <w:t xml:space="preserve"> acknowledges that the (ultimate) rule of recognition, dependent on official custom, cannot be unilaterally changed by Parliament.</w:t>
      </w:r>
      <w:r w:rsidR="001860A8">
        <w:rPr>
          <w:rStyle w:val="FootnoteReference"/>
          <w:rFonts w:ascii="Garamond" w:hAnsi="Garamond" w:cs="Futura"/>
          <w:sz w:val="24"/>
          <w:szCs w:val="24"/>
        </w:rPr>
        <w:footnoteReference w:id="35"/>
      </w:r>
      <w:r w:rsidR="001860A8">
        <w:rPr>
          <w:rFonts w:ascii="Garamond" w:hAnsi="Garamond" w:cs="Futura"/>
          <w:sz w:val="24"/>
          <w:szCs w:val="24"/>
        </w:rPr>
        <w:t xml:space="preserve"> </w:t>
      </w:r>
      <w:r w:rsidR="00234214">
        <w:rPr>
          <w:rFonts w:ascii="Garamond" w:hAnsi="Garamond" w:cs="Futura"/>
          <w:sz w:val="24"/>
          <w:szCs w:val="24"/>
        </w:rPr>
        <w:t>He suggests, however, that</w:t>
      </w:r>
      <w:r w:rsidR="001860A8">
        <w:rPr>
          <w:rFonts w:ascii="Garamond" w:hAnsi="Garamond" w:cs="Futura"/>
          <w:sz w:val="24"/>
          <w:szCs w:val="24"/>
        </w:rPr>
        <w:t xml:space="preserve"> the </w:t>
      </w:r>
      <w:r w:rsidR="00AF0BD1">
        <w:rPr>
          <w:rFonts w:ascii="Garamond" w:hAnsi="Garamond" w:cs="Futura"/>
          <w:sz w:val="24"/>
          <w:szCs w:val="24"/>
        </w:rPr>
        <w:t>ECA</w:t>
      </w:r>
      <w:r w:rsidR="001860A8">
        <w:rPr>
          <w:rFonts w:ascii="Garamond" w:hAnsi="Garamond" w:cs="Futura"/>
          <w:sz w:val="24"/>
          <w:szCs w:val="24"/>
        </w:rPr>
        <w:t xml:space="preserve"> triggered or was a “catalyst for modification” of the </w:t>
      </w:r>
      <w:r w:rsidR="00234214">
        <w:rPr>
          <w:rFonts w:ascii="Garamond" w:hAnsi="Garamond" w:cs="Futura"/>
          <w:sz w:val="24"/>
          <w:szCs w:val="24"/>
        </w:rPr>
        <w:t>customary practice</w:t>
      </w:r>
      <w:r w:rsidR="001860A8">
        <w:rPr>
          <w:rFonts w:ascii="Garamond" w:hAnsi="Garamond" w:cs="Futura"/>
          <w:sz w:val="24"/>
          <w:szCs w:val="24"/>
        </w:rPr>
        <w:t xml:space="preserve"> of officials</w:t>
      </w:r>
      <w:r w:rsidR="00E77656">
        <w:rPr>
          <w:rFonts w:ascii="Garamond" w:hAnsi="Garamond" w:cs="Futura"/>
          <w:sz w:val="24"/>
          <w:szCs w:val="24"/>
        </w:rPr>
        <w:t xml:space="preserve"> on which </w:t>
      </w:r>
      <w:r w:rsidR="00234214">
        <w:rPr>
          <w:rFonts w:ascii="Garamond" w:hAnsi="Garamond" w:cs="Futura"/>
          <w:sz w:val="24"/>
          <w:szCs w:val="24"/>
        </w:rPr>
        <w:t>the (ultimate) rule of recognition</w:t>
      </w:r>
      <w:r w:rsidR="00E77656">
        <w:rPr>
          <w:rFonts w:ascii="Garamond" w:hAnsi="Garamond" w:cs="Futura"/>
          <w:sz w:val="24"/>
          <w:szCs w:val="24"/>
        </w:rPr>
        <w:t xml:space="preserve"> depends</w:t>
      </w:r>
      <w:r w:rsidR="001860A8">
        <w:rPr>
          <w:rFonts w:ascii="Garamond" w:hAnsi="Garamond" w:cs="Futura"/>
          <w:sz w:val="24"/>
          <w:szCs w:val="24"/>
        </w:rPr>
        <w:t>.</w:t>
      </w:r>
      <w:r w:rsidR="00234214">
        <w:rPr>
          <w:rStyle w:val="FootnoteReference"/>
          <w:rFonts w:ascii="Garamond" w:hAnsi="Garamond" w:cs="Futura"/>
          <w:sz w:val="24"/>
          <w:szCs w:val="24"/>
        </w:rPr>
        <w:footnoteReference w:id="36"/>
      </w:r>
      <w:r w:rsidR="004620FB">
        <w:rPr>
          <w:rFonts w:ascii="Garamond" w:hAnsi="Garamond" w:cs="Futura"/>
          <w:sz w:val="24"/>
          <w:szCs w:val="24"/>
        </w:rPr>
        <w:t xml:space="preserve"> For Craig</w:t>
      </w:r>
      <w:r w:rsidR="005C1305">
        <w:rPr>
          <w:rFonts w:ascii="Garamond" w:hAnsi="Garamond" w:cs="Futura"/>
          <w:sz w:val="24"/>
          <w:szCs w:val="24"/>
        </w:rPr>
        <w:t xml:space="preserve"> “[i]t follows that … legal developments that would denud</w:t>
      </w:r>
      <w:r w:rsidR="00BE14B4">
        <w:rPr>
          <w:rFonts w:ascii="Garamond" w:hAnsi="Garamond" w:cs="Futura"/>
          <w:sz w:val="24"/>
          <w:szCs w:val="24"/>
        </w:rPr>
        <w:t xml:space="preserve">e [the </w:t>
      </w:r>
      <w:r w:rsidR="00AF0BD1">
        <w:rPr>
          <w:rFonts w:ascii="Garamond" w:hAnsi="Garamond" w:cs="Futura"/>
          <w:sz w:val="24"/>
          <w:szCs w:val="24"/>
        </w:rPr>
        <w:t>ECA</w:t>
      </w:r>
      <w:r w:rsidR="00BE14B4">
        <w:rPr>
          <w:rFonts w:ascii="Garamond" w:hAnsi="Garamond" w:cs="Futura"/>
          <w:sz w:val="24"/>
          <w:szCs w:val="24"/>
        </w:rPr>
        <w:t xml:space="preserve">] of substance” – namely, </w:t>
      </w:r>
      <w:r w:rsidR="005C1305">
        <w:rPr>
          <w:rFonts w:ascii="Garamond" w:hAnsi="Garamond" w:cs="Futura"/>
          <w:sz w:val="24"/>
          <w:szCs w:val="24"/>
        </w:rPr>
        <w:t>the Government’s proposed use of</w:t>
      </w:r>
      <w:r w:rsidR="00BE14B4">
        <w:rPr>
          <w:rFonts w:ascii="Garamond" w:hAnsi="Garamond" w:cs="Futura"/>
          <w:sz w:val="24"/>
          <w:szCs w:val="24"/>
        </w:rPr>
        <w:t xml:space="preserve"> </w:t>
      </w:r>
      <w:r w:rsidR="00D57D1C">
        <w:rPr>
          <w:rFonts w:ascii="Garamond" w:hAnsi="Garamond" w:cs="Futura"/>
          <w:sz w:val="24"/>
          <w:szCs w:val="24"/>
        </w:rPr>
        <w:t xml:space="preserve">the </w:t>
      </w:r>
      <w:r w:rsidR="00BE14B4">
        <w:rPr>
          <w:rFonts w:ascii="Garamond" w:hAnsi="Garamond" w:cs="Futura"/>
          <w:sz w:val="24"/>
          <w:szCs w:val="24"/>
        </w:rPr>
        <w:t xml:space="preserve">foreign affairs </w:t>
      </w:r>
      <w:r w:rsidR="00BE14B4">
        <w:rPr>
          <w:rFonts w:ascii="Garamond" w:hAnsi="Garamond" w:cs="Futura"/>
          <w:sz w:val="24"/>
          <w:szCs w:val="24"/>
        </w:rPr>
        <w:lastRenderedPageBreak/>
        <w:t>prerogative – “</w:t>
      </w:r>
      <w:r w:rsidR="005C1305">
        <w:rPr>
          <w:rFonts w:ascii="Garamond" w:hAnsi="Garamond" w:cs="Futura"/>
          <w:sz w:val="24"/>
          <w:szCs w:val="24"/>
        </w:rPr>
        <w:t>would thereby alter the rule of recognition, and in that sense alter the law of the land”.</w:t>
      </w:r>
      <w:r w:rsidR="005C1305">
        <w:rPr>
          <w:rStyle w:val="FootnoteReference"/>
          <w:rFonts w:ascii="Garamond" w:hAnsi="Garamond" w:cs="Futura"/>
          <w:sz w:val="24"/>
          <w:szCs w:val="24"/>
        </w:rPr>
        <w:footnoteReference w:id="37"/>
      </w:r>
      <w:r w:rsidR="00CE28C2">
        <w:rPr>
          <w:rFonts w:ascii="Garamond" w:hAnsi="Garamond" w:cs="Futura"/>
          <w:sz w:val="24"/>
          <w:szCs w:val="24"/>
        </w:rPr>
        <w:t xml:space="preserve"> </w:t>
      </w:r>
      <w:r w:rsidR="00DB7728">
        <w:rPr>
          <w:rFonts w:ascii="Garamond" w:hAnsi="Garamond" w:cs="Futura"/>
          <w:sz w:val="24"/>
          <w:szCs w:val="24"/>
        </w:rPr>
        <w:t>This, Craig argues,</w:t>
      </w:r>
      <w:r w:rsidR="00CE28C2">
        <w:rPr>
          <w:rFonts w:ascii="Garamond" w:hAnsi="Garamond" w:cs="Futura"/>
          <w:sz w:val="24"/>
          <w:szCs w:val="24"/>
        </w:rPr>
        <w:t xml:space="preserve"> is prohibited</w:t>
      </w:r>
      <w:r w:rsidR="00DB7728">
        <w:rPr>
          <w:rFonts w:ascii="Garamond" w:hAnsi="Garamond" w:cs="Futura"/>
          <w:sz w:val="24"/>
          <w:szCs w:val="24"/>
        </w:rPr>
        <w:t xml:space="preserve"> </w:t>
      </w:r>
      <w:r w:rsidR="005371EA">
        <w:rPr>
          <w:rFonts w:ascii="Garamond" w:hAnsi="Garamond" w:cs="Futura"/>
          <w:sz w:val="24"/>
          <w:szCs w:val="24"/>
        </w:rPr>
        <w:t>in light of</w:t>
      </w:r>
      <w:r w:rsidR="00CE28C2">
        <w:rPr>
          <w:rFonts w:ascii="Garamond" w:hAnsi="Garamond" w:cs="Futura"/>
          <w:sz w:val="24"/>
          <w:szCs w:val="24"/>
        </w:rPr>
        <w:t xml:space="preserve"> </w:t>
      </w:r>
      <w:r w:rsidR="001214AD" w:rsidRPr="001214AD">
        <w:rPr>
          <w:rFonts w:ascii="Garamond" w:hAnsi="Garamond" w:cs="Futura"/>
          <w:i/>
          <w:sz w:val="24"/>
          <w:szCs w:val="24"/>
        </w:rPr>
        <w:t>inter alia</w:t>
      </w:r>
      <w:r w:rsidR="001214AD">
        <w:rPr>
          <w:rFonts w:ascii="Garamond" w:hAnsi="Garamond" w:cs="Futura"/>
          <w:sz w:val="24"/>
          <w:szCs w:val="24"/>
        </w:rPr>
        <w:t xml:space="preserve"> </w:t>
      </w:r>
      <w:r w:rsidR="00CE28C2">
        <w:rPr>
          <w:rFonts w:ascii="Garamond" w:hAnsi="Garamond" w:cs="Futura"/>
          <w:sz w:val="24"/>
          <w:szCs w:val="24"/>
        </w:rPr>
        <w:t xml:space="preserve">the </w:t>
      </w:r>
      <w:r w:rsidR="00CE28C2" w:rsidRPr="00CE28C2">
        <w:rPr>
          <w:rFonts w:ascii="Garamond" w:hAnsi="Garamond" w:cs="Futura"/>
          <w:i/>
          <w:sz w:val="24"/>
          <w:szCs w:val="24"/>
        </w:rPr>
        <w:t>Case of Proclamations</w:t>
      </w:r>
      <w:r w:rsidR="005371EA">
        <w:rPr>
          <w:rFonts w:ascii="Garamond" w:hAnsi="Garamond" w:cs="Futura"/>
          <w:sz w:val="24"/>
          <w:szCs w:val="24"/>
        </w:rPr>
        <w:t xml:space="preserve"> (1610) </w:t>
      </w:r>
      <w:r w:rsidR="001214AD">
        <w:rPr>
          <w:rFonts w:ascii="Garamond" w:hAnsi="Garamond" w:cs="Futura"/>
          <w:sz w:val="24"/>
          <w:szCs w:val="24"/>
        </w:rPr>
        <w:t xml:space="preserve">according to which the prerogative may not be used to </w:t>
      </w:r>
      <w:r w:rsidR="00DB7728">
        <w:rPr>
          <w:rFonts w:ascii="Garamond" w:hAnsi="Garamond" w:cs="Futura"/>
          <w:sz w:val="24"/>
          <w:szCs w:val="24"/>
        </w:rPr>
        <w:t>change</w:t>
      </w:r>
      <w:r w:rsidR="001214AD">
        <w:rPr>
          <w:rFonts w:ascii="Garamond" w:hAnsi="Garamond" w:cs="Futura"/>
          <w:sz w:val="24"/>
          <w:szCs w:val="24"/>
        </w:rPr>
        <w:t xml:space="preserve"> the law</w:t>
      </w:r>
      <w:r w:rsidR="00CE28C2">
        <w:rPr>
          <w:rFonts w:ascii="Garamond" w:hAnsi="Garamond" w:cs="Futura"/>
          <w:sz w:val="24"/>
          <w:szCs w:val="24"/>
        </w:rPr>
        <w:t>.</w:t>
      </w:r>
      <w:r w:rsidR="005371EA">
        <w:rPr>
          <w:rStyle w:val="FootnoteReference"/>
          <w:rFonts w:ascii="Garamond" w:hAnsi="Garamond" w:cs="Futura"/>
          <w:sz w:val="24"/>
          <w:szCs w:val="24"/>
        </w:rPr>
        <w:footnoteReference w:id="38"/>
      </w:r>
    </w:p>
    <w:p w14:paraId="59DFD9AE" w14:textId="4B6B5695" w:rsidR="0070103A" w:rsidRDefault="004620FB" w:rsidP="00732F8A">
      <w:pPr>
        <w:contextualSpacing/>
        <w:rPr>
          <w:rFonts w:ascii="Garamond" w:hAnsi="Garamond" w:cs="Futura"/>
          <w:sz w:val="24"/>
          <w:szCs w:val="24"/>
        </w:rPr>
      </w:pPr>
      <w:r>
        <w:rPr>
          <w:rFonts w:ascii="Garamond" w:hAnsi="Garamond" w:cs="Futura"/>
          <w:sz w:val="24"/>
          <w:szCs w:val="24"/>
        </w:rPr>
        <w:tab/>
      </w:r>
      <w:r w:rsidR="001B48A1">
        <w:rPr>
          <w:rFonts w:ascii="Garamond" w:hAnsi="Garamond" w:cs="Futura"/>
          <w:sz w:val="24"/>
          <w:szCs w:val="24"/>
        </w:rPr>
        <w:t>Th</w:t>
      </w:r>
      <w:r w:rsidR="00BE14B4">
        <w:rPr>
          <w:rFonts w:ascii="Garamond" w:hAnsi="Garamond" w:cs="Futura"/>
          <w:sz w:val="24"/>
          <w:szCs w:val="24"/>
        </w:rPr>
        <w:t>e</w:t>
      </w:r>
      <w:r w:rsidR="005371EA">
        <w:rPr>
          <w:rFonts w:ascii="Garamond" w:hAnsi="Garamond" w:cs="Futura"/>
          <w:sz w:val="24"/>
          <w:szCs w:val="24"/>
        </w:rPr>
        <w:t xml:space="preserve"> argument </w:t>
      </w:r>
      <w:r w:rsidR="009169AA">
        <w:rPr>
          <w:rFonts w:ascii="Garamond" w:hAnsi="Garamond" w:cs="Futura"/>
          <w:sz w:val="24"/>
          <w:szCs w:val="24"/>
        </w:rPr>
        <w:t>is</w:t>
      </w:r>
      <w:r w:rsidR="005371EA">
        <w:rPr>
          <w:rFonts w:ascii="Garamond" w:hAnsi="Garamond" w:cs="Futura"/>
          <w:sz w:val="24"/>
          <w:szCs w:val="24"/>
        </w:rPr>
        <w:t xml:space="preserve"> </w:t>
      </w:r>
      <w:r w:rsidR="00AD1C5C">
        <w:rPr>
          <w:rFonts w:ascii="Garamond" w:hAnsi="Garamond" w:cs="Futura"/>
          <w:sz w:val="24"/>
          <w:szCs w:val="24"/>
        </w:rPr>
        <w:t>not successful</w:t>
      </w:r>
      <w:r w:rsidR="00966CF2">
        <w:rPr>
          <w:rFonts w:ascii="Garamond" w:hAnsi="Garamond" w:cs="Futura"/>
          <w:sz w:val="24"/>
          <w:szCs w:val="24"/>
        </w:rPr>
        <w:t>, however</w:t>
      </w:r>
      <w:r w:rsidR="005371EA">
        <w:rPr>
          <w:rFonts w:ascii="Garamond" w:hAnsi="Garamond" w:cs="Futura"/>
          <w:sz w:val="24"/>
          <w:szCs w:val="24"/>
        </w:rPr>
        <w:t xml:space="preserve">. </w:t>
      </w:r>
      <w:r w:rsidR="007A66C2">
        <w:rPr>
          <w:rFonts w:ascii="Garamond" w:hAnsi="Garamond" w:cs="Futura"/>
          <w:sz w:val="24"/>
          <w:szCs w:val="24"/>
        </w:rPr>
        <w:t>F</w:t>
      </w:r>
      <w:r w:rsidR="005371EA">
        <w:rPr>
          <w:rFonts w:ascii="Garamond" w:hAnsi="Garamond" w:cs="Futura"/>
          <w:sz w:val="24"/>
          <w:szCs w:val="24"/>
        </w:rPr>
        <w:t xml:space="preserve">ollowing </w:t>
      </w:r>
      <w:r w:rsidR="00AC5D15">
        <w:rPr>
          <w:rFonts w:ascii="Garamond" w:hAnsi="Garamond" w:cs="Futura"/>
          <w:sz w:val="24"/>
          <w:szCs w:val="24"/>
        </w:rPr>
        <w:t>Craig’s</w:t>
      </w:r>
      <w:r w:rsidR="005371EA">
        <w:rPr>
          <w:rFonts w:ascii="Garamond" w:hAnsi="Garamond" w:cs="Futura"/>
          <w:sz w:val="24"/>
          <w:szCs w:val="24"/>
        </w:rPr>
        <w:t xml:space="preserve"> </w:t>
      </w:r>
      <w:r w:rsidR="005371EA" w:rsidRPr="00BE14B4">
        <w:rPr>
          <w:rFonts w:ascii="Garamond" w:hAnsi="Garamond" w:cs="Futura"/>
          <w:sz w:val="24"/>
          <w:szCs w:val="24"/>
        </w:rPr>
        <w:t>own</w:t>
      </w:r>
      <w:r w:rsidR="005371EA">
        <w:rPr>
          <w:rFonts w:ascii="Garamond" w:hAnsi="Garamond" w:cs="Futura"/>
          <w:sz w:val="24"/>
          <w:szCs w:val="24"/>
        </w:rPr>
        <w:t xml:space="preserve"> reasoning</w:t>
      </w:r>
      <w:r w:rsidR="009169AA">
        <w:rPr>
          <w:rFonts w:ascii="Garamond" w:hAnsi="Garamond" w:cs="Futura"/>
          <w:sz w:val="24"/>
          <w:szCs w:val="24"/>
        </w:rPr>
        <w:t xml:space="preserve"> about the </w:t>
      </w:r>
      <w:r w:rsidR="001214AD">
        <w:rPr>
          <w:rFonts w:ascii="Garamond" w:hAnsi="Garamond" w:cs="Futura"/>
          <w:sz w:val="24"/>
          <w:szCs w:val="24"/>
        </w:rPr>
        <w:t xml:space="preserve">effect of the </w:t>
      </w:r>
      <w:r w:rsidR="00C952A6">
        <w:rPr>
          <w:rFonts w:ascii="Garamond" w:hAnsi="Garamond" w:cs="Futura"/>
          <w:sz w:val="24"/>
          <w:szCs w:val="24"/>
        </w:rPr>
        <w:t>ECA</w:t>
      </w:r>
      <w:r w:rsidR="005371EA">
        <w:rPr>
          <w:rFonts w:ascii="Garamond" w:hAnsi="Garamond" w:cs="Futura"/>
          <w:sz w:val="24"/>
          <w:szCs w:val="24"/>
        </w:rPr>
        <w:t xml:space="preserve">, </w:t>
      </w:r>
      <w:r w:rsidR="007E7C60">
        <w:rPr>
          <w:rFonts w:ascii="Garamond" w:hAnsi="Garamond" w:cs="Futura"/>
          <w:sz w:val="24"/>
          <w:szCs w:val="24"/>
        </w:rPr>
        <w:t xml:space="preserve">the </w:t>
      </w:r>
      <w:r w:rsidR="009169AA">
        <w:rPr>
          <w:rFonts w:ascii="Garamond" w:hAnsi="Garamond" w:cs="Futura"/>
          <w:sz w:val="24"/>
          <w:szCs w:val="24"/>
        </w:rPr>
        <w:t xml:space="preserve">unilateral </w:t>
      </w:r>
      <w:r w:rsidR="005371EA">
        <w:rPr>
          <w:rFonts w:ascii="Garamond" w:hAnsi="Garamond" w:cs="Futura"/>
          <w:sz w:val="24"/>
          <w:szCs w:val="24"/>
        </w:rPr>
        <w:t xml:space="preserve">use of the foreign affairs prerogative cannot </w:t>
      </w:r>
      <w:r w:rsidR="00915A00">
        <w:rPr>
          <w:rFonts w:ascii="Garamond" w:hAnsi="Garamond" w:cs="Futura"/>
          <w:sz w:val="24"/>
          <w:szCs w:val="24"/>
        </w:rPr>
        <w:t>deliberately</w:t>
      </w:r>
      <w:r w:rsidR="005371EA">
        <w:rPr>
          <w:rFonts w:ascii="Garamond" w:hAnsi="Garamond" w:cs="Futura"/>
          <w:sz w:val="24"/>
          <w:szCs w:val="24"/>
        </w:rPr>
        <w:t xml:space="preserve"> change the </w:t>
      </w:r>
      <w:r w:rsidR="00CB669B">
        <w:rPr>
          <w:rFonts w:ascii="Garamond" w:hAnsi="Garamond" w:cs="Futura"/>
          <w:sz w:val="24"/>
          <w:szCs w:val="24"/>
        </w:rPr>
        <w:t xml:space="preserve">customary </w:t>
      </w:r>
      <w:r w:rsidR="005371EA">
        <w:rPr>
          <w:rFonts w:ascii="Garamond" w:hAnsi="Garamond" w:cs="Futura"/>
          <w:sz w:val="24"/>
          <w:szCs w:val="24"/>
        </w:rPr>
        <w:t>(ultima</w:t>
      </w:r>
      <w:r w:rsidR="009169AA">
        <w:rPr>
          <w:rFonts w:ascii="Garamond" w:hAnsi="Garamond" w:cs="Futura"/>
          <w:sz w:val="24"/>
          <w:szCs w:val="24"/>
        </w:rPr>
        <w:t>te) rule o</w:t>
      </w:r>
      <w:r w:rsidR="007006AF">
        <w:rPr>
          <w:rFonts w:ascii="Garamond" w:hAnsi="Garamond" w:cs="Futura"/>
          <w:sz w:val="24"/>
          <w:szCs w:val="24"/>
        </w:rPr>
        <w:t>f recognition; it may, however,</w:t>
      </w:r>
      <w:r w:rsidR="00106D35">
        <w:rPr>
          <w:rFonts w:ascii="Garamond" w:hAnsi="Garamond" w:cs="Futura"/>
          <w:sz w:val="24"/>
          <w:szCs w:val="24"/>
        </w:rPr>
        <w:t xml:space="preserve"> </w:t>
      </w:r>
      <w:r w:rsidR="00106D35" w:rsidRPr="00BB65AA">
        <w:rPr>
          <w:rFonts w:ascii="Garamond" w:hAnsi="Garamond" w:cs="Futura"/>
          <w:sz w:val="24"/>
          <w:szCs w:val="24"/>
        </w:rPr>
        <w:t>cause</w:t>
      </w:r>
      <w:r w:rsidR="009169AA">
        <w:rPr>
          <w:rFonts w:ascii="Garamond" w:hAnsi="Garamond" w:cs="Futura"/>
          <w:sz w:val="24"/>
          <w:szCs w:val="24"/>
        </w:rPr>
        <w:t xml:space="preserve"> changes in the official practice on which that rule depends. Why </w:t>
      </w:r>
      <w:r w:rsidR="001B48A1">
        <w:rPr>
          <w:rFonts w:ascii="Garamond" w:hAnsi="Garamond" w:cs="Futura"/>
          <w:sz w:val="24"/>
          <w:szCs w:val="24"/>
        </w:rPr>
        <w:t>would that</w:t>
      </w:r>
      <w:r w:rsidR="009169AA">
        <w:rPr>
          <w:rFonts w:ascii="Garamond" w:hAnsi="Garamond" w:cs="Futura"/>
          <w:sz w:val="24"/>
          <w:szCs w:val="24"/>
        </w:rPr>
        <w:t xml:space="preserve"> </w:t>
      </w:r>
      <w:r w:rsidR="001B48A1">
        <w:rPr>
          <w:rFonts w:ascii="Garamond" w:hAnsi="Garamond" w:cs="Futura"/>
          <w:sz w:val="24"/>
          <w:szCs w:val="24"/>
        </w:rPr>
        <w:t>violate</w:t>
      </w:r>
      <w:r w:rsidR="009169AA">
        <w:rPr>
          <w:rFonts w:ascii="Garamond" w:hAnsi="Garamond" w:cs="Futura"/>
          <w:sz w:val="24"/>
          <w:szCs w:val="24"/>
        </w:rPr>
        <w:t xml:space="preserve"> the principle in </w:t>
      </w:r>
      <w:r w:rsidR="009169AA" w:rsidRPr="009169AA">
        <w:rPr>
          <w:rFonts w:ascii="Garamond" w:hAnsi="Garamond" w:cs="Futura"/>
          <w:i/>
          <w:sz w:val="24"/>
          <w:szCs w:val="24"/>
        </w:rPr>
        <w:t>Proclamations</w:t>
      </w:r>
      <w:r w:rsidR="009169AA">
        <w:rPr>
          <w:rFonts w:ascii="Garamond" w:hAnsi="Garamond" w:cs="Futura"/>
          <w:sz w:val="24"/>
          <w:szCs w:val="24"/>
        </w:rPr>
        <w:t xml:space="preserve">? </w:t>
      </w:r>
      <w:r w:rsidR="00C440A0">
        <w:rPr>
          <w:rFonts w:ascii="Garamond" w:hAnsi="Garamond" w:cs="Futura"/>
          <w:sz w:val="24"/>
          <w:szCs w:val="24"/>
        </w:rPr>
        <w:t>To insist that</w:t>
      </w:r>
      <w:r w:rsidR="001B48A1">
        <w:rPr>
          <w:rFonts w:ascii="Garamond" w:hAnsi="Garamond" w:cs="Futura"/>
          <w:sz w:val="24"/>
          <w:szCs w:val="24"/>
        </w:rPr>
        <w:t xml:space="preserve"> </w:t>
      </w:r>
      <w:r w:rsidR="00BE14B4">
        <w:rPr>
          <w:rFonts w:ascii="Garamond" w:hAnsi="Garamond" w:cs="Futura"/>
          <w:sz w:val="24"/>
          <w:szCs w:val="24"/>
        </w:rPr>
        <w:t>it does</w:t>
      </w:r>
      <w:r w:rsidR="00F125DC">
        <w:rPr>
          <w:rFonts w:ascii="Garamond" w:hAnsi="Garamond" w:cs="Futura"/>
          <w:sz w:val="24"/>
          <w:szCs w:val="24"/>
        </w:rPr>
        <w:t xml:space="preserve"> </w:t>
      </w:r>
      <w:r w:rsidR="00C440A0">
        <w:rPr>
          <w:rFonts w:ascii="Garamond" w:hAnsi="Garamond" w:cs="Futura"/>
          <w:sz w:val="24"/>
          <w:szCs w:val="24"/>
        </w:rPr>
        <w:t xml:space="preserve">is to say that </w:t>
      </w:r>
      <w:r w:rsidR="009169AA" w:rsidRPr="009169AA">
        <w:rPr>
          <w:rFonts w:ascii="Garamond" w:hAnsi="Garamond" w:cs="Futura"/>
          <w:i/>
          <w:sz w:val="24"/>
          <w:szCs w:val="24"/>
        </w:rPr>
        <w:t>Proclamations</w:t>
      </w:r>
      <w:r w:rsidR="007C444F">
        <w:rPr>
          <w:rFonts w:ascii="Garamond" w:hAnsi="Garamond" w:cs="Futura"/>
          <w:sz w:val="24"/>
          <w:szCs w:val="24"/>
        </w:rPr>
        <w:t xml:space="preserve"> stands for a sweeping </w:t>
      </w:r>
      <w:r w:rsidR="009169AA">
        <w:rPr>
          <w:rFonts w:ascii="Garamond" w:hAnsi="Garamond" w:cs="Futura"/>
          <w:sz w:val="24"/>
          <w:szCs w:val="24"/>
        </w:rPr>
        <w:t>p</w:t>
      </w:r>
      <w:r w:rsidR="007E7C60">
        <w:rPr>
          <w:rFonts w:ascii="Garamond" w:hAnsi="Garamond" w:cs="Futura"/>
          <w:sz w:val="24"/>
          <w:szCs w:val="24"/>
        </w:rPr>
        <w:t>roposition that any prerogative</w:t>
      </w:r>
      <w:r w:rsidR="009169AA">
        <w:rPr>
          <w:rFonts w:ascii="Garamond" w:hAnsi="Garamond" w:cs="Futura"/>
          <w:sz w:val="24"/>
          <w:szCs w:val="24"/>
        </w:rPr>
        <w:t xml:space="preserve"> action is </w:t>
      </w:r>
      <w:r w:rsidR="00704909">
        <w:rPr>
          <w:rFonts w:ascii="Garamond" w:hAnsi="Garamond" w:cs="Futura"/>
          <w:sz w:val="24"/>
          <w:szCs w:val="24"/>
        </w:rPr>
        <w:t>impermissible</w:t>
      </w:r>
      <w:r w:rsidR="009169AA">
        <w:rPr>
          <w:rFonts w:ascii="Garamond" w:hAnsi="Garamond" w:cs="Futura"/>
          <w:sz w:val="24"/>
          <w:szCs w:val="24"/>
        </w:rPr>
        <w:t xml:space="preserve"> if it </w:t>
      </w:r>
      <w:r w:rsidR="00872C2B">
        <w:rPr>
          <w:rFonts w:ascii="Garamond" w:hAnsi="Garamond" w:cs="Futura"/>
          <w:sz w:val="24"/>
          <w:szCs w:val="24"/>
        </w:rPr>
        <w:t>is such as to</w:t>
      </w:r>
      <w:r w:rsidR="007C444F">
        <w:rPr>
          <w:rFonts w:ascii="Garamond" w:hAnsi="Garamond" w:cs="Futura"/>
          <w:sz w:val="24"/>
          <w:szCs w:val="24"/>
        </w:rPr>
        <w:t xml:space="preserve"> </w:t>
      </w:r>
      <w:r w:rsidR="00B90A13">
        <w:rPr>
          <w:rFonts w:ascii="Garamond" w:hAnsi="Garamond" w:cs="Futura"/>
          <w:sz w:val="24"/>
          <w:szCs w:val="24"/>
        </w:rPr>
        <w:t>cause</w:t>
      </w:r>
      <w:r w:rsidR="009169AA">
        <w:rPr>
          <w:rFonts w:ascii="Garamond" w:hAnsi="Garamond" w:cs="Futura"/>
          <w:sz w:val="24"/>
          <w:szCs w:val="24"/>
        </w:rPr>
        <w:t xml:space="preserve"> </w:t>
      </w:r>
      <w:r w:rsidR="00C440A0">
        <w:rPr>
          <w:rFonts w:ascii="Garamond" w:hAnsi="Garamond" w:cs="Futura"/>
          <w:sz w:val="24"/>
          <w:szCs w:val="24"/>
        </w:rPr>
        <w:t>a</w:t>
      </w:r>
      <w:r w:rsidR="00F6156C">
        <w:rPr>
          <w:rFonts w:ascii="Garamond" w:hAnsi="Garamond" w:cs="Futura"/>
          <w:sz w:val="24"/>
          <w:szCs w:val="24"/>
        </w:rPr>
        <w:t>n eventual</w:t>
      </w:r>
      <w:r w:rsidR="00C440A0">
        <w:rPr>
          <w:rFonts w:ascii="Garamond" w:hAnsi="Garamond" w:cs="Futura"/>
          <w:sz w:val="24"/>
          <w:szCs w:val="24"/>
        </w:rPr>
        <w:t xml:space="preserve"> change in </w:t>
      </w:r>
      <w:r w:rsidR="00915A00">
        <w:rPr>
          <w:rFonts w:ascii="Garamond" w:hAnsi="Garamond" w:cs="Futura"/>
          <w:sz w:val="24"/>
          <w:szCs w:val="24"/>
        </w:rPr>
        <w:t xml:space="preserve">the relevant </w:t>
      </w:r>
      <w:r w:rsidR="009169AA">
        <w:rPr>
          <w:rFonts w:ascii="Garamond" w:hAnsi="Garamond" w:cs="Futura"/>
          <w:sz w:val="24"/>
          <w:szCs w:val="24"/>
        </w:rPr>
        <w:t xml:space="preserve">official </w:t>
      </w:r>
      <w:r w:rsidR="00C440A0">
        <w:rPr>
          <w:rFonts w:ascii="Garamond" w:hAnsi="Garamond" w:cs="Futura"/>
          <w:sz w:val="24"/>
          <w:szCs w:val="24"/>
        </w:rPr>
        <w:t>custom</w:t>
      </w:r>
      <w:r w:rsidR="009169AA">
        <w:rPr>
          <w:rFonts w:ascii="Garamond" w:hAnsi="Garamond" w:cs="Futura"/>
          <w:sz w:val="24"/>
          <w:szCs w:val="24"/>
        </w:rPr>
        <w:t xml:space="preserve">. </w:t>
      </w:r>
      <w:r w:rsidR="00DF2D45">
        <w:rPr>
          <w:rFonts w:ascii="Garamond" w:hAnsi="Garamond" w:cs="Futura"/>
          <w:sz w:val="24"/>
          <w:szCs w:val="24"/>
        </w:rPr>
        <w:t>That would b</w:t>
      </w:r>
      <w:r w:rsidR="00BF5FCA">
        <w:rPr>
          <w:rFonts w:ascii="Garamond" w:hAnsi="Garamond" w:cs="Futura"/>
          <w:sz w:val="24"/>
          <w:szCs w:val="24"/>
        </w:rPr>
        <w:t xml:space="preserve">e an </w:t>
      </w:r>
      <w:r w:rsidR="00DF2D45">
        <w:rPr>
          <w:rFonts w:ascii="Garamond" w:hAnsi="Garamond" w:cs="Futura"/>
          <w:sz w:val="24"/>
          <w:szCs w:val="24"/>
        </w:rPr>
        <w:t>odd view</w:t>
      </w:r>
      <w:r w:rsidR="003B171F">
        <w:rPr>
          <w:rFonts w:ascii="Garamond" w:hAnsi="Garamond" w:cs="Futura"/>
          <w:sz w:val="24"/>
          <w:szCs w:val="24"/>
        </w:rPr>
        <w:t>, and not in line with what Craig says about legislative action</w:t>
      </w:r>
      <w:r w:rsidR="00DF2D45">
        <w:rPr>
          <w:rFonts w:ascii="Garamond" w:hAnsi="Garamond" w:cs="Futura"/>
          <w:sz w:val="24"/>
          <w:szCs w:val="24"/>
        </w:rPr>
        <w:t xml:space="preserve">. </w:t>
      </w:r>
      <w:r w:rsidR="00C440A0">
        <w:rPr>
          <w:rFonts w:ascii="Garamond" w:hAnsi="Garamond" w:cs="Futura"/>
          <w:sz w:val="24"/>
          <w:szCs w:val="24"/>
        </w:rPr>
        <w:t xml:space="preserve">The </w:t>
      </w:r>
      <w:r w:rsidR="007C444F">
        <w:rPr>
          <w:rFonts w:ascii="Garamond" w:hAnsi="Garamond" w:cs="Futura"/>
          <w:sz w:val="24"/>
          <w:szCs w:val="24"/>
        </w:rPr>
        <w:t>sounder view</w:t>
      </w:r>
      <w:r w:rsidR="00BE14B4">
        <w:rPr>
          <w:rFonts w:ascii="Garamond" w:hAnsi="Garamond" w:cs="Futura"/>
          <w:sz w:val="24"/>
          <w:szCs w:val="24"/>
        </w:rPr>
        <w:t xml:space="preserve"> is </w:t>
      </w:r>
      <w:r w:rsidR="00592D72">
        <w:rPr>
          <w:rFonts w:ascii="Garamond" w:hAnsi="Garamond" w:cs="Futura"/>
          <w:sz w:val="24"/>
          <w:szCs w:val="24"/>
        </w:rPr>
        <w:t>that</w:t>
      </w:r>
      <w:r w:rsidR="00C440A0">
        <w:rPr>
          <w:rFonts w:ascii="Garamond" w:hAnsi="Garamond" w:cs="Futura"/>
          <w:sz w:val="24"/>
          <w:szCs w:val="24"/>
        </w:rPr>
        <w:t>,</w:t>
      </w:r>
      <w:r w:rsidR="00592D72">
        <w:rPr>
          <w:rFonts w:ascii="Garamond" w:hAnsi="Garamond" w:cs="Futura"/>
          <w:sz w:val="24"/>
          <w:szCs w:val="24"/>
        </w:rPr>
        <w:t xml:space="preserve"> </w:t>
      </w:r>
      <w:r w:rsidR="00C440A0">
        <w:rPr>
          <w:rFonts w:ascii="Garamond" w:hAnsi="Garamond" w:cs="Futura"/>
          <w:sz w:val="24"/>
          <w:szCs w:val="24"/>
        </w:rPr>
        <w:t xml:space="preserve">as with legislative action, </w:t>
      </w:r>
      <w:r w:rsidR="00592D72">
        <w:rPr>
          <w:rFonts w:ascii="Garamond" w:hAnsi="Garamond" w:cs="Futura"/>
          <w:sz w:val="24"/>
          <w:szCs w:val="24"/>
        </w:rPr>
        <w:t>sometimes prerogative action</w:t>
      </w:r>
      <w:r w:rsidR="00C440A0">
        <w:rPr>
          <w:rFonts w:ascii="Garamond" w:hAnsi="Garamond" w:cs="Futura"/>
          <w:sz w:val="24"/>
          <w:szCs w:val="24"/>
        </w:rPr>
        <w:t xml:space="preserve"> </w:t>
      </w:r>
      <w:r w:rsidR="00592D72">
        <w:rPr>
          <w:rFonts w:ascii="Garamond" w:hAnsi="Garamond" w:cs="Futura"/>
          <w:sz w:val="24"/>
          <w:szCs w:val="24"/>
        </w:rPr>
        <w:t xml:space="preserve">may indeed </w:t>
      </w:r>
      <w:r w:rsidR="00B90A13">
        <w:rPr>
          <w:rFonts w:ascii="Garamond" w:hAnsi="Garamond" w:cs="Futura"/>
          <w:sz w:val="24"/>
          <w:szCs w:val="24"/>
        </w:rPr>
        <w:t>permissibly cause such</w:t>
      </w:r>
      <w:r w:rsidR="008D774A">
        <w:rPr>
          <w:rFonts w:ascii="Garamond" w:hAnsi="Garamond" w:cs="Futura"/>
          <w:sz w:val="24"/>
          <w:szCs w:val="24"/>
        </w:rPr>
        <w:t xml:space="preserve"> </w:t>
      </w:r>
      <w:r w:rsidR="00592D72">
        <w:rPr>
          <w:rFonts w:ascii="Garamond" w:hAnsi="Garamond" w:cs="Futura"/>
          <w:sz w:val="24"/>
          <w:szCs w:val="24"/>
        </w:rPr>
        <w:t>changes</w:t>
      </w:r>
      <w:r w:rsidR="008D774A">
        <w:rPr>
          <w:rFonts w:ascii="Garamond" w:hAnsi="Garamond" w:cs="Futura"/>
          <w:sz w:val="24"/>
          <w:szCs w:val="24"/>
        </w:rPr>
        <w:t>.</w:t>
      </w:r>
      <w:r w:rsidR="003B171F">
        <w:rPr>
          <w:rFonts w:ascii="Garamond" w:hAnsi="Garamond" w:cs="Futura"/>
          <w:sz w:val="24"/>
          <w:szCs w:val="24"/>
        </w:rPr>
        <w:t xml:space="preserve"> </w:t>
      </w:r>
      <w:r w:rsidR="00F6156C">
        <w:rPr>
          <w:rFonts w:ascii="Garamond" w:hAnsi="Garamond" w:cs="Futura"/>
          <w:sz w:val="24"/>
          <w:szCs w:val="24"/>
        </w:rPr>
        <w:t>At least, n</w:t>
      </w:r>
      <w:r w:rsidR="003B171F">
        <w:rPr>
          <w:rFonts w:ascii="Garamond" w:hAnsi="Garamond" w:cs="Futura"/>
          <w:sz w:val="24"/>
          <w:szCs w:val="24"/>
        </w:rPr>
        <w:t xml:space="preserve">o reason to think otherwise, whether in theory or in </w:t>
      </w:r>
      <w:r w:rsidR="003B171F" w:rsidRPr="003B171F">
        <w:rPr>
          <w:rFonts w:ascii="Garamond" w:hAnsi="Garamond" w:cs="Futura"/>
          <w:i/>
          <w:sz w:val="24"/>
          <w:szCs w:val="24"/>
        </w:rPr>
        <w:t>Proclamations</w:t>
      </w:r>
      <w:r w:rsidR="005C7E78">
        <w:rPr>
          <w:rFonts w:ascii="Garamond" w:hAnsi="Garamond" w:cs="Futura"/>
          <w:sz w:val="24"/>
          <w:szCs w:val="24"/>
        </w:rPr>
        <w:t>, has been provided.</w:t>
      </w:r>
      <w:r w:rsidR="00106D35">
        <w:rPr>
          <w:rFonts w:ascii="Garamond" w:hAnsi="Garamond" w:cs="Futura"/>
          <w:sz w:val="24"/>
          <w:szCs w:val="24"/>
        </w:rPr>
        <w:t xml:space="preserve"> Here w</w:t>
      </w:r>
      <w:r w:rsidR="0036463F">
        <w:rPr>
          <w:rFonts w:ascii="Garamond" w:hAnsi="Garamond" w:cs="Futura"/>
          <w:sz w:val="24"/>
          <w:szCs w:val="24"/>
        </w:rPr>
        <w:t>e may note the</w:t>
      </w:r>
      <w:r w:rsidR="00106D35">
        <w:rPr>
          <w:rFonts w:ascii="Garamond" w:hAnsi="Garamond" w:cs="Futura"/>
          <w:sz w:val="24"/>
          <w:szCs w:val="24"/>
        </w:rPr>
        <w:t xml:space="preserve"> useful distinction between the result of an act and the consequences of an act.</w:t>
      </w:r>
      <w:r w:rsidR="00106D35">
        <w:rPr>
          <w:rStyle w:val="FootnoteReference"/>
          <w:rFonts w:ascii="Garamond" w:hAnsi="Garamond" w:cs="Futura"/>
          <w:sz w:val="24"/>
          <w:szCs w:val="24"/>
        </w:rPr>
        <w:footnoteReference w:id="39"/>
      </w:r>
      <w:r w:rsidR="00106D35">
        <w:rPr>
          <w:rFonts w:ascii="Garamond" w:hAnsi="Garamond" w:cs="Futura"/>
          <w:sz w:val="24"/>
          <w:szCs w:val="24"/>
        </w:rPr>
        <w:t xml:space="preserve"> It is argued that </w:t>
      </w:r>
      <w:r w:rsidR="00106D35" w:rsidRPr="005C04F6">
        <w:rPr>
          <w:rFonts w:ascii="Garamond" w:hAnsi="Garamond" w:cs="Futura"/>
          <w:sz w:val="24"/>
          <w:szCs w:val="24"/>
        </w:rPr>
        <w:t>“to every act … there corresponds a c</w:t>
      </w:r>
      <w:r w:rsidR="00106D35">
        <w:rPr>
          <w:rFonts w:ascii="Garamond" w:hAnsi="Garamond" w:cs="Futura"/>
          <w:sz w:val="24"/>
          <w:szCs w:val="24"/>
        </w:rPr>
        <w:t>hange or an event in the world”.</w:t>
      </w:r>
      <w:r w:rsidR="00106D35">
        <w:rPr>
          <w:rStyle w:val="FootnoteReference"/>
          <w:rFonts w:ascii="Garamond" w:hAnsi="Garamond" w:cs="Futura"/>
          <w:sz w:val="24"/>
          <w:szCs w:val="24"/>
        </w:rPr>
        <w:footnoteReference w:id="40"/>
      </w:r>
      <w:r w:rsidR="00106D35">
        <w:rPr>
          <w:rFonts w:ascii="Garamond" w:hAnsi="Garamond" w:cs="Futura"/>
          <w:sz w:val="24"/>
          <w:szCs w:val="24"/>
        </w:rPr>
        <w:t xml:space="preserve"> </w:t>
      </w:r>
      <w:r w:rsidR="00106D35" w:rsidRPr="005C04F6">
        <w:rPr>
          <w:rFonts w:ascii="Garamond" w:hAnsi="Garamond" w:cs="Futura"/>
          <w:sz w:val="24"/>
          <w:szCs w:val="24"/>
        </w:rPr>
        <w:t xml:space="preserve">With an act’s result, the correspondence between the act and the result is intrinsic; the act of opening the window </w:t>
      </w:r>
      <w:r w:rsidR="00106D35" w:rsidRPr="005C04F6">
        <w:rPr>
          <w:rFonts w:ascii="Garamond" w:hAnsi="Garamond" w:cs="Futura"/>
          <w:i/>
          <w:sz w:val="24"/>
          <w:szCs w:val="24"/>
        </w:rPr>
        <w:t>results</w:t>
      </w:r>
      <w:r w:rsidR="00106D35" w:rsidRPr="005C04F6">
        <w:rPr>
          <w:rFonts w:ascii="Garamond" w:hAnsi="Garamond" w:cs="Futura"/>
          <w:sz w:val="24"/>
          <w:szCs w:val="24"/>
        </w:rPr>
        <w:t xml:space="preserve"> in a change in the world whereby the window is open. With an act’s consequences, the correspondence between act and consequence is </w:t>
      </w:r>
      <w:r w:rsidR="00106D35" w:rsidRPr="005C04F6">
        <w:rPr>
          <w:rFonts w:ascii="Garamond" w:hAnsi="Garamond" w:cs="Futura"/>
          <w:i/>
          <w:sz w:val="24"/>
          <w:szCs w:val="24"/>
        </w:rPr>
        <w:t>causal</w:t>
      </w:r>
      <w:r w:rsidR="00106D35" w:rsidRPr="005C04F6">
        <w:rPr>
          <w:rFonts w:ascii="Garamond" w:hAnsi="Garamond" w:cs="Futura"/>
          <w:sz w:val="24"/>
          <w:szCs w:val="24"/>
        </w:rPr>
        <w:t>, hence “a consequence of the act of opening a window may be that the tempe</w:t>
      </w:r>
      <w:r w:rsidR="00106D35">
        <w:rPr>
          <w:rFonts w:ascii="Garamond" w:hAnsi="Garamond" w:cs="Futura"/>
          <w:sz w:val="24"/>
          <w:szCs w:val="24"/>
        </w:rPr>
        <w:t>rature in a certain room sinks”.</w:t>
      </w:r>
      <w:r w:rsidR="00106D35">
        <w:rPr>
          <w:rStyle w:val="FootnoteReference"/>
          <w:rFonts w:ascii="Garamond" w:hAnsi="Garamond" w:cs="Futura"/>
          <w:sz w:val="24"/>
          <w:szCs w:val="24"/>
        </w:rPr>
        <w:footnoteReference w:id="41"/>
      </w:r>
      <w:r w:rsidR="00106D35">
        <w:rPr>
          <w:rFonts w:ascii="Garamond" w:hAnsi="Garamond" w:cs="Futura"/>
          <w:sz w:val="24"/>
          <w:szCs w:val="24"/>
        </w:rPr>
        <w:t xml:space="preserve"> Equally, the Government’s use of the foreign affairs prerogative may </w:t>
      </w:r>
      <w:r w:rsidR="005D2C93">
        <w:rPr>
          <w:rFonts w:ascii="Garamond" w:hAnsi="Garamond" w:cs="Futura"/>
          <w:sz w:val="24"/>
          <w:szCs w:val="24"/>
        </w:rPr>
        <w:t>in some way</w:t>
      </w:r>
      <w:r w:rsidR="00106D35">
        <w:rPr>
          <w:rFonts w:ascii="Garamond" w:hAnsi="Garamond" w:cs="Futura"/>
          <w:sz w:val="24"/>
          <w:szCs w:val="24"/>
        </w:rPr>
        <w:t xml:space="preserve"> </w:t>
      </w:r>
      <w:r w:rsidR="00106D35" w:rsidRPr="009051F4">
        <w:rPr>
          <w:rFonts w:ascii="Garamond" w:hAnsi="Garamond" w:cs="Futura"/>
          <w:i/>
          <w:sz w:val="24"/>
          <w:szCs w:val="24"/>
        </w:rPr>
        <w:t>cause</w:t>
      </w:r>
      <w:r w:rsidR="00106D35">
        <w:rPr>
          <w:rFonts w:ascii="Garamond" w:hAnsi="Garamond" w:cs="Futura"/>
          <w:sz w:val="24"/>
          <w:szCs w:val="24"/>
        </w:rPr>
        <w:t xml:space="preserve"> cha</w:t>
      </w:r>
      <w:r w:rsidR="00770C5A">
        <w:rPr>
          <w:rFonts w:ascii="Garamond" w:hAnsi="Garamond" w:cs="Futura"/>
          <w:sz w:val="24"/>
          <w:szCs w:val="24"/>
        </w:rPr>
        <w:t xml:space="preserve">nges in the rule of recognition. We have </w:t>
      </w:r>
      <w:r w:rsidR="00084313">
        <w:rPr>
          <w:rFonts w:ascii="Garamond" w:hAnsi="Garamond" w:cs="Futura"/>
          <w:sz w:val="24"/>
          <w:szCs w:val="24"/>
        </w:rPr>
        <w:t>not</w:t>
      </w:r>
      <w:r w:rsidR="00CC2525">
        <w:rPr>
          <w:rFonts w:ascii="Garamond" w:hAnsi="Garamond" w:cs="Futura"/>
          <w:sz w:val="24"/>
          <w:szCs w:val="24"/>
        </w:rPr>
        <w:t xml:space="preserve"> yet</w:t>
      </w:r>
      <w:r w:rsidR="00084313">
        <w:rPr>
          <w:rFonts w:ascii="Garamond" w:hAnsi="Garamond" w:cs="Futura"/>
          <w:sz w:val="24"/>
          <w:szCs w:val="24"/>
        </w:rPr>
        <w:t xml:space="preserve"> been given a </w:t>
      </w:r>
      <w:r w:rsidR="00770C5A">
        <w:rPr>
          <w:rFonts w:ascii="Garamond" w:hAnsi="Garamond" w:cs="Futura"/>
          <w:sz w:val="24"/>
          <w:szCs w:val="24"/>
        </w:rPr>
        <w:t xml:space="preserve">reason </w:t>
      </w:r>
      <w:r w:rsidR="00084313">
        <w:rPr>
          <w:rFonts w:ascii="Garamond" w:hAnsi="Garamond" w:cs="Futura"/>
          <w:sz w:val="24"/>
          <w:szCs w:val="24"/>
        </w:rPr>
        <w:t>to think</w:t>
      </w:r>
      <w:r w:rsidR="00770C5A">
        <w:rPr>
          <w:rFonts w:ascii="Garamond" w:hAnsi="Garamond" w:cs="Futura"/>
          <w:sz w:val="24"/>
          <w:szCs w:val="24"/>
        </w:rPr>
        <w:t xml:space="preserve"> </w:t>
      </w:r>
      <w:r w:rsidR="00CC2525">
        <w:rPr>
          <w:rFonts w:ascii="Garamond" w:hAnsi="Garamond" w:cs="Futura"/>
          <w:sz w:val="24"/>
          <w:szCs w:val="24"/>
        </w:rPr>
        <w:t xml:space="preserve">that </w:t>
      </w:r>
      <w:r w:rsidR="00106D35">
        <w:rPr>
          <w:rFonts w:ascii="Garamond" w:hAnsi="Garamond" w:cs="Futura"/>
          <w:sz w:val="24"/>
          <w:szCs w:val="24"/>
        </w:rPr>
        <w:t>this</w:t>
      </w:r>
      <w:r w:rsidR="00CC2525">
        <w:rPr>
          <w:rFonts w:ascii="Garamond" w:hAnsi="Garamond" w:cs="Futura"/>
          <w:sz w:val="24"/>
          <w:szCs w:val="24"/>
        </w:rPr>
        <w:t xml:space="preserve"> is</w:t>
      </w:r>
      <w:r w:rsidR="00106D35">
        <w:rPr>
          <w:rFonts w:ascii="Garamond" w:hAnsi="Garamond" w:cs="Futura"/>
          <w:sz w:val="24"/>
          <w:szCs w:val="24"/>
        </w:rPr>
        <w:t xml:space="preserve"> constitutionally impermissible.</w:t>
      </w:r>
    </w:p>
    <w:p w14:paraId="78E468F8" w14:textId="5D8EE185" w:rsidR="00E5531F" w:rsidRDefault="00662BE7" w:rsidP="0070103A">
      <w:pPr>
        <w:ind w:firstLine="624"/>
        <w:contextualSpacing/>
        <w:rPr>
          <w:rFonts w:ascii="Garamond" w:hAnsi="Garamond" w:cs="Futura"/>
          <w:sz w:val="24"/>
          <w:szCs w:val="24"/>
        </w:rPr>
      </w:pPr>
      <w:r>
        <w:rPr>
          <w:rFonts w:ascii="Garamond" w:hAnsi="Garamond" w:cs="Futura"/>
          <w:sz w:val="24"/>
          <w:szCs w:val="24"/>
        </w:rPr>
        <w:t>Additionally,</w:t>
      </w:r>
      <w:r w:rsidR="00732F8A">
        <w:rPr>
          <w:rFonts w:ascii="Garamond" w:hAnsi="Garamond" w:cs="Futura"/>
          <w:sz w:val="24"/>
          <w:szCs w:val="24"/>
        </w:rPr>
        <w:t xml:space="preserve"> although Craig </w:t>
      </w:r>
      <w:r w:rsidR="00732F8A" w:rsidRPr="00732F8A">
        <w:rPr>
          <w:rFonts w:ascii="Garamond" w:hAnsi="Garamond" w:cs="Futura"/>
          <w:sz w:val="24"/>
          <w:szCs w:val="24"/>
        </w:rPr>
        <w:t xml:space="preserve">suggests that the </w:t>
      </w:r>
      <w:r w:rsidR="00732F8A">
        <w:rPr>
          <w:rFonts w:ascii="Garamond" w:hAnsi="Garamond" w:cs="Futura"/>
          <w:sz w:val="24"/>
          <w:szCs w:val="24"/>
        </w:rPr>
        <w:t xml:space="preserve">(ultimate) </w:t>
      </w:r>
      <w:r w:rsidR="00732F8A" w:rsidRPr="00732F8A">
        <w:rPr>
          <w:rFonts w:ascii="Garamond" w:hAnsi="Garamond" w:cs="Futura"/>
          <w:sz w:val="24"/>
          <w:szCs w:val="24"/>
        </w:rPr>
        <w:t xml:space="preserve">rule of recognition </w:t>
      </w:r>
      <w:r w:rsidR="00872DDC">
        <w:rPr>
          <w:rFonts w:ascii="Garamond" w:hAnsi="Garamond" w:cs="Futura"/>
          <w:sz w:val="24"/>
          <w:szCs w:val="24"/>
        </w:rPr>
        <w:t xml:space="preserve">itself </w:t>
      </w:r>
      <w:r w:rsidR="00732F8A">
        <w:rPr>
          <w:rFonts w:ascii="Garamond" w:hAnsi="Garamond" w:cs="Futura"/>
          <w:sz w:val="24"/>
          <w:szCs w:val="24"/>
        </w:rPr>
        <w:t>“</w:t>
      </w:r>
      <w:r w:rsidR="00E5531F" w:rsidRPr="00732F8A">
        <w:rPr>
          <w:rFonts w:ascii="Garamond" w:hAnsi="Garamond" w:cs="Futura"/>
          <w:sz w:val="24"/>
          <w:szCs w:val="24"/>
        </w:rPr>
        <w:t>constitu</w:t>
      </w:r>
      <w:r w:rsidR="00732F8A" w:rsidRPr="00732F8A">
        <w:rPr>
          <w:rFonts w:ascii="Garamond" w:hAnsi="Garamond" w:cs="Futura"/>
          <w:sz w:val="24"/>
          <w:szCs w:val="24"/>
        </w:rPr>
        <w:t>tes part of the law of the land”</w:t>
      </w:r>
      <w:r w:rsidR="00732F8A">
        <w:rPr>
          <w:rFonts w:ascii="Garamond" w:hAnsi="Garamond" w:cs="Futura"/>
          <w:sz w:val="24"/>
          <w:szCs w:val="24"/>
        </w:rPr>
        <w:t>,</w:t>
      </w:r>
      <w:r w:rsidR="00E5531F">
        <w:rPr>
          <w:rStyle w:val="FootnoteReference"/>
          <w:rFonts w:ascii="Garamond" w:hAnsi="Garamond" w:cs="Futura"/>
          <w:sz w:val="24"/>
        </w:rPr>
        <w:footnoteReference w:id="42"/>
      </w:r>
      <w:r w:rsidR="00732F8A">
        <w:rPr>
          <w:rFonts w:ascii="Garamond" w:hAnsi="Garamond" w:cs="Futura"/>
          <w:sz w:val="24"/>
          <w:szCs w:val="24"/>
        </w:rPr>
        <w:t xml:space="preserve"> legal theorists debate</w:t>
      </w:r>
      <w:r w:rsidR="00E5531F">
        <w:rPr>
          <w:rFonts w:ascii="Garamond" w:hAnsi="Garamond" w:cs="Futura"/>
          <w:sz w:val="24"/>
          <w:szCs w:val="24"/>
        </w:rPr>
        <w:t xml:space="preserve"> whether </w:t>
      </w:r>
      <w:r w:rsidR="00732F8A">
        <w:rPr>
          <w:rFonts w:ascii="Garamond" w:hAnsi="Garamond" w:cs="Futura"/>
          <w:sz w:val="24"/>
          <w:szCs w:val="24"/>
        </w:rPr>
        <w:t>it</w:t>
      </w:r>
      <w:r w:rsidR="00E5531F">
        <w:rPr>
          <w:rFonts w:ascii="Garamond" w:hAnsi="Garamond" w:cs="Futura"/>
          <w:sz w:val="24"/>
          <w:szCs w:val="24"/>
        </w:rPr>
        <w:t xml:space="preserve"> is a </w:t>
      </w:r>
      <w:r w:rsidR="00E5531F" w:rsidRPr="002B0D69">
        <w:rPr>
          <w:rFonts w:ascii="Garamond" w:hAnsi="Garamond" w:cs="Futura"/>
          <w:i/>
          <w:sz w:val="24"/>
          <w:szCs w:val="24"/>
        </w:rPr>
        <w:t>legal</w:t>
      </w:r>
      <w:r w:rsidR="00E5531F">
        <w:rPr>
          <w:rFonts w:ascii="Garamond" w:hAnsi="Garamond" w:cs="Futura"/>
          <w:sz w:val="24"/>
          <w:szCs w:val="24"/>
        </w:rPr>
        <w:t xml:space="preserve"> rule – i.e. part of the law of the system – or whether it stands apart from the law of the system.</w:t>
      </w:r>
      <w:r w:rsidR="00E5531F">
        <w:rPr>
          <w:rStyle w:val="FootnoteReference"/>
          <w:rFonts w:ascii="Garamond" w:hAnsi="Garamond" w:cs="Futura"/>
          <w:sz w:val="24"/>
          <w:szCs w:val="24"/>
        </w:rPr>
        <w:footnoteReference w:id="43"/>
      </w:r>
      <w:r w:rsidR="0070103A">
        <w:rPr>
          <w:rFonts w:ascii="Garamond" w:hAnsi="Garamond" w:cs="Futura"/>
          <w:sz w:val="24"/>
          <w:szCs w:val="24"/>
        </w:rPr>
        <w:t xml:space="preserve"> All </w:t>
      </w:r>
      <w:r w:rsidR="0070103A">
        <w:rPr>
          <w:rFonts w:ascii="Garamond" w:hAnsi="Garamond" w:cs="Futura"/>
          <w:sz w:val="24"/>
          <w:szCs w:val="24"/>
        </w:rPr>
        <w:lastRenderedPageBreak/>
        <w:t xml:space="preserve">this </w:t>
      </w:r>
      <w:r w:rsidR="00F72A67">
        <w:rPr>
          <w:rFonts w:ascii="Garamond" w:hAnsi="Garamond" w:cs="Futura"/>
          <w:sz w:val="24"/>
          <w:szCs w:val="24"/>
        </w:rPr>
        <w:t>indicates</w:t>
      </w:r>
      <w:r w:rsidR="0070103A">
        <w:rPr>
          <w:rFonts w:ascii="Garamond" w:hAnsi="Garamond" w:cs="Futura"/>
          <w:sz w:val="24"/>
          <w:szCs w:val="24"/>
        </w:rPr>
        <w:t xml:space="preserve"> that</w:t>
      </w:r>
      <w:r>
        <w:rPr>
          <w:rFonts w:ascii="Garamond" w:hAnsi="Garamond" w:cs="Futura"/>
          <w:sz w:val="24"/>
          <w:szCs w:val="24"/>
        </w:rPr>
        <w:t xml:space="preserve"> reliance</w:t>
      </w:r>
      <w:r w:rsidR="00732F8A">
        <w:rPr>
          <w:rFonts w:ascii="Garamond" w:hAnsi="Garamond" w:cs="Futura"/>
          <w:sz w:val="24"/>
          <w:szCs w:val="24"/>
        </w:rPr>
        <w:t xml:space="preserve"> on the (ultimate) rule of recognition does not seem to </w:t>
      </w:r>
      <w:r w:rsidR="00707CA4">
        <w:rPr>
          <w:rFonts w:ascii="Garamond" w:hAnsi="Garamond" w:cs="Futura"/>
          <w:sz w:val="24"/>
          <w:szCs w:val="24"/>
        </w:rPr>
        <w:t>get</w:t>
      </w:r>
      <w:r w:rsidR="00732F8A">
        <w:rPr>
          <w:rFonts w:ascii="Garamond" w:hAnsi="Garamond" w:cs="Futura"/>
          <w:sz w:val="24"/>
          <w:szCs w:val="24"/>
        </w:rPr>
        <w:t xml:space="preserve"> us very far. </w:t>
      </w:r>
      <w:r w:rsidR="00E5531F">
        <w:rPr>
          <w:rFonts w:ascii="Garamond" w:hAnsi="Garamond" w:cs="Futura"/>
          <w:sz w:val="24"/>
          <w:szCs w:val="24"/>
        </w:rPr>
        <w:t xml:space="preserve">Not only does it complicate the analysis, it </w:t>
      </w:r>
      <w:r w:rsidR="00E5531F">
        <w:rPr>
          <w:rFonts w:ascii="Garamond" w:hAnsi="Garamond" w:cs="Futura"/>
          <w:sz w:val="24"/>
        </w:rPr>
        <w:t>distracts from the main</w:t>
      </w:r>
      <w:r w:rsidR="00E5531F" w:rsidRPr="001A6DC0">
        <w:rPr>
          <w:rFonts w:ascii="Garamond" w:hAnsi="Garamond" w:cs="Futura"/>
          <w:sz w:val="24"/>
        </w:rPr>
        <w:t xml:space="preserve"> issue</w:t>
      </w:r>
      <w:r w:rsidR="00E5531F">
        <w:rPr>
          <w:rFonts w:ascii="Garamond" w:hAnsi="Garamond" w:cs="Futura"/>
          <w:sz w:val="24"/>
        </w:rPr>
        <w:t xml:space="preserve"> in </w:t>
      </w:r>
      <w:r w:rsidR="00E5531F" w:rsidRPr="00894BAE">
        <w:rPr>
          <w:rFonts w:ascii="Garamond" w:hAnsi="Garamond" w:cs="Futura"/>
          <w:i/>
          <w:sz w:val="24"/>
        </w:rPr>
        <w:t>Miller</w:t>
      </w:r>
      <w:r w:rsidR="00E5531F">
        <w:rPr>
          <w:rFonts w:ascii="Garamond" w:hAnsi="Garamond" w:cs="Futura"/>
          <w:sz w:val="24"/>
        </w:rPr>
        <w:t xml:space="preserve">: </w:t>
      </w:r>
      <w:r w:rsidR="008D29C9">
        <w:rPr>
          <w:rFonts w:ascii="Garamond" w:hAnsi="Garamond" w:cs="Futura"/>
          <w:sz w:val="24"/>
        </w:rPr>
        <w:t>whether,</w:t>
      </w:r>
      <w:r w:rsidR="00E5531F">
        <w:rPr>
          <w:rFonts w:ascii="Garamond" w:hAnsi="Garamond" w:cs="Futura"/>
          <w:sz w:val="24"/>
        </w:rPr>
        <w:t xml:space="preserve"> in </w:t>
      </w:r>
      <w:r w:rsidR="008D29C9">
        <w:rPr>
          <w:rFonts w:ascii="Garamond" w:hAnsi="Garamond" w:cs="Futura"/>
          <w:sz w:val="24"/>
        </w:rPr>
        <w:t>that</w:t>
      </w:r>
      <w:r w:rsidR="00E5531F">
        <w:rPr>
          <w:rFonts w:ascii="Garamond" w:hAnsi="Garamond" w:cs="Futura"/>
          <w:sz w:val="24"/>
        </w:rPr>
        <w:t xml:space="preserve"> case, prerogative action is impermissible without legislative </w:t>
      </w:r>
      <w:r w:rsidR="00707CA4">
        <w:rPr>
          <w:rFonts w:ascii="Garamond" w:hAnsi="Garamond" w:cs="Futura"/>
          <w:sz w:val="24"/>
        </w:rPr>
        <w:t>authorisation</w:t>
      </w:r>
      <w:r w:rsidR="00E5531F">
        <w:rPr>
          <w:rFonts w:ascii="Garamond" w:hAnsi="Garamond" w:cs="Futura"/>
          <w:sz w:val="24"/>
        </w:rPr>
        <w:t>.</w:t>
      </w:r>
    </w:p>
    <w:p w14:paraId="78B67619" w14:textId="3CC682A0" w:rsidR="00DC19C7" w:rsidRDefault="00DC19C7" w:rsidP="0059522C">
      <w:pPr>
        <w:contextualSpacing/>
        <w:rPr>
          <w:rFonts w:ascii="Garamond" w:hAnsi="Garamond" w:cs="Futura"/>
          <w:sz w:val="24"/>
        </w:rPr>
      </w:pPr>
    </w:p>
    <w:p w14:paraId="5DBD7740" w14:textId="183E67F0" w:rsidR="00DF56D7" w:rsidRPr="00DF56D7" w:rsidRDefault="004D710C" w:rsidP="00DF56D7">
      <w:pPr>
        <w:contextualSpacing/>
        <w:jc w:val="center"/>
        <w:rPr>
          <w:rFonts w:ascii="Garamond" w:hAnsi="Garamond" w:cs="Futura"/>
          <w:b/>
          <w:sz w:val="24"/>
        </w:rPr>
      </w:pPr>
      <w:r>
        <w:rPr>
          <w:rFonts w:ascii="Garamond" w:hAnsi="Garamond" w:cs="Futura"/>
          <w:b/>
          <w:sz w:val="24"/>
        </w:rPr>
        <w:t>I</w:t>
      </w:r>
      <w:r w:rsidR="00C71F59">
        <w:rPr>
          <w:rFonts w:ascii="Garamond" w:hAnsi="Garamond" w:cs="Futura"/>
          <w:b/>
          <w:sz w:val="24"/>
        </w:rPr>
        <w:t>II</w:t>
      </w:r>
      <w:r>
        <w:rPr>
          <w:rFonts w:ascii="Garamond" w:hAnsi="Garamond" w:cs="Futura"/>
          <w:b/>
          <w:sz w:val="24"/>
        </w:rPr>
        <w:t xml:space="preserve">. </w:t>
      </w:r>
      <w:r w:rsidR="00894BAE">
        <w:rPr>
          <w:rFonts w:ascii="Garamond" w:hAnsi="Garamond" w:cs="Futura"/>
          <w:b/>
          <w:sz w:val="24"/>
        </w:rPr>
        <w:t>T</w:t>
      </w:r>
      <w:r w:rsidR="00DF56D7" w:rsidRPr="00DF56D7">
        <w:rPr>
          <w:rFonts w:ascii="Garamond" w:hAnsi="Garamond" w:cs="Futura"/>
          <w:b/>
          <w:sz w:val="24"/>
        </w:rPr>
        <w:t xml:space="preserve">he majority’s </w:t>
      </w:r>
      <w:r w:rsidR="00884068">
        <w:rPr>
          <w:rFonts w:ascii="Garamond" w:hAnsi="Garamond" w:cs="Futura"/>
          <w:b/>
          <w:sz w:val="24"/>
        </w:rPr>
        <w:t>description</w:t>
      </w:r>
      <w:r w:rsidR="00DF56D7" w:rsidRPr="00DF56D7">
        <w:rPr>
          <w:rFonts w:ascii="Garamond" w:hAnsi="Garamond" w:cs="Futura"/>
          <w:b/>
          <w:sz w:val="24"/>
        </w:rPr>
        <w:t xml:space="preserve"> of EU law</w:t>
      </w:r>
      <w:r w:rsidR="00E428CD">
        <w:rPr>
          <w:rFonts w:ascii="Garamond" w:hAnsi="Garamond" w:cs="Futura"/>
          <w:b/>
          <w:sz w:val="24"/>
        </w:rPr>
        <w:t>: looking ahead</w:t>
      </w:r>
    </w:p>
    <w:p w14:paraId="4894BB13" w14:textId="77777777" w:rsidR="00DF56D7" w:rsidRDefault="00DF56D7" w:rsidP="00DF56D7">
      <w:pPr>
        <w:contextualSpacing/>
        <w:rPr>
          <w:rFonts w:ascii="Garamond" w:hAnsi="Garamond" w:cs="Futura"/>
          <w:sz w:val="24"/>
        </w:rPr>
      </w:pPr>
    </w:p>
    <w:p w14:paraId="78A3616E" w14:textId="2483B433" w:rsidR="0058371E" w:rsidRDefault="00A97EE5" w:rsidP="0058371E">
      <w:pPr>
        <w:contextualSpacing/>
        <w:rPr>
          <w:rFonts w:ascii="Garamond" w:hAnsi="Garamond" w:cs="Futura"/>
          <w:sz w:val="24"/>
        </w:rPr>
      </w:pPr>
      <w:r>
        <w:rPr>
          <w:rFonts w:ascii="Garamond" w:hAnsi="Garamond" w:cs="Futura"/>
          <w:sz w:val="24"/>
        </w:rPr>
        <w:t>There is nothing</w:t>
      </w:r>
      <w:r w:rsidR="00DF56D7">
        <w:rPr>
          <w:rFonts w:ascii="Garamond" w:hAnsi="Garamond" w:cs="Futura"/>
          <w:sz w:val="24"/>
        </w:rPr>
        <w:t xml:space="preserve"> theoretically amiss in </w:t>
      </w:r>
      <w:r w:rsidR="00E11D10">
        <w:rPr>
          <w:rFonts w:ascii="Garamond" w:hAnsi="Garamond" w:cs="Futura"/>
          <w:sz w:val="24"/>
        </w:rPr>
        <w:t>the majority’s twin claims</w:t>
      </w:r>
      <w:r w:rsidR="00DF56D7">
        <w:rPr>
          <w:rFonts w:ascii="Garamond" w:hAnsi="Garamond" w:cs="Futura"/>
          <w:sz w:val="24"/>
        </w:rPr>
        <w:t xml:space="preserve"> that E</w:t>
      </w:r>
      <w:r w:rsidR="006A5534">
        <w:rPr>
          <w:rFonts w:ascii="Garamond" w:hAnsi="Garamond" w:cs="Futura"/>
          <w:sz w:val="24"/>
        </w:rPr>
        <w:t xml:space="preserve">U law is a source of </w:t>
      </w:r>
      <w:r w:rsidR="00DF56D7">
        <w:rPr>
          <w:rFonts w:ascii="Garamond" w:hAnsi="Garamond" w:cs="Futura"/>
          <w:sz w:val="24"/>
        </w:rPr>
        <w:t>law, and that membership of the EU has not altered the UK’s (ultimate) rule of recognition.</w:t>
      </w:r>
      <w:r w:rsidR="006A5534">
        <w:rPr>
          <w:rFonts w:ascii="Garamond" w:hAnsi="Garamond" w:cs="Futura"/>
          <w:sz w:val="24"/>
        </w:rPr>
        <w:t xml:space="preserve"> </w:t>
      </w:r>
      <w:r w:rsidR="00E11D10">
        <w:rPr>
          <w:rFonts w:ascii="Garamond" w:hAnsi="Garamond" w:cs="Futura"/>
          <w:sz w:val="24"/>
        </w:rPr>
        <w:t>Furthermore</w:t>
      </w:r>
      <w:r w:rsidR="006A5534">
        <w:rPr>
          <w:rFonts w:ascii="Garamond" w:hAnsi="Garamond" w:cs="Futura"/>
          <w:sz w:val="24"/>
        </w:rPr>
        <w:t xml:space="preserve">, </w:t>
      </w:r>
      <w:r w:rsidR="0061072F">
        <w:rPr>
          <w:rFonts w:ascii="Garamond" w:hAnsi="Garamond" w:cs="Futura"/>
          <w:sz w:val="24"/>
        </w:rPr>
        <w:t xml:space="preserve">I have suggested that </w:t>
      </w:r>
      <w:r w:rsidR="006A5534">
        <w:rPr>
          <w:rFonts w:ascii="Garamond" w:hAnsi="Garamond" w:cs="Futura"/>
          <w:sz w:val="24"/>
        </w:rPr>
        <w:t xml:space="preserve">arguments </w:t>
      </w:r>
      <w:r w:rsidR="00E11D10">
        <w:rPr>
          <w:rFonts w:ascii="Garamond" w:hAnsi="Garamond" w:cs="Futura"/>
          <w:sz w:val="24"/>
        </w:rPr>
        <w:t>focusing on</w:t>
      </w:r>
      <w:r w:rsidR="006A5534">
        <w:rPr>
          <w:rFonts w:ascii="Garamond" w:hAnsi="Garamond" w:cs="Futura"/>
          <w:sz w:val="24"/>
        </w:rPr>
        <w:t xml:space="preserve"> the (ultimate) rule of recognition may be something of a blind alley</w:t>
      </w:r>
      <w:r w:rsidR="0061072F">
        <w:rPr>
          <w:rFonts w:ascii="Garamond" w:hAnsi="Garamond" w:cs="Futura"/>
          <w:sz w:val="24"/>
        </w:rPr>
        <w:t>.</w:t>
      </w:r>
      <w:r w:rsidR="00E11D10">
        <w:rPr>
          <w:rFonts w:ascii="Garamond" w:hAnsi="Garamond" w:cs="Futura"/>
          <w:sz w:val="24"/>
        </w:rPr>
        <w:t xml:space="preserve"> </w:t>
      </w:r>
      <w:r w:rsidR="002C7787">
        <w:rPr>
          <w:rFonts w:ascii="Garamond" w:hAnsi="Garamond" w:cs="Futura"/>
          <w:sz w:val="24"/>
        </w:rPr>
        <w:t>The</w:t>
      </w:r>
      <w:r w:rsidR="00B81C06">
        <w:rPr>
          <w:rFonts w:ascii="Garamond" w:hAnsi="Garamond" w:cs="Futura"/>
          <w:sz w:val="24"/>
        </w:rPr>
        <w:t xml:space="preserve"> fact is that the</w:t>
      </w:r>
      <w:r w:rsidR="00E11D10">
        <w:rPr>
          <w:rFonts w:ascii="Garamond" w:hAnsi="Garamond" w:cs="Futura"/>
          <w:sz w:val="24"/>
        </w:rPr>
        <w:t xml:space="preserve"> UK legal system recognises various</w:t>
      </w:r>
      <w:r w:rsidR="0061072F" w:rsidRPr="001A6DC0">
        <w:rPr>
          <w:rFonts w:ascii="Garamond" w:hAnsi="Garamond" w:cs="Futura"/>
          <w:sz w:val="24"/>
        </w:rPr>
        <w:t xml:space="preserve"> </w:t>
      </w:r>
      <w:r w:rsidR="0061072F">
        <w:rPr>
          <w:rFonts w:ascii="Garamond" w:hAnsi="Garamond" w:cs="Futura"/>
          <w:sz w:val="24"/>
        </w:rPr>
        <w:t>sources</w:t>
      </w:r>
      <w:r w:rsidR="0061072F" w:rsidRPr="001A6DC0">
        <w:rPr>
          <w:rFonts w:ascii="Garamond" w:hAnsi="Garamond" w:cs="Futura"/>
          <w:sz w:val="24"/>
        </w:rPr>
        <w:t xml:space="preserve"> of law</w:t>
      </w:r>
      <w:r w:rsidR="0061072F">
        <w:rPr>
          <w:rFonts w:ascii="Garamond" w:hAnsi="Garamond" w:cs="Futura"/>
          <w:sz w:val="24"/>
        </w:rPr>
        <w:t xml:space="preserve">. </w:t>
      </w:r>
      <w:r w:rsidR="00E11D10">
        <w:rPr>
          <w:rFonts w:ascii="Garamond" w:hAnsi="Garamond" w:cs="Futura"/>
          <w:sz w:val="24"/>
        </w:rPr>
        <w:t>Some are fundamental sources identified by criteria in an ultimate rule of recognition, and many others are</w:t>
      </w:r>
      <w:r w:rsidR="0061072F">
        <w:rPr>
          <w:rFonts w:ascii="Garamond" w:hAnsi="Garamond" w:cs="Futura"/>
          <w:sz w:val="24"/>
        </w:rPr>
        <w:t xml:space="preserve"> </w:t>
      </w:r>
      <w:r w:rsidR="00E11D10">
        <w:rPr>
          <w:rFonts w:ascii="Garamond" w:hAnsi="Garamond" w:cs="Futura"/>
          <w:sz w:val="24"/>
        </w:rPr>
        <w:t>derivative sources</w:t>
      </w:r>
      <w:r w:rsidR="00843BB5">
        <w:rPr>
          <w:rFonts w:ascii="Garamond" w:hAnsi="Garamond" w:cs="Futura"/>
          <w:sz w:val="24"/>
        </w:rPr>
        <w:t>.</w:t>
      </w:r>
      <w:r w:rsidR="0058371E">
        <w:rPr>
          <w:rFonts w:ascii="Garamond" w:hAnsi="Garamond" w:cs="Futura"/>
          <w:sz w:val="24"/>
        </w:rPr>
        <w:t xml:space="preserve"> </w:t>
      </w:r>
      <w:r w:rsidR="00881521">
        <w:rPr>
          <w:rFonts w:ascii="Garamond" w:hAnsi="Garamond" w:cs="Futura"/>
          <w:sz w:val="24"/>
        </w:rPr>
        <w:t>If we follow the</w:t>
      </w:r>
      <w:r w:rsidR="00E11D10">
        <w:rPr>
          <w:rFonts w:ascii="Garamond" w:hAnsi="Garamond" w:cs="Futura"/>
          <w:sz w:val="24"/>
        </w:rPr>
        <w:t xml:space="preserve"> majority’s </w:t>
      </w:r>
      <w:r w:rsidR="003417CD">
        <w:rPr>
          <w:rFonts w:ascii="Garamond" w:hAnsi="Garamond" w:cs="Futura"/>
          <w:sz w:val="24"/>
        </w:rPr>
        <w:t>reasoning</w:t>
      </w:r>
      <w:r w:rsidR="00E11D10">
        <w:rPr>
          <w:rFonts w:ascii="Garamond" w:hAnsi="Garamond" w:cs="Futura"/>
          <w:sz w:val="24"/>
        </w:rPr>
        <w:t xml:space="preserve">, </w:t>
      </w:r>
      <w:r w:rsidR="003417CD">
        <w:rPr>
          <w:rFonts w:ascii="Garamond" w:hAnsi="Garamond" w:cs="Futura"/>
          <w:sz w:val="24"/>
        </w:rPr>
        <w:t xml:space="preserve">EU law, as a derivative source, </w:t>
      </w:r>
      <w:r w:rsidR="0061072F" w:rsidRPr="001A6DC0">
        <w:rPr>
          <w:rFonts w:ascii="Garamond" w:hAnsi="Garamond" w:cs="Futura"/>
          <w:sz w:val="24"/>
        </w:rPr>
        <w:t>warrant</w:t>
      </w:r>
      <w:r w:rsidR="003417CD">
        <w:rPr>
          <w:rFonts w:ascii="Garamond" w:hAnsi="Garamond" w:cs="Futura"/>
          <w:sz w:val="24"/>
        </w:rPr>
        <w:t>s</w:t>
      </w:r>
      <w:r w:rsidR="0061072F" w:rsidRPr="001A6DC0">
        <w:rPr>
          <w:rFonts w:ascii="Garamond" w:hAnsi="Garamond" w:cs="Futura"/>
          <w:sz w:val="24"/>
        </w:rPr>
        <w:t xml:space="preserve"> protection from </w:t>
      </w:r>
      <w:r w:rsidR="00294404">
        <w:rPr>
          <w:rFonts w:ascii="Garamond" w:hAnsi="Garamond" w:cs="Futura"/>
          <w:sz w:val="24"/>
        </w:rPr>
        <w:t>being extinguished</w:t>
      </w:r>
      <w:r w:rsidR="0061072F" w:rsidRPr="001A6DC0">
        <w:rPr>
          <w:rFonts w:ascii="Garamond" w:hAnsi="Garamond" w:cs="Futura"/>
          <w:sz w:val="24"/>
        </w:rPr>
        <w:t xml:space="preserve"> by </w:t>
      </w:r>
      <w:r w:rsidR="0061072F">
        <w:rPr>
          <w:rFonts w:ascii="Garamond" w:hAnsi="Garamond" w:cs="Futura"/>
          <w:sz w:val="24"/>
        </w:rPr>
        <w:t>prerogative action</w:t>
      </w:r>
      <w:r w:rsidR="00294404">
        <w:rPr>
          <w:rFonts w:ascii="Garamond" w:hAnsi="Garamond" w:cs="Futura"/>
          <w:sz w:val="24"/>
        </w:rPr>
        <w:t>.</w:t>
      </w:r>
    </w:p>
    <w:p w14:paraId="450E3BF3" w14:textId="233E4728" w:rsidR="00CA14FA" w:rsidRDefault="00907272" w:rsidP="0058371E">
      <w:pPr>
        <w:ind w:firstLine="624"/>
        <w:contextualSpacing/>
        <w:rPr>
          <w:rFonts w:ascii="Garamond" w:hAnsi="Garamond" w:cs="Futura"/>
          <w:sz w:val="24"/>
        </w:rPr>
      </w:pPr>
      <w:r>
        <w:rPr>
          <w:rFonts w:ascii="Garamond" w:hAnsi="Garamond" w:cs="Futura"/>
          <w:sz w:val="24"/>
        </w:rPr>
        <w:t xml:space="preserve">In this section </w:t>
      </w:r>
      <w:r w:rsidR="00485214">
        <w:rPr>
          <w:rFonts w:ascii="Garamond" w:hAnsi="Garamond" w:cs="Futura"/>
          <w:sz w:val="24"/>
        </w:rPr>
        <w:t>I wish to look to the future</w:t>
      </w:r>
      <w:r>
        <w:rPr>
          <w:rFonts w:ascii="Garamond" w:hAnsi="Garamond" w:cs="Futura"/>
          <w:sz w:val="24"/>
        </w:rPr>
        <w:t>. Now</w:t>
      </w:r>
      <w:r w:rsidR="001309B6">
        <w:rPr>
          <w:rFonts w:ascii="Garamond" w:hAnsi="Garamond" w:cs="Futura"/>
          <w:sz w:val="24"/>
        </w:rPr>
        <w:t xml:space="preserve"> that </w:t>
      </w:r>
      <w:r w:rsidR="001309B6" w:rsidRPr="001309B6">
        <w:rPr>
          <w:rFonts w:ascii="Garamond" w:hAnsi="Garamond" w:cs="Futura"/>
          <w:i/>
          <w:sz w:val="24"/>
        </w:rPr>
        <w:t>Miller</w:t>
      </w:r>
      <w:r w:rsidR="001309B6">
        <w:rPr>
          <w:rFonts w:ascii="Garamond" w:hAnsi="Garamond" w:cs="Futura"/>
          <w:sz w:val="24"/>
        </w:rPr>
        <w:t xml:space="preserve"> has been decided, what are its precedential implications? In particular, w</w:t>
      </w:r>
      <w:r w:rsidR="002B0B25">
        <w:rPr>
          <w:rFonts w:ascii="Garamond" w:hAnsi="Garamond" w:cs="Futura"/>
          <w:sz w:val="24"/>
        </w:rPr>
        <w:t xml:space="preserve">hat should we make </w:t>
      </w:r>
      <w:r w:rsidR="00BF5A38">
        <w:rPr>
          <w:rFonts w:ascii="Garamond" w:hAnsi="Garamond" w:cs="Futura"/>
          <w:sz w:val="24"/>
        </w:rPr>
        <w:t>of the majority’s distinctive “source of law”</w:t>
      </w:r>
      <w:r w:rsidR="00BE0439">
        <w:rPr>
          <w:rFonts w:ascii="Garamond" w:hAnsi="Garamond" w:cs="Futura"/>
          <w:sz w:val="24"/>
        </w:rPr>
        <w:t xml:space="preserve"> analysis</w:t>
      </w:r>
      <w:r w:rsidR="001309B6">
        <w:rPr>
          <w:rFonts w:ascii="Garamond" w:hAnsi="Garamond" w:cs="Futura"/>
          <w:sz w:val="24"/>
        </w:rPr>
        <w:t xml:space="preserve">? Might there </w:t>
      </w:r>
      <w:r w:rsidR="00304D4B">
        <w:rPr>
          <w:rFonts w:ascii="Garamond" w:hAnsi="Garamond" w:cs="Futura"/>
          <w:sz w:val="24"/>
        </w:rPr>
        <w:t>be</w:t>
      </w:r>
      <w:r w:rsidR="003417CD">
        <w:rPr>
          <w:rFonts w:ascii="Garamond" w:hAnsi="Garamond" w:cs="Futura"/>
          <w:sz w:val="24"/>
        </w:rPr>
        <w:t xml:space="preserve"> </w:t>
      </w:r>
      <w:r w:rsidR="003417CD" w:rsidRPr="00304D4B">
        <w:rPr>
          <w:rFonts w:ascii="Garamond" w:hAnsi="Garamond" w:cs="Futura"/>
          <w:i/>
          <w:sz w:val="24"/>
        </w:rPr>
        <w:t>other</w:t>
      </w:r>
      <w:r w:rsidR="003417CD">
        <w:rPr>
          <w:rFonts w:ascii="Garamond" w:hAnsi="Garamond" w:cs="Futura"/>
          <w:sz w:val="24"/>
        </w:rPr>
        <w:t xml:space="preserve"> </w:t>
      </w:r>
      <w:r w:rsidR="000F5F33">
        <w:rPr>
          <w:rFonts w:ascii="Garamond" w:hAnsi="Garamond" w:cs="Futura"/>
          <w:sz w:val="24"/>
        </w:rPr>
        <w:t xml:space="preserve">treaty-based </w:t>
      </w:r>
      <w:r w:rsidR="00304D4B">
        <w:rPr>
          <w:rFonts w:ascii="Garamond" w:hAnsi="Garamond" w:cs="Futura"/>
          <w:sz w:val="24"/>
        </w:rPr>
        <w:t>sources</w:t>
      </w:r>
      <w:r w:rsidR="0058371E">
        <w:rPr>
          <w:rFonts w:ascii="Garamond" w:hAnsi="Garamond" w:cs="Futura"/>
          <w:sz w:val="24"/>
        </w:rPr>
        <w:t>, given effect under domestic legislation,</w:t>
      </w:r>
      <w:r w:rsidR="00304D4B">
        <w:rPr>
          <w:rFonts w:ascii="Garamond" w:hAnsi="Garamond" w:cs="Futura"/>
          <w:sz w:val="24"/>
        </w:rPr>
        <w:t xml:space="preserve"> that warrant </w:t>
      </w:r>
      <w:r w:rsidR="002B0EEE">
        <w:rPr>
          <w:rFonts w:ascii="Garamond" w:hAnsi="Garamond" w:cs="Futura"/>
          <w:sz w:val="24"/>
        </w:rPr>
        <w:t xml:space="preserve">the same </w:t>
      </w:r>
      <w:r w:rsidR="00DB4834">
        <w:rPr>
          <w:rFonts w:ascii="Garamond" w:hAnsi="Garamond" w:cs="Futura"/>
          <w:sz w:val="24"/>
        </w:rPr>
        <w:t xml:space="preserve">protection </w:t>
      </w:r>
      <w:r w:rsidR="002B0EEE">
        <w:rPr>
          <w:rFonts w:ascii="Garamond" w:hAnsi="Garamond" w:cs="Futura"/>
          <w:sz w:val="24"/>
        </w:rPr>
        <w:t>that</w:t>
      </w:r>
      <w:r w:rsidR="00753320">
        <w:rPr>
          <w:rFonts w:ascii="Garamond" w:hAnsi="Garamond" w:cs="Futura"/>
          <w:sz w:val="24"/>
        </w:rPr>
        <w:t xml:space="preserve"> EU law </w:t>
      </w:r>
      <w:r w:rsidR="002B0EEE">
        <w:rPr>
          <w:rFonts w:ascii="Garamond" w:hAnsi="Garamond" w:cs="Futura"/>
          <w:sz w:val="24"/>
        </w:rPr>
        <w:t xml:space="preserve">received </w:t>
      </w:r>
      <w:r w:rsidR="00753320">
        <w:rPr>
          <w:rFonts w:ascii="Garamond" w:hAnsi="Garamond" w:cs="Futura"/>
          <w:sz w:val="24"/>
        </w:rPr>
        <w:t xml:space="preserve">in </w:t>
      </w:r>
      <w:r w:rsidR="00753320" w:rsidRPr="00753320">
        <w:rPr>
          <w:rFonts w:ascii="Garamond" w:hAnsi="Garamond" w:cs="Futura"/>
          <w:i/>
          <w:sz w:val="24"/>
        </w:rPr>
        <w:t>Miller</w:t>
      </w:r>
      <w:r w:rsidR="001309B6">
        <w:rPr>
          <w:rFonts w:ascii="Garamond" w:hAnsi="Garamond" w:cs="Futura"/>
          <w:sz w:val="24"/>
        </w:rPr>
        <w:t>?</w:t>
      </w:r>
    </w:p>
    <w:p w14:paraId="050194D8" w14:textId="6549C95F" w:rsidR="00951E06" w:rsidRDefault="00FC2122" w:rsidP="006A12CF">
      <w:pPr>
        <w:ind w:firstLine="624"/>
        <w:contextualSpacing/>
        <w:rPr>
          <w:rFonts w:ascii="Garamond" w:hAnsi="Garamond" w:cs="Futura"/>
          <w:sz w:val="24"/>
        </w:rPr>
      </w:pPr>
      <w:r>
        <w:rPr>
          <w:rFonts w:ascii="Garamond" w:hAnsi="Garamond" w:cs="Futura"/>
          <w:sz w:val="24"/>
        </w:rPr>
        <w:t xml:space="preserve">Regarding other </w:t>
      </w:r>
      <w:r w:rsidR="005D2D57">
        <w:rPr>
          <w:rFonts w:ascii="Garamond" w:hAnsi="Garamond" w:cs="Futura"/>
          <w:sz w:val="24"/>
        </w:rPr>
        <w:t>sources,</w:t>
      </w:r>
      <w:r>
        <w:rPr>
          <w:rFonts w:ascii="Garamond" w:hAnsi="Garamond" w:cs="Futura"/>
          <w:sz w:val="24"/>
        </w:rPr>
        <w:t xml:space="preserve"> </w:t>
      </w:r>
      <w:r w:rsidR="00941AAF">
        <w:rPr>
          <w:rFonts w:ascii="Garamond" w:hAnsi="Garamond" w:cs="Futura"/>
          <w:sz w:val="24"/>
        </w:rPr>
        <w:t xml:space="preserve">it is worth acknowledging at the outset that </w:t>
      </w:r>
      <w:r>
        <w:rPr>
          <w:rFonts w:ascii="Garamond" w:hAnsi="Garamond" w:cs="Futura"/>
          <w:sz w:val="24"/>
        </w:rPr>
        <w:t>m</w:t>
      </w:r>
      <w:r w:rsidR="002A49EB">
        <w:rPr>
          <w:rFonts w:ascii="Garamond" w:hAnsi="Garamond" w:cs="Futura"/>
          <w:sz w:val="24"/>
        </w:rPr>
        <w:t>uch</w:t>
      </w:r>
      <w:r w:rsidR="00C833A6">
        <w:rPr>
          <w:rFonts w:ascii="Garamond" w:hAnsi="Garamond" w:cs="Futura"/>
          <w:sz w:val="24"/>
        </w:rPr>
        <w:t xml:space="preserve"> </w:t>
      </w:r>
      <w:r w:rsidR="002A49EB">
        <w:rPr>
          <w:rFonts w:ascii="Garamond" w:hAnsi="Garamond" w:cs="Futura"/>
          <w:sz w:val="24"/>
        </w:rPr>
        <w:t xml:space="preserve">will </w:t>
      </w:r>
      <w:r w:rsidR="00C833A6">
        <w:rPr>
          <w:rFonts w:ascii="Garamond" w:hAnsi="Garamond" w:cs="Futura"/>
          <w:sz w:val="24"/>
        </w:rPr>
        <w:t xml:space="preserve">depend on how we construe the </w:t>
      </w:r>
      <w:r w:rsidR="006A12CF">
        <w:rPr>
          <w:rFonts w:ascii="Garamond" w:hAnsi="Garamond" w:cs="Futura"/>
          <w:sz w:val="24"/>
        </w:rPr>
        <w:t>legislation</w:t>
      </w:r>
      <w:r w:rsidR="00C833A6">
        <w:rPr>
          <w:rFonts w:ascii="Garamond" w:hAnsi="Garamond" w:cs="Futura"/>
          <w:sz w:val="24"/>
        </w:rPr>
        <w:t xml:space="preserve"> that </w:t>
      </w:r>
      <w:r w:rsidR="001C151D">
        <w:rPr>
          <w:rFonts w:ascii="Garamond" w:hAnsi="Garamond" w:cs="Futura"/>
          <w:sz w:val="24"/>
        </w:rPr>
        <w:t>establishes</w:t>
      </w:r>
      <w:r w:rsidR="00C833A6">
        <w:rPr>
          <w:rFonts w:ascii="Garamond" w:hAnsi="Garamond" w:cs="Futura"/>
          <w:sz w:val="24"/>
        </w:rPr>
        <w:t xml:space="preserve"> the </w:t>
      </w:r>
      <w:r>
        <w:rPr>
          <w:rFonts w:ascii="Garamond" w:hAnsi="Garamond" w:cs="Futura"/>
          <w:sz w:val="24"/>
        </w:rPr>
        <w:t xml:space="preserve">source domestically. </w:t>
      </w:r>
      <w:r w:rsidR="003E2246">
        <w:rPr>
          <w:rFonts w:ascii="Garamond" w:hAnsi="Garamond" w:cs="Futura"/>
          <w:sz w:val="24"/>
        </w:rPr>
        <w:t>This can be seen in</w:t>
      </w:r>
      <w:r w:rsidR="00EB30E3">
        <w:rPr>
          <w:rFonts w:ascii="Garamond" w:hAnsi="Garamond" w:cs="Futura"/>
          <w:sz w:val="24"/>
        </w:rPr>
        <w:t xml:space="preserve"> </w:t>
      </w:r>
      <w:r w:rsidR="00EB30E3" w:rsidRPr="003C2A37">
        <w:rPr>
          <w:rFonts w:ascii="Garamond" w:hAnsi="Garamond" w:cs="Futura"/>
          <w:i/>
          <w:sz w:val="24"/>
        </w:rPr>
        <w:t>Miller</w:t>
      </w:r>
      <w:r w:rsidR="003E2246">
        <w:rPr>
          <w:rFonts w:ascii="Garamond" w:hAnsi="Garamond" w:cs="Futura"/>
          <w:sz w:val="24"/>
        </w:rPr>
        <w:t xml:space="preserve">, where </w:t>
      </w:r>
      <w:r w:rsidR="00A97B40">
        <w:rPr>
          <w:rFonts w:ascii="Garamond" w:hAnsi="Garamond" w:cs="Futura"/>
          <w:sz w:val="24"/>
        </w:rPr>
        <w:t xml:space="preserve">the </w:t>
      </w:r>
      <w:r w:rsidR="00EE349C">
        <w:rPr>
          <w:rFonts w:ascii="Garamond" w:hAnsi="Garamond" w:cs="Futura"/>
          <w:sz w:val="24"/>
        </w:rPr>
        <w:t>majority and dissenting judges</w:t>
      </w:r>
      <w:r w:rsidR="003C2A37">
        <w:rPr>
          <w:rFonts w:ascii="Garamond" w:hAnsi="Garamond" w:cs="Futura"/>
          <w:sz w:val="24"/>
        </w:rPr>
        <w:t xml:space="preserve"> disagreed about </w:t>
      </w:r>
      <w:r w:rsidR="00527E07">
        <w:rPr>
          <w:rFonts w:ascii="Garamond" w:hAnsi="Garamond" w:cs="Futura"/>
          <w:sz w:val="24"/>
        </w:rPr>
        <w:t>the</w:t>
      </w:r>
      <w:r w:rsidR="002661F0">
        <w:rPr>
          <w:rFonts w:ascii="Garamond" w:hAnsi="Garamond" w:cs="Futura"/>
          <w:sz w:val="24"/>
        </w:rPr>
        <w:t xml:space="preserve"> proper construction of the EC</w:t>
      </w:r>
      <w:r w:rsidR="001C151D">
        <w:rPr>
          <w:rFonts w:ascii="Garamond" w:hAnsi="Garamond" w:cs="Futura"/>
          <w:sz w:val="24"/>
        </w:rPr>
        <w:t>A</w:t>
      </w:r>
      <w:r w:rsidR="008B76F5">
        <w:rPr>
          <w:rFonts w:ascii="Garamond" w:hAnsi="Garamond" w:cs="Futura"/>
          <w:sz w:val="24"/>
        </w:rPr>
        <w:t xml:space="preserve"> </w:t>
      </w:r>
      <w:r w:rsidR="001E493D">
        <w:rPr>
          <w:rFonts w:ascii="Garamond" w:hAnsi="Garamond" w:cs="Futura"/>
          <w:sz w:val="24"/>
        </w:rPr>
        <w:t xml:space="preserve">given that </w:t>
      </w:r>
      <w:r w:rsidR="003E2246">
        <w:rPr>
          <w:rFonts w:ascii="Garamond" w:hAnsi="Garamond" w:cs="Futura"/>
          <w:sz w:val="24"/>
        </w:rPr>
        <w:t>it lacks an</w:t>
      </w:r>
      <w:r w:rsidR="005D2D57">
        <w:rPr>
          <w:rFonts w:ascii="Garamond" w:hAnsi="Garamond" w:cs="Futura"/>
          <w:sz w:val="24"/>
        </w:rPr>
        <w:t xml:space="preserve"> express provision </w:t>
      </w:r>
      <w:r w:rsidR="00F8093F">
        <w:rPr>
          <w:rFonts w:ascii="Garamond" w:hAnsi="Garamond" w:cs="Futura"/>
          <w:sz w:val="24"/>
        </w:rPr>
        <w:t>concerning</w:t>
      </w:r>
      <w:r w:rsidR="005D2D57">
        <w:rPr>
          <w:rFonts w:ascii="Garamond" w:hAnsi="Garamond" w:cs="Futura"/>
          <w:sz w:val="24"/>
        </w:rPr>
        <w:t xml:space="preserve"> withdrawal from the EU</w:t>
      </w:r>
      <w:r w:rsidR="002661F0">
        <w:rPr>
          <w:rFonts w:ascii="Garamond" w:hAnsi="Garamond" w:cs="Futura"/>
          <w:sz w:val="24"/>
        </w:rPr>
        <w:t>.</w:t>
      </w:r>
      <w:r w:rsidR="00810795">
        <w:rPr>
          <w:rFonts w:ascii="Garamond" w:hAnsi="Garamond" w:cs="Futura"/>
          <w:sz w:val="24"/>
        </w:rPr>
        <w:t xml:space="preserve"> </w:t>
      </w:r>
      <w:r w:rsidR="00FB4522">
        <w:rPr>
          <w:rFonts w:ascii="Garamond" w:hAnsi="Garamond" w:cs="Futura"/>
          <w:sz w:val="24"/>
        </w:rPr>
        <w:t>The Government took</w:t>
      </w:r>
      <w:r w:rsidR="00BE51D8">
        <w:rPr>
          <w:rFonts w:ascii="Garamond" w:hAnsi="Garamond" w:cs="Futura"/>
          <w:sz w:val="24"/>
        </w:rPr>
        <w:t xml:space="preserve"> this opportunity to argue</w:t>
      </w:r>
      <w:r w:rsidR="00810795" w:rsidRPr="00810795">
        <w:rPr>
          <w:rFonts w:ascii="Garamond" w:hAnsi="Garamond" w:cs="Futura"/>
          <w:sz w:val="24"/>
        </w:rPr>
        <w:t xml:space="preserve"> that the ECA was </w:t>
      </w:r>
      <w:r w:rsidR="001E2AA8">
        <w:rPr>
          <w:rFonts w:ascii="Garamond" w:hAnsi="Garamond" w:cs="Futura"/>
          <w:sz w:val="24"/>
        </w:rPr>
        <w:t>only</w:t>
      </w:r>
      <w:r w:rsidR="00810795" w:rsidRPr="00810795">
        <w:rPr>
          <w:rFonts w:ascii="Garamond" w:hAnsi="Garamond" w:cs="Futura"/>
          <w:sz w:val="24"/>
        </w:rPr>
        <w:t xml:space="preserve"> a “conduit pipe” in </w:t>
      </w:r>
      <w:r w:rsidR="00F8093F">
        <w:rPr>
          <w:rFonts w:ascii="Garamond" w:hAnsi="Garamond" w:cs="Futura"/>
          <w:sz w:val="24"/>
        </w:rPr>
        <w:t xml:space="preserve">the sense </w:t>
      </w:r>
      <w:r w:rsidR="00810795" w:rsidRPr="00810795">
        <w:rPr>
          <w:rFonts w:ascii="Garamond" w:hAnsi="Garamond" w:cs="Futura"/>
          <w:sz w:val="24"/>
        </w:rPr>
        <w:t xml:space="preserve">that it gave effect to EU law as long as the UK was party to the </w:t>
      </w:r>
      <w:r w:rsidR="00810795" w:rsidRPr="00CD201B">
        <w:rPr>
          <w:rFonts w:ascii="Garamond" w:hAnsi="Garamond" w:cs="Futura"/>
          <w:sz w:val="24"/>
          <w:szCs w:val="24"/>
        </w:rPr>
        <w:t>EU treaties</w:t>
      </w:r>
      <w:r w:rsidR="00F8093F">
        <w:rPr>
          <w:rFonts w:ascii="Garamond" w:hAnsi="Garamond" w:cs="Futura"/>
          <w:sz w:val="24"/>
          <w:szCs w:val="24"/>
        </w:rPr>
        <w:t>,</w:t>
      </w:r>
      <w:r w:rsidR="00810795" w:rsidRPr="00CD201B">
        <w:rPr>
          <w:rFonts w:ascii="Garamond" w:hAnsi="Garamond" w:cs="Futura"/>
          <w:sz w:val="24"/>
          <w:szCs w:val="24"/>
        </w:rPr>
        <w:t xml:space="preserve"> but without </w:t>
      </w:r>
      <w:r w:rsidR="00A24831">
        <w:rPr>
          <w:rFonts w:ascii="Garamond" w:hAnsi="Garamond" w:cs="Futura"/>
          <w:sz w:val="24"/>
          <w:szCs w:val="24"/>
        </w:rPr>
        <w:t>stipulating</w:t>
      </w:r>
      <w:r w:rsidR="00810795" w:rsidRPr="00CD201B">
        <w:rPr>
          <w:rFonts w:ascii="Garamond" w:hAnsi="Garamond" w:cs="Futura"/>
          <w:sz w:val="24"/>
          <w:szCs w:val="24"/>
        </w:rPr>
        <w:t xml:space="preserve"> whether or not the UK was to </w:t>
      </w:r>
      <w:r w:rsidR="00810795" w:rsidRPr="00CD201B">
        <w:rPr>
          <w:rFonts w:ascii="Garamond" w:hAnsi="Garamond" w:cs="Futura"/>
          <w:i/>
          <w:sz w:val="24"/>
          <w:szCs w:val="24"/>
        </w:rPr>
        <w:t>be</w:t>
      </w:r>
      <w:r w:rsidR="00810795" w:rsidRPr="00CD201B">
        <w:rPr>
          <w:rFonts w:ascii="Garamond" w:hAnsi="Garamond" w:cs="Futura"/>
          <w:sz w:val="24"/>
          <w:szCs w:val="24"/>
        </w:rPr>
        <w:t xml:space="preserve"> a treaty party</w:t>
      </w:r>
      <w:r w:rsidR="003E2246">
        <w:rPr>
          <w:rFonts w:ascii="Garamond" w:hAnsi="Garamond" w:cs="Futura"/>
          <w:sz w:val="24"/>
          <w:szCs w:val="24"/>
        </w:rPr>
        <w:t xml:space="preserve"> – and</w:t>
      </w:r>
      <w:r w:rsidR="00F8093F">
        <w:rPr>
          <w:rFonts w:ascii="Garamond" w:hAnsi="Garamond" w:cs="Futura"/>
          <w:sz w:val="24"/>
          <w:szCs w:val="24"/>
        </w:rPr>
        <w:t>, moreover,</w:t>
      </w:r>
      <w:r w:rsidR="003E2246">
        <w:rPr>
          <w:rFonts w:ascii="Garamond" w:hAnsi="Garamond" w:cs="Futura"/>
          <w:sz w:val="24"/>
          <w:szCs w:val="24"/>
        </w:rPr>
        <w:t xml:space="preserve"> with </w:t>
      </w:r>
      <w:r w:rsidR="0053727C">
        <w:rPr>
          <w:rFonts w:ascii="Garamond" w:hAnsi="Garamond" w:cs="Futura"/>
          <w:sz w:val="24"/>
          <w:szCs w:val="24"/>
        </w:rPr>
        <w:t xml:space="preserve">nothing in the ECA </w:t>
      </w:r>
      <w:r w:rsidR="0053727C" w:rsidRPr="00F8093F">
        <w:rPr>
          <w:rFonts w:ascii="Garamond" w:hAnsi="Garamond" w:cs="Futura"/>
          <w:i/>
          <w:sz w:val="24"/>
          <w:szCs w:val="24"/>
        </w:rPr>
        <w:t>expressly exclud</w:t>
      </w:r>
      <w:r w:rsidR="003E2246" w:rsidRPr="00F8093F">
        <w:rPr>
          <w:rFonts w:ascii="Garamond" w:hAnsi="Garamond" w:cs="Futura"/>
          <w:i/>
          <w:sz w:val="24"/>
          <w:szCs w:val="24"/>
        </w:rPr>
        <w:t>ing</w:t>
      </w:r>
      <w:r w:rsidR="0053727C">
        <w:rPr>
          <w:rFonts w:ascii="Garamond" w:hAnsi="Garamond" w:cs="Futura"/>
          <w:sz w:val="24"/>
          <w:szCs w:val="24"/>
        </w:rPr>
        <w:t xml:space="preserve"> the use of the foreign affairs prerogative</w:t>
      </w:r>
      <w:r w:rsidR="00AC53C3">
        <w:rPr>
          <w:rFonts w:ascii="Garamond" w:hAnsi="Garamond" w:cs="Futura"/>
          <w:sz w:val="24"/>
          <w:szCs w:val="24"/>
        </w:rPr>
        <w:t xml:space="preserve"> to withdraw from the</w:t>
      </w:r>
      <w:r w:rsidR="00697F17">
        <w:rPr>
          <w:rFonts w:ascii="Garamond" w:hAnsi="Garamond" w:cs="Futura"/>
          <w:sz w:val="24"/>
          <w:szCs w:val="24"/>
        </w:rPr>
        <w:t xml:space="preserve"> EU</w:t>
      </w:r>
      <w:r w:rsidR="00AC53C3">
        <w:rPr>
          <w:rFonts w:ascii="Garamond" w:hAnsi="Garamond" w:cs="Futura"/>
          <w:sz w:val="24"/>
          <w:szCs w:val="24"/>
        </w:rPr>
        <w:t xml:space="preserve"> treaties</w:t>
      </w:r>
      <w:r w:rsidR="00810795" w:rsidRPr="00CD201B">
        <w:rPr>
          <w:rFonts w:ascii="Garamond" w:hAnsi="Garamond" w:cs="Futura"/>
          <w:sz w:val="24"/>
          <w:szCs w:val="24"/>
        </w:rPr>
        <w:t>.</w:t>
      </w:r>
      <w:r w:rsidR="00D47351">
        <w:rPr>
          <w:rStyle w:val="FootnoteReference"/>
          <w:rFonts w:ascii="Garamond" w:hAnsi="Garamond" w:cs="Futura"/>
          <w:sz w:val="24"/>
        </w:rPr>
        <w:footnoteReference w:id="44"/>
      </w:r>
      <w:r w:rsidR="00D47351">
        <w:rPr>
          <w:rFonts w:ascii="Garamond" w:hAnsi="Garamond" w:cs="Futura"/>
          <w:sz w:val="24"/>
          <w:szCs w:val="24"/>
        </w:rPr>
        <w:t xml:space="preserve"> </w:t>
      </w:r>
      <w:r w:rsidR="0045034A">
        <w:rPr>
          <w:rFonts w:ascii="Garamond" w:hAnsi="Garamond" w:cs="Futura"/>
          <w:sz w:val="24"/>
          <w:szCs w:val="24"/>
        </w:rPr>
        <w:t xml:space="preserve">The </w:t>
      </w:r>
      <w:r w:rsidR="00810795" w:rsidRPr="00CD201B">
        <w:rPr>
          <w:rFonts w:ascii="Garamond" w:hAnsi="Garamond" w:cs="Futura"/>
          <w:sz w:val="24"/>
          <w:szCs w:val="24"/>
        </w:rPr>
        <w:t>majo</w:t>
      </w:r>
      <w:r w:rsidR="00EF239C">
        <w:rPr>
          <w:rFonts w:ascii="Garamond" w:hAnsi="Garamond" w:cs="Futura"/>
          <w:sz w:val="24"/>
          <w:szCs w:val="24"/>
        </w:rPr>
        <w:t xml:space="preserve">rity disagreed, </w:t>
      </w:r>
      <w:r w:rsidR="00A24831">
        <w:rPr>
          <w:rFonts w:ascii="Garamond" w:hAnsi="Garamond" w:cs="Futura"/>
          <w:sz w:val="24"/>
          <w:szCs w:val="24"/>
        </w:rPr>
        <w:t xml:space="preserve">offering </w:t>
      </w:r>
      <w:r w:rsidR="004126C2" w:rsidRPr="00CD201B">
        <w:rPr>
          <w:rFonts w:ascii="Garamond" w:hAnsi="Garamond" w:cs="Futura"/>
          <w:sz w:val="24"/>
          <w:szCs w:val="24"/>
        </w:rPr>
        <w:t xml:space="preserve">several </w:t>
      </w:r>
      <w:r w:rsidR="00783160">
        <w:rPr>
          <w:rFonts w:ascii="Garamond" w:hAnsi="Garamond" w:cs="Futura"/>
          <w:sz w:val="24"/>
          <w:szCs w:val="24"/>
        </w:rPr>
        <w:t xml:space="preserve">interconnected </w:t>
      </w:r>
      <w:r w:rsidR="004126C2" w:rsidRPr="00CD201B">
        <w:rPr>
          <w:rFonts w:ascii="Garamond" w:hAnsi="Garamond" w:cs="Futura"/>
          <w:sz w:val="24"/>
          <w:szCs w:val="24"/>
        </w:rPr>
        <w:t>lines of argument including the wording of the ECA</w:t>
      </w:r>
      <w:r w:rsidR="00CD201B" w:rsidRPr="00CD201B">
        <w:rPr>
          <w:rStyle w:val="FootnoteReference"/>
          <w:rFonts w:ascii="Garamond" w:hAnsi="Garamond" w:cs="Futura"/>
          <w:sz w:val="24"/>
          <w:szCs w:val="24"/>
        </w:rPr>
        <w:footnoteReference w:id="45"/>
      </w:r>
      <w:r w:rsidR="004126C2" w:rsidRPr="00CD201B">
        <w:rPr>
          <w:rFonts w:ascii="Garamond" w:hAnsi="Garamond" w:cs="Futura"/>
          <w:sz w:val="24"/>
          <w:szCs w:val="24"/>
        </w:rPr>
        <w:t xml:space="preserve"> </w:t>
      </w:r>
      <w:r w:rsidR="00361667">
        <w:rPr>
          <w:rFonts w:ascii="Garamond" w:hAnsi="Garamond" w:cs="Futura"/>
          <w:sz w:val="24"/>
          <w:szCs w:val="24"/>
        </w:rPr>
        <w:t xml:space="preserve">and the </w:t>
      </w:r>
      <w:r w:rsidR="001C1D33">
        <w:rPr>
          <w:rFonts w:ascii="Garamond" w:hAnsi="Garamond" w:cs="Futura"/>
          <w:sz w:val="24"/>
          <w:szCs w:val="24"/>
        </w:rPr>
        <w:t>alternative</w:t>
      </w:r>
      <w:r w:rsidR="003E2246">
        <w:rPr>
          <w:rFonts w:ascii="Garamond" w:hAnsi="Garamond" w:cs="Futura"/>
          <w:sz w:val="24"/>
          <w:szCs w:val="24"/>
        </w:rPr>
        <w:t xml:space="preserve"> </w:t>
      </w:r>
      <w:r w:rsidR="00361667">
        <w:rPr>
          <w:rFonts w:ascii="Garamond" w:hAnsi="Garamond" w:cs="Futura"/>
          <w:sz w:val="24"/>
          <w:szCs w:val="24"/>
        </w:rPr>
        <w:t xml:space="preserve">view that </w:t>
      </w:r>
      <w:r w:rsidR="00F41CF0">
        <w:rPr>
          <w:rFonts w:ascii="Garamond" w:hAnsi="Garamond" w:cs="Futura"/>
          <w:sz w:val="24"/>
          <w:szCs w:val="24"/>
        </w:rPr>
        <w:t>“</w:t>
      </w:r>
      <w:r w:rsidR="002844A9">
        <w:rPr>
          <w:rFonts w:ascii="Garamond" w:hAnsi="Garamond" w:cs="Futura"/>
          <w:sz w:val="24"/>
          <w:szCs w:val="24"/>
        </w:rPr>
        <w:t xml:space="preserve">rather than the Secretary </w:t>
      </w:r>
      <w:r w:rsidR="002844A9">
        <w:rPr>
          <w:rFonts w:ascii="Garamond" w:hAnsi="Garamond" w:cs="Futura"/>
          <w:sz w:val="24"/>
          <w:szCs w:val="24"/>
        </w:rPr>
        <w:lastRenderedPageBreak/>
        <w:t xml:space="preserve">of State being able to rely on the absence in the </w:t>
      </w:r>
      <w:r w:rsidR="00412061">
        <w:rPr>
          <w:rFonts w:ascii="Garamond" w:hAnsi="Garamond" w:cs="Futura"/>
          <w:sz w:val="24"/>
          <w:szCs w:val="24"/>
        </w:rPr>
        <w:t xml:space="preserve">1972 Act </w:t>
      </w:r>
      <w:r w:rsidR="002844A9">
        <w:rPr>
          <w:rFonts w:ascii="Garamond" w:hAnsi="Garamond" w:cs="Futura"/>
          <w:sz w:val="24"/>
          <w:szCs w:val="24"/>
        </w:rPr>
        <w:t xml:space="preserve">of any exclusion of the prerogative power to withdraw from the EU Treaties, the </w:t>
      </w:r>
      <w:r w:rsidR="002844A9" w:rsidRPr="00412061">
        <w:rPr>
          <w:rFonts w:ascii="Garamond" w:hAnsi="Garamond" w:cs="Futura"/>
          <w:i/>
          <w:sz w:val="24"/>
          <w:szCs w:val="24"/>
        </w:rPr>
        <w:t>proper analysis</w:t>
      </w:r>
      <w:r w:rsidR="002844A9">
        <w:rPr>
          <w:rFonts w:ascii="Garamond" w:hAnsi="Garamond" w:cs="Futura"/>
          <w:sz w:val="24"/>
          <w:szCs w:val="24"/>
        </w:rPr>
        <w:t xml:space="preserve"> is that, unless that Act positively created such a power in relation to those Treaties, it does not exist”.</w:t>
      </w:r>
      <w:r w:rsidR="00B0524D" w:rsidRPr="00CD201B">
        <w:rPr>
          <w:rStyle w:val="FootnoteReference"/>
          <w:rFonts w:ascii="Garamond" w:hAnsi="Garamond" w:cs="Futura"/>
          <w:sz w:val="24"/>
          <w:szCs w:val="24"/>
        </w:rPr>
        <w:footnoteReference w:id="46"/>
      </w:r>
    </w:p>
    <w:p w14:paraId="162A3A50" w14:textId="16D36A2F" w:rsidR="00B5312C" w:rsidRDefault="002661F0" w:rsidP="00CA14FA">
      <w:pPr>
        <w:ind w:firstLine="624"/>
        <w:contextualSpacing/>
        <w:rPr>
          <w:rFonts w:ascii="Garamond" w:hAnsi="Garamond" w:cs="Futura"/>
          <w:sz w:val="24"/>
        </w:rPr>
      </w:pPr>
      <w:r>
        <w:rPr>
          <w:rFonts w:ascii="Garamond" w:hAnsi="Garamond" w:cs="Futura"/>
          <w:sz w:val="24"/>
        </w:rPr>
        <w:t xml:space="preserve">At the same time, </w:t>
      </w:r>
      <w:r w:rsidR="006204BB">
        <w:rPr>
          <w:rFonts w:ascii="Garamond" w:hAnsi="Garamond" w:cs="Futura"/>
          <w:sz w:val="24"/>
        </w:rPr>
        <w:t xml:space="preserve">although construction issues </w:t>
      </w:r>
      <w:r w:rsidR="005D24AC">
        <w:rPr>
          <w:rFonts w:ascii="Garamond" w:hAnsi="Garamond" w:cs="Futura"/>
          <w:sz w:val="24"/>
        </w:rPr>
        <w:t>were important</w:t>
      </w:r>
      <w:r w:rsidR="006204BB">
        <w:rPr>
          <w:rFonts w:ascii="Garamond" w:hAnsi="Garamond" w:cs="Futura"/>
          <w:sz w:val="24"/>
        </w:rPr>
        <w:t xml:space="preserve"> in </w:t>
      </w:r>
      <w:r w:rsidR="006204BB" w:rsidRPr="006204BB">
        <w:rPr>
          <w:rFonts w:ascii="Garamond" w:hAnsi="Garamond" w:cs="Futura"/>
          <w:i/>
          <w:sz w:val="24"/>
        </w:rPr>
        <w:t>Miller</w:t>
      </w:r>
      <w:r w:rsidR="006204BB">
        <w:rPr>
          <w:rFonts w:ascii="Garamond" w:hAnsi="Garamond" w:cs="Futura"/>
          <w:sz w:val="24"/>
        </w:rPr>
        <w:t xml:space="preserve">, </w:t>
      </w:r>
      <w:r w:rsidR="00806A66">
        <w:rPr>
          <w:rFonts w:ascii="Garamond" w:hAnsi="Garamond" w:cs="Futura"/>
          <w:sz w:val="24"/>
        </w:rPr>
        <w:t xml:space="preserve">the majority </w:t>
      </w:r>
      <w:r w:rsidR="00F05857">
        <w:rPr>
          <w:rFonts w:ascii="Garamond" w:hAnsi="Garamond" w:cs="Futura"/>
          <w:sz w:val="24"/>
        </w:rPr>
        <w:t xml:space="preserve">also </w:t>
      </w:r>
      <w:r w:rsidR="00D77EDF">
        <w:rPr>
          <w:rFonts w:ascii="Garamond" w:hAnsi="Garamond" w:cs="Futura"/>
          <w:sz w:val="24"/>
        </w:rPr>
        <w:t>drew attention to</w:t>
      </w:r>
      <w:r w:rsidR="00E757D0">
        <w:rPr>
          <w:rFonts w:ascii="Garamond" w:hAnsi="Garamond" w:cs="Futura"/>
          <w:sz w:val="24"/>
        </w:rPr>
        <w:t xml:space="preserve"> </w:t>
      </w:r>
      <w:r w:rsidR="001A0D61">
        <w:rPr>
          <w:rFonts w:ascii="Garamond" w:hAnsi="Garamond" w:cs="Futura"/>
          <w:sz w:val="24"/>
        </w:rPr>
        <w:t xml:space="preserve">certain </w:t>
      </w:r>
      <w:r w:rsidR="00AA5EBB">
        <w:rPr>
          <w:rFonts w:ascii="Garamond" w:hAnsi="Garamond" w:cs="Futura"/>
          <w:sz w:val="24"/>
        </w:rPr>
        <w:t>properties</w:t>
      </w:r>
      <w:r w:rsidR="00806A66">
        <w:rPr>
          <w:rFonts w:ascii="Garamond" w:hAnsi="Garamond" w:cs="Futura"/>
          <w:sz w:val="24"/>
        </w:rPr>
        <w:t xml:space="preserve"> of EU law</w:t>
      </w:r>
      <w:r w:rsidR="00D77EDF">
        <w:rPr>
          <w:rFonts w:ascii="Garamond" w:hAnsi="Garamond" w:cs="Futura"/>
          <w:sz w:val="24"/>
        </w:rPr>
        <w:t xml:space="preserve"> </w:t>
      </w:r>
      <w:r w:rsidR="00E4521B">
        <w:rPr>
          <w:rFonts w:ascii="Garamond" w:hAnsi="Garamond" w:cs="Futura"/>
          <w:sz w:val="24"/>
        </w:rPr>
        <w:t>–</w:t>
      </w:r>
      <w:r w:rsidR="00EF0693">
        <w:rPr>
          <w:rFonts w:ascii="Garamond" w:hAnsi="Garamond" w:cs="Futura"/>
          <w:sz w:val="24"/>
        </w:rPr>
        <w:t xml:space="preserve"> </w:t>
      </w:r>
      <w:r w:rsidR="00E4521B">
        <w:rPr>
          <w:rFonts w:ascii="Garamond" w:hAnsi="Garamond" w:cs="Futura"/>
          <w:sz w:val="24"/>
        </w:rPr>
        <w:t xml:space="preserve">its being direct, independent, overriding and dynamic – </w:t>
      </w:r>
      <w:r w:rsidR="00E757D0">
        <w:rPr>
          <w:rFonts w:ascii="Garamond" w:hAnsi="Garamond" w:cs="Futura"/>
          <w:sz w:val="24"/>
        </w:rPr>
        <w:t xml:space="preserve">that </w:t>
      </w:r>
      <w:r w:rsidR="0019714C">
        <w:rPr>
          <w:rFonts w:ascii="Garamond" w:hAnsi="Garamond" w:cs="Futura"/>
          <w:sz w:val="24"/>
        </w:rPr>
        <w:t>do not</w:t>
      </w:r>
      <w:r w:rsidR="00806A66">
        <w:rPr>
          <w:rFonts w:ascii="Garamond" w:hAnsi="Garamond" w:cs="Futura"/>
          <w:sz w:val="24"/>
        </w:rPr>
        <w:t xml:space="preserve"> exclusively </w:t>
      </w:r>
      <w:r w:rsidR="0019714C">
        <w:rPr>
          <w:rFonts w:ascii="Garamond" w:hAnsi="Garamond" w:cs="Futura"/>
          <w:sz w:val="24"/>
        </w:rPr>
        <w:t>depend</w:t>
      </w:r>
      <w:r w:rsidR="00AA5EBB">
        <w:rPr>
          <w:rFonts w:ascii="Garamond" w:hAnsi="Garamond" w:cs="Futura"/>
          <w:sz w:val="24"/>
        </w:rPr>
        <w:t xml:space="preserve"> on </w:t>
      </w:r>
      <w:r w:rsidR="00037C30">
        <w:rPr>
          <w:rFonts w:ascii="Garamond" w:hAnsi="Garamond" w:cs="Futura"/>
          <w:sz w:val="24"/>
        </w:rPr>
        <w:t>the domestic legislative scheme</w:t>
      </w:r>
      <w:r w:rsidR="00806A66">
        <w:rPr>
          <w:rFonts w:ascii="Garamond" w:hAnsi="Garamond" w:cs="Futura"/>
          <w:sz w:val="24"/>
        </w:rPr>
        <w:t xml:space="preserve">. </w:t>
      </w:r>
      <w:r w:rsidR="00EE7906">
        <w:rPr>
          <w:rFonts w:ascii="Garamond" w:hAnsi="Garamond" w:cs="Futura"/>
          <w:sz w:val="24"/>
        </w:rPr>
        <w:t>These are</w:t>
      </w:r>
      <w:r w:rsidR="00151C2B">
        <w:rPr>
          <w:rFonts w:ascii="Garamond" w:hAnsi="Garamond" w:cs="Futura"/>
          <w:sz w:val="24"/>
        </w:rPr>
        <w:t xml:space="preserve"> properties of EU law</w:t>
      </w:r>
      <w:r w:rsidR="00D77EDF">
        <w:rPr>
          <w:rFonts w:ascii="Garamond" w:hAnsi="Garamond" w:cs="Futura"/>
          <w:sz w:val="24"/>
        </w:rPr>
        <w:t xml:space="preserve"> </w:t>
      </w:r>
      <w:r w:rsidR="00D77EDF" w:rsidRPr="00AA5EBB">
        <w:rPr>
          <w:rFonts w:ascii="Garamond" w:hAnsi="Garamond" w:cs="Futura"/>
          <w:i/>
          <w:sz w:val="24"/>
        </w:rPr>
        <w:t>itself</w:t>
      </w:r>
      <w:r w:rsidR="00151C2B">
        <w:rPr>
          <w:rFonts w:ascii="Garamond" w:hAnsi="Garamond" w:cs="Futura"/>
          <w:sz w:val="24"/>
        </w:rPr>
        <w:t xml:space="preserve">, albeit with their </w:t>
      </w:r>
      <w:r w:rsidR="00EE7906">
        <w:rPr>
          <w:rFonts w:ascii="Garamond" w:hAnsi="Garamond" w:cs="Futura"/>
          <w:sz w:val="24"/>
        </w:rPr>
        <w:t xml:space="preserve">domestic expression </w:t>
      </w:r>
      <w:r w:rsidR="002248D3">
        <w:rPr>
          <w:rFonts w:ascii="Garamond" w:hAnsi="Garamond" w:cs="Futura"/>
          <w:sz w:val="24"/>
        </w:rPr>
        <w:t xml:space="preserve">partly </w:t>
      </w:r>
      <w:r w:rsidR="00EE7906">
        <w:rPr>
          <w:rFonts w:ascii="Garamond" w:hAnsi="Garamond" w:cs="Futura"/>
          <w:sz w:val="24"/>
        </w:rPr>
        <w:t xml:space="preserve">conditioned by </w:t>
      </w:r>
      <w:r w:rsidR="00A21145">
        <w:rPr>
          <w:rFonts w:ascii="Garamond" w:hAnsi="Garamond" w:cs="Futura"/>
          <w:sz w:val="24"/>
        </w:rPr>
        <w:t xml:space="preserve">features of </w:t>
      </w:r>
      <w:r w:rsidR="00150E87">
        <w:rPr>
          <w:rFonts w:ascii="Garamond" w:hAnsi="Garamond" w:cs="Futura"/>
          <w:sz w:val="24"/>
        </w:rPr>
        <w:t>domestic law</w:t>
      </w:r>
      <w:r w:rsidR="00EE7906">
        <w:rPr>
          <w:rFonts w:ascii="Garamond" w:hAnsi="Garamond" w:cs="Futura"/>
          <w:sz w:val="24"/>
        </w:rPr>
        <w:t>.</w:t>
      </w:r>
    </w:p>
    <w:p w14:paraId="05C58C57" w14:textId="679E700F" w:rsidR="003F0E2B" w:rsidRDefault="0062456F" w:rsidP="00CA14FA">
      <w:pPr>
        <w:ind w:firstLine="624"/>
        <w:contextualSpacing/>
        <w:rPr>
          <w:rFonts w:ascii="Garamond" w:hAnsi="Garamond" w:cs="Futura"/>
          <w:sz w:val="24"/>
        </w:rPr>
      </w:pPr>
      <w:r>
        <w:rPr>
          <w:rFonts w:ascii="Garamond" w:hAnsi="Garamond" w:cs="Futura"/>
          <w:sz w:val="24"/>
        </w:rPr>
        <w:t>Now that</w:t>
      </w:r>
      <w:r w:rsidR="0019714C">
        <w:rPr>
          <w:rFonts w:ascii="Garamond" w:hAnsi="Garamond" w:cs="Futura"/>
          <w:sz w:val="24"/>
        </w:rPr>
        <w:t xml:space="preserve"> </w:t>
      </w:r>
      <w:r w:rsidR="0019714C" w:rsidRPr="0019714C">
        <w:rPr>
          <w:rFonts w:ascii="Garamond" w:hAnsi="Garamond" w:cs="Futura"/>
          <w:i/>
          <w:sz w:val="24"/>
        </w:rPr>
        <w:t>Miller</w:t>
      </w:r>
      <w:r>
        <w:rPr>
          <w:rFonts w:ascii="Garamond" w:hAnsi="Garamond" w:cs="Futura"/>
          <w:sz w:val="24"/>
        </w:rPr>
        <w:t xml:space="preserve"> has been handed down,</w:t>
      </w:r>
      <w:r w:rsidR="0019714C">
        <w:rPr>
          <w:rFonts w:ascii="Garamond" w:hAnsi="Garamond" w:cs="Futura"/>
          <w:sz w:val="24"/>
        </w:rPr>
        <w:t xml:space="preserve"> </w:t>
      </w:r>
      <w:r w:rsidR="00763150">
        <w:rPr>
          <w:rFonts w:ascii="Garamond" w:hAnsi="Garamond" w:cs="Futura"/>
          <w:sz w:val="24"/>
        </w:rPr>
        <w:t>there is reason to think that</w:t>
      </w:r>
      <w:r w:rsidR="00B833AB">
        <w:rPr>
          <w:rFonts w:ascii="Garamond" w:hAnsi="Garamond" w:cs="Futura"/>
          <w:sz w:val="24"/>
        </w:rPr>
        <w:t xml:space="preserve"> courts will intervene – if appropriate circumstances present themselves – to protect a treaty-based source from being extinguished </w:t>
      </w:r>
      <w:r w:rsidR="007E3DB5">
        <w:rPr>
          <w:rFonts w:ascii="Garamond" w:hAnsi="Garamond" w:cs="Futura"/>
          <w:sz w:val="24"/>
        </w:rPr>
        <w:t xml:space="preserve">as a result of </w:t>
      </w:r>
      <w:r w:rsidR="00B833AB">
        <w:rPr>
          <w:rFonts w:ascii="Garamond" w:hAnsi="Garamond" w:cs="Futura"/>
          <w:sz w:val="24"/>
        </w:rPr>
        <w:t>prerogative action</w:t>
      </w:r>
      <w:r>
        <w:rPr>
          <w:rFonts w:ascii="Garamond" w:hAnsi="Garamond" w:cs="Futura"/>
          <w:sz w:val="24"/>
        </w:rPr>
        <w:t xml:space="preserve"> internationally</w:t>
      </w:r>
      <w:r w:rsidR="00B833AB">
        <w:rPr>
          <w:rFonts w:ascii="Garamond" w:hAnsi="Garamond" w:cs="Futura"/>
          <w:sz w:val="24"/>
        </w:rPr>
        <w:t xml:space="preserve">. </w:t>
      </w:r>
      <w:r w:rsidR="00763150">
        <w:rPr>
          <w:rFonts w:ascii="Garamond" w:hAnsi="Garamond" w:cs="Futura"/>
          <w:sz w:val="24"/>
        </w:rPr>
        <w:t>The</w:t>
      </w:r>
      <w:r w:rsidR="00B833AB">
        <w:rPr>
          <w:rFonts w:ascii="Garamond" w:hAnsi="Garamond" w:cs="Futura"/>
          <w:sz w:val="24"/>
        </w:rPr>
        <w:t xml:space="preserve"> aim</w:t>
      </w:r>
      <w:r w:rsidR="00037C30">
        <w:rPr>
          <w:rFonts w:ascii="Garamond" w:hAnsi="Garamond" w:cs="Futura"/>
          <w:sz w:val="24"/>
        </w:rPr>
        <w:t>, looking ahead,</w:t>
      </w:r>
      <w:r w:rsidR="00B833AB">
        <w:rPr>
          <w:rFonts w:ascii="Garamond" w:hAnsi="Garamond" w:cs="Futura"/>
          <w:sz w:val="24"/>
        </w:rPr>
        <w:t xml:space="preserve"> is to </w:t>
      </w:r>
      <w:r w:rsidR="0019714C">
        <w:rPr>
          <w:rFonts w:ascii="Garamond" w:hAnsi="Garamond" w:cs="Futura"/>
          <w:sz w:val="24"/>
        </w:rPr>
        <w:t>clarify</w:t>
      </w:r>
      <w:r w:rsidR="00037C30">
        <w:rPr>
          <w:rFonts w:ascii="Garamond" w:hAnsi="Garamond" w:cs="Futura"/>
          <w:sz w:val="24"/>
        </w:rPr>
        <w:t xml:space="preserve"> what those circumstances might</w:t>
      </w:r>
      <w:r w:rsidR="00B833AB">
        <w:rPr>
          <w:rFonts w:ascii="Garamond" w:hAnsi="Garamond" w:cs="Futura"/>
          <w:sz w:val="24"/>
        </w:rPr>
        <w:t xml:space="preserve"> </w:t>
      </w:r>
      <w:r w:rsidR="00037C30">
        <w:rPr>
          <w:rFonts w:ascii="Garamond" w:hAnsi="Garamond" w:cs="Futura"/>
          <w:sz w:val="24"/>
        </w:rPr>
        <w:t xml:space="preserve">be. </w:t>
      </w:r>
      <w:r w:rsidR="002578D6">
        <w:rPr>
          <w:rFonts w:ascii="Garamond" w:hAnsi="Garamond" w:cs="Futura"/>
          <w:sz w:val="24"/>
        </w:rPr>
        <w:t>We will also need to</w:t>
      </w:r>
      <w:r w:rsidR="00653F0F">
        <w:rPr>
          <w:rFonts w:ascii="Garamond" w:hAnsi="Garamond" w:cs="Futura"/>
          <w:sz w:val="24"/>
        </w:rPr>
        <w:t xml:space="preserve"> keep</w:t>
      </w:r>
      <w:r w:rsidR="00933F9A">
        <w:rPr>
          <w:rFonts w:ascii="Garamond" w:hAnsi="Garamond" w:cs="Futura"/>
          <w:sz w:val="24"/>
        </w:rPr>
        <w:t xml:space="preserve"> in mind</w:t>
      </w:r>
      <w:r w:rsidR="00653F0F">
        <w:rPr>
          <w:rFonts w:ascii="Garamond" w:hAnsi="Garamond" w:cs="Futura"/>
          <w:sz w:val="24"/>
        </w:rPr>
        <w:t xml:space="preserve"> </w:t>
      </w:r>
      <w:r w:rsidR="0019714C">
        <w:rPr>
          <w:rFonts w:ascii="Garamond" w:hAnsi="Garamond" w:cs="Futura"/>
          <w:sz w:val="24"/>
        </w:rPr>
        <w:t xml:space="preserve">the two </w:t>
      </w:r>
      <w:r w:rsidR="008768B0">
        <w:rPr>
          <w:rFonts w:ascii="Garamond" w:hAnsi="Garamond" w:cs="Futura"/>
          <w:sz w:val="24"/>
        </w:rPr>
        <w:t>dimensions</w:t>
      </w:r>
      <w:r w:rsidR="004E1916">
        <w:rPr>
          <w:rFonts w:ascii="Garamond" w:hAnsi="Garamond" w:cs="Futura"/>
          <w:sz w:val="24"/>
        </w:rPr>
        <w:t xml:space="preserve"> </w:t>
      </w:r>
      <w:r w:rsidR="00933F9A">
        <w:rPr>
          <w:rFonts w:ascii="Garamond" w:hAnsi="Garamond" w:cs="Futura"/>
          <w:sz w:val="24"/>
        </w:rPr>
        <w:t xml:space="preserve">set out above </w:t>
      </w:r>
      <w:r w:rsidR="004E1916">
        <w:rPr>
          <w:rFonts w:ascii="Garamond" w:hAnsi="Garamond" w:cs="Futura"/>
          <w:sz w:val="24"/>
        </w:rPr>
        <w:t xml:space="preserve">– </w:t>
      </w:r>
      <w:r w:rsidR="0022489E">
        <w:rPr>
          <w:rFonts w:ascii="Garamond" w:hAnsi="Garamond" w:cs="Futura"/>
          <w:sz w:val="24"/>
        </w:rPr>
        <w:t>namely,</w:t>
      </w:r>
      <w:r w:rsidR="004E1916">
        <w:rPr>
          <w:rFonts w:ascii="Garamond" w:hAnsi="Garamond" w:cs="Futura"/>
          <w:sz w:val="24"/>
        </w:rPr>
        <w:t xml:space="preserve"> </w:t>
      </w:r>
      <w:r w:rsidR="001B3D51">
        <w:rPr>
          <w:rFonts w:ascii="Garamond" w:hAnsi="Garamond" w:cs="Futura"/>
          <w:sz w:val="24"/>
        </w:rPr>
        <w:t xml:space="preserve">the </w:t>
      </w:r>
      <w:r w:rsidR="00DD45D0">
        <w:rPr>
          <w:rFonts w:ascii="Garamond" w:hAnsi="Garamond" w:cs="Futura"/>
          <w:sz w:val="24"/>
        </w:rPr>
        <w:t>properties of the treaty-based source</w:t>
      </w:r>
      <w:r w:rsidR="00725929">
        <w:rPr>
          <w:rFonts w:ascii="Garamond" w:hAnsi="Garamond" w:cs="Futura"/>
          <w:sz w:val="24"/>
        </w:rPr>
        <w:t xml:space="preserve"> itself, and </w:t>
      </w:r>
      <w:r w:rsidR="008768B0">
        <w:rPr>
          <w:rFonts w:ascii="Garamond" w:hAnsi="Garamond" w:cs="Futura"/>
          <w:sz w:val="24"/>
        </w:rPr>
        <w:t>the domestic legislati</w:t>
      </w:r>
      <w:r w:rsidR="0022489E">
        <w:rPr>
          <w:rFonts w:ascii="Garamond" w:hAnsi="Garamond" w:cs="Futura"/>
          <w:sz w:val="24"/>
        </w:rPr>
        <w:t>ve scheme establishing</w:t>
      </w:r>
      <w:r w:rsidR="00725929">
        <w:rPr>
          <w:rFonts w:ascii="Garamond" w:hAnsi="Garamond" w:cs="Futura"/>
          <w:sz w:val="24"/>
        </w:rPr>
        <w:t xml:space="preserve"> the source</w:t>
      </w:r>
      <w:r w:rsidR="008768B0">
        <w:rPr>
          <w:rFonts w:ascii="Garamond" w:hAnsi="Garamond" w:cs="Futura"/>
          <w:sz w:val="24"/>
        </w:rPr>
        <w:t xml:space="preserve"> within the UK legal system.</w:t>
      </w:r>
    </w:p>
    <w:p w14:paraId="70D4805D" w14:textId="72337D87" w:rsidR="00A43E20" w:rsidRDefault="00A43E20" w:rsidP="004D710C">
      <w:pPr>
        <w:contextualSpacing/>
        <w:rPr>
          <w:rFonts w:ascii="Garamond" w:hAnsi="Garamond" w:cs="Futura"/>
          <w:sz w:val="24"/>
        </w:rPr>
      </w:pPr>
    </w:p>
    <w:p w14:paraId="3CEF66B7" w14:textId="245BBED3" w:rsidR="004D710C" w:rsidRPr="004D710C" w:rsidRDefault="004D710C" w:rsidP="004D710C">
      <w:pPr>
        <w:contextualSpacing/>
        <w:jc w:val="center"/>
        <w:rPr>
          <w:rFonts w:ascii="Garamond" w:hAnsi="Garamond" w:cs="Futura"/>
          <w:b/>
          <w:i/>
          <w:sz w:val="24"/>
        </w:rPr>
      </w:pPr>
      <w:r w:rsidRPr="004D710C">
        <w:rPr>
          <w:rFonts w:ascii="Garamond" w:hAnsi="Garamond" w:cs="Futura"/>
          <w:b/>
          <w:i/>
          <w:sz w:val="24"/>
        </w:rPr>
        <w:t>Extinction</w:t>
      </w:r>
    </w:p>
    <w:p w14:paraId="204D2307" w14:textId="6EB47D71" w:rsidR="004D710C" w:rsidRDefault="004D710C" w:rsidP="004D710C">
      <w:pPr>
        <w:contextualSpacing/>
        <w:rPr>
          <w:rFonts w:ascii="Garamond" w:hAnsi="Garamond" w:cs="Futura"/>
          <w:sz w:val="24"/>
        </w:rPr>
      </w:pPr>
    </w:p>
    <w:p w14:paraId="79A3A055" w14:textId="497423C9" w:rsidR="00894AA8" w:rsidRDefault="007E3DB5" w:rsidP="00436FAB">
      <w:pPr>
        <w:contextualSpacing/>
        <w:rPr>
          <w:rFonts w:ascii="Garamond" w:hAnsi="Garamond" w:cs="Futura"/>
          <w:sz w:val="24"/>
        </w:rPr>
      </w:pPr>
      <w:r>
        <w:rPr>
          <w:rFonts w:ascii="Garamond" w:hAnsi="Garamond" w:cs="Futura"/>
          <w:sz w:val="24"/>
        </w:rPr>
        <w:t>To</w:t>
      </w:r>
      <w:r w:rsidR="006C7C6A">
        <w:rPr>
          <w:rFonts w:ascii="Garamond" w:hAnsi="Garamond" w:cs="Futura"/>
          <w:sz w:val="24"/>
        </w:rPr>
        <w:t xml:space="preserve"> understand the </w:t>
      </w:r>
      <w:r w:rsidR="003C4846">
        <w:rPr>
          <w:rFonts w:ascii="Garamond" w:hAnsi="Garamond" w:cs="Futura"/>
          <w:sz w:val="24"/>
        </w:rPr>
        <w:t xml:space="preserve">possible </w:t>
      </w:r>
      <w:r w:rsidR="00917967">
        <w:rPr>
          <w:rFonts w:ascii="Garamond" w:hAnsi="Garamond" w:cs="Futura"/>
          <w:sz w:val="24"/>
        </w:rPr>
        <w:t>implications</w:t>
      </w:r>
      <w:r w:rsidR="00E32BB0">
        <w:rPr>
          <w:rFonts w:ascii="Garamond" w:hAnsi="Garamond" w:cs="Futura"/>
          <w:sz w:val="24"/>
        </w:rPr>
        <w:t xml:space="preserve"> </w:t>
      </w:r>
      <w:r w:rsidR="006C7C6A">
        <w:rPr>
          <w:rFonts w:ascii="Garamond" w:hAnsi="Garamond" w:cs="Futura"/>
          <w:sz w:val="24"/>
        </w:rPr>
        <w:t xml:space="preserve">of </w:t>
      </w:r>
      <w:r w:rsidR="006C7C6A" w:rsidRPr="00B0599C">
        <w:rPr>
          <w:rFonts w:ascii="Garamond" w:hAnsi="Garamond" w:cs="Futura"/>
          <w:i/>
          <w:sz w:val="24"/>
        </w:rPr>
        <w:t>Miller</w:t>
      </w:r>
      <w:r w:rsidR="00191FBA">
        <w:rPr>
          <w:rFonts w:ascii="Garamond" w:hAnsi="Garamond" w:cs="Futura"/>
          <w:sz w:val="24"/>
        </w:rPr>
        <w:t xml:space="preserve"> for other treaty-based sources,</w:t>
      </w:r>
      <w:r w:rsidR="006C7C6A">
        <w:rPr>
          <w:rFonts w:ascii="Garamond" w:hAnsi="Garamond" w:cs="Futura"/>
          <w:sz w:val="24"/>
        </w:rPr>
        <w:t xml:space="preserve"> </w:t>
      </w:r>
      <w:r w:rsidR="00A7095A">
        <w:rPr>
          <w:rFonts w:ascii="Garamond" w:hAnsi="Garamond" w:cs="Futura"/>
          <w:sz w:val="24"/>
        </w:rPr>
        <w:t>w</w:t>
      </w:r>
      <w:r w:rsidR="008B0CFA">
        <w:rPr>
          <w:rFonts w:ascii="Garamond" w:hAnsi="Garamond" w:cs="Futura"/>
          <w:sz w:val="24"/>
        </w:rPr>
        <w:t xml:space="preserve">e </w:t>
      </w:r>
      <w:r w:rsidR="007C4885">
        <w:rPr>
          <w:rFonts w:ascii="Garamond" w:hAnsi="Garamond" w:cs="Futura"/>
          <w:sz w:val="24"/>
        </w:rPr>
        <w:t xml:space="preserve">first </w:t>
      </w:r>
      <w:r w:rsidR="008B0CFA">
        <w:rPr>
          <w:rFonts w:ascii="Garamond" w:hAnsi="Garamond" w:cs="Futura"/>
          <w:sz w:val="24"/>
        </w:rPr>
        <w:t>need to know</w:t>
      </w:r>
      <w:r w:rsidR="006C7C6A">
        <w:rPr>
          <w:rFonts w:ascii="Garamond" w:hAnsi="Garamond" w:cs="Futura"/>
          <w:sz w:val="24"/>
        </w:rPr>
        <w:t xml:space="preserve"> whether UK withdrawal from </w:t>
      </w:r>
      <w:r w:rsidR="00191FBA">
        <w:rPr>
          <w:rFonts w:ascii="Garamond" w:hAnsi="Garamond" w:cs="Futura"/>
          <w:sz w:val="24"/>
        </w:rPr>
        <w:t>any such</w:t>
      </w:r>
      <w:r w:rsidR="006C7C6A">
        <w:rPr>
          <w:rFonts w:ascii="Garamond" w:hAnsi="Garamond" w:cs="Futura"/>
          <w:sz w:val="24"/>
        </w:rPr>
        <w:t xml:space="preserve"> treaty would </w:t>
      </w:r>
      <w:r w:rsidR="00D06410">
        <w:rPr>
          <w:rFonts w:ascii="Garamond" w:hAnsi="Garamond" w:cs="Futura"/>
          <w:sz w:val="24"/>
        </w:rPr>
        <w:t>extinguish that</w:t>
      </w:r>
      <w:r w:rsidR="006C7C6A">
        <w:rPr>
          <w:rFonts w:ascii="Garamond" w:hAnsi="Garamond" w:cs="Futura"/>
          <w:sz w:val="24"/>
        </w:rPr>
        <w:t xml:space="preserve"> source of legal norms. </w:t>
      </w:r>
      <w:r w:rsidR="003C4846">
        <w:rPr>
          <w:rFonts w:ascii="Garamond" w:hAnsi="Garamond" w:cs="Futura"/>
          <w:sz w:val="24"/>
        </w:rPr>
        <w:t>The</w:t>
      </w:r>
      <w:r w:rsidR="00A7095A">
        <w:rPr>
          <w:rFonts w:ascii="Garamond" w:hAnsi="Garamond" w:cs="Futura"/>
          <w:sz w:val="24"/>
        </w:rPr>
        <w:t xml:space="preserve"> </w:t>
      </w:r>
      <w:r w:rsidR="005F06BE">
        <w:rPr>
          <w:rFonts w:ascii="Garamond" w:hAnsi="Garamond" w:cs="Futura"/>
          <w:sz w:val="24"/>
        </w:rPr>
        <w:t xml:space="preserve">ultimate </w:t>
      </w:r>
      <w:r w:rsidR="00A7095A">
        <w:rPr>
          <w:rFonts w:ascii="Garamond" w:hAnsi="Garamond" w:cs="Futura"/>
          <w:sz w:val="24"/>
        </w:rPr>
        <w:t xml:space="preserve">concern in </w:t>
      </w:r>
      <w:r w:rsidR="00A7095A" w:rsidRPr="00A7095A">
        <w:rPr>
          <w:rFonts w:ascii="Garamond" w:hAnsi="Garamond" w:cs="Futura"/>
          <w:i/>
          <w:sz w:val="24"/>
        </w:rPr>
        <w:t>Miller</w:t>
      </w:r>
      <w:r w:rsidR="007C4885">
        <w:rPr>
          <w:rFonts w:ascii="Garamond" w:hAnsi="Garamond" w:cs="Futura"/>
          <w:sz w:val="24"/>
        </w:rPr>
        <w:t xml:space="preserve"> was</w:t>
      </w:r>
      <w:r w:rsidR="003C4846">
        <w:rPr>
          <w:rFonts w:ascii="Garamond" w:hAnsi="Garamond" w:cs="Futura"/>
          <w:sz w:val="24"/>
        </w:rPr>
        <w:t>, after all,</w:t>
      </w:r>
      <w:r w:rsidR="007C4885">
        <w:rPr>
          <w:rFonts w:ascii="Garamond" w:hAnsi="Garamond" w:cs="Futura"/>
          <w:sz w:val="24"/>
        </w:rPr>
        <w:t xml:space="preserve"> </w:t>
      </w:r>
      <w:r w:rsidR="000F2F8A">
        <w:rPr>
          <w:rFonts w:ascii="Garamond" w:hAnsi="Garamond" w:cs="Futura"/>
          <w:sz w:val="24"/>
        </w:rPr>
        <w:t xml:space="preserve">to </w:t>
      </w:r>
      <w:r w:rsidR="00463C17">
        <w:rPr>
          <w:rFonts w:ascii="Garamond" w:hAnsi="Garamond" w:cs="Futura"/>
          <w:sz w:val="24"/>
        </w:rPr>
        <w:t>prevent</w:t>
      </w:r>
      <w:r w:rsidR="00A7095A">
        <w:rPr>
          <w:rFonts w:ascii="Garamond" w:hAnsi="Garamond" w:cs="Futura"/>
          <w:sz w:val="24"/>
        </w:rPr>
        <w:t xml:space="preserve"> </w:t>
      </w:r>
      <w:r w:rsidR="00463C17">
        <w:rPr>
          <w:rFonts w:ascii="Garamond" w:hAnsi="Garamond" w:cs="Futura"/>
          <w:sz w:val="24"/>
        </w:rPr>
        <w:t xml:space="preserve">improper </w:t>
      </w:r>
      <w:r w:rsidR="00A7095A">
        <w:rPr>
          <w:rFonts w:ascii="Garamond" w:hAnsi="Garamond" w:cs="Futura"/>
          <w:sz w:val="24"/>
        </w:rPr>
        <w:t>source extinction.</w:t>
      </w:r>
      <w:r w:rsidR="00436FAB">
        <w:rPr>
          <w:rFonts w:ascii="Garamond" w:hAnsi="Garamond" w:cs="Futura"/>
          <w:sz w:val="24"/>
        </w:rPr>
        <w:t xml:space="preserve"> </w:t>
      </w:r>
      <w:r w:rsidR="00436FAB" w:rsidRPr="00436FAB">
        <w:rPr>
          <w:rFonts w:ascii="Garamond" w:hAnsi="Garamond" w:cs="Futura"/>
          <w:i/>
          <w:sz w:val="24"/>
        </w:rPr>
        <w:t>Miller</w:t>
      </w:r>
      <w:r w:rsidR="00436FAB">
        <w:rPr>
          <w:rFonts w:ascii="Garamond" w:hAnsi="Garamond" w:cs="Futura"/>
          <w:sz w:val="24"/>
        </w:rPr>
        <w:t xml:space="preserve"> </w:t>
      </w:r>
      <w:r w:rsidR="004C5890">
        <w:rPr>
          <w:rFonts w:ascii="Garamond" w:hAnsi="Garamond" w:cs="Futura"/>
          <w:sz w:val="24"/>
        </w:rPr>
        <w:t>would seem to apply</w:t>
      </w:r>
      <w:r w:rsidR="00436FAB">
        <w:rPr>
          <w:rFonts w:ascii="Garamond" w:hAnsi="Garamond" w:cs="Futura"/>
          <w:sz w:val="24"/>
        </w:rPr>
        <w:t xml:space="preserve"> to circumstances where </w:t>
      </w:r>
      <w:r w:rsidR="00A94D22">
        <w:rPr>
          <w:rFonts w:ascii="Garamond" w:hAnsi="Garamond" w:cs="Futura"/>
          <w:sz w:val="24"/>
        </w:rPr>
        <w:t xml:space="preserve">domestic </w:t>
      </w:r>
      <w:r w:rsidR="009C44BD">
        <w:rPr>
          <w:rFonts w:ascii="Garamond" w:hAnsi="Garamond" w:cs="Futura"/>
          <w:sz w:val="24"/>
        </w:rPr>
        <w:t>legislation</w:t>
      </w:r>
      <w:r w:rsidR="00A94D22">
        <w:rPr>
          <w:rFonts w:ascii="Garamond" w:hAnsi="Garamond" w:cs="Futura"/>
          <w:sz w:val="24"/>
        </w:rPr>
        <w:t xml:space="preserve"> gives effect to </w:t>
      </w:r>
      <w:r w:rsidR="009C44BD">
        <w:rPr>
          <w:rFonts w:ascii="Garamond" w:hAnsi="Garamond" w:cs="Futura"/>
          <w:sz w:val="24"/>
        </w:rPr>
        <w:t>a</w:t>
      </w:r>
      <w:r w:rsidR="00A94D22">
        <w:rPr>
          <w:rFonts w:ascii="Garamond" w:hAnsi="Garamond" w:cs="Futura"/>
          <w:sz w:val="24"/>
        </w:rPr>
        <w:t xml:space="preserve"> treaty-based source</w:t>
      </w:r>
      <w:r w:rsidR="000C0C72">
        <w:rPr>
          <w:rFonts w:ascii="Garamond" w:hAnsi="Garamond" w:cs="Futura"/>
          <w:sz w:val="24"/>
        </w:rPr>
        <w:t xml:space="preserve"> </w:t>
      </w:r>
      <w:r w:rsidR="00A94D22" w:rsidRPr="000C0C72">
        <w:rPr>
          <w:rFonts w:ascii="Garamond" w:hAnsi="Garamond" w:cs="Futura"/>
          <w:i/>
          <w:sz w:val="24"/>
        </w:rPr>
        <w:t>on</w:t>
      </w:r>
      <w:r w:rsidR="00A94D22" w:rsidRPr="008014CB">
        <w:rPr>
          <w:rFonts w:ascii="Garamond" w:hAnsi="Garamond" w:cs="Futura"/>
          <w:i/>
          <w:sz w:val="24"/>
        </w:rPr>
        <w:t xml:space="preserve"> the </w:t>
      </w:r>
      <w:r w:rsidR="004C5890">
        <w:rPr>
          <w:rFonts w:ascii="Garamond" w:hAnsi="Garamond" w:cs="Futura"/>
          <w:i/>
          <w:sz w:val="24"/>
        </w:rPr>
        <w:t>basis</w:t>
      </w:r>
      <w:r w:rsidR="00A94D22" w:rsidRPr="008014CB">
        <w:rPr>
          <w:rFonts w:ascii="Garamond" w:hAnsi="Garamond" w:cs="Futura"/>
          <w:i/>
          <w:sz w:val="24"/>
        </w:rPr>
        <w:t xml:space="preserve"> that</w:t>
      </w:r>
      <w:r w:rsidR="00A94D22">
        <w:rPr>
          <w:rFonts w:ascii="Garamond" w:hAnsi="Garamond" w:cs="Futura"/>
          <w:sz w:val="24"/>
        </w:rPr>
        <w:t xml:space="preserve"> the UK </w:t>
      </w:r>
      <w:r w:rsidR="004C5890">
        <w:rPr>
          <w:rFonts w:ascii="Garamond" w:hAnsi="Garamond" w:cs="Futura"/>
          <w:sz w:val="24"/>
        </w:rPr>
        <w:t>is</w:t>
      </w:r>
      <w:r w:rsidR="00A94D22">
        <w:rPr>
          <w:rFonts w:ascii="Garamond" w:hAnsi="Garamond" w:cs="Futura"/>
          <w:sz w:val="24"/>
        </w:rPr>
        <w:t xml:space="preserve"> party to th</w:t>
      </w:r>
      <w:r w:rsidR="009C44BD">
        <w:rPr>
          <w:rFonts w:ascii="Garamond" w:hAnsi="Garamond" w:cs="Futura"/>
          <w:sz w:val="24"/>
        </w:rPr>
        <w:t>at</w:t>
      </w:r>
      <w:r w:rsidR="00A94D22">
        <w:rPr>
          <w:rFonts w:ascii="Garamond" w:hAnsi="Garamond" w:cs="Futura"/>
          <w:sz w:val="24"/>
        </w:rPr>
        <w:t xml:space="preserve"> treaty</w:t>
      </w:r>
      <w:r w:rsidR="00AC609B">
        <w:rPr>
          <w:rFonts w:ascii="Garamond" w:hAnsi="Garamond" w:cs="Futura"/>
          <w:sz w:val="24"/>
        </w:rPr>
        <w:t xml:space="preserve">. </w:t>
      </w:r>
      <w:r w:rsidR="004C5890">
        <w:rPr>
          <w:rFonts w:ascii="Garamond" w:hAnsi="Garamond" w:cs="Futura"/>
          <w:sz w:val="24"/>
        </w:rPr>
        <w:t>It may be that t</w:t>
      </w:r>
      <w:r w:rsidR="001467A5">
        <w:rPr>
          <w:rFonts w:ascii="Garamond" w:hAnsi="Garamond" w:cs="Futura"/>
          <w:sz w:val="24"/>
        </w:rPr>
        <w:t xml:space="preserve">he domestic legislation </w:t>
      </w:r>
      <w:r w:rsidR="00355E58">
        <w:rPr>
          <w:rFonts w:ascii="Garamond" w:hAnsi="Garamond" w:cs="Futura"/>
          <w:sz w:val="24"/>
        </w:rPr>
        <w:t xml:space="preserve">clearly and </w:t>
      </w:r>
      <w:r w:rsidR="001467A5">
        <w:rPr>
          <w:rFonts w:ascii="Garamond" w:hAnsi="Garamond" w:cs="Futura"/>
          <w:sz w:val="24"/>
        </w:rPr>
        <w:t xml:space="preserve">expressly </w:t>
      </w:r>
      <w:r w:rsidR="0052434D">
        <w:rPr>
          <w:rFonts w:ascii="Garamond" w:hAnsi="Garamond" w:cs="Futura"/>
          <w:sz w:val="24"/>
        </w:rPr>
        <w:t>require</w:t>
      </w:r>
      <w:r w:rsidR="004C5890">
        <w:rPr>
          <w:rFonts w:ascii="Garamond" w:hAnsi="Garamond" w:cs="Futura"/>
          <w:sz w:val="24"/>
        </w:rPr>
        <w:t>s</w:t>
      </w:r>
      <w:r w:rsidR="005F06BE">
        <w:rPr>
          <w:rFonts w:ascii="Garamond" w:hAnsi="Garamond" w:cs="Futura"/>
          <w:sz w:val="24"/>
        </w:rPr>
        <w:t xml:space="preserve"> that the UK be party to the treaty</w:t>
      </w:r>
      <w:r w:rsidR="0052434D">
        <w:rPr>
          <w:rFonts w:ascii="Garamond" w:hAnsi="Garamond" w:cs="Futura"/>
          <w:sz w:val="24"/>
        </w:rPr>
        <w:t xml:space="preserve">. Alternatively, absent </w:t>
      </w:r>
      <w:r w:rsidR="00355E58">
        <w:rPr>
          <w:rFonts w:ascii="Garamond" w:hAnsi="Garamond" w:cs="Futura"/>
          <w:sz w:val="24"/>
        </w:rPr>
        <w:t xml:space="preserve">clear and </w:t>
      </w:r>
      <w:r w:rsidR="0052434D">
        <w:rPr>
          <w:rFonts w:ascii="Garamond" w:hAnsi="Garamond" w:cs="Futura"/>
          <w:sz w:val="24"/>
        </w:rPr>
        <w:t xml:space="preserve">express </w:t>
      </w:r>
      <w:r w:rsidR="00E84300">
        <w:rPr>
          <w:rFonts w:ascii="Garamond" w:hAnsi="Garamond" w:cs="Futura"/>
          <w:sz w:val="24"/>
        </w:rPr>
        <w:t>wording</w:t>
      </w:r>
      <w:r w:rsidR="0052434D">
        <w:rPr>
          <w:rFonts w:ascii="Garamond" w:hAnsi="Garamond" w:cs="Futura"/>
          <w:sz w:val="24"/>
        </w:rPr>
        <w:t xml:space="preserve">, </w:t>
      </w:r>
      <w:r w:rsidR="00B47CF0">
        <w:rPr>
          <w:rFonts w:ascii="Garamond" w:hAnsi="Garamond" w:cs="Futura"/>
          <w:sz w:val="24"/>
        </w:rPr>
        <w:t xml:space="preserve">it may be that </w:t>
      </w:r>
      <w:r w:rsidR="00355E58">
        <w:rPr>
          <w:rFonts w:ascii="Garamond" w:hAnsi="Garamond" w:cs="Futura"/>
          <w:sz w:val="24"/>
        </w:rPr>
        <w:t xml:space="preserve">certain provisions </w:t>
      </w:r>
      <w:r w:rsidR="00B47CF0">
        <w:rPr>
          <w:rFonts w:ascii="Garamond" w:hAnsi="Garamond" w:cs="Futura"/>
          <w:sz w:val="24"/>
        </w:rPr>
        <w:t>are reasonably construed</w:t>
      </w:r>
      <w:r w:rsidR="00355E58">
        <w:rPr>
          <w:rFonts w:ascii="Garamond" w:hAnsi="Garamond" w:cs="Futura"/>
          <w:sz w:val="24"/>
        </w:rPr>
        <w:t xml:space="preserve"> </w:t>
      </w:r>
      <w:r w:rsidR="00B47CF0">
        <w:rPr>
          <w:rFonts w:ascii="Garamond" w:hAnsi="Garamond" w:cs="Futura"/>
          <w:sz w:val="24"/>
        </w:rPr>
        <w:t>as assuming</w:t>
      </w:r>
      <w:r w:rsidR="004A197D">
        <w:rPr>
          <w:rFonts w:ascii="Garamond" w:hAnsi="Garamond" w:cs="Futura"/>
          <w:sz w:val="24"/>
        </w:rPr>
        <w:t xml:space="preserve"> </w:t>
      </w:r>
      <w:r w:rsidR="00355E58">
        <w:rPr>
          <w:rFonts w:ascii="Garamond" w:hAnsi="Garamond" w:cs="Futura"/>
          <w:sz w:val="24"/>
        </w:rPr>
        <w:t xml:space="preserve">that the UK is to </w:t>
      </w:r>
      <w:r w:rsidR="00B47CF0">
        <w:rPr>
          <w:rFonts w:ascii="Garamond" w:hAnsi="Garamond" w:cs="Futura"/>
          <w:sz w:val="24"/>
        </w:rPr>
        <w:t>be</w:t>
      </w:r>
      <w:r w:rsidR="00355E58">
        <w:rPr>
          <w:rFonts w:ascii="Garamond" w:hAnsi="Garamond" w:cs="Futura"/>
          <w:sz w:val="24"/>
        </w:rPr>
        <w:t xml:space="preserve"> a treaty party</w:t>
      </w:r>
      <w:r w:rsidR="000F276C">
        <w:rPr>
          <w:rFonts w:ascii="Garamond" w:hAnsi="Garamond" w:cs="Futura"/>
          <w:sz w:val="24"/>
        </w:rPr>
        <w:t>; t</w:t>
      </w:r>
      <w:r w:rsidR="00E84300">
        <w:rPr>
          <w:rFonts w:ascii="Garamond" w:hAnsi="Garamond" w:cs="Futura"/>
          <w:sz w:val="24"/>
        </w:rPr>
        <w:t>his, of course, was how</w:t>
      </w:r>
      <w:r w:rsidR="00B47CF0">
        <w:rPr>
          <w:rFonts w:ascii="Garamond" w:hAnsi="Garamond" w:cs="Futura"/>
          <w:sz w:val="24"/>
        </w:rPr>
        <w:t xml:space="preserve"> </w:t>
      </w:r>
      <w:r w:rsidR="00E84300">
        <w:rPr>
          <w:rFonts w:ascii="Garamond" w:hAnsi="Garamond" w:cs="Futura"/>
          <w:sz w:val="24"/>
        </w:rPr>
        <w:t>the majority</w:t>
      </w:r>
      <w:r w:rsidR="00500765">
        <w:rPr>
          <w:rFonts w:ascii="Garamond" w:hAnsi="Garamond" w:cs="Futura"/>
          <w:sz w:val="24"/>
        </w:rPr>
        <w:t xml:space="preserve"> constru</w:t>
      </w:r>
      <w:r w:rsidR="00E84300">
        <w:rPr>
          <w:rFonts w:ascii="Garamond" w:hAnsi="Garamond" w:cs="Futura"/>
          <w:sz w:val="24"/>
        </w:rPr>
        <w:t xml:space="preserve">ed </w:t>
      </w:r>
      <w:r w:rsidR="00500765">
        <w:rPr>
          <w:rFonts w:ascii="Garamond" w:hAnsi="Garamond" w:cs="Futura"/>
          <w:sz w:val="24"/>
        </w:rPr>
        <w:t xml:space="preserve">the ECA in </w:t>
      </w:r>
      <w:r w:rsidR="00500765" w:rsidRPr="00500765">
        <w:rPr>
          <w:rFonts w:ascii="Garamond" w:hAnsi="Garamond" w:cs="Futura"/>
          <w:i/>
          <w:sz w:val="24"/>
        </w:rPr>
        <w:t>Miller</w:t>
      </w:r>
      <w:r w:rsidR="0052434D">
        <w:rPr>
          <w:rFonts w:ascii="Garamond" w:hAnsi="Garamond" w:cs="Futura"/>
          <w:sz w:val="24"/>
        </w:rPr>
        <w:t>.</w:t>
      </w:r>
      <w:r w:rsidR="001467A5">
        <w:rPr>
          <w:rFonts w:ascii="Garamond" w:hAnsi="Garamond" w:cs="Futura"/>
          <w:sz w:val="24"/>
        </w:rPr>
        <w:t xml:space="preserve"> </w:t>
      </w:r>
      <w:r w:rsidR="000F276C">
        <w:rPr>
          <w:rFonts w:ascii="Garamond" w:hAnsi="Garamond" w:cs="Futura"/>
          <w:sz w:val="24"/>
        </w:rPr>
        <w:t xml:space="preserve">In either </w:t>
      </w:r>
      <w:r w:rsidR="0076313B">
        <w:rPr>
          <w:rFonts w:ascii="Garamond" w:hAnsi="Garamond" w:cs="Futura"/>
          <w:sz w:val="24"/>
        </w:rPr>
        <w:t>scenario</w:t>
      </w:r>
      <w:r w:rsidR="000F276C">
        <w:rPr>
          <w:rFonts w:ascii="Garamond" w:hAnsi="Garamond" w:cs="Futura"/>
          <w:sz w:val="24"/>
        </w:rPr>
        <w:t>,</w:t>
      </w:r>
      <w:r w:rsidR="004D147F">
        <w:rPr>
          <w:rFonts w:ascii="Garamond" w:hAnsi="Garamond" w:cs="Futura"/>
          <w:sz w:val="24"/>
        </w:rPr>
        <w:t xml:space="preserve"> </w:t>
      </w:r>
      <w:r w:rsidR="00E51EC4">
        <w:rPr>
          <w:rFonts w:ascii="Garamond" w:hAnsi="Garamond" w:cs="Futura"/>
          <w:sz w:val="24"/>
        </w:rPr>
        <w:t xml:space="preserve">the concern animating </w:t>
      </w:r>
      <w:r w:rsidR="00E51EC4" w:rsidRPr="000F276C">
        <w:rPr>
          <w:rFonts w:ascii="Garamond" w:hAnsi="Garamond" w:cs="Futura"/>
          <w:i/>
          <w:sz w:val="24"/>
        </w:rPr>
        <w:t>Miller</w:t>
      </w:r>
      <w:r w:rsidR="00E51EC4">
        <w:rPr>
          <w:rFonts w:ascii="Garamond" w:hAnsi="Garamond" w:cs="Futura"/>
          <w:sz w:val="24"/>
        </w:rPr>
        <w:t xml:space="preserve"> is that </w:t>
      </w:r>
      <w:r w:rsidR="004D147F">
        <w:rPr>
          <w:rFonts w:ascii="Garamond" w:hAnsi="Garamond" w:cs="Futura"/>
          <w:sz w:val="24"/>
        </w:rPr>
        <w:t>i</w:t>
      </w:r>
      <w:r w:rsidR="00FF6658">
        <w:rPr>
          <w:rFonts w:ascii="Garamond" w:hAnsi="Garamond" w:cs="Futura"/>
          <w:sz w:val="24"/>
        </w:rPr>
        <w:t xml:space="preserve">f the </w:t>
      </w:r>
      <w:r w:rsidR="00EB617C">
        <w:rPr>
          <w:rFonts w:ascii="Garamond" w:hAnsi="Garamond" w:cs="Futura"/>
          <w:sz w:val="24"/>
        </w:rPr>
        <w:t>prerogative were used to withdraw</w:t>
      </w:r>
      <w:r w:rsidR="00FF6658">
        <w:rPr>
          <w:rFonts w:ascii="Garamond" w:hAnsi="Garamond" w:cs="Futura"/>
          <w:sz w:val="24"/>
        </w:rPr>
        <w:t xml:space="preserve"> from </w:t>
      </w:r>
      <w:r w:rsidR="00355E58">
        <w:rPr>
          <w:rFonts w:ascii="Garamond" w:hAnsi="Garamond" w:cs="Futura"/>
          <w:sz w:val="24"/>
        </w:rPr>
        <w:t>the treaty</w:t>
      </w:r>
      <w:r w:rsidR="00EB617C">
        <w:rPr>
          <w:rFonts w:ascii="Garamond" w:hAnsi="Garamond" w:cs="Futura"/>
          <w:sz w:val="24"/>
        </w:rPr>
        <w:t>,</w:t>
      </w:r>
      <w:r w:rsidR="000F276C">
        <w:rPr>
          <w:rFonts w:ascii="Garamond" w:hAnsi="Garamond" w:cs="Futura"/>
          <w:sz w:val="24"/>
        </w:rPr>
        <w:t xml:space="preserve"> </w:t>
      </w:r>
      <w:r w:rsidR="00EB617C">
        <w:rPr>
          <w:rFonts w:ascii="Garamond" w:hAnsi="Garamond" w:cs="Futura"/>
          <w:sz w:val="24"/>
        </w:rPr>
        <w:t>domestic</w:t>
      </w:r>
      <w:r w:rsidR="00DD70AE" w:rsidRPr="00DD70AE">
        <w:rPr>
          <w:rFonts w:ascii="Garamond" w:hAnsi="Garamond" w:cs="Futura"/>
          <w:sz w:val="24"/>
        </w:rPr>
        <w:t xml:space="preserve"> </w:t>
      </w:r>
      <w:r w:rsidR="009C44BD">
        <w:rPr>
          <w:rFonts w:ascii="Garamond" w:hAnsi="Garamond" w:cs="Futura"/>
          <w:sz w:val="24"/>
        </w:rPr>
        <w:t>legislati</w:t>
      </w:r>
      <w:r w:rsidR="004D147F">
        <w:rPr>
          <w:rFonts w:ascii="Garamond" w:hAnsi="Garamond" w:cs="Futura"/>
          <w:sz w:val="24"/>
        </w:rPr>
        <w:t xml:space="preserve">on </w:t>
      </w:r>
      <w:r w:rsidR="00C30C25">
        <w:rPr>
          <w:rFonts w:ascii="Garamond" w:hAnsi="Garamond" w:cs="Futura"/>
          <w:sz w:val="24"/>
        </w:rPr>
        <w:t>would</w:t>
      </w:r>
      <w:r w:rsidR="00FF6658">
        <w:rPr>
          <w:rFonts w:ascii="Garamond" w:hAnsi="Garamond" w:cs="Futura"/>
          <w:sz w:val="24"/>
        </w:rPr>
        <w:t xml:space="preserve"> </w:t>
      </w:r>
      <w:r w:rsidR="004D147F">
        <w:rPr>
          <w:rFonts w:ascii="Garamond" w:hAnsi="Garamond" w:cs="Futura"/>
          <w:sz w:val="24"/>
        </w:rPr>
        <w:t>no longer</w:t>
      </w:r>
      <w:r w:rsidR="00185852">
        <w:rPr>
          <w:rFonts w:ascii="Garamond" w:hAnsi="Garamond" w:cs="Futura"/>
          <w:sz w:val="24"/>
        </w:rPr>
        <w:t xml:space="preserve"> </w:t>
      </w:r>
      <w:r w:rsidR="004D147F">
        <w:rPr>
          <w:rFonts w:ascii="Garamond" w:hAnsi="Garamond" w:cs="Futura"/>
          <w:sz w:val="24"/>
        </w:rPr>
        <w:t>give</w:t>
      </w:r>
      <w:r w:rsidR="00FF6658">
        <w:rPr>
          <w:rFonts w:ascii="Garamond" w:hAnsi="Garamond" w:cs="Futura"/>
          <w:sz w:val="24"/>
        </w:rPr>
        <w:t xml:space="preserve"> effect to the</w:t>
      </w:r>
      <w:r w:rsidR="00AC609B">
        <w:rPr>
          <w:rFonts w:ascii="Garamond" w:hAnsi="Garamond" w:cs="Futura"/>
          <w:sz w:val="24"/>
        </w:rPr>
        <w:t xml:space="preserve"> treaty-based source</w:t>
      </w:r>
      <w:r w:rsidR="00AB27BB">
        <w:rPr>
          <w:rFonts w:ascii="Garamond" w:hAnsi="Garamond" w:cs="Futura"/>
          <w:sz w:val="24"/>
        </w:rPr>
        <w:t xml:space="preserve"> as </w:t>
      </w:r>
      <w:r w:rsidR="00C30C25">
        <w:rPr>
          <w:rFonts w:ascii="Garamond" w:hAnsi="Garamond" w:cs="Futura"/>
          <w:sz w:val="24"/>
        </w:rPr>
        <w:t>it was supposed to</w:t>
      </w:r>
      <w:r w:rsidR="00AB27BB">
        <w:rPr>
          <w:rFonts w:ascii="Garamond" w:hAnsi="Garamond" w:cs="Futura"/>
          <w:sz w:val="24"/>
        </w:rPr>
        <w:t xml:space="preserve">. </w:t>
      </w:r>
      <w:r w:rsidR="000F276C">
        <w:rPr>
          <w:rFonts w:ascii="Garamond" w:hAnsi="Garamond" w:cs="Futura"/>
          <w:sz w:val="24"/>
        </w:rPr>
        <w:t xml:space="preserve">A </w:t>
      </w:r>
      <w:r w:rsidR="00AB27BB">
        <w:rPr>
          <w:rFonts w:ascii="Garamond" w:hAnsi="Garamond" w:cs="Futura"/>
          <w:sz w:val="24"/>
        </w:rPr>
        <w:t xml:space="preserve">source </w:t>
      </w:r>
      <w:r w:rsidR="00C30C25">
        <w:rPr>
          <w:rFonts w:ascii="Garamond" w:hAnsi="Garamond" w:cs="Futura"/>
          <w:sz w:val="24"/>
        </w:rPr>
        <w:t>would be</w:t>
      </w:r>
      <w:r w:rsidR="0076313B">
        <w:rPr>
          <w:rFonts w:ascii="Garamond" w:hAnsi="Garamond" w:cs="Futura"/>
          <w:sz w:val="24"/>
        </w:rPr>
        <w:t xml:space="preserve"> </w:t>
      </w:r>
      <w:r w:rsidR="00AB27BB">
        <w:rPr>
          <w:rFonts w:ascii="Garamond" w:hAnsi="Garamond" w:cs="Futura"/>
          <w:sz w:val="24"/>
        </w:rPr>
        <w:t>extinguished</w:t>
      </w:r>
      <w:r w:rsidR="00695472">
        <w:rPr>
          <w:rFonts w:ascii="Garamond" w:hAnsi="Garamond" w:cs="Futura"/>
          <w:sz w:val="24"/>
        </w:rPr>
        <w:t xml:space="preserve"> and the legislation frustrated.</w:t>
      </w:r>
      <w:r w:rsidR="00695472">
        <w:rPr>
          <w:rStyle w:val="FootnoteReference"/>
          <w:rFonts w:ascii="Garamond" w:hAnsi="Garamond" w:cs="Futura"/>
          <w:sz w:val="24"/>
        </w:rPr>
        <w:footnoteReference w:id="47"/>
      </w:r>
    </w:p>
    <w:p w14:paraId="00BE151E" w14:textId="2338A1D5" w:rsidR="00454AD9" w:rsidRDefault="00EC7DB9" w:rsidP="00852B48">
      <w:pPr>
        <w:ind w:firstLine="624"/>
        <w:contextualSpacing/>
        <w:rPr>
          <w:rFonts w:ascii="Garamond" w:hAnsi="Garamond" w:cs="Futura"/>
          <w:sz w:val="24"/>
        </w:rPr>
      </w:pPr>
      <w:r>
        <w:rPr>
          <w:rFonts w:ascii="Garamond" w:hAnsi="Garamond" w:cs="Futura"/>
          <w:sz w:val="24"/>
        </w:rPr>
        <w:lastRenderedPageBreak/>
        <w:t>An</w:t>
      </w:r>
      <w:r w:rsidR="00F57718">
        <w:rPr>
          <w:rFonts w:ascii="Garamond" w:hAnsi="Garamond" w:cs="Futura"/>
          <w:sz w:val="24"/>
        </w:rPr>
        <w:t xml:space="preserve"> initial </w:t>
      </w:r>
      <w:r w:rsidR="001B5073">
        <w:rPr>
          <w:rFonts w:ascii="Garamond" w:hAnsi="Garamond" w:cs="Futura"/>
          <w:sz w:val="24"/>
        </w:rPr>
        <w:t>assessment of</w:t>
      </w:r>
      <w:r w:rsidR="00F57718">
        <w:rPr>
          <w:rFonts w:ascii="Garamond" w:hAnsi="Garamond" w:cs="Futura"/>
          <w:sz w:val="24"/>
        </w:rPr>
        <w:t xml:space="preserve"> </w:t>
      </w:r>
      <w:r w:rsidR="00695472">
        <w:rPr>
          <w:rFonts w:ascii="Garamond" w:hAnsi="Garamond" w:cs="Futura"/>
          <w:sz w:val="24"/>
        </w:rPr>
        <w:t xml:space="preserve">potential </w:t>
      </w:r>
      <w:r w:rsidR="001B5073">
        <w:rPr>
          <w:rFonts w:ascii="Garamond" w:hAnsi="Garamond" w:cs="Futura"/>
          <w:sz w:val="24"/>
        </w:rPr>
        <w:t>source extinction</w:t>
      </w:r>
      <w:r w:rsidR="00AB27BB">
        <w:rPr>
          <w:rFonts w:ascii="Garamond" w:hAnsi="Garamond" w:cs="Futura"/>
          <w:sz w:val="24"/>
        </w:rPr>
        <w:t xml:space="preserve"> </w:t>
      </w:r>
      <w:r w:rsidR="002435A0">
        <w:rPr>
          <w:rFonts w:ascii="Garamond" w:hAnsi="Garamond" w:cs="Futura"/>
          <w:sz w:val="24"/>
        </w:rPr>
        <w:t>will depend</w:t>
      </w:r>
      <w:r w:rsidR="00AB27BB">
        <w:rPr>
          <w:rFonts w:ascii="Garamond" w:hAnsi="Garamond" w:cs="Futura"/>
          <w:sz w:val="24"/>
        </w:rPr>
        <w:t xml:space="preserve"> on </w:t>
      </w:r>
      <w:r w:rsidR="00695472">
        <w:rPr>
          <w:rFonts w:ascii="Garamond" w:hAnsi="Garamond" w:cs="Futura"/>
          <w:sz w:val="24"/>
        </w:rPr>
        <w:t>how the</w:t>
      </w:r>
      <w:r w:rsidR="00AB27BB">
        <w:rPr>
          <w:rFonts w:ascii="Garamond" w:hAnsi="Garamond" w:cs="Futura"/>
          <w:sz w:val="24"/>
        </w:rPr>
        <w:t xml:space="preserve"> legislation</w:t>
      </w:r>
      <w:r w:rsidR="00695472">
        <w:rPr>
          <w:rFonts w:ascii="Garamond" w:hAnsi="Garamond" w:cs="Futura"/>
          <w:sz w:val="24"/>
        </w:rPr>
        <w:t xml:space="preserve"> is construed</w:t>
      </w:r>
      <w:r w:rsidR="00AB27BB">
        <w:rPr>
          <w:rFonts w:ascii="Garamond" w:hAnsi="Garamond" w:cs="Futura"/>
          <w:sz w:val="24"/>
        </w:rPr>
        <w:t xml:space="preserve">. </w:t>
      </w:r>
      <w:r w:rsidR="002435A0">
        <w:rPr>
          <w:rFonts w:ascii="Garamond" w:hAnsi="Garamond" w:cs="Futura"/>
          <w:sz w:val="24"/>
        </w:rPr>
        <w:t>And one of the challenges</w:t>
      </w:r>
      <w:r w:rsidR="00F57718">
        <w:rPr>
          <w:rFonts w:ascii="Garamond" w:hAnsi="Garamond" w:cs="Futura"/>
          <w:sz w:val="24"/>
        </w:rPr>
        <w:t xml:space="preserve"> </w:t>
      </w:r>
      <w:r w:rsidR="005804BA">
        <w:rPr>
          <w:rFonts w:ascii="Garamond" w:hAnsi="Garamond" w:cs="Futura"/>
          <w:sz w:val="24"/>
        </w:rPr>
        <w:t xml:space="preserve">that we face </w:t>
      </w:r>
      <w:r w:rsidR="00F57718">
        <w:rPr>
          <w:rFonts w:ascii="Garamond" w:hAnsi="Garamond" w:cs="Futura"/>
          <w:sz w:val="24"/>
        </w:rPr>
        <w:t xml:space="preserve">is that legislation gives effect to treaties in different ways. </w:t>
      </w:r>
      <w:r w:rsidR="002F3E5E">
        <w:rPr>
          <w:rFonts w:ascii="Garamond" w:hAnsi="Garamond" w:cs="Futura"/>
          <w:sz w:val="24"/>
        </w:rPr>
        <w:t xml:space="preserve">Many statutes </w:t>
      </w:r>
      <w:r w:rsidR="00F57718">
        <w:rPr>
          <w:rFonts w:ascii="Garamond" w:hAnsi="Garamond" w:cs="Futura"/>
          <w:sz w:val="24"/>
        </w:rPr>
        <w:t>implement treaties by scheduling</w:t>
      </w:r>
      <w:r w:rsidR="002F3E5E">
        <w:rPr>
          <w:rFonts w:ascii="Garamond" w:hAnsi="Garamond" w:cs="Futura"/>
          <w:sz w:val="24"/>
        </w:rPr>
        <w:t xml:space="preserve"> </w:t>
      </w:r>
      <w:r w:rsidR="00504E2B">
        <w:rPr>
          <w:rFonts w:ascii="Garamond" w:hAnsi="Garamond" w:cs="Futura"/>
          <w:sz w:val="24"/>
        </w:rPr>
        <w:t>the treaty text</w:t>
      </w:r>
      <w:r w:rsidR="00B02B68">
        <w:rPr>
          <w:rFonts w:ascii="Garamond" w:hAnsi="Garamond" w:cs="Futura"/>
          <w:sz w:val="24"/>
        </w:rPr>
        <w:t xml:space="preserve"> </w:t>
      </w:r>
      <w:r w:rsidR="00E0092E">
        <w:rPr>
          <w:rFonts w:ascii="Garamond" w:hAnsi="Garamond" w:cs="Futura"/>
          <w:sz w:val="24"/>
        </w:rPr>
        <w:t>– and,</w:t>
      </w:r>
      <w:r w:rsidR="00B112E5">
        <w:rPr>
          <w:rFonts w:ascii="Garamond" w:hAnsi="Garamond" w:cs="Futura"/>
          <w:sz w:val="24"/>
        </w:rPr>
        <w:t xml:space="preserve"> </w:t>
      </w:r>
      <w:r w:rsidR="00E0092E">
        <w:rPr>
          <w:rFonts w:ascii="Garamond" w:hAnsi="Garamond" w:cs="Futura"/>
          <w:sz w:val="24"/>
        </w:rPr>
        <w:t>moreover, with</w:t>
      </w:r>
      <w:r w:rsidR="002F3E5E">
        <w:rPr>
          <w:rFonts w:ascii="Garamond" w:hAnsi="Garamond" w:cs="Futura"/>
          <w:sz w:val="24"/>
        </w:rPr>
        <w:t xml:space="preserve"> operative provisions </w:t>
      </w:r>
      <w:r w:rsidR="00E0092E">
        <w:rPr>
          <w:rFonts w:ascii="Garamond" w:hAnsi="Garamond" w:cs="Futura"/>
          <w:sz w:val="24"/>
        </w:rPr>
        <w:t xml:space="preserve">referring to </w:t>
      </w:r>
      <w:r w:rsidR="002F3E5E">
        <w:rPr>
          <w:rFonts w:ascii="Garamond" w:hAnsi="Garamond" w:cs="Futura"/>
          <w:sz w:val="24"/>
        </w:rPr>
        <w:t xml:space="preserve">the </w:t>
      </w:r>
      <w:r w:rsidR="002F3E5E" w:rsidRPr="00AC609B">
        <w:rPr>
          <w:rFonts w:ascii="Garamond" w:hAnsi="Garamond" w:cs="Futura"/>
          <w:i/>
          <w:sz w:val="24"/>
        </w:rPr>
        <w:t>scheduled</w:t>
      </w:r>
      <w:r w:rsidR="002F3E5E">
        <w:rPr>
          <w:rFonts w:ascii="Garamond" w:hAnsi="Garamond" w:cs="Futura"/>
          <w:i/>
          <w:sz w:val="24"/>
        </w:rPr>
        <w:t xml:space="preserve"> </w:t>
      </w:r>
      <w:r w:rsidR="00B112E5">
        <w:rPr>
          <w:rFonts w:ascii="Garamond" w:hAnsi="Garamond" w:cs="Futura"/>
          <w:sz w:val="24"/>
        </w:rPr>
        <w:t>rather than the treaty</w:t>
      </w:r>
      <w:r w:rsidR="00B02B68">
        <w:rPr>
          <w:rFonts w:ascii="Garamond" w:hAnsi="Garamond" w:cs="Futura"/>
          <w:sz w:val="24"/>
        </w:rPr>
        <w:t xml:space="preserve"> text</w:t>
      </w:r>
      <w:r w:rsidR="002F3E5E">
        <w:rPr>
          <w:rFonts w:ascii="Garamond" w:hAnsi="Garamond" w:cs="Futura"/>
          <w:sz w:val="24"/>
        </w:rPr>
        <w:t xml:space="preserve">. </w:t>
      </w:r>
      <w:r w:rsidR="0031470E">
        <w:rPr>
          <w:rFonts w:ascii="Garamond" w:hAnsi="Garamond" w:cs="Futura"/>
          <w:sz w:val="24"/>
        </w:rPr>
        <w:t xml:space="preserve">As </w:t>
      </w:r>
      <w:r w:rsidR="00384C40">
        <w:rPr>
          <w:rFonts w:ascii="Garamond" w:hAnsi="Garamond" w:cs="Futura"/>
          <w:sz w:val="24"/>
        </w:rPr>
        <w:t xml:space="preserve">Shaheed Fatima </w:t>
      </w:r>
      <w:r w:rsidR="00387377">
        <w:rPr>
          <w:rFonts w:ascii="Garamond" w:hAnsi="Garamond" w:cs="Futura"/>
          <w:sz w:val="24"/>
        </w:rPr>
        <w:t>explains</w:t>
      </w:r>
      <w:r w:rsidR="00384C40">
        <w:rPr>
          <w:rFonts w:ascii="Garamond" w:hAnsi="Garamond" w:cs="Futura"/>
          <w:sz w:val="24"/>
        </w:rPr>
        <w:t>: “M</w:t>
      </w:r>
      <w:r w:rsidR="00384C40" w:rsidRPr="00384C40">
        <w:rPr>
          <w:rFonts w:ascii="Garamond" w:hAnsi="Garamond" w:cs="Futura"/>
          <w:sz w:val="24"/>
        </w:rPr>
        <w:t>ost incorporating statutes are self-contained transfusions of international law into domestic law. They have a clearly defined ambit and a restricted subject-</w:t>
      </w:r>
      <w:r w:rsidR="00384C40">
        <w:rPr>
          <w:rFonts w:ascii="Garamond" w:hAnsi="Garamond" w:cs="Futura"/>
          <w:sz w:val="24"/>
        </w:rPr>
        <w:t>matter. Other than their inter</w:t>
      </w:r>
      <w:r w:rsidR="00384C40" w:rsidRPr="00384C40">
        <w:rPr>
          <w:rFonts w:ascii="Garamond" w:hAnsi="Garamond" w:cs="Futura"/>
          <w:sz w:val="24"/>
        </w:rPr>
        <w:t>national dimension they are generally indistinguishabl</w:t>
      </w:r>
      <w:r w:rsidR="000674BB">
        <w:rPr>
          <w:rFonts w:ascii="Garamond" w:hAnsi="Garamond" w:cs="Futura"/>
          <w:sz w:val="24"/>
        </w:rPr>
        <w:t>e from purely domestic statutes”.</w:t>
      </w:r>
      <w:r w:rsidR="000674BB">
        <w:rPr>
          <w:rStyle w:val="FootnoteReference"/>
          <w:rFonts w:ascii="Garamond" w:hAnsi="Garamond" w:cs="Futura"/>
          <w:sz w:val="24"/>
        </w:rPr>
        <w:footnoteReference w:id="48"/>
      </w:r>
      <w:r w:rsidR="00E93C23">
        <w:rPr>
          <w:rFonts w:ascii="Garamond" w:hAnsi="Garamond" w:cs="Futura"/>
          <w:sz w:val="24"/>
        </w:rPr>
        <w:t xml:space="preserve"> </w:t>
      </w:r>
      <w:r w:rsidR="00311BFB">
        <w:rPr>
          <w:rFonts w:ascii="Garamond" w:hAnsi="Garamond" w:cs="Futura"/>
          <w:sz w:val="24"/>
        </w:rPr>
        <w:t xml:space="preserve">In such circumstances, </w:t>
      </w:r>
      <w:r w:rsidR="00894AA8">
        <w:rPr>
          <w:rFonts w:ascii="Garamond" w:hAnsi="Garamond" w:cs="Futura"/>
          <w:sz w:val="24"/>
        </w:rPr>
        <w:t xml:space="preserve">the statute </w:t>
      </w:r>
      <w:r w:rsidR="005A16C0">
        <w:rPr>
          <w:rFonts w:ascii="Garamond" w:hAnsi="Garamond" w:cs="Futura"/>
          <w:sz w:val="24"/>
        </w:rPr>
        <w:t>gives</w:t>
      </w:r>
      <w:r w:rsidR="00894AA8">
        <w:rPr>
          <w:rFonts w:ascii="Garamond" w:hAnsi="Garamond" w:cs="Futura"/>
          <w:sz w:val="24"/>
        </w:rPr>
        <w:t xml:space="preserve"> effect to the treaty by domesticating it, such that </w:t>
      </w:r>
      <w:r w:rsidR="00311BFB">
        <w:rPr>
          <w:rFonts w:ascii="Garamond" w:hAnsi="Garamond" w:cs="Futura"/>
          <w:sz w:val="24"/>
        </w:rPr>
        <w:t xml:space="preserve">UK </w:t>
      </w:r>
      <w:r w:rsidR="00894AA8">
        <w:rPr>
          <w:rFonts w:ascii="Garamond" w:hAnsi="Garamond" w:cs="Futura"/>
          <w:sz w:val="24"/>
        </w:rPr>
        <w:t>treaty</w:t>
      </w:r>
      <w:r w:rsidR="00311BFB">
        <w:rPr>
          <w:rFonts w:ascii="Garamond" w:hAnsi="Garamond" w:cs="Futura"/>
          <w:sz w:val="24"/>
        </w:rPr>
        <w:t xml:space="preserve"> </w:t>
      </w:r>
      <w:r w:rsidR="00894AA8">
        <w:rPr>
          <w:rFonts w:ascii="Garamond" w:hAnsi="Garamond" w:cs="Futura"/>
          <w:sz w:val="24"/>
        </w:rPr>
        <w:t>withdrawal</w:t>
      </w:r>
      <w:r w:rsidR="00311BFB">
        <w:rPr>
          <w:rFonts w:ascii="Garamond" w:hAnsi="Garamond" w:cs="Futura"/>
          <w:sz w:val="24"/>
        </w:rPr>
        <w:t xml:space="preserve"> </w:t>
      </w:r>
      <w:r w:rsidR="00894AA8">
        <w:rPr>
          <w:rFonts w:ascii="Garamond" w:hAnsi="Garamond" w:cs="Futura"/>
          <w:sz w:val="24"/>
        </w:rPr>
        <w:t>will</w:t>
      </w:r>
      <w:r w:rsidR="00311BFB">
        <w:rPr>
          <w:rFonts w:ascii="Garamond" w:hAnsi="Garamond" w:cs="Futura"/>
          <w:sz w:val="24"/>
        </w:rPr>
        <w:t xml:space="preserve"> not disturb the </w:t>
      </w:r>
      <w:r w:rsidR="0031470E">
        <w:rPr>
          <w:rFonts w:ascii="Garamond" w:hAnsi="Garamond" w:cs="Futura"/>
          <w:sz w:val="24"/>
        </w:rPr>
        <w:t xml:space="preserve">statute’s </w:t>
      </w:r>
      <w:r w:rsidR="00311BFB">
        <w:rPr>
          <w:rFonts w:ascii="Garamond" w:hAnsi="Garamond" w:cs="Futura"/>
          <w:sz w:val="24"/>
        </w:rPr>
        <w:t xml:space="preserve">continuing </w:t>
      </w:r>
      <w:r w:rsidR="00894AA8">
        <w:rPr>
          <w:rFonts w:ascii="Garamond" w:hAnsi="Garamond" w:cs="Futura"/>
          <w:sz w:val="24"/>
        </w:rPr>
        <w:t>operation</w:t>
      </w:r>
      <w:r w:rsidR="0037314C">
        <w:rPr>
          <w:rFonts w:ascii="Garamond" w:hAnsi="Garamond" w:cs="Futura"/>
          <w:sz w:val="24"/>
        </w:rPr>
        <w:t>. One example is t</w:t>
      </w:r>
      <w:r w:rsidR="00BC2491">
        <w:rPr>
          <w:rFonts w:ascii="Garamond" w:hAnsi="Garamond" w:cs="Futura"/>
          <w:sz w:val="24"/>
        </w:rPr>
        <w:t xml:space="preserve">he Carriage of Goods by </w:t>
      </w:r>
      <w:r w:rsidR="00B32D44">
        <w:rPr>
          <w:rFonts w:ascii="Garamond" w:hAnsi="Garamond" w:cs="Futura"/>
          <w:sz w:val="24"/>
        </w:rPr>
        <w:t>Sea Act 1971</w:t>
      </w:r>
      <w:r w:rsidR="00C739A0">
        <w:rPr>
          <w:rFonts w:ascii="Garamond" w:hAnsi="Garamond" w:cs="Futura"/>
          <w:sz w:val="24"/>
        </w:rPr>
        <w:t xml:space="preserve">, giving effect to </w:t>
      </w:r>
      <w:r w:rsidR="002515F0">
        <w:rPr>
          <w:rFonts w:ascii="Garamond" w:hAnsi="Garamond" w:cs="Futura"/>
          <w:sz w:val="24"/>
        </w:rPr>
        <w:t>a series</w:t>
      </w:r>
      <w:r w:rsidR="00704D25">
        <w:rPr>
          <w:rFonts w:ascii="Garamond" w:hAnsi="Garamond" w:cs="Futura"/>
          <w:sz w:val="24"/>
        </w:rPr>
        <w:t xml:space="preserve"> of treaty </w:t>
      </w:r>
      <w:r w:rsidR="008B050B">
        <w:rPr>
          <w:rFonts w:ascii="Garamond" w:hAnsi="Garamond" w:cs="Futura"/>
          <w:sz w:val="24"/>
        </w:rPr>
        <w:t>rules</w:t>
      </w:r>
      <w:r w:rsidR="00171A12">
        <w:rPr>
          <w:rFonts w:ascii="Garamond" w:hAnsi="Garamond" w:cs="Futura"/>
          <w:sz w:val="24"/>
        </w:rPr>
        <w:t xml:space="preserve"> </w:t>
      </w:r>
      <w:r w:rsidR="008B050B">
        <w:rPr>
          <w:rFonts w:ascii="Garamond" w:hAnsi="Garamond" w:cs="Futura"/>
          <w:sz w:val="24"/>
        </w:rPr>
        <w:t>called</w:t>
      </w:r>
      <w:r w:rsidR="00171A12">
        <w:rPr>
          <w:rFonts w:ascii="Garamond" w:hAnsi="Garamond" w:cs="Futura"/>
          <w:sz w:val="24"/>
        </w:rPr>
        <w:t xml:space="preserve"> the Hague-Visby Rules</w:t>
      </w:r>
      <w:r w:rsidR="00B32D44">
        <w:rPr>
          <w:rFonts w:ascii="Garamond" w:hAnsi="Garamond" w:cs="Futura"/>
          <w:sz w:val="24"/>
        </w:rPr>
        <w:t>.</w:t>
      </w:r>
      <w:r w:rsidR="00C8430B">
        <w:rPr>
          <w:rStyle w:val="FootnoteReference"/>
          <w:rFonts w:ascii="Garamond" w:hAnsi="Garamond" w:cs="Futura"/>
          <w:sz w:val="24"/>
        </w:rPr>
        <w:footnoteReference w:id="49"/>
      </w:r>
      <w:r w:rsidR="00EE4869">
        <w:rPr>
          <w:rFonts w:ascii="Garamond" w:hAnsi="Garamond" w:cs="Futura"/>
          <w:sz w:val="24"/>
        </w:rPr>
        <w:t xml:space="preserve"> </w:t>
      </w:r>
      <w:r w:rsidR="00C95E4C">
        <w:rPr>
          <w:rFonts w:ascii="Garamond" w:hAnsi="Garamond" w:cs="Futura"/>
          <w:sz w:val="24"/>
        </w:rPr>
        <w:t>S</w:t>
      </w:r>
      <w:r w:rsidR="002515F0">
        <w:rPr>
          <w:rFonts w:ascii="Garamond" w:hAnsi="Garamond" w:cs="Futura"/>
          <w:sz w:val="24"/>
        </w:rPr>
        <w:t xml:space="preserve">.1(1) </w:t>
      </w:r>
      <w:r w:rsidR="00C95E4C">
        <w:rPr>
          <w:rFonts w:ascii="Garamond" w:hAnsi="Garamond" w:cs="Futura"/>
          <w:sz w:val="24"/>
        </w:rPr>
        <w:t>describes</w:t>
      </w:r>
      <w:r w:rsidR="0014005B">
        <w:rPr>
          <w:rFonts w:ascii="Garamond" w:hAnsi="Garamond" w:cs="Futura"/>
          <w:sz w:val="24"/>
        </w:rPr>
        <w:t xml:space="preserve"> </w:t>
      </w:r>
      <w:r w:rsidR="00034013">
        <w:rPr>
          <w:rFonts w:ascii="Garamond" w:hAnsi="Garamond" w:cs="Futura"/>
          <w:sz w:val="24"/>
        </w:rPr>
        <w:t>the</w:t>
      </w:r>
      <w:r w:rsidR="0014005B">
        <w:rPr>
          <w:rFonts w:ascii="Garamond" w:hAnsi="Garamond" w:cs="Futura"/>
          <w:sz w:val="24"/>
        </w:rPr>
        <w:t xml:space="preserve"> Hague-Visby Rules</w:t>
      </w:r>
      <w:r w:rsidR="00311BFB">
        <w:rPr>
          <w:rFonts w:ascii="Garamond" w:hAnsi="Garamond" w:cs="Futura"/>
          <w:sz w:val="24"/>
        </w:rPr>
        <w:t xml:space="preserve"> which, importantly, </w:t>
      </w:r>
      <w:r w:rsidR="00C95E4C">
        <w:rPr>
          <w:rFonts w:ascii="Garamond" w:hAnsi="Garamond" w:cs="Futura"/>
          <w:sz w:val="24"/>
        </w:rPr>
        <w:t>are</w:t>
      </w:r>
      <w:r w:rsidR="000552AB">
        <w:rPr>
          <w:rFonts w:ascii="Garamond" w:hAnsi="Garamond" w:cs="Futura"/>
          <w:sz w:val="24"/>
        </w:rPr>
        <w:t xml:space="preserve"> scheduled</w:t>
      </w:r>
      <w:r w:rsidR="0037314C">
        <w:rPr>
          <w:rFonts w:ascii="Garamond" w:hAnsi="Garamond" w:cs="Futura"/>
          <w:sz w:val="24"/>
        </w:rPr>
        <w:t xml:space="preserve"> to the Act</w:t>
      </w:r>
      <w:r w:rsidR="00311BFB">
        <w:rPr>
          <w:rFonts w:ascii="Garamond" w:hAnsi="Garamond" w:cs="Futura"/>
          <w:sz w:val="24"/>
        </w:rPr>
        <w:t>.</w:t>
      </w:r>
      <w:r w:rsidR="0014005B">
        <w:rPr>
          <w:rStyle w:val="FootnoteReference"/>
          <w:rFonts w:ascii="Garamond" w:hAnsi="Garamond" w:cs="Futura"/>
          <w:sz w:val="24"/>
        </w:rPr>
        <w:footnoteReference w:id="50"/>
      </w:r>
      <w:r w:rsidR="000850E0">
        <w:rPr>
          <w:rFonts w:ascii="Garamond" w:hAnsi="Garamond" w:cs="Futura"/>
          <w:sz w:val="24"/>
        </w:rPr>
        <w:t xml:space="preserve"> </w:t>
      </w:r>
      <w:r w:rsidR="00311BFB">
        <w:rPr>
          <w:rFonts w:ascii="Garamond" w:hAnsi="Garamond" w:cs="Futura"/>
          <w:sz w:val="24"/>
        </w:rPr>
        <w:t>A</w:t>
      </w:r>
      <w:r w:rsidR="000552AB">
        <w:rPr>
          <w:rFonts w:ascii="Garamond" w:hAnsi="Garamond" w:cs="Futura"/>
          <w:sz w:val="24"/>
        </w:rPr>
        <w:t>ccording to s.1(2) the</w:t>
      </w:r>
      <w:r w:rsidR="007E1904">
        <w:rPr>
          <w:rFonts w:ascii="Garamond" w:hAnsi="Garamond" w:cs="Futura"/>
          <w:sz w:val="24"/>
        </w:rPr>
        <w:t xml:space="preserve"> Rules as set out in the</w:t>
      </w:r>
      <w:r w:rsidR="000552AB">
        <w:rPr>
          <w:rFonts w:ascii="Garamond" w:hAnsi="Garamond" w:cs="Futura"/>
          <w:sz w:val="24"/>
        </w:rPr>
        <w:t xml:space="preserve"> </w:t>
      </w:r>
      <w:r w:rsidR="000552AB" w:rsidRPr="007E1904">
        <w:rPr>
          <w:rFonts w:ascii="Garamond" w:hAnsi="Garamond" w:cs="Futura"/>
          <w:i/>
          <w:sz w:val="24"/>
        </w:rPr>
        <w:t>scheduled</w:t>
      </w:r>
      <w:r w:rsidR="000552AB">
        <w:rPr>
          <w:rFonts w:ascii="Garamond" w:hAnsi="Garamond" w:cs="Futura"/>
          <w:sz w:val="24"/>
        </w:rPr>
        <w:t xml:space="preserve"> text </w:t>
      </w:r>
      <w:r w:rsidR="007E1904">
        <w:rPr>
          <w:rFonts w:ascii="Garamond" w:hAnsi="Garamond" w:cs="Futura"/>
          <w:sz w:val="24"/>
        </w:rPr>
        <w:t xml:space="preserve">have </w:t>
      </w:r>
      <w:r w:rsidR="00C95E4C">
        <w:rPr>
          <w:rFonts w:ascii="Garamond" w:hAnsi="Garamond" w:cs="Futura"/>
          <w:sz w:val="24"/>
        </w:rPr>
        <w:t>the force of law.</w:t>
      </w:r>
      <w:r w:rsidR="001707FC">
        <w:rPr>
          <w:rFonts w:ascii="Garamond" w:hAnsi="Garamond" w:cs="Futura"/>
          <w:sz w:val="24"/>
        </w:rPr>
        <w:t xml:space="preserve"> </w:t>
      </w:r>
      <w:r w:rsidR="00034013">
        <w:rPr>
          <w:rFonts w:ascii="Garamond" w:hAnsi="Garamond" w:cs="Futura"/>
          <w:sz w:val="24"/>
        </w:rPr>
        <w:t>T</w:t>
      </w:r>
      <w:r w:rsidR="001707FC">
        <w:rPr>
          <w:rFonts w:ascii="Garamond" w:hAnsi="Garamond" w:cs="Futura"/>
          <w:sz w:val="24"/>
        </w:rPr>
        <w:t xml:space="preserve">his </w:t>
      </w:r>
      <w:r w:rsidR="00034013">
        <w:rPr>
          <w:rFonts w:ascii="Garamond" w:hAnsi="Garamond" w:cs="Futura"/>
          <w:sz w:val="24"/>
        </w:rPr>
        <w:t xml:space="preserve">scheme </w:t>
      </w:r>
      <w:r w:rsidR="001707FC">
        <w:rPr>
          <w:rFonts w:ascii="Garamond" w:hAnsi="Garamond" w:cs="Futura"/>
          <w:sz w:val="24"/>
        </w:rPr>
        <w:t>is reasonably construed as</w:t>
      </w:r>
      <w:r w:rsidR="00782559">
        <w:rPr>
          <w:rFonts w:ascii="Garamond" w:hAnsi="Garamond" w:cs="Futura"/>
          <w:sz w:val="24"/>
        </w:rPr>
        <w:t xml:space="preserve"> </w:t>
      </w:r>
      <w:r w:rsidR="00CC2C41">
        <w:rPr>
          <w:rFonts w:ascii="Garamond" w:hAnsi="Garamond" w:cs="Futura"/>
          <w:sz w:val="24"/>
        </w:rPr>
        <w:t>self-standing</w:t>
      </w:r>
      <w:r w:rsidR="00782559">
        <w:rPr>
          <w:rFonts w:ascii="Garamond" w:hAnsi="Garamond" w:cs="Futura"/>
          <w:sz w:val="24"/>
        </w:rPr>
        <w:t xml:space="preserve"> </w:t>
      </w:r>
      <w:r w:rsidR="00894AA8">
        <w:rPr>
          <w:rFonts w:ascii="Garamond" w:hAnsi="Garamond" w:cs="Futura"/>
          <w:sz w:val="24"/>
        </w:rPr>
        <w:t xml:space="preserve">– a </w:t>
      </w:r>
      <w:r w:rsidR="00CC2C41">
        <w:rPr>
          <w:rFonts w:ascii="Garamond" w:hAnsi="Garamond" w:cs="Futura"/>
          <w:sz w:val="24"/>
        </w:rPr>
        <w:t>self-contained</w:t>
      </w:r>
      <w:r w:rsidR="003372B6">
        <w:rPr>
          <w:rFonts w:ascii="Garamond" w:hAnsi="Garamond" w:cs="Futura"/>
          <w:sz w:val="24"/>
        </w:rPr>
        <w:t xml:space="preserve"> transfusion</w:t>
      </w:r>
      <w:r w:rsidR="00B62435">
        <w:rPr>
          <w:rFonts w:ascii="Garamond" w:hAnsi="Garamond" w:cs="Futura"/>
          <w:sz w:val="24"/>
        </w:rPr>
        <w:t>, in Fatima’s words</w:t>
      </w:r>
      <w:r w:rsidR="00894AA8">
        <w:rPr>
          <w:rFonts w:ascii="Garamond" w:hAnsi="Garamond" w:cs="Futura"/>
          <w:sz w:val="24"/>
        </w:rPr>
        <w:t xml:space="preserve"> –</w:t>
      </w:r>
      <w:r w:rsidR="001707FC">
        <w:rPr>
          <w:rFonts w:ascii="Garamond" w:hAnsi="Garamond" w:cs="Futura"/>
          <w:sz w:val="24"/>
        </w:rPr>
        <w:t xml:space="preserve"> meaning that </w:t>
      </w:r>
      <w:r w:rsidR="009B388A">
        <w:rPr>
          <w:rFonts w:ascii="Garamond" w:hAnsi="Garamond" w:cs="Futura"/>
          <w:sz w:val="24"/>
        </w:rPr>
        <w:t>UK w</w:t>
      </w:r>
      <w:r w:rsidR="000A504C">
        <w:rPr>
          <w:rFonts w:ascii="Garamond" w:hAnsi="Garamond" w:cs="Futura"/>
          <w:sz w:val="24"/>
        </w:rPr>
        <w:t xml:space="preserve">ithdrawal from the relevant treaties would not </w:t>
      </w:r>
      <w:r w:rsidR="00894AA8">
        <w:rPr>
          <w:rFonts w:ascii="Garamond" w:hAnsi="Garamond" w:cs="Futura"/>
          <w:sz w:val="24"/>
        </w:rPr>
        <w:t>affect</w:t>
      </w:r>
      <w:r w:rsidR="00AC609B">
        <w:rPr>
          <w:rFonts w:ascii="Garamond" w:hAnsi="Garamond" w:cs="Futura"/>
          <w:sz w:val="24"/>
        </w:rPr>
        <w:t xml:space="preserve"> the statute’s operation</w:t>
      </w:r>
      <w:r w:rsidR="000A504C">
        <w:rPr>
          <w:rFonts w:ascii="Garamond" w:hAnsi="Garamond" w:cs="Futura"/>
          <w:sz w:val="24"/>
        </w:rPr>
        <w:t xml:space="preserve"> domestically</w:t>
      </w:r>
      <w:r w:rsidR="00454AD9">
        <w:rPr>
          <w:rFonts w:ascii="Garamond" w:hAnsi="Garamond" w:cs="Futura"/>
          <w:sz w:val="24"/>
        </w:rPr>
        <w:t>.</w:t>
      </w:r>
    </w:p>
    <w:p w14:paraId="15CBA598" w14:textId="78E0CF3E" w:rsidR="00BD2940" w:rsidRDefault="007A7025" w:rsidP="00852B48">
      <w:pPr>
        <w:ind w:firstLine="624"/>
        <w:contextualSpacing/>
        <w:rPr>
          <w:rFonts w:ascii="Garamond" w:hAnsi="Garamond" w:cs="Futura"/>
          <w:sz w:val="24"/>
        </w:rPr>
      </w:pPr>
      <w:r>
        <w:rPr>
          <w:rFonts w:ascii="Garamond" w:hAnsi="Garamond" w:cs="Futura"/>
          <w:sz w:val="24"/>
        </w:rPr>
        <w:t xml:space="preserve">The </w:t>
      </w:r>
      <w:r w:rsidR="00AF00ED">
        <w:rPr>
          <w:rFonts w:ascii="Garamond" w:hAnsi="Garamond" w:cs="Futura"/>
          <w:sz w:val="24"/>
        </w:rPr>
        <w:t>ECA</w:t>
      </w:r>
      <w:r w:rsidR="00CD7CF6">
        <w:rPr>
          <w:rFonts w:ascii="Garamond" w:hAnsi="Garamond" w:cs="Futura"/>
          <w:sz w:val="24"/>
        </w:rPr>
        <w:t xml:space="preserve"> provides an example</w:t>
      </w:r>
      <w:r w:rsidR="006A6FE8">
        <w:rPr>
          <w:rFonts w:ascii="Garamond" w:hAnsi="Garamond" w:cs="Futura"/>
          <w:sz w:val="24"/>
        </w:rPr>
        <w:t xml:space="preserve"> a</w:t>
      </w:r>
      <w:r w:rsidR="00AF00ED">
        <w:rPr>
          <w:rFonts w:ascii="Garamond" w:hAnsi="Garamond" w:cs="Futura"/>
          <w:sz w:val="24"/>
        </w:rPr>
        <w:t xml:space="preserve"> different </w:t>
      </w:r>
      <w:r w:rsidR="00DF505A">
        <w:rPr>
          <w:rFonts w:ascii="Garamond" w:hAnsi="Garamond" w:cs="Futura"/>
          <w:sz w:val="24"/>
        </w:rPr>
        <w:t>type</w:t>
      </w:r>
      <w:r w:rsidR="00AF00ED">
        <w:rPr>
          <w:rFonts w:ascii="Garamond" w:hAnsi="Garamond" w:cs="Futura"/>
          <w:sz w:val="24"/>
        </w:rPr>
        <w:t xml:space="preserve"> of legislative scheme</w:t>
      </w:r>
      <w:r w:rsidR="00894AA8">
        <w:rPr>
          <w:rFonts w:ascii="Garamond" w:hAnsi="Garamond" w:cs="Futura"/>
          <w:sz w:val="24"/>
        </w:rPr>
        <w:t xml:space="preserve">. </w:t>
      </w:r>
      <w:r w:rsidR="001225C1">
        <w:rPr>
          <w:rFonts w:ascii="Garamond" w:hAnsi="Garamond" w:cs="Futura"/>
          <w:sz w:val="24"/>
        </w:rPr>
        <w:t>Notably, t</w:t>
      </w:r>
      <w:r w:rsidR="00612301">
        <w:rPr>
          <w:rFonts w:ascii="Garamond" w:hAnsi="Garamond" w:cs="Futura"/>
          <w:sz w:val="24"/>
        </w:rPr>
        <w:t>he</w:t>
      </w:r>
      <w:r w:rsidR="00BC7DAD">
        <w:rPr>
          <w:rFonts w:ascii="Garamond" w:hAnsi="Garamond" w:cs="Futura"/>
          <w:sz w:val="24"/>
        </w:rPr>
        <w:t xml:space="preserve"> </w:t>
      </w:r>
      <w:r w:rsidR="008A4442">
        <w:rPr>
          <w:rFonts w:ascii="Garamond" w:hAnsi="Garamond" w:cs="Futura"/>
          <w:sz w:val="24"/>
        </w:rPr>
        <w:t>text</w:t>
      </w:r>
      <w:r w:rsidR="00877987">
        <w:rPr>
          <w:rFonts w:ascii="Garamond" w:hAnsi="Garamond" w:cs="Futura"/>
          <w:sz w:val="24"/>
        </w:rPr>
        <w:t xml:space="preserve"> of the </w:t>
      </w:r>
      <w:r w:rsidR="00BC7DAD">
        <w:rPr>
          <w:rFonts w:ascii="Garamond" w:hAnsi="Garamond" w:cs="Futura"/>
          <w:sz w:val="24"/>
        </w:rPr>
        <w:t xml:space="preserve">EU </w:t>
      </w:r>
      <w:r w:rsidR="00877987">
        <w:rPr>
          <w:rFonts w:ascii="Garamond" w:hAnsi="Garamond" w:cs="Futura"/>
          <w:sz w:val="24"/>
        </w:rPr>
        <w:t xml:space="preserve">treaties </w:t>
      </w:r>
      <w:r w:rsidR="000F10E8">
        <w:rPr>
          <w:rFonts w:ascii="Garamond" w:hAnsi="Garamond" w:cs="Futura"/>
          <w:sz w:val="24"/>
        </w:rPr>
        <w:t xml:space="preserve">– </w:t>
      </w:r>
      <w:r w:rsidR="00B0156C">
        <w:rPr>
          <w:rFonts w:ascii="Garamond" w:hAnsi="Garamond" w:cs="Futura"/>
          <w:sz w:val="24"/>
        </w:rPr>
        <w:t>or</w:t>
      </w:r>
      <w:r w:rsidR="004848AB">
        <w:rPr>
          <w:rFonts w:ascii="Garamond" w:hAnsi="Garamond" w:cs="Futura"/>
          <w:sz w:val="24"/>
        </w:rPr>
        <w:t xml:space="preserve"> </w:t>
      </w:r>
      <w:r w:rsidR="001225C1">
        <w:rPr>
          <w:rFonts w:ascii="Garamond" w:hAnsi="Garamond" w:cs="Futura"/>
          <w:sz w:val="24"/>
        </w:rPr>
        <w:t xml:space="preserve">of </w:t>
      </w:r>
      <w:r w:rsidR="00473521">
        <w:rPr>
          <w:rFonts w:ascii="Garamond" w:hAnsi="Garamond" w:cs="Futura"/>
          <w:sz w:val="24"/>
        </w:rPr>
        <w:t xml:space="preserve">EU </w:t>
      </w:r>
      <w:r w:rsidR="00A7263F">
        <w:rPr>
          <w:rFonts w:ascii="Garamond" w:hAnsi="Garamond" w:cs="Futura"/>
          <w:sz w:val="24"/>
        </w:rPr>
        <w:t>leg</w:t>
      </w:r>
      <w:r w:rsidR="00815FBD">
        <w:rPr>
          <w:rFonts w:ascii="Garamond" w:hAnsi="Garamond" w:cs="Futura"/>
          <w:sz w:val="24"/>
        </w:rPr>
        <w:t>islative</w:t>
      </w:r>
      <w:r w:rsidR="007F7531">
        <w:rPr>
          <w:rFonts w:ascii="Garamond" w:hAnsi="Garamond" w:cs="Futura"/>
          <w:sz w:val="24"/>
        </w:rPr>
        <w:t xml:space="preserve"> acts</w:t>
      </w:r>
      <w:r w:rsidR="00A7263F">
        <w:rPr>
          <w:rFonts w:ascii="Garamond" w:hAnsi="Garamond" w:cs="Futura"/>
          <w:sz w:val="24"/>
        </w:rPr>
        <w:t xml:space="preserve"> </w:t>
      </w:r>
      <w:r w:rsidR="007F7531">
        <w:rPr>
          <w:rFonts w:ascii="Garamond" w:hAnsi="Garamond" w:cs="Futura"/>
          <w:sz w:val="24"/>
        </w:rPr>
        <w:t>adopted</w:t>
      </w:r>
      <w:r w:rsidR="00A7263F">
        <w:rPr>
          <w:rFonts w:ascii="Garamond" w:hAnsi="Garamond" w:cs="Futura"/>
          <w:sz w:val="24"/>
        </w:rPr>
        <w:t xml:space="preserve"> under the treaties</w:t>
      </w:r>
      <w:r w:rsidR="000F10E8">
        <w:rPr>
          <w:rFonts w:ascii="Garamond" w:hAnsi="Garamond" w:cs="Futura"/>
          <w:sz w:val="24"/>
        </w:rPr>
        <w:t xml:space="preserve"> –</w:t>
      </w:r>
      <w:r w:rsidR="002A6E28">
        <w:rPr>
          <w:rFonts w:ascii="Garamond" w:hAnsi="Garamond" w:cs="Futura"/>
          <w:sz w:val="24"/>
        </w:rPr>
        <w:t xml:space="preserve"> </w:t>
      </w:r>
      <w:r w:rsidR="001225C1">
        <w:rPr>
          <w:rFonts w:ascii="Garamond" w:hAnsi="Garamond" w:cs="Futura"/>
          <w:sz w:val="24"/>
        </w:rPr>
        <w:t>is</w:t>
      </w:r>
      <w:r w:rsidR="002A6E28">
        <w:rPr>
          <w:rFonts w:ascii="Garamond" w:hAnsi="Garamond" w:cs="Futura"/>
          <w:sz w:val="24"/>
        </w:rPr>
        <w:t xml:space="preserve"> not scheduled. </w:t>
      </w:r>
      <w:r w:rsidR="00600E4B">
        <w:rPr>
          <w:rFonts w:ascii="Garamond" w:hAnsi="Garamond" w:cs="Futura"/>
          <w:sz w:val="24"/>
        </w:rPr>
        <w:t>Furthermore,</w:t>
      </w:r>
      <w:r w:rsidR="007E3FE6">
        <w:rPr>
          <w:rFonts w:ascii="Garamond" w:hAnsi="Garamond" w:cs="Futura"/>
          <w:sz w:val="24"/>
        </w:rPr>
        <w:t xml:space="preserve"> in </w:t>
      </w:r>
      <w:r w:rsidR="007E3FE6" w:rsidRPr="007E3FE6">
        <w:rPr>
          <w:rFonts w:ascii="Garamond" w:hAnsi="Garamond" w:cs="Futura"/>
          <w:i/>
          <w:sz w:val="24"/>
        </w:rPr>
        <w:t>Miller</w:t>
      </w:r>
      <w:r w:rsidR="007E3FE6">
        <w:rPr>
          <w:rFonts w:ascii="Garamond" w:hAnsi="Garamond" w:cs="Futura"/>
          <w:sz w:val="24"/>
        </w:rPr>
        <w:t xml:space="preserve"> t</w:t>
      </w:r>
      <w:r w:rsidR="00894AA8">
        <w:rPr>
          <w:rFonts w:ascii="Garamond" w:hAnsi="Garamond" w:cs="Futura"/>
          <w:sz w:val="24"/>
        </w:rPr>
        <w:t>he</w:t>
      </w:r>
      <w:r w:rsidR="007E3FE6">
        <w:rPr>
          <w:rFonts w:ascii="Garamond" w:hAnsi="Garamond" w:cs="Futura"/>
          <w:sz w:val="24"/>
        </w:rPr>
        <w:t xml:space="preserve"> </w:t>
      </w:r>
      <w:r w:rsidR="00894AA8">
        <w:rPr>
          <w:rFonts w:ascii="Garamond" w:hAnsi="Garamond" w:cs="Futura"/>
          <w:sz w:val="24"/>
        </w:rPr>
        <w:t xml:space="preserve">majority </w:t>
      </w:r>
      <w:r w:rsidR="00797CCB">
        <w:rPr>
          <w:rFonts w:ascii="Garamond" w:hAnsi="Garamond" w:cs="Futura"/>
          <w:sz w:val="24"/>
        </w:rPr>
        <w:t>construed</w:t>
      </w:r>
      <w:r w:rsidR="00787C95">
        <w:rPr>
          <w:rFonts w:ascii="Garamond" w:hAnsi="Garamond" w:cs="Futura"/>
          <w:sz w:val="24"/>
        </w:rPr>
        <w:t xml:space="preserve"> the </w:t>
      </w:r>
      <w:r w:rsidR="009270B6">
        <w:rPr>
          <w:rFonts w:ascii="Garamond" w:hAnsi="Garamond" w:cs="Futura"/>
          <w:sz w:val="24"/>
        </w:rPr>
        <w:t>ECA</w:t>
      </w:r>
      <w:r w:rsidR="00797CCB">
        <w:rPr>
          <w:rFonts w:ascii="Garamond" w:hAnsi="Garamond" w:cs="Futura"/>
          <w:sz w:val="24"/>
        </w:rPr>
        <w:t xml:space="preserve"> as </w:t>
      </w:r>
      <w:r w:rsidR="00A741CE">
        <w:rPr>
          <w:rFonts w:ascii="Garamond" w:hAnsi="Garamond" w:cs="Futura"/>
          <w:sz w:val="24"/>
        </w:rPr>
        <w:t xml:space="preserve">giving effect to EU law </w:t>
      </w:r>
      <w:r w:rsidR="00A741CE" w:rsidRPr="00A741CE">
        <w:rPr>
          <w:rFonts w:ascii="Garamond" w:hAnsi="Garamond" w:cs="Futura"/>
          <w:i/>
          <w:sz w:val="24"/>
        </w:rPr>
        <w:t>on the basis that</w:t>
      </w:r>
      <w:r w:rsidR="00797CCB" w:rsidRPr="00A741CE">
        <w:rPr>
          <w:rFonts w:ascii="Garamond" w:hAnsi="Garamond" w:cs="Futura"/>
          <w:i/>
          <w:sz w:val="24"/>
        </w:rPr>
        <w:t xml:space="preserve"> </w:t>
      </w:r>
      <w:r w:rsidR="00797CCB">
        <w:rPr>
          <w:rFonts w:ascii="Garamond" w:hAnsi="Garamond" w:cs="Futura"/>
          <w:sz w:val="24"/>
        </w:rPr>
        <w:t>the UK was party to the EU treaties,</w:t>
      </w:r>
      <w:r w:rsidR="00787C95">
        <w:rPr>
          <w:rFonts w:ascii="Garamond" w:hAnsi="Garamond" w:cs="Futura"/>
          <w:sz w:val="24"/>
        </w:rPr>
        <w:t xml:space="preserve"> </w:t>
      </w:r>
      <w:r w:rsidR="006A6FE8">
        <w:rPr>
          <w:rFonts w:ascii="Garamond" w:hAnsi="Garamond" w:cs="Futura"/>
          <w:sz w:val="24"/>
        </w:rPr>
        <w:t>and</w:t>
      </w:r>
      <w:r w:rsidR="00D11A4D">
        <w:rPr>
          <w:rFonts w:ascii="Garamond" w:hAnsi="Garamond" w:cs="Futura"/>
          <w:sz w:val="24"/>
        </w:rPr>
        <w:t xml:space="preserve"> </w:t>
      </w:r>
      <w:r w:rsidR="00D407E0">
        <w:rPr>
          <w:rFonts w:ascii="Garamond" w:hAnsi="Garamond" w:cs="Futura"/>
          <w:sz w:val="24"/>
        </w:rPr>
        <w:t xml:space="preserve">held that </w:t>
      </w:r>
      <w:r w:rsidR="00D11A4D">
        <w:rPr>
          <w:rFonts w:ascii="Garamond" w:hAnsi="Garamond" w:cs="Futura"/>
          <w:sz w:val="24"/>
        </w:rPr>
        <w:t xml:space="preserve">withdrawal would extinguish the source domestically: </w:t>
      </w:r>
      <w:r w:rsidR="00A44216">
        <w:rPr>
          <w:rFonts w:ascii="Garamond" w:hAnsi="Garamond" w:cs="Futura"/>
          <w:sz w:val="24"/>
        </w:rPr>
        <w:t>“</w:t>
      </w:r>
      <w:r w:rsidR="00A44216" w:rsidRPr="003327EC">
        <w:rPr>
          <w:rFonts w:ascii="Garamond" w:hAnsi="Garamond" w:cs="Futura"/>
          <w:sz w:val="24"/>
        </w:rPr>
        <w:t>Parliament cannot have intended that section 2 should continue to import the variable content of EU law into dom</w:t>
      </w:r>
      <w:r w:rsidR="00A44216">
        <w:rPr>
          <w:rFonts w:ascii="Garamond" w:hAnsi="Garamond" w:cs="Futura"/>
          <w:sz w:val="24"/>
        </w:rPr>
        <w:t>estic law</w:t>
      </w:r>
      <w:r w:rsidR="00A44216" w:rsidRPr="003327EC">
        <w:rPr>
          <w:rFonts w:ascii="Garamond" w:hAnsi="Garamond" w:cs="Futura"/>
          <w:sz w:val="24"/>
        </w:rPr>
        <w:t xml:space="preserve"> </w:t>
      </w:r>
      <w:r w:rsidR="00A44216">
        <w:rPr>
          <w:rFonts w:ascii="Garamond" w:hAnsi="Garamond" w:cs="Futura"/>
          <w:sz w:val="24"/>
        </w:rPr>
        <w:t>…</w:t>
      </w:r>
      <w:r w:rsidR="00A44216" w:rsidRPr="003327EC">
        <w:rPr>
          <w:rFonts w:ascii="Garamond" w:hAnsi="Garamond" w:cs="Futura"/>
          <w:sz w:val="24"/>
        </w:rPr>
        <w:t xml:space="preserve"> after the United Kingdom had ceased</w:t>
      </w:r>
      <w:r w:rsidR="00A44216">
        <w:rPr>
          <w:rFonts w:ascii="Garamond" w:hAnsi="Garamond" w:cs="Futura"/>
          <w:sz w:val="24"/>
        </w:rPr>
        <w:t xml:space="preserve"> to be bound by the EU Treaties”.</w:t>
      </w:r>
      <w:r w:rsidR="00A44216">
        <w:rPr>
          <w:rStyle w:val="FootnoteReference"/>
          <w:rFonts w:ascii="Garamond" w:hAnsi="Garamond" w:cs="Futura"/>
          <w:sz w:val="24"/>
        </w:rPr>
        <w:footnoteReference w:id="51"/>
      </w:r>
    </w:p>
    <w:p w14:paraId="0CAA9312" w14:textId="77C6D0F2" w:rsidR="006B4919" w:rsidRDefault="00CB21C0" w:rsidP="00B23F0D">
      <w:pPr>
        <w:contextualSpacing/>
        <w:rPr>
          <w:rFonts w:ascii="Garamond" w:hAnsi="Garamond" w:cs="Futura"/>
          <w:sz w:val="24"/>
        </w:rPr>
      </w:pPr>
      <w:r>
        <w:rPr>
          <w:rFonts w:ascii="Garamond" w:hAnsi="Garamond" w:cs="Futura"/>
          <w:sz w:val="24"/>
        </w:rPr>
        <w:tab/>
      </w:r>
      <w:r w:rsidR="00A71A95">
        <w:rPr>
          <w:rFonts w:ascii="Garamond" w:hAnsi="Garamond" w:cs="Futura"/>
          <w:sz w:val="24"/>
        </w:rPr>
        <w:t>Looking ahead</w:t>
      </w:r>
      <w:r w:rsidR="00852B48">
        <w:rPr>
          <w:rFonts w:ascii="Garamond" w:hAnsi="Garamond" w:cs="Futura"/>
          <w:sz w:val="24"/>
        </w:rPr>
        <w:t xml:space="preserve"> post-</w:t>
      </w:r>
      <w:r w:rsidR="00852B48" w:rsidRPr="00852B48">
        <w:rPr>
          <w:rFonts w:ascii="Garamond" w:hAnsi="Garamond" w:cs="Futura"/>
          <w:i/>
          <w:sz w:val="24"/>
        </w:rPr>
        <w:t>Miller</w:t>
      </w:r>
      <w:r w:rsidR="00A71A95">
        <w:rPr>
          <w:rFonts w:ascii="Garamond" w:hAnsi="Garamond" w:cs="Futura"/>
          <w:sz w:val="24"/>
        </w:rPr>
        <w:t xml:space="preserve">, can we identify other treaty-based sources that would </w:t>
      </w:r>
      <w:r w:rsidR="00E86CC0">
        <w:rPr>
          <w:rFonts w:ascii="Garamond" w:hAnsi="Garamond" w:cs="Futura"/>
          <w:sz w:val="24"/>
        </w:rPr>
        <w:t>be extinguished</w:t>
      </w:r>
      <w:r w:rsidR="00A71A95">
        <w:rPr>
          <w:rFonts w:ascii="Garamond" w:hAnsi="Garamond" w:cs="Futura"/>
          <w:sz w:val="24"/>
        </w:rPr>
        <w:t xml:space="preserve"> on treaty withdrawal? One </w:t>
      </w:r>
      <w:r w:rsidR="00852B48">
        <w:rPr>
          <w:rFonts w:ascii="Garamond" w:hAnsi="Garamond" w:cs="Futura"/>
          <w:sz w:val="24"/>
        </w:rPr>
        <w:t>possibility</w:t>
      </w:r>
      <w:r w:rsidR="003B71E6">
        <w:rPr>
          <w:rFonts w:ascii="Garamond" w:hAnsi="Garamond" w:cs="Futura"/>
          <w:sz w:val="24"/>
        </w:rPr>
        <w:t xml:space="preserve"> </w:t>
      </w:r>
      <w:r w:rsidR="00852B48">
        <w:rPr>
          <w:rFonts w:ascii="Garamond" w:hAnsi="Garamond" w:cs="Futura"/>
          <w:sz w:val="24"/>
        </w:rPr>
        <w:t>is</w:t>
      </w:r>
      <w:r w:rsidR="003B71E6">
        <w:rPr>
          <w:rFonts w:ascii="Garamond" w:hAnsi="Garamond" w:cs="Futura"/>
          <w:sz w:val="24"/>
        </w:rPr>
        <w:t xml:space="preserve"> </w:t>
      </w:r>
      <w:r w:rsidR="00A71A95">
        <w:rPr>
          <w:rFonts w:ascii="Garamond" w:hAnsi="Garamond" w:cs="Futura"/>
          <w:sz w:val="24"/>
        </w:rPr>
        <w:t xml:space="preserve">the Human Rights Act 1998, giving effect to specified </w:t>
      </w:r>
      <w:r w:rsidR="00E6249B">
        <w:rPr>
          <w:rFonts w:ascii="Garamond" w:hAnsi="Garamond" w:cs="Futura"/>
          <w:sz w:val="24"/>
        </w:rPr>
        <w:t>European Convention on Human Rights provisions</w:t>
      </w:r>
      <w:r w:rsidR="00A71A95">
        <w:rPr>
          <w:rFonts w:ascii="Garamond" w:hAnsi="Garamond" w:cs="Futura"/>
          <w:sz w:val="24"/>
        </w:rPr>
        <w:t xml:space="preserve">. </w:t>
      </w:r>
      <w:r w:rsidR="00E943A9">
        <w:rPr>
          <w:rFonts w:ascii="Garamond" w:hAnsi="Garamond" w:cs="Futura"/>
          <w:sz w:val="24"/>
        </w:rPr>
        <w:t>However,</w:t>
      </w:r>
      <w:r w:rsidR="00A71A95">
        <w:rPr>
          <w:rFonts w:ascii="Garamond" w:hAnsi="Garamond" w:cs="Futura"/>
          <w:sz w:val="24"/>
        </w:rPr>
        <w:t xml:space="preserve"> </w:t>
      </w:r>
      <w:r w:rsidR="003B71E6">
        <w:rPr>
          <w:rFonts w:ascii="Garamond" w:hAnsi="Garamond" w:cs="Futura"/>
          <w:sz w:val="24"/>
        </w:rPr>
        <w:t>this</w:t>
      </w:r>
      <w:r w:rsidR="00A71A95">
        <w:rPr>
          <w:rFonts w:ascii="Garamond" w:hAnsi="Garamond" w:cs="Futura"/>
          <w:sz w:val="24"/>
        </w:rPr>
        <w:t xml:space="preserve"> is not a good case study for us </w:t>
      </w:r>
      <w:r w:rsidR="004A2535">
        <w:rPr>
          <w:rFonts w:ascii="Garamond" w:hAnsi="Garamond" w:cs="Futura"/>
          <w:sz w:val="24"/>
        </w:rPr>
        <w:t>because</w:t>
      </w:r>
      <w:r w:rsidR="00B86C93">
        <w:rPr>
          <w:rFonts w:ascii="Garamond" w:hAnsi="Garamond" w:cs="Futura"/>
          <w:sz w:val="24"/>
        </w:rPr>
        <w:t xml:space="preserve">, as has been </w:t>
      </w:r>
      <w:r w:rsidR="00E943A9">
        <w:rPr>
          <w:rFonts w:ascii="Garamond" w:hAnsi="Garamond" w:cs="Futura"/>
          <w:sz w:val="24"/>
        </w:rPr>
        <w:t>demonstrated</w:t>
      </w:r>
      <w:r w:rsidR="00B86C93">
        <w:rPr>
          <w:rFonts w:ascii="Garamond" w:hAnsi="Garamond" w:cs="Futura"/>
          <w:sz w:val="24"/>
        </w:rPr>
        <w:t>,</w:t>
      </w:r>
      <w:r w:rsidR="004A2535">
        <w:rPr>
          <w:rFonts w:ascii="Garamond" w:hAnsi="Garamond" w:cs="Futura"/>
          <w:sz w:val="24"/>
        </w:rPr>
        <w:t xml:space="preserve"> </w:t>
      </w:r>
      <w:r w:rsidR="00E6249B">
        <w:rPr>
          <w:rFonts w:ascii="Garamond" w:hAnsi="Garamond" w:cs="Futura"/>
          <w:sz w:val="24"/>
        </w:rPr>
        <w:lastRenderedPageBreak/>
        <w:t>the</w:t>
      </w:r>
      <w:r w:rsidR="00AE7938">
        <w:rPr>
          <w:rFonts w:ascii="Garamond" w:hAnsi="Garamond" w:cs="Futura"/>
          <w:sz w:val="24"/>
        </w:rPr>
        <w:t xml:space="preserve"> HRA’s</w:t>
      </w:r>
      <w:r w:rsidR="00E6249B">
        <w:rPr>
          <w:rFonts w:ascii="Garamond" w:hAnsi="Garamond" w:cs="Futura"/>
          <w:sz w:val="24"/>
        </w:rPr>
        <w:t xml:space="preserve"> proper construction is </w:t>
      </w:r>
      <w:r w:rsidR="00B86C93">
        <w:rPr>
          <w:rFonts w:ascii="Garamond" w:hAnsi="Garamond" w:cs="Futura"/>
          <w:sz w:val="24"/>
        </w:rPr>
        <w:t>significantly controversial</w:t>
      </w:r>
      <w:r w:rsidR="004A2535">
        <w:rPr>
          <w:rFonts w:ascii="Garamond" w:hAnsi="Garamond" w:cs="Futura"/>
          <w:sz w:val="24"/>
        </w:rPr>
        <w:t>.</w:t>
      </w:r>
      <w:r w:rsidR="006B4919" w:rsidRPr="00F51266">
        <w:rPr>
          <w:rStyle w:val="FootnoteReference"/>
          <w:rFonts w:ascii="Garamond" w:hAnsi="Garamond" w:cs="Futura"/>
          <w:sz w:val="24"/>
          <w:szCs w:val="24"/>
        </w:rPr>
        <w:footnoteReference w:id="52"/>
      </w:r>
      <w:r w:rsidR="006B4919">
        <w:rPr>
          <w:rFonts w:ascii="Garamond" w:hAnsi="Garamond" w:cs="Futura"/>
          <w:sz w:val="24"/>
        </w:rPr>
        <w:t xml:space="preserve"> On one reading, the </w:t>
      </w:r>
      <w:r w:rsidR="00B86C93">
        <w:rPr>
          <w:rFonts w:ascii="Garamond" w:hAnsi="Garamond" w:cs="Futura"/>
          <w:sz w:val="24"/>
        </w:rPr>
        <w:t xml:space="preserve">specified </w:t>
      </w:r>
      <w:r w:rsidR="006B4919">
        <w:rPr>
          <w:rFonts w:ascii="Garamond" w:hAnsi="Garamond" w:cs="Futura"/>
          <w:sz w:val="24"/>
        </w:rPr>
        <w:t xml:space="preserve">ECHR </w:t>
      </w:r>
      <w:r w:rsidR="004A2535" w:rsidRPr="00E943A9">
        <w:rPr>
          <w:rFonts w:ascii="Garamond" w:hAnsi="Garamond" w:cs="Futura"/>
          <w:sz w:val="24"/>
        </w:rPr>
        <w:t>treaty</w:t>
      </w:r>
      <w:r w:rsidR="004A2535">
        <w:rPr>
          <w:rFonts w:ascii="Garamond" w:hAnsi="Garamond" w:cs="Futura"/>
          <w:sz w:val="24"/>
        </w:rPr>
        <w:t xml:space="preserve"> </w:t>
      </w:r>
      <w:r w:rsidR="006B4919">
        <w:rPr>
          <w:rFonts w:ascii="Garamond" w:hAnsi="Garamond" w:cs="Futura"/>
          <w:sz w:val="24"/>
        </w:rPr>
        <w:t>rights, having been scheduled</w:t>
      </w:r>
      <w:r w:rsidR="00B14C36">
        <w:rPr>
          <w:rFonts w:ascii="Garamond" w:hAnsi="Garamond" w:cs="Futura"/>
          <w:sz w:val="24"/>
        </w:rPr>
        <w:t xml:space="preserve"> to the Act</w:t>
      </w:r>
      <w:r w:rsidR="006B4919">
        <w:rPr>
          <w:rFonts w:ascii="Garamond" w:hAnsi="Garamond" w:cs="Futura"/>
          <w:sz w:val="24"/>
        </w:rPr>
        <w:t xml:space="preserve">, are </w:t>
      </w:r>
      <w:r w:rsidR="00B14C36">
        <w:rPr>
          <w:rFonts w:ascii="Garamond" w:hAnsi="Garamond" w:cs="Futura"/>
          <w:sz w:val="24"/>
        </w:rPr>
        <w:t xml:space="preserve">in fact </w:t>
      </w:r>
      <w:r w:rsidR="006B4919" w:rsidRPr="001C5557">
        <w:rPr>
          <w:rFonts w:ascii="Garamond" w:hAnsi="Garamond" w:cs="Futura"/>
          <w:sz w:val="24"/>
        </w:rPr>
        <w:t>domesticated</w:t>
      </w:r>
      <w:r w:rsidR="006B4919">
        <w:rPr>
          <w:rFonts w:ascii="Garamond" w:hAnsi="Garamond" w:cs="Futura"/>
          <w:sz w:val="24"/>
        </w:rPr>
        <w:t xml:space="preserve"> and would continue to operate as domestic statutory rights following UK treaty withdrawal</w:t>
      </w:r>
      <w:r w:rsidR="006B4919">
        <w:rPr>
          <w:rFonts w:ascii="Garamond" w:hAnsi="Garamond" w:cs="Futura"/>
          <w:sz w:val="24"/>
          <w:szCs w:val="24"/>
        </w:rPr>
        <w:t xml:space="preserve">. </w:t>
      </w:r>
      <w:r w:rsidR="004A2535">
        <w:rPr>
          <w:rFonts w:ascii="Garamond" w:hAnsi="Garamond" w:cs="Futura"/>
          <w:sz w:val="24"/>
          <w:szCs w:val="24"/>
        </w:rPr>
        <w:t>Moreover, the</w:t>
      </w:r>
      <w:r w:rsidR="006B4919">
        <w:rPr>
          <w:rFonts w:ascii="Garamond" w:hAnsi="Garamond" w:cs="Futura"/>
          <w:sz w:val="24"/>
          <w:szCs w:val="24"/>
        </w:rPr>
        <w:t xml:space="preserve"> s.2 duty </w:t>
      </w:r>
      <w:r w:rsidR="004A2535">
        <w:rPr>
          <w:rFonts w:ascii="Garamond" w:hAnsi="Garamond" w:cs="Futura"/>
          <w:sz w:val="24"/>
          <w:szCs w:val="24"/>
        </w:rPr>
        <w:t>falling upon</w:t>
      </w:r>
      <w:r w:rsidR="006B4919">
        <w:rPr>
          <w:rFonts w:ascii="Garamond" w:hAnsi="Garamond" w:cs="Futura"/>
          <w:sz w:val="24"/>
          <w:szCs w:val="24"/>
        </w:rPr>
        <w:t xml:space="preserve"> </w:t>
      </w:r>
      <w:r w:rsidR="006B4919">
        <w:rPr>
          <w:rFonts w:ascii="Garamond" w:hAnsi="Garamond" w:cs="Futura"/>
          <w:sz w:val="24"/>
        </w:rPr>
        <w:t xml:space="preserve">domestic courts to take into account relevant ECtHR case law – a </w:t>
      </w:r>
      <w:r w:rsidR="004A2535">
        <w:rPr>
          <w:rFonts w:ascii="Garamond" w:hAnsi="Garamond" w:cs="Futura"/>
          <w:sz w:val="24"/>
        </w:rPr>
        <w:t xml:space="preserve">statutory </w:t>
      </w:r>
      <w:r w:rsidR="006B4919">
        <w:rPr>
          <w:rFonts w:ascii="Garamond" w:hAnsi="Garamond" w:cs="Futura"/>
          <w:sz w:val="24"/>
        </w:rPr>
        <w:t xml:space="preserve">provision that establishes ECtHR </w:t>
      </w:r>
      <w:r w:rsidR="006B4919" w:rsidRPr="004D64B6">
        <w:rPr>
          <w:rFonts w:ascii="Garamond" w:hAnsi="Garamond" w:cs="Futura"/>
          <w:i/>
          <w:sz w:val="24"/>
        </w:rPr>
        <w:t>case law</w:t>
      </w:r>
      <w:r w:rsidR="00E943A9">
        <w:rPr>
          <w:rFonts w:ascii="Garamond" w:hAnsi="Garamond" w:cs="Futura"/>
          <w:sz w:val="24"/>
        </w:rPr>
        <w:t xml:space="preserve"> as a mandatory </w:t>
      </w:r>
      <w:r w:rsidR="006B4919">
        <w:rPr>
          <w:rFonts w:ascii="Garamond" w:hAnsi="Garamond" w:cs="Futura"/>
          <w:sz w:val="24"/>
        </w:rPr>
        <w:t xml:space="preserve">source – would, on this reading, also be unaffected on treaty withdrawal. Domestic courts would remain capable of performing their s.2 duty, and so the treaty-based source established under that provision would not </w:t>
      </w:r>
      <w:r w:rsidR="00E943A9">
        <w:rPr>
          <w:rFonts w:ascii="Garamond" w:hAnsi="Garamond" w:cs="Futura"/>
          <w:sz w:val="24"/>
        </w:rPr>
        <w:t>face extinction</w:t>
      </w:r>
      <w:r w:rsidR="006B4919">
        <w:rPr>
          <w:rFonts w:ascii="Garamond" w:hAnsi="Garamond" w:cs="Futura"/>
          <w:sz w:val="24"/>
        </w:rPr>
        <w:t>.</w:t>
      </w:r>
      <w:r w:rsidR="00B23F0D">
        <w:rPr>
          <w:rFonts w:ascii="Garamond" w:hAnsi="Garamond" w:cs="Futura"/>
          <w:sz w:val="24"/>
        </w:rPr>
        <w:t xml:space="preserve"> </w:t>
      </w:r>
      <w:r w:rsidR="006B4919">
        <w:rPr>
          <w:rFonts w:ascii="Garamond" w:hAnsi="Garamond" w:cs="Futura"/>
          <w:sz w:val="24"/>
        </w:rPr>
        <w:t xml:space="preserve">On another reading of the HRA, however, the Act’s </w:t>
      </w:r>
      <w:r w:rsidR="00B23F0D">
        <w:rPr>
          <w:rFonts w:ascii="Garamond" w:hAnsi="Garamond" w:cs="Futura"/>
          <w:sz w:val="24"/>
        </w:rPr>
        <w:t>giving effect to</w:t>
      </w:r>
      <w:r w:rsidR="006B4919">
        <w:rPr>
          <w:rFonts w:ascii="Garamond" w:hAnsi="Garamond" w:cs="Futura"/>
          <w:sz w:val="24"/>
        </w:rPr>
        <w:t xml:space="preserve"> the ECHR is predicated on the UK remaining a treaty party</w:t>
      </w:r>
      <w:r w:rsidR="00A8709F">
        <w:rPr>
          <w:rFonts w:ascii="Garamond" w:hAnsi="Garamond" w:cs="Futura"/>
          <w:sz w:val="24"/>
        </w:rPr>
        <w:t xml:space="preserve"> – </w:t>
      </w:r>
      <w:r w:rsidR="006B4919">
        <w:rPr>
          <w:rFonts w:ascii="Garamond" w:hAnsi="Garamond" w:cs="Futura"/>
          <w:sz w:val="24"/>
        </w:rPr>
        <w:t xml:space="preserve">such that UK withdrawal would indeed </w:t>
      </w:r>
      <w:r w:rsidR="00B23F0D">
        <w:rPr>
          <w:rFonts w:ascii="Garamond" w:hAnsi="Garamond" w:cs="Futura"/>
          <w:sz w:val="24"/>
        </w:rPr>
        <w:t>extin</w:t>
      </w:r>
      <w:r w:rsidR="00E943A9">
        <w:rPr>
          <w:rFonts w:ascii="Garamond" w:hAnsi="Garamond" w:cs="Futura"/>
          <w:sz w:val="24"/>
        </w:rPr>
        <w:t>guish ECHR rights</w:t>
      </w:r>
      <w:r w:rsidR="00E70EDE">
        <w:rPr>
          <w:rFonts w:ascii="Garamond" w:hAnsi="Garamond" w:cs="Futura"/>
          <w:sz w:val="24"/>
        </w:rPr>
        <w:t xml:space="preserve">, </w:t>
      </w:r>
      <w:r w:rsidR="00B23F0D">
        <w:rPr>
          <w:rFonts w:ascii="Garamond" w:hAnsi="Garamond" w:cs="Futura"/>
          <w:sz w:val="24"/>
        </w:rPr>
        <w:t>despite their being scheduled</w:t>
      </w:r>
      <w:r w:rsidR="006B4919">
        <w:rPr>
          <w:rFonts w:ascii="Garamond" w:hAnsi="Garamond" w:cs="Futura"/>
          <w:sz w:val="24"/>
        </w:rPr>
        <w:t>. (</w:t>
      </w:r>
      <w:r w:rsidR="00265EB1">
        <w:rPr>
          <w:rFonts w:ascii="Garamond" w:hAnsi="Garamond" w:cs="Futura"/>
          <w:sz w:val="24"/>
        </w:rPr>
        <w:t>It</w:t>
      </w:r>
      <w:r w:rsidR="006B4919">
        <w:rPr>
          <w:rFonts w:ascii="Garamond" w:hAnsi="Garamond" w:cs="Futura"/>
          <w:sz w:val="24"/>
        </w:rPr>
        <w:t xml:space="preserve"> would also render nugatory the operation of s.2.) </w:t>
      </w:r>
      <w:r w:rsidR="00265EB1">
        <w:rPr>
          <w:rFonts w:ascii="Garamond" w:hAnsi="Garamond" w:cs="Futura"/>
          <w:sz w:val="24"/>
        </w:rPr>
        <w:t>This</w:t>
      </w:r>
      <w:r w:rsidR="001C5557">
        <w:rPr>
          <w:rFonts w:ascii="Garamond" w:hAnsi="Garamond" w:cs="Futura"/>
          <w:sz w:val="24"/>
        </w:rPr>
        <w:t xml:space="preserve"> alternative</w:t>
      </w:r>
      <w:r w:rsidR="00265EB1">
        <w:rPr>
          <w:rFonts w:ascii="Garamond" w:hAnsi="Garamond" w:cs="Futura"/>
          <w:sz w:val="24"/>
        </w:rPr>
        <w:t xml:space="preserve"> reading </w:t>
      </w:r>
      <w:r w:rsidR="001C5557">
        <w:rPr>
          <w:rFonts w:ascii="Garamond" w:hAnsi="Garamond" w:cs="Futura"/>
          <w:sz w:val="24"/>
        </w:rPr>
        <w:t xml:space="preserve">of the HRA </w:t>
      </w:r>
      <w:r w:rsidR="00265EB1">
        <w:rPr>
          <w:rFonts w:ascii="Garamond" w:hAnsi="Garamond" w:cs="Futura"/>
          <w:sz w:val="24"/>
        </w:rPr>
        <w:t xml:space="preserve">focuses on how </w:t>
      </w:r>
      <w:r w:rsidR="006B4919">
        <w:rPr>
          <w:rFonts w:ascii="Garamond" w:hAnsi="Garamond" w:cs="Futura"/>
          <w:sz w:val="24"/>
        </w:rPr>
        <w:t xml:space="preserve">s.1(1) </w:t>
      </w:r>
      <w:r w:rsidR="00265EB1">
        <w:rPr>
          <w:rFonts w:ascii="Garamond" w:hAnsi="Garamond" w:cs="Futura"/>
          <w:sz w:val="24"/>
        </w:rPr>
        <w:t>defines</w:t>
      </w:r>
      <w:r w:rsidR="006B4919">
        <w:rPr>
          <w:rFonts w:ascii="Garamond" w:hAnsi="Garamond" w:cs="Futura"/>
          <w:sz w:val="24"/>
        </w:rPr>
        <w:t xml:space="preserve"> “the Convention rights” by reference to certain specified prov</w:t>
      </w:r>
      <w:r w:rsidR="00265EB1">
        <w:rPr>
          <w:rFonts w:ascii="Garamond" w:hAnsi="Garamond" w:cs="Futura"/>
          <w:sz w:val="24"/>
        </w:rPr>
        <w:t>isions of the “Conventio</w:t>
      </w:r>
      <w:r w:rsidR="008B2405">
        <w:rPr>
          <w:rFonts w:ascii="Garamond" w:hAnsi="Garamond" w:cs="Futura"/>
          <w:sz w:val="24"/>
        </w:rPr>
        <w:t>n”</w:t>
      </w:r>
      <w:r w:rsidR="00B97029">
        <w:rPr>
          <w:rFonts w:ascii="Garamond" w:hAnsi="Garamond" w:cs="Futura"/>
          <w:sz w:val="24"/>
        </w:rPr>
        <w:t xml:space="preserve">. This is significant because, </w:t>
      </w:r>
      <w:r w:rsidR="00CE5B37">
        <w:rPr>
          <w:rFonts w:ascii="Garamond" w:hAnsi="Garamond" w:cs="Futura"/>
          <w:sz w:val="24"/>
        </w:rPr>
        <w:t>a</w:t>
      </w:r>
      <w:r w:rsidR="006B4919">
        <w:rPr>
          <w:rFonts w:ascii="Garamond" w:hAnsi="Garamond" w:cs="Futura"/>
          <w:sz w:val="24"/>
        </w:rPr>
        <w:t>ccording to s.21(1):</w:t>
      </w:r>
    </w:p>
    <w:p w14:paraId="06D8D543" w14:textId="77777777" w:rsidR="006B4919" w:rsidRDefault="006B4919" w:rsidP="006B4919">
      <w:pPr>
        <w:contextualSpacing/>
        <w:rPr>
          <w:rFonts w:ascii="Garamond" w:hAnsi="Garamond" w:cs="Futura"/>
          <w:sz w:val="24"/>
        </w:rPr>
      </w:pPr>
    </w:p>
    <w:p w14:paraId="477A15E6" w14:textId="77777777" w:rsidR="006B4919" w:rsidRPr="00987D95" w:rsidRDefault="006B4919" w:rsidP="006B4919">
      <w:pPr>
        <w:contextualSpacing/>
        <w:rPr>
          <w:rFonts w:ascii="Garamond" w:hAnsi="Garamond" w:cs="Futura"/>
          <w:sz w:val="20"/>
          <w:szCs w:val="20"/>
        </w:rPr>
      </w:pPr>
      <w:r w:rsidRPr="00987D95">
        <w:rPr>
          <w:rFonts w:ascii="Garamond" w:hAnsi="Garamond" w:cs="Futura"/>
          <w:sz w:val="20"/>
          <w:szCs w:val="20"/>
        </w:rPr>
        <w:t xml:space="preserve">“the Convention” means the Convention for the Protection of Human Rights and Fundamental Freedoms, agreed by the Council of Europe at Rome on 4th November 1950 </w:t>
      </w:r>
      <w:r w:rsidRPr="00987D95">
        <w:rPr>
          <w:rFonts w:ascii="Garamond" w:hAnsi="Garamond" w:cs="Futura"/>
          <w:i/>
          <w:sz w:val="20"/>
          <w:szCs w:val="20"/>
        </w:rPr>
        <w:t>as it has effect for the time being in relation to the United Kingdom</w:t>
      </w:r>
      <w:r w:rsidRPr="00987D95">
        <w:rPr>
          <w:rFonts w:ascii="Garamond" w:hAnsi="Garamond" w:cs="Futura"/>
          <w:sz w:val="20"/>
          <w:szCs w:val="20"/>
        </w:rPr>
        <w:t xml:space="preserve"> …</w:t>
      </w:r>
      <w:r w:rsidRPr="00987D95">
        <w:rPr>
          <w:rStyle w:val="FootnoteReference"/>
          <w:rFonts w:ascii="Garamond" w:hAnsi="Garamond" w:cs="Futura"/>
          <w:sz w:val="20"/>
          <w:szCs w:val="20"/>
        </w:rPr>
        <w:footnoteReference w:id="53"/>
      </w:r>
    </w:p>
    <w:p w14:paraId="31A6F8FD" w14:textId="77777777" w:rsidR="006B4919" w:rsidRDefault="006B4919" w:rsidP="006B4919">
      <w:pPr>
        <w:contextualSpacing/>
        <w:rPr>
          <w:rFonts w:ascii="Garamond" w:hAnsi="Garamond" w:cs="Futura"/>
          <w:sz w:val="24"/>
        </w:rPr>
      </w:pPr>
    </w:p>
    <w:p w14:paraId="6DAAD2FB" w14:textId="0C3BDFA4" w:rsidR="006B4919" w:rsidRPr="005A2044" w:rsidRDefault="00A8709F" w:rsidP="006B4919">
      <w:pPr>
        <w:contextualSpacing/>
        <w:rPr>
          <w:rFonts w:ascii="Garamond" w:hAnsi="Garamond" w:cs="Futura"/>
          <w:sz w:val="24"/>
          <w:szCs w:val="24"/>
        </w:rPr>
      </w:pPr>
      <w:r>
        <w:rPr>
          <w:rFonts w:ascii="Garamond" w:hAnsi="Garamond" w:cs="Futura"/>
          <w:sz w:val="24"/>
        </w:rPr>
        <w:t xml:space="preserve">The alternative </w:t>
      </w:r>
      <w:r w:rsidR="00DE7787">
        <w:rPr>
          <w:rFonts w:ascii="Garamond" w:hAnsi="Garamond" w:cs="Futura"/>
          <w:sz w:val="24"/>
        </w:rPr>
        <w:t>reading draw</w:t>
      </w:r>
      <w:r w:rsidR="001C5557">
        <w:rPr>
          <w:rFonts w:ascii="Garamond" w:hAnsi="Garamond" w:cs="Futura"/>
          <w:sz w:val="24"/>
        </w:rPr>
        <w:t>s</w:t>
      </w:r>
      <w:r w:rsidR="00DE7787">
        <w:rPr>
          <w:rFonts w:ascii="Garamond" w:hAnsi="Garamond" w:cs="Futura"/>
          <w:sz w:val="24"/>
        </w:rPr>
        <w:t xml:space="preserve"> </w:t>
      </w:r>
      <w:r w:rsidR="001C5557">
        <w:rPr>
          <w:rFonts w:ascii="Garamond" w:hAnsi="Garamond" w:cs="Futura"/>
          <w:sz w:val="24"/>
        </w:rPr>
        <w:t>upon</w:t>
      </w:r>
      <w:r w:rsidR="00DE7787">
        <w:rPr>
          <w:rFonts w:ascii="Garamond" w:hAnsi="Garamond" w:cs="Futura"/>
          <w:sz w:val="24"/>
        </w:rPr>
        <w:t xml:space="preserve"> o</w:t>
      </w:r>
      <w:r w:rsidR="006B4919">
        <w:rPr>
          <w:rFonts w:ascii="Garamond" w:hAnsi="Garamond" w:cs="Futura"/>
          <w:sz w:val="24"/>
        </w:rPr>
        <w:t>ther</w:t>
      </w:r>
      <w:r>
        <w:rPr>
          <w:rFonts w:ascii="Garamond" w:hAnsi="Garamond" w:cs="Futura"/>
          <w:sz w:val="24"/>
        </w:rPr>
        <w:t xml:space="preserve"> HRA</w:t>
      </w:r>
      <w:r w:rsidR="006B4919">
        <w:rPr>
          <w:rFonts w:ascii="Garamond" w:hAnsi="Garamond" w:cs="Futura"/>
          <w:sz w:val="24"/>
        </w:rPr>
        <w:t xml:space="preserve"> provisions – e.g. derogations under ss.14 and 16 – </w:t>
      </w:r>
      <w:r w:rsidR="00DE7787">
        <w:rPr>
          <w:rFonts w:ascii="Garamond" w:hAnsi="Garamond" w:cs="Futura"/>
          <w:sz w:val="24"/>
        </w:rPr>
        <w:t>that also</w:t>
      </w:r>
      <w:r w:rsidR="006B4919">
        <w:rPr>
          <w:rFonts w:ascii="Garamond" w:hAnsi="Garamond" w:cs="Futura"/>
          <w:sz w:val="24"/>
        </w:rPr>
        <w:t xml:space="preserve"> appear to assume that the UK </w:t>
      </w:r>
      <w:r w:rsidR="001C5557">
        <w:rPr>
          <w:rFonts w:ascii="Garamond" w:hAnsi="Garamond" w:cs="Futura"/>
          <w:sz w:val="24"/>
        </w:rPr>
        <w:t>is to remain</w:t>
      </w:r>
      <w:r w:rsidR="006B4919">
        <w:rPr>
          <w:rFonts w:ascii="Garamond" w:hAnsi="Garamond" w:cs="Futura"/>
          <w:sz w:val="24"/>
        </w:rPr>
        <w:t xml:space="preserve"> a treaty party.</w:t>
      </w:r>
      <w:r w:rsidR="0054515B">
        <w:rPr>
          <w:rFonts w:ascii="Garamond" w:hAnsi="Garamond" w:cs="Futura"/>
          <w:sz w:val="24"/>
        </w:rPr>
        <w:t xml:space="preserve"> </w:t>
      </w:r>
      <w:r w:rsidR="00B97029">
        <w:rPr>
          <w:rFonts w:ascii="Garamond" w:hAnsi="Garamond" w:cs="Futura"/>
          <w:sz w:val="24"/>
        </w:rPr>
        <w:t xml:space="preserve">Overall, (at least) </w:t>
      </w:r>
      <w:r w:rsidR="00146DF7">
        <w:rPr>
          <w:rFonts w:ascii="Garamond" w:hAnsi="Garamond" w:cs="Futura"/>
          <w:sz w:val="24"/>
        </w:rPr>
        <w:t xml:space="preserve">two </w:t>
      </w:r>
      <w:r w:rsidR="00B97029">
        <w:rPr>
          <w:rFonts w:ascii="Garamond" w:hAnsi="Garamond" w:cs="Futura"/>
          <w:sz w:val="24"/>
        </w:rPr>
        <w:t xml:space="preserve">plausible </w:t>
      </w:r>
      <w:r w:rsidR="00146DF7">
        <w:rPr>
          <w:rFonts w:ascii="Garamond" w:hAnsi="Garamond" w:cs="Futura"/>
          <w:sz w:val="24"/>
        </w:rPr>
        <w:t>readings</w:t>
      </w:r>
      <w:r w:rsidR="007E7216">
        <w:rPr>
          <w:rFonts w:ascii="Garamond" w:hAnsi="Garamond" w:cs="Futura"/>
          <w:sz w:val="24"/>
        </w:rPr>
        <w:t xml:space="preserve"> of the HRA</w:t>
      </w:r>
      <w:r w:rsidR="00B97029">
        <w:rPr>
          <w:rFonts w:ascii="Garamond" w:hAnsi="Garamond" w:cs="Futura"/>
          <w:sz w:val="24"/>
        </w:rPr>
        <w:t xml:space="preserve"> are available. </w:t>
      </w:r>
      <w:r w:rsidR="0054515B">
        <w:rPr>
          <w:rFonts w:ascii="Garamond" w:hAnsi="Garamond" w:cs="Futura"/>
          <w:sz w:val="24"/>
        </w:rPr>
        <w:t>Gavin Phillipson and Alison Young</w:t>
      </w:r>
      <w:r w:rsidR="00146DF7">
        <w:rPr>
          <w:rFonts w:ascii="Garamond" w:hAnsi="Garamond" w:cs="Futura"/>
          <w:sz w:val="24"/>
        </w:rPr>
        <w:t xml:space="preserve"> conclude</w:t>
      </w:r>
      <w:r w:rsidR="0054515B">
        <w:rPr>
          <w:rFonts w:ascii="Garamond" w:hAnsi="Garamond" w:cs="Futura"/>
          <w:sz w:val="24"/>
        </w:rPr>
        <w:t xml:space="preserve"> in thei</w:t>
      </w:r>
      <w:r w:rsidR="00B23EF7">
        <w:rPr>
          <w:rFonts w:ascii="Garamond" w:hAnsi="Garamond" w:cs="Futura"/>
          <w:sz w:val="24"/>
        </w:rPr>
        <w:t>r study</w:t>
      </w:r>
      <w:r w:rsidR="00337B29">
        <w:rPr>
          <w:rFonts w:ascii="Garamond" w:hAnsi="Garamond" w:cs="Futura"/>
          <w:sz w:val="24"/>
        </w:rPr>
        <w:t xml:space="preserve"> that</w:t>
      </w:r>
      <w:r w:rsidR="0054515B">
        <w:rPr>
          <w:rFonts w:ascii="Garamond" w:hAnsi="Garamond" w:cs="Futura"/>
          <w:sz w:val="24"/>
        </w:rPr>
        <w:t xml:space="preserve"> </w:t>
      </w:r>
      <w:r w:rsidR="006D256A">
        <w:rPr>
          <w:rFonts w:ascii="Garamond" w:hAnsi="Garamond" w:cs="Futura"/>
          <w:sz w:val="24"/>
        </w:rPr>
        <w:t>it is unclear which reading would be preferred</w:t>
      </w:r>
      <w:r w:rsidR="00337B29">
        <w:rPr>
          <w:rFonts w:ascii="Garamond" w:hAnsi="Garamond" w:cs="Futura"/>
          <w:sz w:val="24"/>
        </w:rPr>
        <w:t xml:space="preserve"> and that </w:t>
      </w:r>
      <w:r w:rsidR="007E7216">
        <w:rPr>
          <w:rFonts w:ascii="Garamond" w:hAnsi="Garamond" w:cs="Futura"/>
          <w:sz w:val="24"/>
        </w:rPr>
        <w:t xml:space="preserve">“[i]n the end … the question of whether the HRA becomes a dead letter </w:t>
      </w:r>
      <w:r w:rsidR="006D256A">
        <w:rPr>
          <w:rFonts w:ascii="Garamond" w:hAnsi="Garamond" w:cs="Futura"/>
          <w:sz w:val="24"/>
        </w:rPr>
        <w:t>[</w:t>
      </w:r>
      <w:r w:rsidR="00337B29">
        <w:rPr>
          <w:rFonts w:ascii="Garamond" w:hAnsi="Garamond" w:cs="Futura"/>
          <w:sz w:val="24"/>
        </w:rPr>
        <w:t>following</w:t>
      </w:r>
      <w:r w:rsidR="006D256A">
        <w:rPr>
          <w:rFonts w:ascii="Garamond" w:hAnsi="Garamond" w:cs="Futura"/>
          <w:sz w:val="24"/>
        </w:rPr>
        <w:t xml:space="preserve"> UK withdrawal from the ECHR] </w:t>
      </w:r>
      <w:r w:rsidR="007E7216">
        <w:rPr>
          <w:rFonts w:ascii="Garamond" w:hAnsi="Garamond" w:cs="Futura"/>
          <w:sz w:val="24"/>
        </w:rPr>
        <w:t>or morphs into a free-standing Bill of Rights may become a matter of judicial construction, driven by the constitutional context”.</w:t>
      </w:r>
      <w:r w:rsidR="005431C0" w:rsidRPr="00F51266">
        <w:rPr>
          <w:rStyle w:val="FootnoteReference"/>
          <w:rFonts w:ascii="Garamond" w:hAnsi="Garamond" w:cs="Futura"/>
          <w:sz w:val="24"/>
          <w:szCs w:val="24"/>
        </w:rPr>
        <w:footnoteReference w:id="54"/>
      </w:r>
    </w:p>
    <w:p w14:paraId="45E3BB6A" w14:textId="00636387" w:rsidR="006B5C87" w:rsidRDefault="00DE7787" w:rsidP="00401F54">
      <w:pPr>
        <w:contextualSpacing/>
        <w:rPr>
          <w:rFonts w:ascii="Garamond" w:hAnsi="Garamond" w:cs="Futura"/>
          <w:sz w:val="24"/>
        </w:rPr>
      </w:pPr>
      <w:r>
        <w:rPr>
          <w:rFonts w:ascii="Garamond" w:hAnsi="Garamond" w:cs="Futura"/>
          <w:sz w:val="24"/>
        </w:rPr>
        <w:tab/>
      </w:r>
      <w:r w:rsidR="00E06743">
        <w:rPr>
          <w:rFonts w:ascii="Garamond" w:hAnsi="Garamond" w:cs="Futura"/>
          <w:sz w:val="24"/>
        </w:rPr>
        <w:t>The HRA is</w:t>
      </w:r>
      <w:r w:rsidR="00196361">
        <w:rPr>
          <w:rFonts w:ascii="Garamond" w:hAnsi="Garamond" w:cs="Futura"/>
          <w:sz w:val="24"/>
        </w:rPr>
        <w:t xml:space="preserve"> </w:t>
      </w:r>
      <w:r w:rsidR="00E06743">
        <w:rPr>
          <w:rFonts w:ascii="Garamond" w:hAnsi="Garamond" w:cs="Futura"/>
          <w:sz w:val="24"/>
        </w:rPr>
        <w:t xml:space="preserve">not </w:t>
      </w:r>
      <w:r w:rsidR="00196361">
        <w:rPr>
          <w:rFonts w:ascii="Garamond" w:hAnsi="Garamond" w:cs="Futura"/>
          <w:sz w:val="24"/>
        </w:rPr>
        <w:t>a</w:t>
      </w:r>
      <w:r w:rsidR="00E06743">
        <w:rPr>
          <w:rFonts w:ascii="Garamond" w:hAnsi="Garamond" w:cs="Futura"/>
          <w:sz w:val="24"/>
        </w:rPr>
        <w:t xml:space="preserve"> straightforward</w:t>
      </w:r>
      <w:r w:rsidR="001C5557">
        <w:rPr>
          <w:rFonts w:ascii="Garamond" w:hAnsi="Garamond" w:cs="Futura"/>
          <w:sz w:val="24"/>
        </w:rPr>
        <w:t xml:space="preserve"> </w:t>
      </w:r>
      <w:r w:rsidR="00196361">
        <w:rPr>
          <w:rFonts w:ascii="Garamond" w:hAnsi="Garamond" w:cs="Futura"/>
          <w:sz w:val="24"/>
        </w:rPr>
        <w:t>case study for exploring source extinction and</w:t>
      </w:r>
      <w:r w:rsidR="00C31172">
        <w:rPr>
          <w:rFonts w:ascii="Garamond" w:hAnsi="Garamond" w:cs="Futura"/>
          <w:sz w:val="24"/>
        </w:rPr>
        <w:t xml:space="preserve"> </w:t>
      </w:r>
      <w:r w:rsidR="00196361">
        <w:rPr>
          <w:rFonts w:ascii="Garamond" w:hAnsi="Garamond" w:cs="Futura"/>
          <w:sz w:val="24"/>
        </w:rPr>
        <w:t xml:space="preserve">the </w:t>
      </w:r>
      <w:r w:rsidR="00A371B3">
        <w:rPr>
          <w:rFonts w:ascii="Garamond" w:hAnsi="Garamond" w:cs="Futura"/>
          <w:sz w:val="24"/>
        </w:rPr>
        <w:t xml:space="preserve">precedential </w:t>
      </w:r>
      <w:r w:rsidR="00196361">
        <w:rPr>
          <w:rFonts w:ascii="Garamond" w:hAnsi="Garamond" w:cs="Futura"/>
          <w:sz w:val="24"/>
        </w:rPr>
        <w:t xml:space="preserve">implications of </w:t>
      </w:r>
      <w:r w:rsidR="00196361" w:rsidRPr="00196361">
        <w:rPr>
          <w:rFonts w:ascii="Garamond" w:hAnsi="Garamond" w:cs="Futura"/>
          <w:i/>
          <w:sz w:val="24"/>
        </w:rPr>
        <w:t>Miller</w:t>
      </w:r>
      <w:r w:rsidR="00196361">
        <w:rPr>
          <w:rFonts w:ascii="Garamond" w:hAnsi="Garamond" w:cs="Futura"/>
          <w:sz w:val="24"/>
        </w:rPr>
        <w:t xml:space="preserve">. </w:t>
      </w:r>
      <w:r w:rsidR="00C31172">
        <w:rPr>
          <w:rFonts w:ascii="Garamond" w:hAnsi="Garamond" w:cs="Futura"/>
          <w:sz w:val="24"/>
        </w:rPr>
        <w:t>I will instead use</w:t>
      </w:r>
      <w:r w:rsidR="007A01A7">
        <w:rPr>
          <w:rFonts w:ascii="Garamond" w:hAnsi="Garamond" w:cs="Futura"/>
          <w:sz w:val="24"/>
        </w:rPr>
        <w:t xml:space="preserve"> </w:t>
      </w:r>
      <w:r w:rsidR="001A0F46">
        <w:rPr>
          <w:rFonts w:ascii="Garamond" w:hAnsi="Garamond" w:cs="Futura"/>
          <w:sz w:val="24"/>
        </w:rPr>
        <w:t>another</w:t>
      </w:r>
      <w:r w:rsidR="00F557B8">
        <w:rPr>
          <w:rFonts w:ascii="Garamond" w:hAnsi="Garamond" w:cs="Futura"/>
          <w:sz w:val="24"/>
        </w:rPr>
        <w:t xml:space="preserve"> case study </w:t>
      </w:r>
      <w:r w:rsidR="00076CEB">
        <w:rPr>
          <w:rFonts w:ascii="Garamond" w:hAnsi="Garamond" w:cs="Futura"/>
          <w:sz w:val="24"/>
        </w:rPr>
        <w:t>to</w:t>
      </w:r>
      <w:r w:rsidR="00F557B8">
        <w:rPr>
          <w:rFonts w:ascii="Garamond" w:hAnsi="Garamond" w:cs="Futura"/>
          <w:sz w:val="24"/>
        </w:rPr>
        <w:t xml:space="preserve"> </w:t>
      </w:r>
      <w:r w:rsidR="00076CEB">
        <w:rPr>
          <w:rFonts w:ascii="Garamond" w:hAnsi="Garamond" w:cs="Futura"/>
          <w:sz w:val="24"/>
        </w:rPr>
        <w:t>test</w:t>
      </w:r>
      <w:r w:rsidR="00F557B8">
        <w:rPr>
          <w:rFonts w:ascii="Garamond" w:hAnsi="Garamond" w:cs="Futura"/>
          <w:sz w:val="24"/>
        </w:rPr>
        <w:t xml:space="preserve"> </w:t>
      </w:r>
      <w:r w:rsidR="00C31172" w:rsidRPr="00C31172">
        <w:rPr>
          <w:rFonts w:ascii="Garamond" w:hAnsi="Garamond" w:cs="Futura"/>
          <w:i/>
          <w:sz w:val="24"/>
        </w:rPr>
        <w:t>Miller</w:t>
      </w:r>
      <w:r w:rsidR="00C31172">
        <w:rPr>
          <w:rFonts w:ascii="Garamond" w:hAnsi="Garamond" w:cs="Futura"/>
          <w:sz w:val="24"/>
        </w:rPr>
        <w:t>’s implications</w:t>
      </w:r>
      <w:r w:rsidR="00A371B3">
        <w:rPr>
          <w:rFonts w:ascii="Garamond" w:hAnsi="Garamond" w:cs="Futura"/>
          <w:sz w:val="24"/>
        </w:rPr>
        <w:t xml:space="preserve"> as we look </w:t>
      </w:r>
      <w:r w:rsidR="00A371B3">
        <w:rPr>
          <w:rFonts w:ascii="Garamond" w:hAnsi="Garamond" w:cs="Futura"/>
          <w:sz w:val="24"/>
        </w:rPr>
        <w:lastRenderedPageBreak/>
        <w:t>ahead</w:t>
      </w:r>
      <w:r w:rsidR="00F557B8">
        <w:rPr>
          <w:rFonts w:ascii="Garamond" w:hAnsi="Garamond" w:cs="Futura"/>
          <w:sz w:val="24"/>
        </w:rPr>
        <w:t xml:space="preserve">. </w:t>
      </w:r>
      <w:r w:rsidR="001818A4">
        <w:rPr>
          <w:rFonts w:ascii="Garamond" w:hAnsi="Garamond" w:cs="Futura"/>
          <w:sz w:val="24"/>
        </w:rPr>
        <w:t xml:space="preserve">The </w:t>
      </w:r>
      <w:r w:rsidR="00B76E10">
        <w:rPr>
          <w:rFonts w:ascii="Garamond" w:hAnsi="Garamond" w:cs="Futura"/>
          <w:sz w:val="24"/>
        </w:rPr>
        <w:t>primary legislation</w:t>
      </w:r>
      <w:r w:rsidR="001818A4">
        <w:rPr>
          <w:rFonts w:ascii="Garamond" w:hAnsi="Garamond" w:cs="Futura"/>
          <w:sz w:val="24"/>
        </w:rPr>
        <w:t xml:space="preserve"> is the </w:t>
      </w:r>
      <w:r w:rsidR="001818A4" w:rsidRPr="00B268C6">
        <w:rPr>
          <w:rFonts w:ascii="Garamond" w:hAnsi="Garamond" w:cs="Futura"/>
          <w:sz w:val="24"/>
        </w:rPr>
        <w:t>Railways and Transport Safety Act 2003</w:t>
      </w:r>
      <w:r w:rsidR="001818A4">
        <w:rPr>
          <w:rFonts w:ascii="Garamond" w:hAnsi="Garamond" w:cs="Futura"/>
          <w:sz w:val="24"/>
        </w:rPr>
        <w:t xml:space="preserve">, s.103 of which </w:t>
      </w:r>
      <w:r w:rsidR="00971012">
        <w:rPr>
          <w:rFonts w:ascii="Garamond" w:hAnsi="Garamond" w:cs="Futura"/>
          <w:sz w:val="24"/>
        </w:rPr>
        <w:t>seeks to</w:t>
      </w:r>
      <w:r w:rsidR="007D1305">
        <w:rPr>
          <w:rFonts w:ascii="Garamond" w:hAnsi="Garamond" w:cs="Futura"/>
          <w:sz w:val="24"/>
        </w:rPr>
        <w:t xml:space="preserve"> </w:t>
      </w:r>
      <w:r w:rsidR="00971012">
        <w:rPr>
          <w:rFonts w:ascii="Garamond" w:hAnsi="Garamond" w:cs="Futura"/>
          <w:sz w:val="24"/>
        </w:rPr>
        <w:t>give</w:t>
      </w:r>
      <w:r w:rsidR="001818A4">
        <w:rPr>
          <w:rFonts w:ascii="Garamond" w:hAnsi="Garamond" w:cs="Futura"/>
          <w:sz w:val="24"/>
        </w:rPr>
        <w:t xml:space="preserve"> effect to </w:t>
      </w:r>
      <w:r w:rsidR="00E826CC">
        <w:rPr>
          <w:rFonts w:ascii="Garamond" w:hAnsi="Garamond" w:cs="Futura"/>
          <w:sz w:val="24"/>
        </w:rPr>
        <w:t xml:space="preserve">an international treaty: </w:t>
      </w:r>
      <w:r w:rsidR="001818A4">
        <w:rPr>
          <w:rFonts w:ascii="Garamond" w:hAnsi="Garamond" w:cs="Futura"/>
          <w:sz w:val="24"/>
        </w:rPr>
        <w:t>the</w:t>
      </w:r>
      <w:r w:rsidR="001818A4" w:rsidRPr="001818A4">
        <w:rPr>
          <w:rFonts w:ascii="Garamond" w:hAnsi="Garamond" w:cs="Futura"/>
          <w:sz w:val="24"/>
        </w:rPr>
        <w:t xml:space="preserve"> Convention concerning</w:t>
      </w:r>
      <w:r w:rsidR="001818A4">
        <w:rPr>
          <w:rFonts w:ascii="Garamond" w:hAnsi="Garamond" w:cs="Futura"/>
          <w:sz w:val="24"/>
        </w:rPr>
        <w:t xml:space="preserve"> International Carriage by Rail</w:t>
      </w:r>
      <w:r w:rsidR="006B04DC">
        <w:rPr>
          <w:rFonts w:ascii="Garamond" w:hAnsi="Garamond" w:cs="Futura"/>
          <w:sz w:val="24"/>
        </w:rPr>
        <w:t xml:space="preserve"> (“COTIF</w:t>
      </w:r>
      <w:r w:rsidR="00877F94">
        <w:rPr>
          <w:rFonts w:ascii="Garamond" w:hAnsi="Garamond" w:cs="Futura"/>
          <w:sz w:val="24"/>
        </w:rPr>
        <w:t>”)</w:t>
      </w:r>
      <w:r w:rsidR="001818A4">
        <w:rPr>
          <w:rFonts w:ascii="Garamond" w:hAnsi="Garamond" w:cs="Futura"/>
          <w:sz w:val="24"/>
        </w:rPr>
        <w:t>.</w:t>
      </w:r>
      <w:r w:rsidR="002A751C">
        <w:rPr>
          <w:rStyle w:val="FootnoteReference"/>
          <w:rFonts w:ascii="Garamond" w:hAnsi="Garamond" w:cs="Futura"/>
          <w:sz w:val="24"/>
        </w:rPr>
        <w:footnoteReference w:id="55"/>
      </w:r>
      <w:r w:rsidR="001818A4">
        <w:rPr>
          <w:rFonts w:ascii="Garamond" w:hAnsi="Garamond" w:cs="Futura"/>
          <w:sz w:val="24"/>
        </w:rPr>
        <w:t xml:space="preserve"> </w:t>
      </w:r>
      <w:r w:rsidR="001B410B">
        <w:rPr>
          <w:rFonts w:ascii="Garamond" w:hAnsi="Garamond" w:cs="Futura"/>
          <w:sz w:val="24"/>
        </w:rPr>
        <w:t>COTIF</w:t>
      </w:r>
      <w:r w:rsidR="006B5C87">
        <w:rPr>
          <w:rFonts w:ascii="Garamond" w:hAnsi="Garamond" w:cs="Futura"/>
          <w:sz w:val="24"/>
        </w:rPr>
        <w:t xml:space="preserve"> establishes an international organisation under Article 1(1): </w:t>
      </w:r>
      <w:r w:rsidR="006B5C87" w:rsidRPr="00231D05">
        <w:rPr>
          <w:rFonts w:ascii="Garamond" w:hAnsi="Garamond" w:cs="Futura"/>
          <w:sz w:val="24"/>
        </w:rPr>
        <w:t xml:space="preserve">the Intergovernmental Organisation for </w:t>
      </w:r>
      <w:r w:rsidR="006B5C87">
        <w:rPr>
          <w:rFonts w:ascii="Garamond" w:hAnsi="Garamond" w:cs="Futura"/>
          <w:sz w:val="24"/>
        </w:rPr>
        <w:t>International Carriage by Rail. Its aim under Article 2 is “</w:t>
      </w:r>
      <w:r w:rsidR="006B5C87" w:rsidRPr="007008FF">
        <w:rPr>
          <w:rFonts w:ascii="Garamond" w:hAnsi="Garamond" w:cs="Futura"/>
          <w:sz w:val="24"/>
        </w:rPr>
        <w:t>to promote, improve and facilitate, in all respects, international t</w:t>
      </w:r>
      <w:r w:rsidR="006B5C87">
        <w:rPr>
          <w:rFonts w:ascii="Garamond" w:hAnsi="Garamond" w:cs="Futura"/>
          <w:sz w:val="24"/>
        </w:rPr>
        <w:t>raffic by rail” including by “</w:t>
      </w:r>
      <w:r w:rsidR="006B5C87" w:rsidRPr="00B14A74">
        <w:rPr>
          <w:rFonts w:ascii="Garamond" w:hAnsi="Garamond" w:cs="Futura"/>
          <w:sz w:val="24"/>
        </w:rPr>
        <w:t>establishing systems of uniform law</w:t>
      </w:r>
      <w:r w:rsidR="006B5C87">
        <w:rPr>
          <w:rFonts w:ascii="Garamond" w:hAnsi="Garamond" w:cs="Futura"/>
          <w:sz w:val="24"/>
        </w:rPr>
        <w:t xml:space="preserve">”, “contributing to the removal … </w:t>
      </w:r>
      <w:r w:rsidR="006B5C87" w:rsidRPr="002F044E">
        <w:rPr>
          <w:rFonts w:ascii="Garamond" w:hAnsi="Garamond" w:cs="Futura"/>
          <w:sz w:val="24"/>
        </w:rPr>
        <w:t>of obstacles to the crossing of frontiers in international rail traffic</w:t>
      </w:r>
      <w:r w:rsidR="006B5C87">
        <w:rPr>
          <w:rFonts w:ascii="Garamond" w:hAnsi="Garamond" w:cs="Futura"/>
          <w:sz w:val="24"/>
        </w:rPr>
        <w:t>”, “</w:t>
      </w:r>
      <w:r w:rsidR="006B5C87" w:rsidRPr="0027602B">
        <w:rPr>
          <w:rFonts w:ascii="Garamond" w:hAnsi="Garamond" w:cs="Futura"/>
          <w:sz w:val="24"/>
        </w:rPr>
        <w:t xml:space="preserve">contributing to </w:t>
      </w:r>
      <w:r w:rsidR="006B5C87">
        <w:rPr>
          <w:rFonts w:ascii="Garamond" w:hAnsi="Garamond" w:cs="Futura"/>
          <w:sz w:val="24"/>
        </w:rPr>
        <w:t>…</w:t>
      </w:r>
      <w:r w:rsidR="006B5C87" w:rsidRPr="0027602B">
        <w:rPr>
          <w:rFonts w:ascii="Garamond" w:hAnsi="Garamond" w:cs="Futura"/>
          <w:sz w:val="24"/>
        </w:rPr>
        <w:t xml:space="preserve"> technical harmonisation in the railway field by the validation of technical standards and the adoption of uniform technical prescriptions</w:t>
      </w:r>
      <w:r w:rsidR="006B5C87">
        <w:rPr>
          <w:rFonts w:ascii="Garamond" w:hAnsi="Garamond" w:cs="Futura"/>
          <w:sz w:val="24"/>
        </w:rPr>
        <w:t>”, and so on. Several organs are established under Article 13 including the General Assembly, the Revision Committee, the Committee of Technical Experts, and the Secretary General.</w:t>
      </w:r>
      <w:r w:rsidR="00901264">
        <w:rPr>
          <w:rFonts w:ascii="Garamond" w:hAnsi="Garamond" w:cs="Futura"/>
          <w:sz w:val="24"/>
        </w:rPr>
        <w:t xml:space="preserve"> Although more confined </w:t>
      </w:r>
      <w:r w:rsidR="0044529B">
        <w:rPr>
          <w:rFonts w:ascii="Garamond" w:hAnsi="Garamond" w:cs="Futura"/>
          <w:sz w:val="24"/>
        </w:rPr>
        <w:t xml:space="preserve">in scope </w:t>
      </w:r>
      <w:r w:rsidR="00901264">
        <w:rPr>
          <w:rFonts w:ascii="Garamond" w:hAnsi="Garamond" w:cs="Futura"/>
          <w:sz w:val="24"/>
        </w:rPr>
        <w:t xml:space="preserve">than the EU treaties, COTIF’s </w:t>
      </w:r>
      <w:r w:rsidR="00E057C6">
        <w:rPr>
          <w:rFonts w:ascii="Garamond" w:hAnsi="Garamond" w:cs="Futura"/>
          <w:sz w:val="24"/>
        </w:rPr>
        <w:t>aim of</w:t>
      </w:r>
      <w:r w:rsidR="00901264">
        <w:rPr>
          <w:rFonts w:ascii="Garamond" w:hAnsi="Garamond" w:cs="Futura"/>
          <w:sz w:val="24"/>
        </w:rPr>
        <w:t xml:space="preserve"> securing</w:t>
      </w:r>
      <w:r w:rsidR="00972C23">
        <w:rPr>
          <w:rFonts w:ascii="Garamond" w:hAnsi="Garamond" w:cs="Futura"/>
          <w:sz w:val="24"/>
        </w:rPr>
        <w:t xml:space="preserve"> uniformity in the railway field</w:t>
      </w:r>
      <w:r w:rsidR="00901264">
        <w:rPr>
          <w:rFonts w:ascii="Garamond" w:hAnsi="Garamond" w:cs="Futura"/>
          <w:sz w:val="24"/>
        </w:rPr>
        <w:t xml:space="preserve"> – and </w:t>
      </w:r>
      <w:r w:rsidR="00E057C6">
        <w:rPr>
          <w:rFonts w:ascii="Garamond" w:hAnsi="Garamond" w:cs="Futura"/>
          <w:sz w:val="24"/>
        </w:rPr>
        <w:t xml:space="preserve">its establishment of a </w:t>
      </w:r>
      <w:r w:rsidR="006B2549">
        <w:rPr>
          <w:rFonts w:ascii="Garamond" w:hAnsi="Garamond" w:cs="Futura"/>
          <w:sz w:val="24"/>
        </w:rPr>
        <w:t>sophisticated</w:t>
      </w:r>
      <w:r w:rsidR="0066178D">
        <w:rPr>
          <w:rFonts w:ascii="Garamond" w:hAnsi="Garamond" w:cs="Futura"/>
          <w:sz w:val="24"/>
        </w:rPr>
        <w:t xml:space="preserve"> </w:t>
      </w:r>
      <w:r w:rsidR="00901264">
        <w:rPr>
          <w:rFonts w:ascii="Garamond" w:hAnsi="Garamond" w:cs="Futura"/>
          <w:sz w:val="24"/>
        </w:rPr>
        <w:t xml:space="preserve">institutional structure </w:t>
      </w:r>
      <w:r w:rsidR="0066178D">
        <w:rPr>
          <w:rFonts w:ascii="Garamond" w:hAnsi="Garamond" w:cs="Futura"/>
          <w:sz w:val="24"/>
        </w:rPr>
        <w:t>comprising</w:t>
      </w:r>
      <w:r w:rsidR="00901264">
        <w:rPr>
          <w:rFonts w:ascii="Garamond" w:hAnsi="Garamond" w:cs="Futura"/>
          <w:sz w:val="24"/>
        </w:rPr>
        <w:t xml:space="preserve"> rule-making organs </w:t>
      </w:r>
      <w:r w:rsidR="0066178D">
        <w:rPr>
          <w:rFonts w:ascii="Garamond" w:hAnsi="Garamond" w:cs="Futura"/>
          <w:sz w:val="24"/>
        </w:rPr>
        <w:t>–</w:t>
      </w:r>
      <w:r w:rsidR="00901264">
        <w:rPr>
          <w:rFonts w:ascii="Garamond" w:hAnsi="Garamond" w:cs="Futura"/>
          <w:sz w:val="24"/>
        </w:rPr>
        <w:t xml:space="preserve"> </w:t>
      </w:r>
      <w:r w:rsidR="00BA61A1">
        <w:rPr>
          <w:rFonts w:ascii="Garamond" w:hAnsi="Garamond" w:cs="Futura"/>
          <w:sz w:val="24"/>
        </w:rPr>
        <w:t>bears</w:t>
      </w:r>
      <w:r w:rsidR="006B2549">
        <w:rPr>
          <w:rFonts w:ascii="Garamond" w:hAnsi="Garamond" w:cs="Futura"/>
          <w:sz w:val="24"/>
        </w:rPr>
        <w:t xml:space="preserve"> some </w:t>
      </w:r>
      <w:r w:rsidR="00D141F4">
        <w:rPr>
          <w:rFonts w:ascii="Garamond" w:hAnsi="Garamond" w:cs="Futura"/>
          <w:sz w:val="24"/>
        </w:rPr>
        <w:t>resemblance</w:t>
      </w:r>
      <w:r w:rsidR="006B2549">
        <w:rPr>
          <w:rFonts w:ascii="Garamond" w:hAnsi="Garamond" w:cs="Futura"/>
          <w:sz w:val="24"/>
        </w:rPr>
        <w:t xml:space="preserve"> to</w:t>
      </w:r>
      <w:r w:rsidR="0066178D">
        <w:rPr>
          <w:rFonts w:ascii="Garamond" w:hAnsi="Garamond" w:cs="Futura"/>
          <w:sz w:val="24"/>
        </w:rPr>
        <w:t xml:space="preserve"> EU law.</w:t>
      </w:r>
    </w:p>
    <w:p w14:paraId="1F716285" w14:textId="52D2B986" w:rsidR="002F1D32" w:rsidRDefault="0041428D" w:rsidP="0048275E">
      <w:pPr>
        <w:ind w:firstLine="624"/>
        <w:contextualSpacing/>
        <w:rPr>
          <w:rFonts w:ascii="Garamond" w:hAnsi="Garamond" w:cs="Futura"/>
          <w:sz w:val="24"/>
        </w:rPr>
      </w:pPr>
      <w:r>
        <w:rPr>
          <w:rFonts w:ascii="Garamond" w:hAnsi="Garamond" w:cs="Futura"/>
          <w:sz w:val="24"/>
        </w:rPr>
        <w:t xml:space="preserve">S.103 </w:t>
      </w:r>
      <w:r w:rsidR="003D71A8">
        <w:rPr>
          <w:rFonts w:ascii="Garamond" w:hAnsi="Garamond" w:cs="Futura"/>
          <w:sz w:val="24"/>
        </w:rPr>
        <w:t xml:space="preserve">and Schedule 6 </w:t>
      </w:r>
      <w:r w:rsidR="0074453D">
        <w:rPr>
          <w:rFonts w:ascii="Garamond" w:hAnsi="Garamond" w:cs="Futura"/>
          <w:sz w:val="24"/>
        </w:rPr>
        <w:t xml:space="preserve">of the </w:t>
      </w:r>
      <w:r w:rsidR="0074453D" w:rsidRPr="00B268C6">
        <w:rPr>
          <w:rFonts w:ascii="Garamond" w:hAnsi="Garamond" w:cs="Futura"/>
          <w:sz w:val="24"/>
        </w:rPr>
        <w:t>2003</w:t>
      </w:r>
      <w:r w:rsidR="00877F94">
        <w:rPr>
          <w:rFonts w:ascii="Garamond" w:hAnsi="Garamond" w:cs="Futura"/>
          <w:sz w:val="24"/>
        </w:rPr>
        <w:t xml:space="preserve"> Act</w:t>
      </w:r>
      <w:r w:rsidR="003D71A8">
        <w:rPr>
          <w:rFonts w:ascii="Garamond" w:hAnsi="Garamond" w:cs="Futura"/>
          <w:sz w:val="24"/>
        </w:rPr>
        <w:t xml:space="preserve"> establish </w:t>
      </w:r>
      <w:r w:rsidR="00151F26">
        <w:rPr>
          <w:rFonts w:ascii="Garamond" w:hAnsi="Garamond" w:cs="Futura"/>
          <w:sz w:val="24"/>
        </w:rPr>
        <w:t xml:space="preserve">a </w:t>
      </w:r>
      <w:r w:rsidR="003E325E">
        <w:rPr>
          <w:rFonts w:ascii="Garamond" w:hAnsi="Garamond" w:cs="Futura"/>
          <w:sz w:val="24"/>
        </w:rPr>
        <w:t>method</w:t>
      </w:r>
      <w:r w:rsidR="0048275E">
        <w:rPr>
          <w:rFonts w:ascii="Garamond" w:hAnsi="Garamond" w:cs="Futura"/>
          <w:sz w:val="24"/>
        </w:rPr>
        <w:t xml:space="preserve"> </w:t>
      </w:r>
      <w:r w:rsidR="003E325E">
        <w:rPr>
          <w:rFonts w:ascii="Garamond" w:hAnsi="Garamond" w:cs="Futura"/>
          <w:sz w:val="24"/>
        </w:rPr>
        <w:t xml:space="preserve">for giving effect to COTIF </w:t>
      </w:r>
      <w:r w:rsidR="003D71A8">
        <w:rPr>
          <w:rFonts w:ascii="Garamond" w:hAnsi="Garamond" w:cs="Futura"/>
          <w:sz w:val="24"/>
        </w:rPr>
        <w:t>through the</w:t>
      </w:r>
      <w:r w:rsidR="00274C46">
        <w:rPr>
          <w:rFonts w:ascii="Garamond" w:hAnsi="Garamond" w:cs="Futura"/>
          <w:sz w:val="24"/>
        </w:rPr>
        <w:t xml:space="preserve"> enactment of </w:t>
      </w:r>
      <w:r w:rsidR="003E325E">
        <w:rPr>
          <w:rFonts w:ascii="Garamond" w:hAnsi="Garamond" w:cs="Futura"/>
          <w:sz w:val="24"/>
        </w:rPr>
        <w:t>secondary legislation</w:t>
      </w:r>
      <w:r w:rsidR="003D71A8">
        <w:rPr>
          <w:rFonts w:ascii="Garamond" w:hAnsi="Garamond" w:cs="Futura"/>
          <w:sz w:val="24"/>
        </w:rPr>
        <w:t xml:space="preserve"> (i</w:t>
      </w:r>
      <w:r w:rsidR="00D00C8B">
        <w:rPr>
          <w:rFonts w:ascii="Garamond" w:hAnsi="Garamond" w:cs="Futura"/>
          <w:sz w:val="24"/>
        </w:rPr>
        <w:t>.</w:t>
      </w:r>
      <w:r w:rsidR="003D71A8">
        <w:rPr>
          <w:rFonts w:ascii="Garamond" w:hAnsi="Garamond" w:cs="Futura"/>
          <w:sz w:val="24"/>
        </w:rPr>
        <w:t>e</w:t>
      </w:r>
      <w:r w:rsidR="00D00C8B">
        <w:rPr>
          <w:rFonts w:ascii="Garamond" w:hAnsi="Garamond" w:cs="Futura"/>
          <w:sz w:val="24"/>
        </w:rPr>
        <w:t>.</w:t>
      </w:r>
      <w:r w:rsidR="003D71A8">
        <w:rPr>
          <w:rFonts w:ascii="Garamond" w:hAnsi="Garamond" w:cs="Futura"/>
          <w:sz w:val="24"/>
        </w:rPr>
        <w:t xml:space="preserve"> Regulations)</w:t>
      </w:r>
      <w:r w:rsidR="0048275E">
        <w:rPr>
          <w:rFonts w:ascii="Garamond" w:hAnsi="Garamond" w:cs="Futura"/>
          <w:sz w:val="24"/>
        </w:rPr>
        <w:t xml:space="preserve">. </w:t>
      </w:r>
      <w:r w:rsidR="00CB6066">
        <w:rPr>
          <w:rFonts w:ascii="Garamond" w:hAnsi="Garamond" w:cs="Futura"/>
          <w:sz w:val="24"/>
        </w:rPr>
        <w:t>Sch.6</w:t>
      </w:r>
      <w:r w:rsidR="00CB6466">
        <w:rPr>
          <w:rFonts w:ascii="Garamond" w:hAnsi="Garamond" w:cs="Futura"/>
          <w:sz w:val="24"/>
        </w:rPr>
        <w:t>, para.2</w:t>
      </w:r>
      <w:r w:rsidR="00CB6066">
        <w:rPr>
          <w:rFonts w:ascii="Garamond" w:hAnsi="Garamond" w:cs="Futura"/>
          <w:sz w:val="24"/>
        </w:rPr>
        <w:t xml:space="preserve"> </w:t>
      </w:r>
      <w:r w:rsidR="00A42FEB">
        <w:rPr>
          <w:rFonts w:ascii="Garamond" w:hAnsi="Garamond" w:cs="Futura"/>
          <w:sz w:val="24"/>
        </w:rPr>
        <w:t>provides</w:t>
      </w:r>
      <w:r w:rsidR="002F1D32">
        <w:rPr>
          <w:rFonts w:ascii="Garamond" w:hAnsi="Garamond" w:cs="Futura"/>
          <w:sz w:val="24"/>
        </w:rPr>
        <w:t>:</w:t>
      </w:r>
    </w:p>
    <w:p w14:paraId="560E7595" w14:textId="27350704" w:rsidR="002F1D32" w:rsidRDefault="002F1D32" w:rsidP="003B37BA">
      <w:pPr>
        <w:rPr>
          <w:rFonts w:ascii="Garamond" w:hAnsi="Garamond" w:cs="Futura"/>
          <w:sz w:val="24"/>
        </w:rPr>
      </w:pPr>
    </w:p>
    <w:p w14:paraId="385AEEA2" w14:textId="04910DB0" w:rsidR="00DA609D" w:rsidRDefault="00DA609D" w:rsidP="003B37BA">
      <w:pPr>
        <w:rPr>
          <w:rFonts w:ascii="Garamond" w:hAnsi="Garamond" w:cs="Futura"/>
          <w:sz w:val="20"/>
          <w:szCs w:val="20"/>
        </w:rPr>
      </w:pPr>
      <w:r w:rsidRPr="00401239">
        <w:rPr>
          <w:rFonts w:ascii="Garamond" w:hAnsi="Garamond" w:cs="Futura"/>
          <w:sz w:val="20"/>
          <w:szCs w:val="20"/>
        </w:rPr>
        <w:t>Regulations may—</w:t>
      </w:r>
    </w:p>
    <w:p w14:paraId="4BC6BD81" w14:textId="77777777" w:rsidR="00F063E7" w:rsidRPr="00401239" w:rsidRDefault="00F063E7" w:rsidP="003B37BA">
      <w:pPr>
        <w:rPr>
          <w:rFonts w:ascii="Garamond" w:hAnsi="Garamond" w:cs="Futura"/>
          <w:sz w:val="20"/>
          <w:szCs w:val="20"/>
        </w:rPr>
      </w:pPr>
    </w:p>
    <w:p w14:paraId="796E3444" w14:textId="4117B8CC" w:rsidR="002F1D32" w:rsidRPr="00401239" w:rsidRDefault="002F1D32" w:rsidP="00BA0CD9">
      <w:pPr>
        <w:ind w:left="624"/>
        <w:rPr>
          <w:rFonts w:ascii="Garamond" w:hAnsi="Garamond" w:cs="Futura"/>
          <w:sz w:val="20"/>
          <w:szCs w:val="20"/>
        </w:rPr>
      </w:pPr>
      <w:r w:rsidRPr="00401239">
        <w:rPr>
          <w:rFonts w:ascii="Garamond" w:hAnsi="Garamond" w:cs="Futura"/>
          <w:sz w:val="20"/>
          <w:szCs w:val="20"/>
        </w:rPr>
        <w:t>(a)</w:t>
      </w:r>
      <w:r w:rsidR="00DA609D" w:rsidRPr="00401239">
        <w:rPr>
          <w:rFonts w:ascii="Garamond" w:hAnsi="Garamond" w:cs="Futura"/>
          <w:sz w:val="20"/>
          <w:szCs w:val="20"/>
        </w:rPr>
        <w:t xml:space="preserve"> </w:t>
      </w:r>
      <w:r w:rsidRPr="00401239">
        <w:rPr>
          <w:rFonts w:ascii="Garamond" w:hAnsi="Garamond" w:cs="Futura"/>
          <w:sz w:val="20"/>
          <w:szCs w:val="20"/>
        </w:rPr>
        <w:t xml:space="preserve">make provision enabling </w:t>
      </w:r>
      <w:r w:rsidRPr="00AF2134">
        <w:rPr>
          <w:rFonts w:ascii="Garamond" w:hAnsi="Garamond" w:cs="Futura"/>
          <w:i/>
          <w:sz w:val="20"/>
          <w:szCs w:val="20"/>
        </w:rPr>
        <w:t>a right or duty arising under</w:t>
      </w:r>
      <w:r w:rsidR="00DA609D" w:rsidRPr="00AF2134">
        <w:rPr>
          <w:rFonts w:ascii="Garamond" w:hAnsi="Garamond" w:cs="Futura"/>
          <w:i/>
          <w:sz w:val="20"/>
          <w:szCs w:val="20"/>
        </w:rPr>
        <w:t xml:space="preserve"> the Convention</w:t>
      </w:r>
      <w:r w:rsidR="00DA609D" w:rsidRPr="00401239">
        <w:rPr>
          <w:rFonts w:ascii="Garamond" w:hAnsi="Garamond" w:cs="Futura"/>
          <w:sz w:val="20"/>
          <w:szCs w:val="20"/>
        </w:rPr>
        <w:t xml:space="preserve"> to be enforced …</w:t>
      </w:r>
      <w:r w:rsidR="006F563E">
        <w:rPr>
          <w:rStyle w:val="FootnoteReference"/>
          <w:rFonts w:ascii="Garamond" w:hAnsi="Garamond" w:cs="Futura"/>
          <w:sz w:val="20"/>
          <w:szCs w:val="20"/>
        </w:rPr>
        <w:footnoteReference w:id="56"/>
      </w:r>
    </w:p>
    <w:p w14:paraId="3AEBD48A" w14:textId="1D93FE01" w:rsidR="002F1D32" w:rsidRDefault="002F1D32" w:rsidP="003B37BA">
      <w:pPr>
        <w:rPr>
          <w:rFonts w:ascii="Garamond" w:hAnsi="Garamond" w:cs="Futura"/>
          <w:sz w:val="24"/>
        </w:rPr>
      </w:pPr>
    </w:p>
    <w:p w14:paraId="5184332B" w14:textId="26336EA4" w:rsidR="00EE42E2" w:rsidRDefault="002A0997" w:rsidP="003B37BA">
      <w:pPr>
        <w:rPr>
          <w:rFonts w:ascii="Garamond" w:hAnsi="Garamond" w:cs="Futura"/>
          <w:sz w:val="24"/>
        </w:rPr>
      </w:pPr>
      <w:r>
        <w:rPr>
          <w:rFonts w:ascii="Garamond" w:hAnsi="Garamond" w:cs="Futura"/>
          <w:sz w:val="24"/>
        </w:rPr>
        <w:t xml:space="preserve">This </w:t>
      </w:r>
      <w:r w:rsidR="00CD0518">
        <w:rPr>
          <w:rFonts w:ascii="Garamond" w:hAnsi="Garamond" w:cs="Futura"/>
          <w:sz w:val="24"/>
        </w:rPr>
        <w:t>appears to assume</w:t>
      </w:r>
      <w:r w:rsidR="00077981">
        <w:rPr>
          <w:rFonts w:ascii="Garamond" w:hAnsi="Garamond" w:cs="Futura"/>
          <w:sz w:val="24"/>
        </w:rPr>
        <w:t xml:space="preserve"> that the UK is </w:t>
      </w:r>
      <w:r w:rsidR="00493FB7">
        <w:rPr>
          <w:rFonts w:ascii="Garamond" w:hAnsi="Garamond" w:cs="Futura"/>
          <w:sz w:val="24"/>
        </w:rPr>
        <w:t xml:space="preserve">a treaty party and therefore </w:t>
      </w:r>
      <w:r w:rsidR="00077981">
        <w:rPr>
          <w:rFonts w:ascii="Garamond" w:hAnsi="Garamond" w:cs="Futura"/>
          <w:sz w:val="24"/>
        </w:rPr>
        <w:t xml:space="preserve">subject to </w:t>
      </w:r>
      <w:r w:rsidR="001C3807">
        <w:rPr>
          <w:rFonts w:ascii="Garamond" w:hAnsi="Garamond" w:cs="Futura"/>
          <w:sz w:val="24"/>
        </w:rPr>
        <w:t>norms</w:t>
      </w:r>
      <w:r w:rsidR="00077981">
        <w:rPr>
          <w:rFonts w:ascii="Garamond" w:hAnsi="Garamond" w:cs="Futura"/>
          <w:sz w:val="24"/>
        </w:rPr>
        <w:t xml:space="preserve"> arising under the treaty.</w:t>
      </w:r>
      <w:r w:rsidR="00A16F11">
        <w:rPr>
          <w:rFonts w:ascii="Garamond" w:hAnsi="Garamond" w:cs="Futura"/>
          <w:sz w:val="24"/>
        </w:rPr>
        <w:t xml:space="preserve"> </w:t>
      </w:r>
      <w:r w:rsidR="00177BDD">
        <w:rPr>
          <w:rFonts w:ascii="Garamond" w:hAnsi="Garamond" w:cs="Futura"/>
          <w:sz w:val="24"/>
        </w:rPr>
        <w:t>Another example</w:t>
      </w:r>
      <w:r w:rsidR="00077981">
        <w:rPr>
          <w:rFonts w:ascii="Garamond" w:hAnsi="Garamond" w:cs="Futura"/>
          <w:sz w:val="24"/>
        </w:rPr>
        <w:t xml:space="preserve"> </w:t>
      </w:r>
      <w:r w:rsidR="00177BDD">
        <w:rPr>
          <w:rFonts w:ascii="Garamond" w:hAnsi="Garamond" w:cs="Futura"/>
          <w:sz w:val="24"/>
        </w:rPr>
        <w:t xml:space="preserve">is </w:t>
      </w:r>
      <w:r w:rsidR="00CB6466">
        <w:rPr>
          <w:rFonts w:ascii="Garamond" w:hAnsi="Garamond" w:cs="Futura"/>
          <w:sz w:val="24"/>
        </w:rPr>
        <w:t xml:space="preserve">Sch.6, </w:t>
      </w:r>
      <w:r w:rsidR="00EE42E2">
        <w:rPr>
          <w:rFonts w:ascii="Garamond" w:hAnsi="Garamond" w:cs="Futura"/>
          <w:sz w:val="24"/>
        </w:rPr>
        <w:t>para.</w:t>
      </w:r>
      <w:r w:rsidR="00BC16A5">
        <w:rPr>
          <w:rFonts w:ascii="Garamond" w:hAnsi="Garamond" w:cs="Futura"/>
          <w:sz w:val="24"/>
        </w:rPr>
        <w:t>3</w:t>
      </w:r>
      <w:r w:rsidR="0014147A">
        <w:rPr>
          <w:rFonts w:ascii="Garamond" w:hAnsi="Garamond" w:cs="Futura"/>
          <w:sz w:val="24"/>
        </w:rPr>
        <w:t>(2):</w:t>
      </w:r>
    </w:p>
    <w:p w14:paraId="3DFB9E49" w14:textId="78F434DA" w:rsidR="0014147A" w:rsidRDefault="0014147A" w:rsidP="003B37BA">
      <w:pPr>
        <w:rPr>
          <w:rFonts w:ascii="Garamond" w:hAnsi="Garamond" w:cs="Futura"/>
          <w:sz w:val="24"/>
        </w:rPr>
      </w:pPr>
    </w:p>
    <w:p w14:paraId="666ACA7B" w14:textId="2AC16585" w:rsidR="0014147A" w:rsidRDefault="0014147A" w:rsidP="0014147A">
      <w:pPr>
        <w:rPr>
          <w:rFonts w:ascii="Garamond" w:hAnsi="Garamond" w:cs="Futura"/>
          <w:sz w:val="20"/>
          <w:szCs w:val="20"/>
        </w:rPr>
      </w:pPr>
      <w:r w:rsidRPr="0014147A">
        <w:rPr>
          <w:rFonts w:ascii="Garamond" w:hAnsi="Garamond" w:cs="Futura"/>
          <w:sz w:val="20"/>
          <w:szCs w:val="20"/>
        </w:rPr>
        <w:t>In particular, the regulations may—</w:t>
      </w:r>
    </w:p>
    <w:p w14:paraId="586061B4" w14:textId="77777777" w:rsidR="00F063E7" w:rsidRPr="0014147A" w:rsidRDefault="00F063E7" w:rsidP="0014147A">
      <w:pPr>
        <w:rPr>
          <w:rFonts w:ascii="Garamond" w:hAnsi="Garamond" w:cs="Futura"/>
          <w:sz w:val="20"/>
          <w:szCs w:val="20"/>
        </w:rPr>
      </w:pPr>
    </w:p>
    <w:p w14:paraId="29E6C217" w14:textId="2DCA0DE5" w:rsidR="0014147A" w:rsidRPr="0014147A" w:rsidRDefault="00270A37" w:rsidP="0014147A">
      <w:pPr>
        <w:rPr>
          <w:rFonts w:ascii="Garamond" w:hAnsi="Garamond" w:cs="Futura"/>
          <w:sz w:val="20"/>
          <w:szCs w:val="20"/>
        </w:rPr>
      </w:pPr>
      <w:r>
        <w:rPr>
          <w:rFonts w:ascii="Garamond" w:hAnsi="Garamond" w:cs="Futura"/>
          <w:sz w:val="20"/>
          <w:szCs w:val="20"/>
        </w:rPr>
        <w:t xml:space="preserve">… </w:t>
      </w:r>
      <w:r w:rsidR="0014147A" w:rsidRPr="0014147A">
        <w:rPr>
          <w:rFonts w:ascii="Garamond" w:hAnsi="Garamond" w:cs="Futura"/>
          <w:sz w:val="20"/>
          <w:szCs w:val="20"/>
        </w:rPr>
        <w:t>(c)</w:t>
      </w:r>
      <w:r>
        <w:rPr>
          <w:rFonts w:ascii="Garamond" w:hAnsi="Garamond" w:cs="Futura"/>
          <w:sz w:val="20"/>
          <w:szCs w:val="20"/>
        </w:rPr>
        <w:t xml:space="preserve"> </w:t>
      </w:r>
      <w:r w:rsidR="0014147A" w:rsidRPr="0014147A">
        <w:rPr>
          <w:rFonts w:ascii="Garamond" w:hAnsi="Garamond" w:cs="Futura"/>
          <w:sz w:val="20"/>
          <w:szCs w:val="20"/>
        </w:rPr>
        <w:t>provide for a suspension under Article 35(4) of the Convention to be disregarded except in so far as i</w:t>
      </w:r>
      <w:r w:rsidR="00077981">
        <w:rPr>
          <w:rFonts w:ascii="Garamond" w:hAnsi="Garamond" w:cs="Futura"/>
          <w:sz w:val="20"/>
          <w:szCs w:val="20"/>
        </w:rPr>
        <w:t>t relates to the United Kingdom …</w:t>
      </w:r>
    </w:p>
    <w:p w14:paraId="3DF1246A" w14:textId="51D633F5" w:rsidR="00E82356" w:rsidRDefault="00E82356" w:rsidP="00F16FB0">
      <w:pPr>
        <w:rPr>
          <w:rFonts w:ascii="Garamond" w:hAnsi="Garamond" w:cs="Futura"/>
          <w:sz w:val="24"/>
        </w:rPr>
      </w:pPr>
    </w:p>
    <w:p w14:paraId="35619744" w14:textId="3B91229F" w:rsidR="006A3073" w:rsidRDefault="009C1306" w:rsidP="00E82356">
      <w:pPr>
        <w:rPr>
          <w:rFonts w:ascii="Garamond" w:hAnsi="Garamond" w:cs="Futura"/>
          <w:sz w:val="24"/>
        </w:rPr>
      </w:pPr>
      <w:r>
        <w:rPr>
          <w:rFonts w:ascii="Garamond" w:hAnsi="Garamond" w:cs="Futura"/>
          <w:sz w:val="24"/>
        </w:rPr>
        <w:t>Article 35(4) of COTIF</w:t>
      </w:r>
      <w:r w:rsidR="008C7AEB">
        <w:rPr>
          <w:rFonts w:ascii="Garamond" w:hAnsi="Garamond" w:cs="Futura"/>
          <w:sz w:val="24"/>
        </w:rPr>
        <w:t xml:space="preserve"> </w:t>
      </w:r>
      <w:r w:rsidR="005770BF">
        <w:rPr>
          <w:rFonts w:ascii="Garamond" w:hAnsi="Garamond" w:cs="Futura"/>
          <w:sz w:val="24"/>
        </w:rPr>
        <w:t xml:space="preserve">itself </w:t>
      </w:r>
      <w:r w:rsidR="008C7AEB">
        <w:rPr>
          <w:rFonts w:ascii="Garamond" w:hAnsi="Garamond" w:cs="Futura"/>
          <w:sz w:val="24"/>
        </w:rPr>
        <w:t>provides that “</w:t>
      </w:r>
      <w:r w:rsidR="008C7AEB" w:rsidRPr="00102D47">
        <w:rPr>
          <w:rFonts w:ascii="Garamond" w:hAnsi="Garamond" w:cs="Futura"/>
          <w:i/>
          <w:sz w:val="24"/>
        </w:rPr>
        <w:t>Member States</w:t>
      </w:r>
      <w:r w:rsidR="008C7AEB" w:rsidRPr="008C7AEB">
        <w:rPr>
          <w:rFonts w:ascii="Garamond" w:hAnsi="Garamond" w:cs="Futura"/>
          <w:sz w:val="24"/>
        </w:rPr>
        <w:t xml:space="preserve"> may formulate an objection</w:t>
      </w:r>
      <w:r w:rsidR="008C7AEB">
        <w:rPr>
          <w:rFonts w:ascii="Garamond" w:hAnsi="Garamond" w:cs="Futura"/>
          <w:sz w:val="24"/>
        </w:rPr>
        <w:t xml:space="preserve">” </w:t>
      </w:r>
      <w:r w:rsidR="00102D47">
        <w:rPr>
          <w:rFonts w:ascii="Garamond" w:hAnsi="Garamond" w:cs="Futura"/>
          <w:sz w:val="24"/>
        </w:rPr>
        <w:t xml:space="preserve">(emphasis added) </w:t>
      </w:r>
      <w:r w:rsidR="008C7AEB">
        <w:rPr>
          <w:rFonts w:ascii="Garamond" w:hAnsi="Garamond" w:cs="Futura"/>
          <w:sz w:val="24"/>
        </w:rPr>
        <w:t xml:space="preserve">to a proposed </w:t>
      </w:r>
      <w:r w:rsidR="00102D47">
        <w:rPr>
          <w:rFonts w:ascii="Garamond" w:hAnsi="Garamond" w:cs="Futura"/>
          <w:sz w:val="24"/>
        </w:rPr>
        <w:t xml:space="preserve">treaty </w:t>
      </w:r>
      <w:r w:rsidR="00102D47">
        <w:rPr>
          <w:rFonts w:ascii="Garamond" w:hAnsi="Garamond" w:cs="Futura"/>
          <w:sz w:val="24"/>
        </w:rPr>
        <w:lastRenderedPageBreak/>
        <w:t>modification.</w:t>
      </w:r>
      <w:r w:rsidR="00912D49">
        <w:rPr>
          <w:rFonts w:ascii="Garamond" w:hAnsi="Garamond" w:cs="Futura"/>
          <w:sz w:val="24"/>
        </w:rPr>
        <w:t xml:space="preserve"> </w:t>
      </w:r>
      <w:r w:rsidR="00F34E1D">
        <w:rPr>
          <w:rFonts w:ascii="Garamond" w:hAnsi="Garamond" w:cs="Futura"/>
          <w:sz w:val="24"/>
        </w:rPr>
        <w:t>And there are other examples;</w:t>
      </w:r>
      <w:r w:rsidR="00F34E1D">
        <w:rPr>
          <w:rStyle w:val="FootnoteReference"/>
          <w:rFonts w:ascii="Garamond" w:hAnsi="Garamond" w:cs="Futura"/>
          <w:sz w:val="24"/>
        </w:rPr>
        <w:footnoteReference w:id="57"/>
      </w:r>
      <w:r w:rsidR="00F34E1D">
        <w:rPr>
          <w:rFonts w:ascii="Garamond" w:hAnsi="Garamond" w:cs="Futura"/>
          <w:sz w:val="24"/>
        </w:rPr>
        <w:t xml:space="preserve"> a</w:t>
      </w:r>
      <w:r w:rsidR="000014CB">
        <w:rPr>
          <w:rFonts w:ascii="Garamond" w:hAnsi="Garamond" w:cs="Futura"/>
          <w:sz w:val="24"/>
        </w:rPr>
        <w:t xml:space="preserve">s with the ECA, </w:t>
      </w:r>
      <w:r w:rsidR="002A0997">
        <w:rPr>
          <w:rFonts w:ascii="Garamond" w:hAnsi="Garamond" w:cs="Futura"/>
          <w:sz w:val="24"/>
        </w:rPr>
        <w:t>various</w:t>
      </w:r>
      <w:r w:rsidR="00912D49">
        <w:rPr>
          <w:rFonts w:ascii="Garamond" w:hAnsi="Garamond" w:cs="Futura"/>
          <w:sz w:val="24"/>
        </w:rPr>
        <w:t xml:space="preserve"> provisions indicat</w:t>
      </w:r>
      <w:r w:rsidR="00A17807">
        <w:rPr>
          <w:rFonts w:ascii="Garamond" w:hAnsi="Garamond" w:cs="Futura"/>
          <w:sz w:val="24"/>
        </w:rPr>
        <w:t>e</w:t>
      </w:r>
      <w:r w:rsidR="00912D49">
        <w:rPr>
          <w:rFonts w:ascii="Garamond" w:hAnsi="Garamond" w:cs="Futura"/>
          <w:sz w:val="24"/>
        </w:rPr>
        <w:t xml:space="preserve"> that the</w:t>
      </w:r>
      <w:r w:rsidR="00115D50">
        <w:rPr>
          <w:rFonts w:ascii="Garamond" w:hAnsi="Garamond" w:cs="Futura"/>
          <w:sz w:val="24"/>
        </w:rPr>
        <w:t xml:space="preserve"> UK is to remain</w:t>
      </w:r>
      <w:r w:rsidR="00E5373F">
        <w:rPr>
          <w:rFonts w:ascii="Garamond" w:hAnsi="Garamond" w:cs="Futura"/>
          <w:sz w:val="24"/>
        </w:rPr>
        <w:t xml:space="preserve"> a treaty party</w:t>
      </w:r>
      <w:r w:rsidR="00912D49">
        <w:rPr>
          <w:rFonts w:ascii="Garamond" w:hAnsi="Garamond" w:cs="Futura"/>
          <w:sz w:val="24"/>
        </w:rPr>
        <w:t>.</w:t>
      </w:r>
    </w:p>
    <w:p w14:paraId="438B0236" w14:textId="12FC68FB" w:rsidR="002275CD" w:rsidRDefault="009D2C66" w:rsidP="006A3073">
      <w:pPr>
        <w:ind w:firstLine="624"/>
        <w:rPr>
          <w:rFonts w:ascii="Garamond" w:hAnsi="Garamond" w:cs="Futura"/>
          <w:sz w:val="24"/>
        </w:rPr>
      </w:pPr>
      <w:r>
        <w:rPr>
          <w:rFonts w:ascii="Garamond" w:hAnsi="Garamond" w:cs="Futura"/>
          <w:sz w:val="24"/>
        </w:rPr>
        <w:t>T</w:t>
      </w:r>
      <w:r w:rsidR="0031081D">
        <w:rPr>
          <w:rFonts w:ascii="Garamond" w:hAnsi="Garamond" w:cs="Futura"/>
          <w:sz w:val="24"/>
        </w:rPr>
        <w:t>he</w:t>
      </w:r>
      <w:r w:rsidR="003B37BA" w:rsidRPr="003B37BA">
        <w:rPr>
          <w:rFonts w:ascii="Garamond" w:hAnsi="Garamond" w:cs="Futura"/>
          <w:sz w:val="24"/>
        </w:rPr>
        <w:t xml:space="preserve"> Railways (Convention on International Carriage by Rail) Regulations 2005</w:t>
      </w:r>
      <w:r>
        <w:rPr>
          <w:rFonts w:ascii="Garamond" w:hAnsi="Garamond" w:cs="Futura"/>
          <w:sz w:val="24"/>
        </w:rPr>
        <w:t xml:space="preserve"> were subsequently adopted under the 2003 Act. P</w:t>
      </w:r>
      <w:r w:rsidR="00F94EBD">
        <w:rPr>
          <w:rFonts w:ascii="Garamond" w:hAnsi="Garamond" w:cs="Futura"/>
          <w:sz w:val="24"/>
        </w:rPr>
        <w:t>ara.3</w:t>
      </w:r>
      <w:r w:rsidR="00E12657">
        <w:rPr>
          <w:rFonts w:ascii="Garamond" w:hAnsi="Garamond" w:cs="Futura"/>
          <w:sz w:val="24"/>
        </w:rPr>
        <w:t>(1)</w:t>
      </w:r>
      <w:r w:rsidR="00F94EBD">
        <w:rPr>
          <w:rFonts w:ascii="Garamond" w:hAnsi="Garamond" w:cs="Futura"/>
          <w:sz w:val="24"/>
        </w:rPr>
        <w:t xml:space="preserve"> </w:t>
      </w:r>
      <w:r w:rsidR="00D207D7">
        <w:rPr>
          <w:rFonts w:ascii="Garamond" w:hAnsi="Garamond" w:cs="Futura"/>
          <w:sz w:val="24"/>
        </w:rPr>
        <w:t xml:space="preserve">of </w:t>
      </w:r>
      <w:r>
        <w:rPr>
          <w:rFonts w:ascii="Garamond" w:hAnsi="Garamond" w:cs="Futura"/>
          <w:sz w:val="24"/>
        </w:rPr>
        <w:t>the</w:t>
      </w:r>
      <w:r w:rsidR="000228DA">
        <w:rPr>
          <w:rFonts w:ascii="Garamond" w:hAnsi="Garamond" w:cs="Futura"/>
          <w:sz w:val="24"/>
        </w:rPr>
        <w:t xml:space="preserve"> 2005</w:t>
      </w:r>
      <w:r>
        <w:rPr>
          <w:rFonts w:ascii="Garamond" w:hAnsi="Garamond" w:cs="Futura"/>
          <w:sz w:val="24"/>
        </w:rPr>
        <w:t xml:space="preserve"> Regulations</w:t>
      </w:r>
      <w:r w:rsidR="00D207D7">
        <w:rPr>
          <w:rFonts w:ascii="Garamond" w:hAnsi="Garamond" w:cs="Futura"/>
          <w:sz w:val="24"/>
        </w:rPr>
        <w:t xml:space="preserve"> </w:t>
      </w:r>
      <w:r w:rsidR="00F7598C">
        <w:rPr>
          <w:rFonts w:ascii="Garamond" w:hAnsi="Garamond" w:cs="Futura"/>
          <w:sz w:val="24"/>
        </w:rPr>
        <w:t>provides that t</w:t>
      </w:r>
      <w:r w:rsidR="00F94EBD" w:rsidRPr="00F94EBD">
        <w:rPr>
          <w:rFonts w:ascii="Garamond" w:hAnsi="Garamond" w:cs="Futura"/>
          <w:sz w:val="24"/>
        </w:rPr>
        <w:t xml:space="preserve">he </w:t>
      </w:r>
      <w:r w:rsidR="00F7598C">
        <w:rPr>
          <w:rFonts w:ascii="Garamond" w:hAnsi="Garamond" w:cs="Futura"/>
          <w:sz w:val="24"/>
        </w:rPr>
        <w:t>“</w:t>
      </w:r>
      <w:r w:rsidR="00F94EBD" w:rsidRPr="00F94EBD">
        <w:rPr>
          <w:rFonts w:ascii="Garamond" w:hAnsi="Garamond" w:cs="Futura"/>
          <w:sz w:val="24"/>
        </w:rPr>
        <w:t>Convention shall have the force of law in the United Kingdom, and judic</w:t>
      </w:r>
      <w:r w:rsidR="00F94EBD">
        <w:rPr>
          <w:rFonts w:ascii="Garamond" w:hAnsi="Garamond" w:cs="Futura"/>
          <w:sz w:val="24"/>
        </w:rPr>
        <w:t>ial notice shall be taken of it”.</w:t>
      </w:r>
      <w:r w:rsidR="00F7598C">
        <w:rPr>
          <w:rFonts w:ascii="Garamond" w:hAnsi="Garamond" w:cs="Futura"/>
          <w:sz w:val="24"/>
        </w:rPr>
        <w:t xml:space="preserve"> </w:t>
      </w:r>
      <w:r w:rsidR="000014CB">
        <w:rPr>
          <w:rFonts w:ascii="Garamond" w:hAnsi="Garamond" w:cs="Futura"/>
          <w:sz w:val="24"/>
        </w:rPr>
        <w:t>Again, as</w:t>
      </w:r>
      <w:r w:rsidR="00585A53">
        <w:rPr>
          <w:rFonts w:ascii="Garamond" w:hAnsi="Garamond" w:cs="Futura"/>
          <w:sz w:val="24"/>
        </w:rPr>
        <w:t xml:space="preserve"> with </w:t>
      </w:r>
      <w:r w:rsidR="00DC735A">
        <w:rPr>
          <w:rFonts w:ascii="Garamond" w:hAnsi="Garamond" w:cs="Futura"/>
          <w:sz w:val="24"/>
        </w:rPr>
        <w:t xml:space="preserve">EU law and </w:t>
      </w:r>
      <w:r w:rsidR="00585A53">
        <w:rPr>
          <w:rFonts w:ascii="Garamond" w:hAnsi="Garamond" w:cs="Futura"/>
          <w:sz w:val="24"/>
        </w:rPr>
        <w:t xml:space="preserve">the ECA, </w:t>
      </w:r>
      <w:r w:rsidR="00DC735A">
        <w:rPr>
          <w:rFonts w:ascii="Garamond" w:hAnsi="Garamond" w:cs="Futura"/>
          <w:sz w:val="24"/>
        </w:rPr>
        <w:t>COTIF</w:t>
      </w:r>
      <w:r w:rsidR="00585A53">
        <w:rPr>
          <w:rFonts w:ascii="Garamond" w:hAnsi="Garamond" w:cs="Futura"/>
          <w:sz w:val="24"/>
        </w:rPr>
        <w:t xml:space="preserve"> is</w:t>
      </w:r>
      <w:r w:rsidR="002275CD">
        <w:rPr>
          <w:rFonts w:ascii="Garamond" w:hAnsi="Garamond" w:cs="Futura"/>
          <w:sz w:val="24"/>
        </w:rPr>
        <w:t xml:space="preserve"> given effect without being </w:t>
      </w:r>
      <w:r w:rsidR="00585A53">
        <w:rPr>
          <w:rFonts w:ascii="Garamond" w:hAnsi="Garamond" w:cs="Futura"/>
          <w:sz w:val="24"/>
        </w:rPr>
        <w:t xml:space="preserve">scheduled to the 2003 Act or </w:t>
      </w:r>
      <w:r w:rsidR="00DC735A">
        <w:rPr>
          <w:rFonts w:ascii="Garamond" w:hAnsi="Garamond" w:cs="Futura"/>
          <w:sz w:val="24"/>
        </w:rPr>
        <w:t>the 2005 Regulations.</w:t>
      </w:r>
    </w:p>
    <w:p w14:paraId="00BE039C" w14:textId="24E36507" w:rsidR="00A84A9F" w:rsidRDefault="00221573" w:rsidP="006A3073">
      <w:pPr>
        <w:ind w:firstLine="624"/>
        <w:rPr>
          <w:rFonts w:ascii="Garamond" w:hAnsi="Garamond" w:cs="Futura"/>
          <w:sz w:val="24"/>
        </w:rPr>
      </w:pPr>
      <w:r>
        <w:rPr>
          <w:rFonts w:ascii="Garamond" w:hAnsi="Garamond" w:cs="Futura"/>
          <w:sz w:val="24"/>
        </w:rPr>
        <w:t>Overall,</w:t>
      </w:r>
      <w:r w:rsidR="001605D7">
        <w:rPr>
          <w:rFonts w:ascii="Garamond" w:hAnsi="Garamond" w:cs="Futura"/>
          <w:sz w:val="24"/>
        </w:rPr>
        <w:t xml:space="preserve"> </w:t>
      </w:r>
      <w:r w:rsidR="003F3D54">
        <w:rPr>
          <w:rFonts w:ascii="Garamond" w:hAnsi="Garamond" w:cs="Futura"/>
          <w:sz w:val="24"/>
        </w:rPr>
        <w:t>the legislati</w:t>
      </w:r>
      <w:r w:rsidR="00A17807">
        <w:rPr>
          <w:rFonts w:ascii="Garamond" w:hAnsi="Garamond" w:cs="Futura"/>
          <w:sz w:val="24"/>
        </w:rPr>
        <w:t>ve sch</w:t>
      </w:r>
      <w:r w:rsidR="00657BFF">
        <w:rPr>
          <w:rFonts w:ascii="Garamond" w:hAnsi="Garamond" w:cs="Futura"/>
          <w:sz w:val="24"/>
        </w:rPr>
        <w:t>eme</w:t>
      </w:r>
      <w:r w:rsidR="003F3D54">
        <w:rPr>
          <w:rFonts w:ascii="Garamond" w:hAnsi="Garamond" w:cs="Futura"/>
          <w:sz w:val="24"/>
        </w:rPr>
        <w:t xml:space="preserve"> </w:t>
      </w:r>
      <w:r w:rsidR="00046825">
        <w:rPr>
          <w:rFonts w:ascii="Garamond" w:hAnsi="Garamond" w:cs="Futura"/>
          <w:sz w:val="24"/>
        </w:rPr>
        <w:t xml:space="preserve">implementing COTIF </w:t>
      </w:r>
      <w:r w:rsidR="003F3D54">
        <w:rPr>
          <w:rFonts w:ascii="Garamond" w:hAnsi="Garamond" w:cs="Futura"/>
          <w:sz w:val="24"/>
        </w:rPr>
        <w:t>assume</w:t>
      </w:r>
      <w:r w:rsidR="00657BFF">
        <w:rPr>
          <w:rFonts w:ascii="Garamond" w:hAnsi="Garamond" w:cs="Futura"/>
          <w:sz w:val="24"/>
        </w:rPr>
        <w:t>s</w:t>
      </w:r>
      <w:r w:rsidR="003F3D54">
        <w:rPr>
          <w:rFonts w:ascii="Garamond" w:hAnsi="Garamond" w:cs="Futura"/>
          <w:sz w:val="24"/>
        </w:rPr>
        <w:t xml:space="preserve"> that the UK </w:t>
      </w:r>
      <w:r w:rsidR="002275CD">
        <w:rPr>
          <w:rFonts w:ascii="Garamond" w:hAnsi="Garamond" w:cs="Futura"/>
          <w:sz w:val="24"/>
        </w:rPr>
        <w:t>is</w:t>
      </w:r>
      <w:r w:rsidR="00D74BD8">
        <w:rPr>
          <w:rFonts w:ascii="Garamond" w:hAnsi="Garamond" w:cs="Futura"/>
          <w:sz w:val="24"/>
        </w:rPr>
        <w:t xml:space="preserve"> party to COTIF. In </w:t>
      </w:r>
      <w:r w:rsidR="00862F20">
        <w:rPr>
          <w:rFonts w:ascii="Garamond" w:hAnsi="Garamond" w:cs="Futura"/>
          <w:sz w:val="24"/>
        </w:rPr>
        <w:t>addition</w:t>
      </w:r>
      <w:r w:rsidR="00D74BD8">
        <w:rPr>
          <w:rFonts w:ascii="Garamond" w:hAnsi="Garamond" w:cs="Futura"/>
          <w:sz w:val="24"/>
        </w:rPr>
        <w:t>,</w:t>
      </w:r>
      <w:r w:rsidR="001605D7">
        <w:rPr>
          <w:rFonts w:ascii="Garamond" w:hAnsi="Garamond" w:cs="Futura"/>
          <w:sz w:val="24"/>
        </w:rPr>
        <w:t xml:space="preserve"> the treaty is not scheduled. </w:t>
      </w:r>
      <w:r w:rsidR="00A13F95">
        <w:rPr>
          <w:rFonts w:ascii="Garamond" w:hAnsi="Garamond" w:cs="Futura"/>
          <w:sz w:val="24"/>
        </w:rPr>
        <w:t>We may reasonably</w:t>
      </w:r>
      <w:r w:rsidR="00344399">
        <w:rPr>
          <w:rFonts w:ascii="Garamond" w:hAnsi="Garamond" w:cs="Futura"/>
          <w:sz w:val="24"/>
        </w:rPr>
        <w:t xml:space="preserve"> conclude</w:t>
      </w:r>
      <w:r w:rsidR="006E18E2">
        <w:rPr>
          <w:rFonts w:ascii="Garamond" w:hAnsi="Garamond" w:cs="Futura"/>
          <w:sz w:val="24"/>
        </w:rPr>
        <w:t xml:space="preserve"> </w:t>
      </w:r>
      <w:r w:rsidR="00344399">
        <w:rPr>
          <w:rFonts w:ascii="Garamond" w:hAnsi="Garamond" w:cs="Futura"/>
          <w:sz w:val="24"/>
        </w:rPr>
        <w:t>that UK</w:t>
      </w:r>
      <w:r w:rsidR="003F3D54">
        <w:rPr>
          <w:rFonts w:ascii="Garamond" w:hAnsi="Garamond" w:cs="Futura"/>
          <w:sz w:val="24"/>
        </w:rPr>
        <w:t xml:space="preserve"> withdrawal </w:t>
      </w:r>
      <w:r w:rsidR="00344399">
        <w:rPr>
          <w:rFonts w:ascii="Garamond" w:hAnsi="Garamond" w:cs="Futura"/>
          <w:sz w:val="24"/>
        </w:rPr>
        <w:t xml:space="preserve">from COTIF would extinguish </w:t>
      </w:r>
      <w:r w:rsidR="00B31E41">
        <w:rPr>
          <w:rFonts w:ascii="Garamond" w:hAnsi="Garamond" w:cs="Futura"/>
          <w:sz w:val="24"/>
        </w:rPr>
        <w:t>the</w:t>
      </w:r>
      <w:r w:rsidR="003F3D54">
        <w:rPr>
          <w:rFonts w:ascii="Garamond" w:hAnsi="Garamond" w:cs="Futura"/>
          <w:sz w:val="24"/>
        </w:rPr>
        <w:t xml:space="preserve"> treaty-based source domestically</w:t>
      </w:r>
      <w:r w:rsidR="00B31E41">
        <w:rPr>
          <w:rFonts w:ascii="Garamond" w:hAnsi="Garamond" w:cs="Futura"/>
          <w:sz w:val="24"/>
        </w:rPr>
        <w:t xml:space="preserve">; this </w:t>
      </w:r>
      <w:r w:rsidR="00477700">
        <w:rPr>
          <w:rFonts w:ascii="Garamond" w:hAnsi="Garamond" w:cs="Futura"/>
          <w:sz w:val="24"/>
        </w:rPr>
        <w:t>aligns with</w:t>
      </w:r>
      <w:r w:rsidR="00B31E41">
        <w:rPr>
          <w:rFonts w:ascii="Garamond" w:hAnsi="Garamond" w:cs="Futura"/>
          <w:sz w:val="24"/>
        </w:rPr>
        <w:t xml:space="preserve"> the majority’s approach to EU law</w:t>
      </w:r>
      <w:r w:rsidR="00477700">
        <w:rPr>
          <w:rFonts w:ascii="Garamond" w:hAnsi="Garamond" w:cs="Futura"/>
          <w:sz w:val="24"/>
        </w:rPr>
        <w:t>’s extinction</w:t>
      </w:r>
      <w:r w:rsidR="00B31E41">
        <w:rPr>
          <w:rFonts w:ascii="Garamond" w:hAnsi="Garamond" w:cs="Futura"/>
          <w:sz w:val="24"/>
        </w:rPr>
        <w:t xml:space="preserve"> in </w:t>
      </w:r>
      <w:r w:rsidR="00B31E41" w:rsidRPr="00B31E41">
        <w:rPr>
          <w:rFonts w:ascii="Garamond" w:hAnsi="Garamond" w:cs="Futura"/>
          <w:i/>
          <w:sz w:val="24"/>
        </w:rPr>
        <w:t>Miller</w:t>
      </w:r>
      <w:r w:rsidR="003F3D54">
        <w:rPr>
          <w:rFonts w:ascii="Garamond" w:hAnsi="Garamond" w:cs="Futura"/>
          <w:sz w:val="24"/>
        </w:rPr>
        <w:t>.</w:t>
      </w:r>
      <w:r w:rsidR="00344399">
        <w:rPr>
          <w:rFonts w:ascii="Garamond" w:hAnsi="Garamond" w:cs="Futura"/>
          <w:sz w:val="24"/>
        </w:rPr>
        <w:t xml:space="preserve"> </w:t>
      </w:r>
      <w:r w:rsidR="00146A36">
        <w:rPr>
          <w:rFonts w:ascii="Garamond" w:hAnsi="Garamond" w:cs="Futura"/>
          <w:sz w:val="24"/>
        </w:rPr>
        <w:t xml:space="preserve">In </w:t>
      </w:r>
      <w:r w:rsidR="00477700">
        <w:rPr>
          <w:rFonts w:ascii="Garamond" w:hAnsi="Garamond" w:cs="Futura"/>
          <w:sz w:val="24"/>
        </w:rPr>
        <w:t>what follows</w:t>
      </w:r>
      <w:r w:rsidR="00146A36">
        <w:rPr>
          <w:rFonts w:ascii="Garamond" w:hAnsi="Garamond" w:cs="Futura"/>
          <w:sz w:val="24"/>
        </w:rPr>
        <w:t xml:space="preserve">, </w:t>
      </w:r>
      <w:r w:rsidR="00CC27A8">
        <w:rPr>
          <w:rFonts w:ascii="Garamond" w:hAnsi="Garamond" w:cs="Futura"/>
          <w:sz w:val="24"/>
        </w:rPr>
        <w:t xml:space="preserve">COTIF and its implementing legislation </w:t>
      </w:r>
      <w:r w:rsidR="00A13F95">
        <w:rPr>
          <w:rFonts w:ascii="Garamond" w:hAnsi="Garamond" w:cs="Futura"/>
          <w:sz w:val="24"/>
        </w:rPr>
        <w:t xml:space="preserve">will </w:t>
      </w:r>
      <w:r w:rsidR="00BF1AED">
        <w:rPr>
          <w:rFonts w:ascii="Garamond" w:hAnsi="Garamond" w:cs="Futura"/>
          <w:sz w:val="24"/>
        </w:rPr>
        <w:t>serve as</w:t>
      </w:r>
      <w:r w:rsidR="006A6B70">
        <w:rPr>
          <w:rFonts w:ascii="Garamond" w:hAnsi="Garamond" w:cs="Futura"/>
          <w:sz w:val="24"/>
        </w:rPr>
        <w:t xml:space="preserve"> a </w:t>
      </w:r>
      <w:r w:rsidR="00CC27A8">
        <w:rPr>
          <w:rFonts w:ascii="Garamond" w:hAnsi="Garamond" w:cs="Futura"/>
          <w:sz w:val="24"/>
        </w:rPr>
        <w:t xml:space="preserve">case study </w:t>
      </w:r>
      <w:r w:rsidR="008E3889">
        <w:rPr>
          <w:rFonts w:ascii="Garamond" w:hAnsi="Garamond" w:cs="Futura"/>
          <w:sz w:val="24"/>
        </w:rPr>
        <w:t xml:space="preserve">to test the implications of </w:t>
      </w:r>
      <w:r w:rsidR="008E3889" w:rsidRPr="008E3889">
        <w:rPr>
          <w:rFonts w:ascii="Garamond" w:hAnsi="Garamond" w:cs="Futura"/>
          <w:i/>
          <w:sz w:val="24"/>
        </w:rPr>
        <w:t>Miller</w:t>
      </w:r>
      <w:r w:rsidR="00421D81">
        <w:rPr>
          <w:rFonts w:ascii="Garamond" w:hAnsi="Garamond" w:cs="Futura"/>
          <w:sz w:val="24"/>
        </w:rPr>
        <w:t xml:space="preserve">, particularly with regard to </w:t>
      </w:r>
      <w:r w:rsidR="007D6D03">
        <w:rPr>
          <w:rFonts w:ascii="Garamond" w:hAnsi="Garamond" w:cs="Futura"/>
          <w:sz w:val="24"/>
        </w:rPr>
        <w:t xml:space="preserve">the majority’s </w:t>
      </w:r>
      <w:r w:rsidR="003731B2">
        <w:rPr>
          <w:rFonts w:ascii="Garamond" w:hAnsi="Garamond" w:cs="Futura"/>
          <w:sz w:val="24"/>
        </w:rPr>
        <w:t xml:space="preserve">distinctive “source of law” </w:t>
      </w:r>
      <w:r w:rsidR="007D6D03">
        <w:rPr>
          <w:rFonts w:ascii="Garamond" w:hAnsi="Garamond" w:cs="Futura"/>
          <w:sz w:val="24"/>
        </w:rPr>
        <w:t>analysis.</w:t>
      </w:r>
      <w:r w:rsidR="003731B2">
        <w:rPr>
          <w:rFonts w:ascii="Garamond" w:hAnsi="Garamond" w:cs="Futura"/>
          <w:sz w:val="24"/>
        </w:rPr>
        <w:t xml:space="preserve"> </w:t>
      </w:r>
      <w:r w:rsidR="00FE59B5">
        <w:rPr>
          <w:rFonts w:ascii="Garamond" w:hAnsi="Garamond" w:cs="Futura"/>
          <w:sz w:val="24"/>
        </w:rPr>
        <w:t>It is hoped that the case</w:t>
      </w:r>
      <w:r w:rsidR="00421D81">
        <w:rPr>
          <w:rFonts w:ascii="Garamond" w:hAnsi="Garamond" w:cs="Futura"/>
          <w:sz w:val="24"/>
        </w:rPr>
        <w:t xml:space="preserve"> study will be instructive</w:t>
      </w:r>
      <w:r w:rsidR="00FE59B5">
        <w:rPr>
          <w:rFonts w:ascii="Garamond" w:hAnsi="Garamond" w:cs="Futura"/>
          <w:sz w:val="24"/>
        </w:rPr>
        <w:t xml:space="preserve"> since </w:t>
      </w:r>
      <w:r w:rsidR="00421D81">
        <w:rPr>
          <w:rFonts w:ascii="Garamond" w:hAnsi="Garamond" w:cs="Futura"/>
          <w:sz w:val="24"/>
        </w:rPr>
        <w:t>it exhibits</w:t>
      </w:r>
      <w:r w:rsidR="00FE59B5">
        <w:rPr>
          <w:rFonts w:ascii="Garamond" w:hAnsi="Garamond" w:cs="Futura"/>
          <w:sz w:val="24"/>
        </w:rPr>
        <w:t xml:space="preserve"> both </w:t>
      </w:r>
      <w:r w:rsidR="00421D81">
        <w:rPr>
          <w:rFonts w:ascii="Garamond" w:hAnsi="Garamond" w:cs="Futura"/>
          <w:sz w:val="24"/>
        </w:rPr>
        <w:t xml:space="preserve">important </w:t>
      </w:r>
      <w:r w:rsidR="00FE59B5">
        <w:rPr>
          <w:rFonts w:ascii="Garamond" w:hAnsi="Garamond" w:cs="Futura"/>
          <w:sz w:val="24"/>
        </w:rPr>
        <w:t>similarities</w:t>
      </w:r>
      <w:r w:rsidR="00421D81">
        <w:rPr>
          <w:rFonts w:ascii="Garamond" w:hAnsi="Garamond" w:cs="Futura"/>
          <w:sz w:val="24"/>
        </w:rPr>
        <w:t xml:space="preserve"> and also certain </w:t>
      </w:r>
      <w:r w:rsidR="00FE59B5">
        <w:rPr>
          <w:rFonts w:ascii="Garamond" w:hAnsi="Garamond" w:cs="Futura"/>
          <w:sz w:val="24"/>
        </w:rPr>
        <w:t>differences with EU law and the ECA.</w:t>
      </w:r>
    </w:p>
    <w:p w14:paraId="3A5290D8" w14:textId="6B647E47" w:rsidR="006B633B" w:rsidRDefault="006B633B" w:rsidP="00F16FB0">
      <w:pPr>
        <w:contextualSpacing/>
        <w:rPr>
          <w:rFonts w:ascii="Garamond" w:hAnsi="Garamond" w:cs="Futura"/>
          <w:sz w:val="24"/>
        </w:rPr>
      </w:pPr>
    </w:p>
    <w:p w14:paraId="281FF8EF" w14:textId="33A3ECBE" w:rsidR="00954C13" w:rsidRPr="004D710C" w:rsidRDefault="00954C13" w:rsidP="00954C13">
      <w:pPr>
        <w:contextualSpacing/>
        <w:jc w:val="center"/>
        <w:rPr>
          <w:rFonts w:ascii="Garamond" w:hAnsi="Garamond" w:cs="Futura"/>
          <w:b/>
          <w:i/>
          <w:sz w:val="24"/>
        </w:rPr>
      </w:pPr>
      <w:r w:rsidRPr="004D710C">
        <w:rPr>
          <w:rFonts w:ascii="Garamond" w:hAnsi="Garamond" w:cs="Futura"/>
          <w:b/>
          <w:i/>
          <w:sz w:val="24"/>
        </w:rPr>
        <w:t>“Direct”</w:t>
      </w:r>
    </w:p>
    <w:p w14:paraId="6C4681D7" w14:textId="2B92BEA5" w:rsidR="005638DF" w:rsidRDefault="005638DF" w:rsidP="00F16FB0">
      <w:pPr>
        <w:contextualSpacing/>
        <w:rPr>
          <w:rFonts w:ascii="Garamond" w:hAnsi="Garamond" w:cs="Futura"/>
          <w:sz w:val="24"/>
        </w:rPr>
      </w:pPr>
    </w:p>
    <w:p w14:paraId="773751EF" w14:textId="15C00789" w:rsidR="00141661" w:rsidRDefault="00392F1B" w:rsidP="00F16FB0">
      <w:pPr>
        <w:contextualSpacing/>
        <w:rPr>
          <w:rFonts w:ascii="Garamond" w:hAnsi="Garamond" w:cs="Futura"/>
          <w:sz w:val="24"/>
        </w:rPr>
      </w:pPr>
      <w:r>
        <w:rPr>
          <w:rFonts w:ascii="Garamond" w:hAnsi="Garamond" w:cs="Futura"/>
          <w:sz w:val="24"/>
        </w:rPr>
        <w:t xml:space="preserve">Assuming that the </w:t>
      </w:r>
      <w:r w:rsidR="00E754D4">
        <w:rPr>
          <w:rFonts w:ascii="Garamond" w:hAnsi="Garamond" w:cs="Futura"/>
          <w:sz w:val="24"/>
        </w:rPr>
        <w:t xml:space="preserve">threshold </w:t>
      </w:r>
      <w:r w:rsidR="00AB6816">
        <w:rPr>
          <w:rFonts w:ascii="Garamond" w:hAnsi="Garamond" w:cs="Futura"/>
          <w:sz w:val="24"/>
        </w:rPr>
        <w:t>requirement</w:t>
      </w:r>
      <w:r w:rsidR="00E754D4">
        <w:rPr>
          <w:rFonts w:ascii="Garamond" w:hAnsi="Garamond" w:cs="Futura"/>
          <w:sz w:val="24"/>
        </w:rPr>
        <w:t xml:space="preserve"> of source extinction</w:t>
      </w:r>
      <w:r>
        <w:rPr>
          <w:rFonts w:ascii="Garamond" w:hAnsi="Garamond" w:cs="Futura"/>
          <w:sz w:val="24"/>
        </w:rPr>
        <w:t xml:space="preserve"> has been </w:t>
      </w:r>
      <w:r w:rsidR="00A36E32">
        <w:rPr>
          <w:rFonts w:ascii="Garamond" w:hAnsi="Garamond" w:cs="Futura"/>
          <w:sz w:val="24"/>
        </w:rPr>
        <w:t>met</w:t>
      </w:r>
      <w:r>
        <w:rPr>
          <w:rFonts w:ascii="Garamond" w:hAnsi="Garamond" w:cs="Futura"/>
          <w:sz w:val="24"/>
        </w:rPr>
        <w:t xml:space="preserve">, we </w:t>
      </w:r>
      <w:r w:rsidR="004C6808">
        <w:rPr>
          <w:rFonts w:ascii="Garamond" w:hAnsi="Garamond" w:cs="Futura"/>
          <w:sz w:val="24"/>
        </w:rPr>
        <w:t>must</w:t>
      </w:r>
      <w:r>
        <w:rPr>
          <w:rFonts w:ascii="Garamond" w:hAnsi="Garamond" w:cs="Futura"/>
          <w:sz w:val="24"/>
        </w:rPr>
        <w:t xml:space="preserve"> make sense </w:t>
      </w:r>
      <w:r w:rsidR="00BE51EA">
        <w:rPr>
          <w:rFonts w:ascii="Garamond" w:hAnsi="Garamond" w:cs="Futura"/>
          <w:sz w:val="24"/>
        </w:rPr>
        <w:t xml:space="preserve">of </w:t>
      </w:r>
      <w:r w:rsidR="00EE091D">
        <w:rPr>
          <w:rFonts w:ascii="Garamond" w:hAnsi="Garamond" w:cs="Futura"/>
          <w:sz w:val="24"/>
        </w:rPr>
        <w:t>those</w:t>
      </w:r>
      <w:r w:rsidR="00BE51EA">
        <w:rPr>
          <w:rFonts w:ascii="Garamond" w:hAnsi="Garamond" w:cs="Futura"/>
          <w:sz w:val="24"/>
        </w:rPr>
        <w:t xml:space="preserve"> properties of the </w:t>
      </w:r>
      <w:r w:rsidR="004C6808">
        <w:rPr>
          <w:rFonts w:ascii="Garamond" w:hAnsi="Garamond" w:cs="Futura"/>
          <w:sz w:val="24"/>
        </w:rPr>
        <w:t xml:space="preserve">treaty-based </w:t>
      </w:r>
      <w:r w:rsidR="00BE51EA">
        <w:rPr>
          <w:rFonts w:ascii="Garamond" w:hAnsi="Garamond" w:cs="Futura"/>
          <w:sz w:val="24"/>
        </w:rPr>
        <w:t xml:space="preserve">source </w:t>
      </w:r>
      <w:r w:rsidR="00141661">
        <w:rPr>
          <w:rFonts w:ascii="Garamond" w:hAnsi="Garamond" w:cs="Futura"/>
          <w:sz w:val="24"/>
        </w:rPr>
        <w:t xml:space="preserve">to </w:t>
      </w:r>
      <w:r w:rsidR="008C0448">
        <w:rPr>
          <w:rFonts w:ascii="Garamond" w:hAnsi="Garamond" w:cs="Futura"/>
          <w:sz w:val="24"/>
        </w:rPr>
        <w:t>which</w:t>
      </w:r>
      <w:r w:rsidR="00BE51EA">
        <w:rPr>
          <w:rFonts w:ascii="Garamond" w:hAnsi="Garamond" w:cs="Futura"/>
          <w:sz w:val="24"/>
        </w:rPr>
        <w:t xml:space="preserve"> the majority </w:t>
      </w:r>
      <w:r w:rsidR="00217598">
        <w:rPr>
          <w:rFonts w:ascii="Garamond" w:hAnsi="Garamond" w:cs="Futura"/>
          <w:sz w:val="24"/>
        </w:rPr>
        <w:t xml:space="preserve">repeatedly </w:t>
      </w:r>
      <w:r w:rsidR="008C0448">
        <w:rPr>
          <w:rFonts w:ascii="Garamond" w:hAnsi="Garamond" w:cs="Futura"/>
          <w:sz w:val="24"/>
        </w:rPr>
        <w:t>drew attention</w:t>
      </w:r>
      <w:r w:rsidR="00EE091D">
        <w:rPr>
          <w:rFonts w:ascii="Garamond" w:hAnsi="Garamond" w:cs="Futura"/>
          <w:sz w:val="24"/>
        </w:rPr>
        <w:t xml:space="preserve"> </w:t>
      </w:r>
      <w:r w:rsidR="00141661">
        <w:rPr>
          <w:rFonts w:ascii="Garamond" w:hAnsi="Garamond" w:cs="Futura"/>
          <w:sz w:val="24"/>
        </w:rPr>
        <w:t xml:space="preserve">in </w:t>
      </w:r>
      <w:r w:rsidR="00141661" w:rsidRPr="00141661">
        <w:rPr>
          <w:rFonts w:ascii="Garamond" w:hAnsi="Garamond" w:cs="Futura"/>
          <w:i/>
          <w:sz w:val="24"/>
        </w:rPr>
        <w:t>Miller</w:t>
      </w:r>
      <w:r w:rsidR="00EE091D">
        <w:rPr>
          <w:rFonts w:ascii="Garamond" w:hAnsi="Garamond" w:cs="Futura"/>
          <w:sz w:val="24"/>
        </w:rPr>
        <w:t xml:space="preserve"> </w:t>
      </w:r>
      <w:r w:rsidR="00217598">
        <w:rPr>
          <w:rFonts w:ascii="Garamond" w:hAnsi="Garamond" w:cs="Futura"/>
          <w:sz w:val="24"/>
        </w:rPr>
        <w:t xml:space="preserve">– </w:t>
      </w:r>
      <w:r w:rsidR="00957D73">
        <w:rPr>
          <w:rFonts w:ascii="Garamond" w:hAnsi="Garamond" w:cs="Futura"/>
          <w:sz w:val="24"/>
        </w:rPr>
        <w:t>namely,</w:t>
      </w:r>
      <w:r w:rsidR="00217598">
        <w:rPr>
          <w:rFonts w:ascii="Garamond" w:hAnsi="Garamond" w:cs="Futura"/>
          <w:sz w:val="24"/>
        </w:rPr>
        <w:t xml:space="preserve"> </w:t>
      </w:r>
      <w:r w:rsidR="0022446A">
        <w:rPr>
          <w:rFonts w:ascii="Garamond" w:hAnsi="Garamond" w:cs="Futura"/>
          <w:sz w:val="24"/>
        </w:rPr>
        <w:t>with respect to EU law, its</w:t>
      </w:r>
      <w:r w:rsidR="00217598">
        <w:rPr>
          <w:rFonts w:ascii="Garamond" w:hAnsi="Garamond" w:cs="Futura"/>
          <w:sz w:val="24"/>
        </w:rPr>
        <w:t xml:space="preserve"> being </w:t>
      </w:r>
      <w:r w:rsidR="008C0448">
        <w:rPr>
          <w:rFonts w:ascii="Garamond" w:hAnsi="Garamond" w:cs="Futura"/>
          <w:sz w:val="24"/>
        </w:rPr>
        <w:t>“direct”</w:t>
      </w:r>
      <w:r w:rsidR="00217598">
        <w:rPr>
          <w:rFonts w:ascii="Garamond" w:hAnsi="Garamond" w:cs="Futura"/>
          <w:sz w:val="24"/>
        </w:rPr>
        <w:t>, “dynamic”, “independent”, and “overriding”</w:t>
      </w:r>
      <w:r w:rsidR="00141661">
        <w:rPr>
          <w:rFonts w:ascii="Garamond" w:hAnsi="Garamond" w:cs="Futura"/>
          <w:sz w:val="24"/>
        </w:rPr>
        <w:t>.</w:t>
      </w:r>
      <w:r w:rsidR="00957D73">
        <w:rPr>
          <w:rFonts w:ascii="Garamond" w:hAnsi="Garamond" w:cs="Futura"/>
          <w:sz w:val="24"/>
        </w:rPr>
        <w:t xml:space="preserve"> </w:t>
      </w:r>
      <w:r w:rsidR="005F4A79">
        <w:rPr>
          <w:rFonts w:ascii="Garamond" w:hAnsi="Garamond" w:cs="Futura"/>
          <w:sz w:val="24"/>
        </w:rPr>
        <w:t>Each of these properties will be discussed in turn.</w:t>
      </w:r>
    </w:p>
    <w:p w14:paraId="312D841C" w14:textId="38FBDEA7" w:rsidR="003D7343" w:rsidRDefault="00BE51EA" w:rsidP="00141661">
      <w:pPr>
        <w:ind w:firstLine="624"/>
        <w:contextualSpacing/>
        <w:rPr>
          <w:rFonts w:ascii="Garamond" w:hAnsi="Garamond" w:cs="Futura"/>
          <w:sz w:val="24"/>
        </w:rPr>
      </w:pPr>
      <w:r>
        <w:rPr>
          <w:rFonts w:ascii="Garamond" w:hAnsi="Garamond" w:cs="Futura"/>
          <w:sz w:val="24"/>
        </w:rPr>
        <w:t>Regarding</w:t>
      </w:r>
      <w:r w:rsidR="00A47CFA">
        <w:rPr>
          <w:rFonts w:ascii="Garamond" w:hAnsi="Garamond" w:cs="Futura"/>
          <w:sz w:val="24"/>
        </w:rPr>
        <w:t xml:space="preserve"> “direct”, the majority </w:t>
      </w:r>
      <w:r w:rsidR="00EA316C">
        <w:rPr>
          <w:rFonts w:ascii="Garamond" w:hAnsi="Garamond" w:cs="Futura"/>
          <w:sz w:val="24"/>
        </w:rPr>
        <w:t>explain</w:t>
      </w:r>
      <w:r w:rsidR="009E6DC1">
        <w:rPr>
          <w:rFonts w:ascii="Garamond" w:hAnsi="Garamond" w:cs="Futura"/>
          <w:sz w:val="24"/>
        </w:rPr>
        <w:t xml:space="preserve">ed </w:t>
      </w:r>
      <w:r w:rsidR="00A47CFA">
        <w:rPr>
          <w:rFonts w:ascii="Garamond" w:hAnsi="Garamond" w:cs="Futura"/>
          <w:sz w:val="24"/>
        </w:rPr>
        <w:t xml:space="preserve">that EU law is capable of applying domestically “without the </w:t>
      </w:r>
      <w:r w:rsidR="00A47CFA" w:rsidRPr="00B61129">
        <w:rPr>
          <w:rFonts w:ascii="Garamond" w:hAnsi="Garamond" w:cs="Futura"/>
          <w:sz w:val="24"/>
        </w:rPr>
        <w:t>specific</w:t>
      </w:r>
      <w:r w:rsidR="00A47CFA">
        <w:rPr>
          <w:rFonts w:ascii="Garamond" w:hAnsi="Garamond" w:cs="Futura"/>
          <w:sz w:val="24"/>
        </w:rPr>
        <w:t xml:space="preserve"> sanction of any UK institution”</w:t>
      </w:r>
      <w:r w:rsidR="003417CD">
        <w:rPr>
          <w:rFonts w:ascii="Garamond" w:hAnsi="Garamond" w:cs="Futura"/>
          <w:sz w:val="24"/>
        </w:rPr>
        <w:t>.</w:t>
      </w:r>
      <w:r w:rsidR="00A47CFA">
        <w:rPr>
          <w:rStyle w:val="FootnoteReference"/>
          <w:rFonts w:ascii="Garamond" w:hAnsi="Garamond" w:cs="Futura"/>
          <w:sz w:val="24"/>
        </w:rPr>
        <w:footnoteReference w:id="58"/>
      </w:r>
      <w:r w:rsidR="00665C06">
        <w:rPr>
          <w:rFonts w:ascii="Garamond" w:hAnsi="Garamond" w:cs="Futura"/>
          <w:sz w:val="24"/>
        </w:rPr>
        <w:t xml:space="preserve"> </w:t>
      </w:r>
      <w:r w:rsidR="00211DE6">
        <w:rPr>
          <w:rFonts w:ascii="Garamond" w:hAnsi="Garamond" w:cs="Futura"/>
          <w:sz w:val="24"/>
        </w:rPr>
        <w:t>The</w:t>
      </w:r>
      <w:r w:rsidR="00E25738" w:rsidRPr="00E25738">
        <w:rPr>
          <w:rFonts w:ascii="Garamond" w:hAnsi="Garamond" w:cs="Futura"/>
          <w:sz w:val="24"/>
        </w:rPr>
        <w:t xml:space="preserve"> </w:t>
      </w:r>
      <w:r w:rsidR="0002511D">
        <w:rPr>
          <w:rFonts w:ascii="Garamond" w:hAnsi="Garamond" w:cs="Futura"/>
          <w:sz w:val="24"/>
        </w:rPr>
        <w:t>adjective</w:t>
      </w:r>
      <w:r w:rsidR="00E25738" w:rsidRPr="00E25738">
        <w:rPr>
          <w:rFonts w:ascii="Garamond" w:hAnsi="Garamond" w:cs="Futura"/>
          <w:sz w:val="24"/>
        </w:rPr>
        <w:t xml:space="preserve"> “automatic” </w:t>
      </w:r>
      <w:r w:rsidR="00211DE6">
        <w:rPr>
          <w:rFonts w:ascii="Garamond" w:hAnsi="Garamond" w:cs="Futura"/>
          <w:sz w:val="24"/>
        </w:rPr>
        <w:t>is also used</w:t>
      </w:r>
      <w:r w:rsidR="00E25738" w:rsidRPr="00E25738">
        <w:rPr>
          <w:rFonts w:ascii="Garamond" w:hAnsi="Garamond" w:cs="Futura"/>
          <w:sz w:val="24"/>
        </w:rPr>
        <w:t>.</w:t>
      </w:r>
      <w:r w:rsidR="0002511D">
        <w:rPr>
          <w:rStyle w:val="FootnoteReference"/>
          <w:rFonts w:ascii="Garamond" w:hAnsi="Garamond" w:cs="Futura"/>
          <w:sz w:val="24"/>
        </w:rPr>
        <w:footnoteReference w:id="59"/>
      </w:r>
      <w:r w:rsidR="00E25738" w:rsidRPr="00E25738">
        <w:rPr>
          <w:rFonts w:ascii="Garamond" w:hAnsi="Garamond" w:cs="Futura"/>
          <w:sz w:val="24"/>
        </w:rPr>
        <w:t xml:space="preserve"> </w:t>
      </w:r>
      <w:r w:rsidR="00EA316C">
        <w:rPr>
          <w:rFonts w:ascii="Garamond" w:hAnsi="Garamond" w:cs="Futura"/>
          <w:sz w:val="24"/>
        </w:rPr>
        <w:t>At the same time t</w:t>
      </w:r>
      <w:r w:rsidR="00722DE9">
        <w:rPr>
          <w:rFonts w:ascii="Garamond" w:hAnsi="Garamond" w:cs="Futura"/>
          <w:sz w:val="24"/>
        </w:rPr>
        <w:t>he</w:t>
      </w:r>
      <w:r w:rsidR="00E25738" w:rsidRPr="00E25738">
        <w:rPr>
          <w:rFonts w:ascii="Garamond" w:hAnsi="Garamond" w:cs="Futura"/>
          <w:sz w:val="24"/>
        </w:rPr>
        <w:t xml:space="preserve"> majority stress</w:t>
      </w:r>
      <w:r w:rsidR="00EA316C">
        <w:rPr>
          <w:rFonts w:ascii="Garamond" w:hAnsi="Garamond" w:cs="Futura"/>
          <w:sz w:val="24"/>
        </w:rPr>
        <w:t>e</w:t>
      </w:r>
      <w:r w:rsidR="009E6DC1">
        <w:rPr>
          <w:rFonts w:ascii="Garamond" w:hAnsi="Garamond" w:cs="Futura"/>
          <w:sz w:val="24"/>
        </w:rPr>
        <w:t>d</w:t>
      </w:r>
      <w:r w:rsidR="00E25738" w:rsidRPr="00E25738">
        <w:rPr>
          <w:rFonts w:ascii="Garamond" w:hAnsi="Garamond" w:cs="Futura"/>
          <w:sz w:val="24"/>
        </w:rPr>
        <w:t xml:space="preserve"> that EU law only takes effect in the first </w:t>
      </w:r>
      <w:r w:rsidR="00EA316C">
        <w:rPr>
          <w:rFonts w:ascii="Garamond" w:hAnsi="Garamond" w:cs="Futura"/>
          <w:sz w:val="24"/>
        </w:rPr>
        <w:t>instance</w:t>
      </w:r>
      <w:r w:rsidR="00E25738" w:rsidRPr="00E25738">
        <w:rPr>
          <w:rFonts w:ascii="Garamond" w:hAnsi="Garamond" w:cs="Futura"/>
          <w:sz w:val="24"/>
        </w:rPr>
        <w:t xml:space="preserve"> via the more general authorisation under </w:t>
      </w:r>
      <w:r w:rsidR="005403D8">
        <w:rPr>
          <w:rFonts w:ascii="Garamond" w:hAnsi="Garamond" w:cs="Futura"/>
          <w:sz w:val="24"/>
        </w:rPr>
        <w:t xml:space="preserve">s.2(1) of </w:t>
      </w:r>
      <w:r w:rsidR="00E25738" w:rsidRPr="00E25738">
        <w:rPr>
          <w:rFonts w:ascii="Garamond" w:hAnsi="Garamond" w:cs="Futura"/>
          <w:sz w:val="24"/>
        </w:rPr>
        <w:t xml:space="preserve">the </w:t>
      </w:r>
      <w:r w:rsidR="006C1CF4">
        <w:rPr>
          <w:rFonts w:ascii="Garamond" w:hAnsi="Garamond" w:cs="Futura"/>
          <w:sz w:val="24"/>
        </w:rPr>
        <w:t>ECA</w:t>
      </w:r>
      <w:r w:rsidR="00E25738" w:rsidRPr="00E25738">
        <w:rPr>
          <w:rFonts w:ascii="Garamond" w:hAnsi="Garamond" w:cs="Futura"/>
          <w:sz w:val="24"/>
        </w:rPr>
        <w:t>.</w:t>
      </w:r>
      <w:r w:rsidR="00BE07EE">
        <w:rPr>
          <w:rStyle w:val="FootnoteReference"/>
          <w:rFonts w:ascii="Garamond" w:hAnsi="Garamond" w:cs="Futura"/>
          <w:sz w:val="24"/>
        </w:rPr>
        <w:footnoteReference w:id="60"/>
      </w:r>
      <w:r w:rsidR="007E1076">
        <w:rPr>
          <w:rFonts w:ascii="Garamond" w:hAnsi="Garamond" w:cs="Futura"/>
          <w:sz w:val="24"/>
        </w:rPr>
        <w:t xml:space="preserve"> </w:t>
      </w:r>
      <w:r w:rsidR="00392F1B">
        <w:rPr>
          <w:rFonts w:ascii="Garamond" w:hAnsi="Garamond" w:cs="Futura"/>
          <w:sz w:val="24"/>
        </w:rPr>
        <w:t>Although the</w:t>
      </w:r>
      <w:r w:rsidR="001C4944">
        <w:rPr>
          <w:rFonts w:ascii="Garamond" w:hAnsi="Garamond" w:cs="Futura"/>
          <w:sz w:val="24"/>
        </w:rPr>
        <w:t xml:space="preserve"> statements</w:t>
      </w:r>
      <w:r w:rsidR="00B50549">
        <w:rPr>
          <w:rFonts w:ascii="Garamond" w:hAnsi="Garamond" w:cs="Futura"/>
          <w:sz w:val="24"/>
        </w:rPr>
        <w:t xml:space="preserve"> </w:t>
      </w:r>
      <w:r w:rsidR="00B30A8E">
        <w:rPr>
          <w:rFonts w:ascii="Garamond" w:hAnsi="Garamond" w:cs="Futura"/>
          <w:sz w:val="24"/>
        </w:rPr>
        <w:t>may</w:t>
      </w:r>
      <w:r w:rsidR="00B50549">
        <w:rPr>
          <w:rFonts w:ascii="Garamond" w:hAnsi="Garamond" w:cs="Futura"/>
          <w:sz w:val="24"/>
        </w:rPr>
        <w:t xml:space="preserve"> </w:t>
      </w:r>
      <w:r w:rsidR="003E2C88">
        <w:rPr>
          <w:rFonts w:ascii="Garamond" w:hAnsi="Garamond" w:cs="Futura"/>
          <w:sz w:val="24"/>
        </w:rPr>
        <w:t>appear</w:t>
      </w:r>
      <w:r w:rsidR="00B50549">
        <w:rPr>
          <w:rFonts w:ascii="Garamond" w:hAnsi="Garamond" w:cs="Futura"/>
          <w:sz w:val="24"/>
        </w:rPr>
        <w:t xml:space="preserve"> puzzling</w:t>
      </w:r>
      <w:r w:rsidR="00392F1B">
        <w:rPr>
          <w:rFonts w:ascii="Garamond" w:hAnsi="Garamond" w:cs="Futura"/>
          <w:sz w:val="24"/>
        </w:rPr>
        <w:t xml:space="preserve"> </w:t>
      </w:r>
      <w:r w:rsidR="00084F64">
        <w:rPr>
          <w:rFonts w:ascii="Garamond" w:hAnsi="Garamond" w:cs="Futura"/>
          <w:sz w:val="24"/>
        </w:rPr>
        <w:t>t</w:t>
      </w:r>
      <w:r w:rsidR="00D41431">
        <w:rPr>
          <w:rFonts w:ascii="Garamond" w:hAnsi="Garamond" w:cs="Futura"/>
          <w:sz w:val="24"/>
        </w:rPr>
        <w:t xml:space="preserve">he </w:t>
      </w:r>
      <w:r w:rsidR="00B30A8E">
        <w:rPr>
          <w:rFonts w:ascii="Garamond" w:hAnsi="Garamond" w:cs="Futura"/>
          <w:sz w:val="24"/>
        </w:rPr>
        <w:lastRenderedPageBreak/>
        <w:t>general idea</w:t>
      </w:r>
      <w:r w:rsidR="00D41431">
        <w:rPr>
          <w:rFonts w:ascii="Garamond" w:hAnsi="Garamond" w:cs="Futura"/>
          <w:sz w:val="24"/>
        </w:rPr>
        <w:t xml:space="preserve"> </w:t>
      </w:r>
      <w:r w:rsidR="001C4944">
        <w:rPr>
          <w:rFonts w:ascii="Garamond" w:hAnsi="Garamond" w:cs="Futura"/>
          <w:sz w:val="24"/>
        </w:rPr>
        <w:t>is</w:t>
      </w:r>
      <w:r w:rsidR="00D41431">
        <w:rPr>
          <w:rFonts w:ascii="Garamond" w:hAnsi="Garamond" w:cs="Futura"/>
          <w:sz w:val="24"/>
        </w:rPr>
        <w:t xml:space="preserve"> that </w:t>
      </w:r>
      <w:r w:rsidR="005403D8">
        <w:rPr>
          <w:rFonts w:ascii="Garamond" w:hAnsi="Garamond" w:cs="Futura"/>
          <w:sz w:val="24"/>
        </w:rPr>
        <w:t>s.2(1)</w:t>
      </w:r>
      <w:r w:rsidR="00D41431">
        <w:rPr>
          <w:rFonts w:ascii="Garamond" w:hAnsi="Garamond" w:cs="Futura"/>
          <w:sz w:val="24"/>
        </w:rPr>
        <w:t xml:space="preserve"> provides a </w:t>
      </w:r>
      <w:r w:rsidR="00D41431" w:rsidRPr="000E24BB">
        <w:rPr>
          <w:rFonts w:ascii="Garamond" w:hAnsi="Garamond" w:cs="Futura"/>
          <w:sz w:val="24"/>
        </w:rPr>
        <w:t>standing</w:t>
      </w:r>
      <w:r w:rsidR="00BD39F1">
        <w:rPr>
          <w:rFonts w:ascii="Garamond" w:hAnsi="Garamond" w:cs="Futura"/>
          <w:sz w:val="24"/>
        </w:rPr>
        <w:t xml:space="preserve"> </w:t>
      </w:r>
      <w:r w:rsidR="00941628">
        <w:rPr>
          <w:rFonts w:ascii="Garamond" w:hAnsi="Garamond" w:cs="Futura"/>
          <w:sz w:val="24"/>
        </w:rPr>
        <w:t>platform by which EU</w:t>
      </w:r>
      <w:r w:rsidR="007863EB">
        <w:rPr>
          <w:rFonts w:ascii="Garamond" w:hAnsi="Garamond" w:cs="Futura"/>
          <w:sz w:val="24"/>
        </w:rPr>
        <w:t xml:space="preserve"> law takes effect domestically</w:t>
      </w:r>
      <w:r w:rsidR="00453F2D">
        <w:rPr>
          <w:rFonts w:ascii="Garamond" w:hAnsi="Garamond" w:cs="Futura"/>
          <w:sz w:val="24"/>
        </w:rPr>
        <w:t xml:space="preserve">. </w:t>
      </w:r>
      <w:r w:rsidR="000E24BB">
        <w:rPr>
          <w:rFonts w:ascii="Garamond" w:hAnsi="Garamond" w:cs="Futura"/>
          <w:sz w:val="24"/>
        </w:rPr>
        <w:t>In this vein, we should c</w:t>
      </w:r>
      <w:r w:rsidR="003800F9">
        <w:rPr>
          <w:rFonts w:ascii="Garamond" w:hAnsi="Garamond" w:cs="Futura"/>
          <w:sz w:val="24"/>
        </w:rPr>
        <w:t>onsider</w:t>
      </w:r>
      <w:r w:rsidR="00BA3917">
        <w:rPr>
          <w:rFonts w:ascii="Garamond" w:hAnsi="Garamond" w:cs="Futura"/>
          <w:sz w:val="24"/>
        </w:rPr>
        <w:t xml:space="preserve"> s</w:t>
      </w:r>
      <w:r w:rsidR="00E37107">
        <w:rPr>
          <w:rFonts w:ascii="Garamond" w:hAnsi="Garamond" w:cs="Futura"/>
          <w:sz w:val="24"/>
        </w:rPr>
        <w:t xml:space="preserve">.18 </w:t>
      </w:r>
      <w:r w:rsidR="003D7343">
        <w:rPr>
          <w:rFonts w:ascii="Garamond" w:hAnsi="Garamond" w:cs="Futura"/>
          <w:sz w:val="24"/>
        </w:rPr>
        <w:t>of the European Union Act 2011</w:t>
      </w:r>
      <w:r w:rsidR="00613754">
        <w:rPr>
          <w:rFonts w:ascii="Garamond" w:hAnsi="Garamond" w:cs="Futura"/>
          <w:sz w:val="24"/>
        </w:rPr>
        <w:t xml:space="preserve"> which </w:t>
      </w:r>
      <w:r w:rsidR="000E24BB">
        <w:rPr>
          <w:rFonts w:ascii="Garamond" w:hAnsi="Garamond" w:cs="Futura"/>
          <w:sz w:val="24"/>
        </w:rPr>
        <w:t>help</w:t>
      </w:r>
      <w:r w:rsidR="00B30A8E">
        <w:rPr>
          <w:rFonts w:ascii="Garamond" w:hAnsi="Garamond" w:cs="Futura"/>
          <w:sz w:val="24"/>
        </w:rPr>
        <w:t>s</w:t>
      </w:r>
      <w:r w:rsidR="00113BAB">
        <w:rPr>
          <w:rFonts w:ascii="Garamond" w:hAnsi="Garamond" w:cs="Futura"/>
          <w:sz w:val="24"/>
        </w:rPr>
        <w:t xml:space="preserve"> us</w:t>
      </w:r>
      <w:r w:rsidR="00B30A8E">
        <w:rPr>
          <w:rFonts w:ascii="Garamond" w:hAnsi="Garamond" w:cs="Futura"/>
          <w:sz w:val="24"/>
        </w:rPr>
        <w:t xml:space="preserve"> to</w:t>
      </w:r>
      <w:r w:rsidR="00113BAB">
        <w:rPr>
          <w:rFonts w:ascii="Garamond" w:hAnsi="Garamond" w:cs="Futura"/>
          <w:sz w:val="24"/>
        </w:rPr>
        <w:t xml:space="preserve"> grasp </w:t>
      </w:r>
      <w:r w:rsidR="003800F9">
        <w:rPr>
          <w:rFonts w:ascii="Garamond" w:hAnsi="Garamond" w:cs="Futura"/>
          <w:sz w:val="24"/>
        </w:rPr>
        <w:t>the majority’s understanding of “direct”</w:t>
      </w:r>
      <w:r w:rsidR="003D7343">
        <w:rPr>
          <w:rFonts w:ascii="Garamond" w:hAnsi="Garamond" w:cs="Futura"/>
          <w:sz w:val="24"/>
        </w:rPr>
        <w:t>:</w:t>
      </w:r>
    </w:p>
    <w:p w14:paraId="2AA4AB5C" w14:textId="77777777" w:rsidR="003D7343" w:rsidRDefault="003D7343" w:rsidP="00F16FB0">
      <w:pPr>
        <w:contextualSpacing/>
        <w:rPr>
          <w:rFonts w:ascii="Garamond" w:hAnsi="Garamond" w:cs="Futura"/>
          <w:sz w:val="24"/>
        </w:rPr>
      </w:pPr>
    </w:p>
    <w:p w14:paraId="512161E5" w14:textId="428C12FE" w:rsidR="003D7343" w:rsidRPr="00936703" w:rsidRDefault="003D7343" w:rsidP="00F16FB0">
      <w:pPr>
        <w:contextualSpacing/>
        <w:rPr>
          <w:rFonts w:ascii="Garamond" w:hAnsi="Garamond" w:cs="Futura"/>
          <w:sz w:val="20"/>
          <w:szCs w:val="20"/>
        </w:rPr>
      </w:pPr>
      <w:r w:rsidRPr="00936703">
        <w:rPr>
          <w:rFonts w:ascii="Garamond" w:hAnsi="Garamond" w:cs="Futura"/>
          <w:sz w:val="20"/>
          <w:szCs w:val="20"/>
        </w:rPr>
        <w:t>Status of EU law dependent on continuing statutory basis</w:t>
      </w:r>
    </w:p>
    <w:p w14:paraId="2571B86C" w14:textId="77777777" w:rsidR="003D7343" w:rsidRPr="00936703" w:rsidRDefault="003D7343" w:rsidP="00F16FB0">
      <w:pPr>
        <w:contextualSpacing/>
        <w:rPr>
          <w:rFonts w:ascii="Garamond" w:hAnsi="Garamond" w:cs="Futura"/>
          <w:sz w:val="20"/>
          <w:szCs w:val="20"/>
        </w:rPr>
      </w:pPr>
    </w:p>
    <w:p w14:paraId="64532742" w14:textId="2260F637" w:rsidR="003D7343" w:rsidRDefault="00936703" w:rsidP="00F16FB0">
      <w:pPr>
        <w:contextualSpacing/>
        <w:rPr>
          <w:rFonts w:ascii="Garamond" w:hAnsi="Garamond" w:cs="Futura"/>
          <w:sz w:val="24"/>
        </w:rPr>
      </w:pPr>
      <w:r w:rsidRPr="00936703">
        <w:rPr>
          <w:rFonts w:ascii="Garamond" w:hAnsi="Garamond" w:cs="Futura"/>
          <w:sz w:val="20"/>
          <w:szCs w:val="20"/>
        </w:rPr>
        <w:t>Directly applicable or directly effective EU law (that is, the rights, powers, liabilities, obligations, restrictions, remedies and procedures referred to in section 2(1) of the European Communities Act 1972) falls to be recognised and available in law in the United Kingdom only by virtue of that Act or where it is required to be recognised and available in law by virtue of any other Act.</w:t>
      </w:r>
    </w:p>
    <w:p w14:paraId="1654B74C" w14:textId="77777777" w:rsidR="003D7343" w:rsidRDefault="003D7343" w:rsidP="00F16FB0">
      <w:pPr>
        <w:contextualSpacing/>
        <w:rPr>
          <w:rFonts w:ascii="Garamond" w:hAnsi="Garamond" w:cs="Futura"/>
          <w:sz w:val="24"/>
        </w:rPr>
      </w:pPr>
    </w:p>
    <w:p w14:paraId="493A9DE9" w14:textId="233BA9C0" w:rsidR="000B4432" w:rsidRDefault="00591DE0" w:rsidP="00F16FB0">
      <w:pPr>
        <w:contextualSpacing/>
        <w:rPr>
          <w:rFonts w:ascii="Garamond" w:hAnsi="Garamond" w:cs="Futura"/>
          <w:sz w:val="24"/>
        </w:rPr>
      </w:pPr>
      <w:r>
        <w:rPr>
          <w:rFonts w:ascii="Garamond" w:hAnsi="Garamond" w:cs="Futura"/>
          <w:sz w:val="24"/>
        </w:rPr>
        <w:t>In line with this provision, t</w:t>
      </w:r>
      <w:r w:rsidR="00A250D7">
        <w:rPr>
          <w:rFonts w:ascii="Garamond" w:hAnsi="Garamond" w:cs="Futura"/>
          <w:sz w:val="24"/>
        </w:rPr>
        <w:t xml:space="preserve">he </w:t>
      </w:r>
      <w:r w:rsidR="00453F2D">
        <w:rPr>
          <w:rFonts w:ascii="Garamond" w:hAnsi="Garamond" w:cs="Futura"/>
          <w:sz w:val="24"/>
        </w:rPr>
        <w:t xml:space="preserve">majority </w:t>
      </w:r>
      <w:r w:rsidR="00A20C3E">
        <w:rPr>
          <w:rFonts w:ascii="Garamond" w:hAnsi="Garamond" w:cs="Futura"/>
          <w:sz w:val="24"/>
        </w:rPr>
        <w:t>seem</w:t>
      </w:r>
      <w:r w:rsidR="009E6DC1">
        <w:rPr>
          <w:rFonts w:ascii="Garamond" w:hAnsi="Garamond" w:cs="Futura"/>
          <w:sz w:val="24"/>
        </w:rPr>
        <w:t>ed</w:t>
      </w:r>
      <w:r w:rsidR="00A20C3E">
        <w:rPr>
          <w:rFonts w:ascii="Garamond" w:hAnsi="Garamond" w:cs="Futura"/>
          <w:sz w:val="24"/>
        </w:rPr>
        <w:t xml:space="preserve"> to </w:t>
      </w:r>
      <w:r w:rsidR="00DF5818">
        <w:rPr>
          <w:rFonts w:ascii="Garamond" w:hAnsi="Garamond" w:cs="Futura"/>
          <w:sz w:val="24"/>
        </w:rPr>
        <w:t>focus</w:t>
      </w:r>
      <w:r w:rsidR="008A7F1B">
        <w:rPr>
          <w:rFonts w:ascii="Garamond" w:hAnsi="Garamond" w:cs="Futura"/>
          <w:sz w:val="24"/>
        </w:rPr>
        <w:t xml:space="preserve"> on</w:t>
      </w:r>
      <w:r w:rsidR="00453F2D">
        <w:rPr>
          <w:rFonts w:ascii="Garamond" w:hAnsi="Garamond" w:cs="Futura"/>
          <w:sz w:val="24"/>
        </w:rPr>
        <w:t xml:space="preserve"> </w:t>
      </w:r>
      <w:r w:rsidR="00677D44">
        <w:rPr>
          <w:rFonts w:ascii="Garamond" w:hAnsi="Garamond" w:cs="Futura"/>
          <w:sz w:val="24"/>
        </w:rPr>
        <w:t xml:space="preserve">s.2(1) of the </w:t>
      </w:r>
      <w:r w:rsidR="006C1CF4">
        <w:rPr>
          <w:rFonts w:ascii="Garamond" w:hAnsi="Garamond" w:cs="Futura"/>
          <w:sz w:val="24"/>
        </w:rPr>
        <w:t>ECA</w:t>
      </w:r>
      <w:r w:rsidR="00E126B8">
        <w:rPr>
          <w:rFonts w:ascii="Garamond" w:hAnsi="Garamond" w:cs="Futura"/>
          <w:sz w:val="24"/>
        </w:rPr>
        <w:t xml:space="preserve">, the </w:t>
      </w:r>
      <w:r w:rsidR="007F14E6">
        <w:rPr>
          <w:rFonts w:ascii="Garamond" w:hAnsi="Garamond" w:cs="Futura"/>
          <w:sz w:val="24"/>
        </w:rPr>
        <w:t>mechanism</w:t>
      </w:r>
      <w:r w:rsidR="00E126B8">
        <w:rPr>
          <w:rFonts w:ascii="Garamond" w:hAnsi="Garamond" w:cs="Futura"/>
          <w:sz w:val="24"/>
        </w:rPr>
        <w:t xml:space="preserve"> </w:t>
      </w:r>
      <w:r w:rsidR="007F14E6">
        <w:rPr>
          <w:rFonts w:ascii="Garamond" w:hAnsi="Garamond" w:cs="Futura"/>
          <w:sz w:val="24"/>
        </w:rPr>
        <w:t>by</w:t>
      </w:r>
      <w:r w:rsidR="00E126B8">
        <w:rPr>
          <w:rFonts w:ascii="Garamond" w:hAnsi="Garamond" w:cs="Futura"/>
          <w:sz w:val="24"/>
        </w:rPr>
        <w:t xml:space="preserve"> which </w:t>
      </w:r>
      <w:r w:rsidR="00741152">
        <w:rPr>
          <w:rFonts w:ascii="Garamond" w:hAnsi="Garamond" w:cs="Futura"/>
          <w:sz w:val="24"/>
        </w:rPr>
        <w:t>directly effective</w:t>
      </w:r>
      <w:r w:rsidR="00BC4F68">
        <w:rPr>
          <w:rFonts w:ascii="Garamond" w:hAnsi="Garamond" w:cs="Futura"/>
          <w:sz w:val="24"/>
        </w:rPr>
        <w:t xml:space="preserve"> EU law</w:t>
      </w:r>
      <w:r w:rsidR="00D75256">
        <w:rPr>
          <w:rFonts w:ascii="Garamond" w:hAnsi="Garamond" w:cs="Futura"/>
          <w:sz w:val="24"/>
        </w:rPr>
        <w:t xml:space="preserve"> takes effect</w:t>
      </w:r>
      <w:r w:rsidR="00A02984">
        <w:rPr>
          <w:rFonts w:ascii="Garamond" w:hAnsi="Garamond" w:cs="Futura"/>
          <w:sz w:val="24"/>
        </w:rPr>
        <w:t xml:space="preserve">. </w:t>
      </w:r>
      <w:r w:rsidR="00E730D0">
        <w:rPr>
          <w:rFonts w:ascii="Garamond" w:hAnsi="Garamond" w:cs="Futura"/>
          <w:sz w:val="24"/>
        </w:rPr>
        <w:t>The</w:t>
      </w:r>
      <w:r w:rsidR="00D37544">
        <w:rPr>
          <w:rFonts w:ascii="Garamond" w:hAnsi="Garamond" w:cs="Futura"/>
          <w:sz w:val="24"/>
        </w:rPr>
        <w:t xml:space="preserve"> classica</w:t>
      </w:r>
      <w:r w:rsidR="00E730D0">
        <w:rPr>
          <w:rFonts w:ascii="Garamond" w:hAnsi="Garamond" w:cs="Futura"/>
          <w:sz w:val="24"/>
        </w:rPr>
        <w:t>l understanding of the doctrine of direct</w:t>
      </w:r>
      <w:r w:rsidR="00D37544">
        <w:rPr>
          <w:rFonts w:ascii="Garamond" w:hAnsi="Garamond" w:cs="Futura"/>
          <w:sz w:val="24"/>
        </w:rPr>
        <w:t xml:space="preserve"> effect describes the circumstance where </w:t>
      </w:r>
      <w:r w:rsidR="00443FF8">
        <w:rPr>
          <w:rFonts w:ascii="Garamond" w:hAnsi="Garamond" w:cs="Futura"/>
          <w:sz w:val="24"/>
        </w:rPr>
        <w:t xml:space="preserve">an </w:t>
      </w:r>
      <w:r w:rsidR="002442F0">
        <w:rPr>
          <w:rFonts w:ascii="Garamond" w:hAnsi="Garamond" w:cs="Futura"/>
          <w:sz w:val="24"/>
        </w:rPr>
        <w:t xml:space="preserve">EU legal rule confers a </w:t>
      </w:r>
      <w:r w:rsidR="00AF2918">
        <w:rPr>
          <w:rFonts w:ascii="Garamond" w:hAnsi="Garamond" w:cs="Futura"/>
          <w:sz w:val="24"/>
        </w:rPr>
        <w:t>sufficiently clear, precise</w:t>
      </w:r>
      <w:r w:rsidR="001C7673">
        <w:rPr>
          <w:rFonts w:ascii="Garamond" w:hAnsi="Garamond" w:cs="Futura"/>
          <w:sz w:val="24"/>
        </w:rPr>
        <w:t xml:space="preserve"> and unconditional</w:t>
      </w:r>
      <w:r w:rsidR="00AF2918">
        <w:rPr>
          <w:rFonts w:ascii="Garamond" w:hAnsi="Garamond" w:cs="Futura"/>
          <w:sz w:val="24"/>
        </w:rPr>
        <w:t xml:space="preserve"> </w:t>
      </w:r>
      <w:r w:rsidR="002442F0">
        <w:rPr>
          <w:rFonts w:ascii="Garamond" w:hAnsi="Garamond" w:cs="Futura"/>
          <w:sz w:val="24"/>
        </w:rPr>
        <w:t>right on an individual</w:t>
      </w:r>
      <w:r w:rsidR="00A43A1C">
        <w:rPr>
          <w:rFonts w:ascii="Garamond" w:hAnsi="Garamond" w:cs="Futura"/>
          <w:sz w:val="24"/>
        </w:rPr>
        <w:t>,</w:t>
      </w:r>
      <w:r w:rsidR="002442F0">
        <w:rPr>
          <w:rFonts w:ascii="Garamond" w:hAnsi="Garamond" w:cs="Futura"/>
          <w:sz w:val="24"/>
        </w:rPr>
        <w:t xml:space="preserve"> </w:t>
      </w:r>
      <w:r w:rsidR="00AF2918">
        <w:rPr>
          <w:rFonts w:ascii="Garamond" w:hAnsi="Garamond" w:cs="Futura"/>
          <w:sz w:val="24"/>
        </w:rPr>
        <w:t xml:space="preserve">who </w:t>
      </w:r>
      <w:r w:rsidR="00E730D0">
        <w:rPr>
          <w:rFonts w:ascii="Garamond" w:hAnsi="Garamond" w:cs="Futura"/>
          <w:sz w:val="24"/>
        </w:rPr>
        <w:t>may</w:t>
      </w:r>
      <w:r w:rsidR="001559F6">
        <w:rPr>
          <w:rFonts w:ascii="Garamond" w:hAnsi="Garamond" w:cs="Futura"/>
          <w:sz w:val="24"/>
        </w:rPr>
        <w:t xml:space="preserve"> </w:t>
      </w:r>
      <w:r w:rsidR="00EE4D41">
        <w:rPr>
          <w:rFonts w:ascii="Garamond" w:hAnsi="Garamond" w:cs="Futura"/>
          <w:sz w:val="24"/>
        </w:rPr>
        <w:t>directly</w:t>
      </w:r>
      <w:r w:rsidR="00A43A1C">
        <w:rPr>
          <w:rFonts w:ascii="Garamond" w:hAnsi="Garamond" w:cs="Futura"/>
          <w:sz w:val="24"/>
        </w:rPr>
        <w:t xml:space="preserve"> enforce that</w:t>
      </w:r>
      <w:r w:rsidR="00810EE8">
        <w:rPr>
          <w:rFonts w:ascii="Garamond" w:hAnsi="Garamond" w:cs="Futura"/>
          <w:sz w:val="24"/>
        </w:rPr>
        <w:t xml:space="preserve"> </w:t>
      </w:r>
      <w:r w:rsidR="00C2590D">
        <w:rPr>
          <w:rFonts w:ascii="Garamond" w:hAnsi="Garamond" w:cs="Futura"/>
          <w:sz w:val="24"/>
        </w:rPr>
        <w:t xml:space="preserve">EU </w:t>
      </w:r>
      <w:r w:rsidR="00810EE8">
        <w:rPr>
          <w:rFonts w:ascii="Garamond" w:hAnsi="Garamond" w:cs="Futura"/>
          <w:sz w:val="24"/>
        </w:rPr>
        <w:t>right</w:t>
      </w:r>
      <w:r w:rsidR="00F00A99">
        <w:rPr>
          <w:rFonts w:ascii="Garamond" w:hAnsi="Garamond" w:cs="Futura"/>
          <w:sz w:val="24"/>
        </w:rPr>
        <w:t xml:space="preserve"> </w:t>
      </w:r>
      <w:r w:rsidR="00810EE8">
        <w:rPr>
          <w:rFonts w:ascii="Garamond" w:hAnsi="Garamond" w:cs="Futura"/>
          <w:sz w:val="24"/>
        </w:rPr>
        <w:t xml:space="preserve">in </w:t>
      </w:r>
      <w:r w:rsidR="00EE4D41">
        <w:rPr>
          <w:rFonts w:ascii="Garamond" w:hAnsi="Garamond" w:cs="Futura"/>
          <w:sz w:val="24"/>
        </w:rPr>
        <w:t>domestic</w:t>
      </w:r>
      <w:r w:rsidR="00810EE8">
        <w:rPr>
          <w:rFonts w:ascii="Garamond" w:hAnsi="Garamond" w:cs="Futura"/>
          <w:sz w:val="24"/>
        </w:rPr>
        <w:t xml:space="preserve"> proceedings</w:t>
      </w:r>
      <w:r w:rsidR="001559F6">
        <w:rPr>
          <w:rFonts w:ascii="Garamond" w:hAnsi="Garamond" w:cs="Futura"/>
          <w:sz w:val="24"/>
        </w:rPr>
        <w:t xml:space="preserve"> </w:t>
      </w:r>
      <w:r w:rsidR="003A57EE">
        <w:rPr>
          <w:rFonts w:ascii="Garamond" w:hAnsi="Garamond" w:cs="Futura"/>
          <w:sz w:val="24"/>
        </w:rPr>
        <w:t xml:space="preserve">and </w:t>
      </w:r>
      <w:r w:rsidR="00C2590D">
        <w:rPr>
          <w:rFonts w:ascii="Garamond" w:hAnsi="Garamond" w:cs="Futura"/>
          <w:sz w:val="24"/>
        </w:rPr>
        <w:t xml:space="preserve">in the absence of </w:t>
      </w:r>
      <w:r w:rsidR="00F00A99">
        <w:rPr>
          <w:rFonts w:ascii="Garamond" w:hAnsi="Garamond" w:cs="Futura"/>
          <w:sz w:val="24"/>
        </w:rPr>
        <w:t>further</w:t>
      </w:r>
      <w:r w:rsidR="00941628">
        <w:rPr>
          <w:rFonts w:ascii="Garamond" w:hAnsi="Garamond" w:cs="Futura"/>
          <w:sz w:val="24"/>
        </w:rPr>
        <w:t xml:space="preserve"> </w:t>
      </w:r>
      <w:r w:rsidR="004D44D4">
        <w:rPr>
          <w:rFonts w:ascii="Garamond" w:hAnsi="Garamond" w:cs="Futura"/>
          <w:sz w:val="24"/>
        </w:rPr>
        <w:t>domestic implementing</w:t>
      </w:r>
      <w:r w:rsidR="00941628">
        <w:rPr>
          <w:rFonts w:ascii="Garamond" w:hAnsi="Garamond" w:cs="Futura"/>
          <w:sz w:val="24"/>
        </w:rPr>
        <w:t xml:space="preserve"> </w:t>
      </w:r>
      <w:r w:rsidR="00BD50F0">
        <w:rPr>
          <w:rFonts w:ascii="Garamond" w:hAnsi="Garamond" w:cs="Futura"/>
          <w:sz w:val="24"/>
        </w:rPr>
        <w:t>measures</w:t>
      </w:r>
      <w:r w:rsidR="007863EB">
        <w:rPr>
          <w:rFonts w:ascii="Garamond" w:hAnsi="Garamond" w:cs="Futura"/>
          <w:sz w:val="24"/>
        </w:rPr>
        <w:t>.</w:t>
      </w:r>
      <w:r w:rsidR="00677D44">
        <w:rPr>
          <w:rFonts w:ascii="Garamond" w:hAnsi="Garamond" w:cs="Futura"/>
          <w:sz w:val="24"/>
        </w:rPr>
        <w:t xml:space="preserve"> </w:t>
      </w:r>
      <w:r w:rsidR="00A02984">
        <w:rPr>
          <w:rFonts w:ascii="Garamond" w:hAnsi="Garamond" w:cs="Futura"/>
          <w:sz w:val="24"/>
        </w:rPr>
        <w:t>But note that s</w:t>
      </w:r>
      <w:r w:rsidR="00677D44">
        <w:rPr>
          <w:rFonts w:ascii="Garamond" w:hAnsi="Garamond" w:cs="Futura"/>
          <w:sz w:val="24"/>
        </w:rPr>
        <w:t xml:space="preserve">.2(1) </w:t>
      </w:r>
      <w:r w:rsidR="00625511">
        <w:rPr>
          <w:rFonts w:ascii="Garamond" w:hAnsi="Garamond" w:cs="Futura"/>
          <w:sz w:val="24"/>
        </w:rPr>
        <w:t xml:space="preserve">is </w:t>
      </w:r>
      <w:r w:rsidR="00811337">
        <w:rPr>
          <w:rFonts w:ascii="Garamond" w:hAnsi="Garamond" w:cs="Futura"/>
          <w:sz w:val="24"/>
        </w:rPr>
        <w:t xml:space="preserve">not limited to directly effective EU law. For instance, it </w:t>
      </w:r>
      <w:r w:rsidR="00625511">
        <w:rPr>
          <w:rFonts w:ascii="Garamond" w:hAnsi="Garamond" w:cs="Futura"/>
          <w:sz w:val="24"/>
        </w:rPr>
        <w:t xml:space="preserve">also </w:t>
      </w:r>
      <w:r w:rsidR="00C12A72">
        <w:rPr>
          <w:rFonts w:ascii="Garamond" w:hAnsi="Garamond" w:cs="Futura"/>
          <w:sz w:val="24"/>
        </w:rPr>
        <w:t>allows for</w:t>
      </w:r>
      <w:r w:rsidR="00625511">
        <w:rPr>
          <w:rFonts w:ascii="Garamond" w:hAnsi="Garamond" w:cs="Futura"/>
          <w:sz w:val="24"/>
        </w:rPr>
        <w:t xml:space="preserve"> directly applicable EU </w:t>
      </w:r>
      <w:r w:rsidR="006D6C50">
        <w:rPr>
          <w:rFonts w:ascii="Garamond" w:hAnsi="Garamond" w:cs="Futura"/>
          <w:sz w:val="24"/>
        </w:rPr>
        <w:t>acts</w:t>
      </w:r>
      <w:r w:rsidR="00C12A72">
        <w:rPr>
          <w:rFonts w:ascii="Garamond" w:hAnsi="Garamond" w:cs="Futura"/>
          <w:sz w:val="24"/>
        </w:rPr>
        <w:t xml:space="preserve"> to</w:t>
      </w:r>
      <w:r w:rsidR="00625511">
        <w:rPr>
          <w:rFonts w:ascii="Garamond" w:hAnsi="Garamond" w:cs="Futura"/>
          <w:sz w:val="24"/>
        </w:rPr>
        <w:t xml:space="preserve"> </w:t>
      </w:r>
      <w:r w:rsidR="006D6C50">
        <w:rPr>
          <w:rFonts w:ascii="Garamond" w:hAnsi="Garamond" w:cs="Futura"/>
          <w:sz w:val="24"/>
        </w:rPr>
        <w:t xml:space="preserve">take effect </w:t>
      </w:r>
      <w:r w:rsidR="00625511">
        <w:rPr>
          <w:rFonts w:ascii="Garamond" w:hAnsi="Garamond" w:cs="Futura"/>
          <w:sz w:val="24"/>
        </w:rPr>
        <w:t>–</w:t>
      </w:r>
      <w:r w:rsidR="00C12A72">
        <w:rPr>
          <w:rFonts w:ascii="Garamond" w:hAnsi="Garamond" w:cs="Futura"/>
          <w:sz w:val="24"/>
        </w:rPr>
        <w:t xml:space="preserve"> namely, </w:t>
      </w:r>
      <w:r w:rsidR="008D6D05">
        <w:rPr>
          <w:rFonts w:ascii="Garamond" w:hAnsi="Garamond" w:cs="Futura"/>
          <w:sz w:val="24"/>
        </w:rPr>
        <w:t xml:space="preserve">EU </w:t>
      </w:r>
      <w:r w:rsidR="00625511">
        <w:rPr>
          <w:rFonts w:ascii="Garamond" w:hAnsi="Garamond" w:cs="Futura"/>
          <w:sz w:val="24"/>
        </w:rPr>
        <w:t>Regulations</w:t>
      </w:r>
      <w:r w:rsidR="009A22CB">
        <w:rPr>
          <w:rFonts w:ascii="Garamond" w:hAnsi="Garamond" w:cs="Futura"/>
          <w:sz w:val="24"/>
        </w:rPr>
        <w:t>,</w:t>
      </w:r>
      <w:r w:rsidR="006D6C50">
        <w:rPr>
          <w:rFonts w:ascii="Garamond" w:hAnsi="Garamond" w:cs="Futura"/>
          <w:sz w:val="24"/>
        </w:rPr>
        <w:t xml:space="preserve"> each of which “</w:t>
      </w:r>
      <w:r w:rsidR="006D6C50" w:rsidRPr="006D6C50">
        <w:rPr>
          <w:rFonts w:ascii="Garamond" w:hAnsi="Garamond" w:cs="Futura"/>
          <w:sz w:val="24"/>
        </w:rPr>
        <w:t xml:space="preserve">shall be binding in its entirety and directly </w:t>
      </w:r>
      <w:r w:rsidR="006D6C50">
        <w:rPr>
          <w:rFonts w:ascii="Garamond" w:hAnsi="Garamond" w:cs="Futura"/>
          <w:sz w:val="24"/>
        </w:rPr>
        <w:t>applicable in all Member States” (Article 288 TFEU).</w:t>
      </w:r>
      <w:r w:rsidR="00CE2607">
        <w:rPr>
          <w:rFonts w:ascii="Garamond" w:hAnsi="Garamond" w:cs="Futura"/>
          <w:sz w:val="24"/>
        </w:rPr>
        <w:t xml:space="preserve"> Direct applicability and direct effect </w:t>
      </w:r>
      <w:r w:rsidR="00BB017A">
        <w:rPr>
          <w:rFonts w:ascii="Garamond" w:hAnsi="Garamond" w:cs="Futura"/>
          <w:sz w:val="24"/>
        </w:rPr>
        <w:t>can</w:t>
      </w:r>
      <w:r w:rsidR="001830FE">
        <w:rPr>
          <w:rFonts w:ascii="Garamond" w:hAnsi="Garamond" w:cs="Futura"/>
          <w:sz w:val="24"/>
        </w:rPr>
        <w:t xml:space="preserve"> </w:t>
      </w:r>
      <w:r w:rsidR="00791B4F">
        <w:rPr>
          <w:rFonts w:ascii="Garamond" w:hAnsi="Garamond" w:cs="Futura"/>
          <w:sz w:val="24"/>
        </w:rPr>
        <w:t xml:space="preserve">sometimes </w:t>
      </w:r>
      <w:r w:rsidR="00BB017A">
        <w:rPr>
          <w:rFonts w:ascii="Garamond" w:hAnsi="Garamond" w:cs="Futura"/>
          <w:sz w:val="24"/>
        </w:rPr>
        <w:t xml:space="preserve">be </w:t>
      </w:r>
      <w:r w:rsidR="007A781F">
        <w:rPr>
          <w:rFonts w:ascii="Garamond" w:hAnsi="Garamond" w:cs="Futura"/>
          <w:sz w:val="24"/>
        </w:rPr>
        <w:t>mistakenly</w:t>
      </w:r>
      <w:r w:rsidR="009A22CB">
        <w:rPr>
          <w:rFonts w:ascii="Garamond" w:hAnsi="Garamond" w:cs="Futura"/>
          <w:sz w:val="24"/>
        </w:rPr>
        <w:t xml:space="preserve"> </w:t>
      </w:r>
      <w:r w:rsidR="00BB017A">
        <w:rPr>
          <w:rFonts w:ascii="Garamond" w:hAnsi="Garamond" w:cs="Futura"/>
          <w:sz w:val="24"/>
        </w:rPr>
        <w:t>conflated.</w:t>
      </w:r>
      <w:r w:rsidR="00DE3E7E">
        <w:rPr>
          <w:rFonts w:ascii="Garamond" w:hAnsi="Garamond" w:cs="Futura"/>
          <w:sz w:val="24"/>
        </w:rPr>
        <w:t xml:space="preserve"> </w:t>
      </w:r>
      <w:r w:rsidR="00BB017A">
        <w:rPr>
          <w:rFonts w:ascii="Garamond" w:hAnsi="Garamond" w:cs="Futura"/>
          <w:sz w:val="24"/>
        </w:rPr>
        <w:t>For example, an</w:t>
      </w:r>
      <w:r w:rsidR="00DE3E7E">
        <w:rPr>
          <w:rFonts w:ascii="Garamond" w:hAnsi="Garamond" w:cs="Futura"/>
          <w:sz w:val="24"/>
        </w:rPr>
        <w:t xml:space="preserve"> EU Regulation is directly applicable, but if its provisions do not satisfy the conditions of direct effec</w:t>
      </w:r>
      <w:r w:rsidR="00C61793">
        <w:rPr>
          <w:rFonts w:ascii="Garamond" w:hAnsi="Garamond" w:cs="Futura"/>
          <w:sz w:val="24"/>
        </w:rPr>
        <w:t xml:space="preserve">t it is not directly effective </w:t>
      </w:r>
      <w:r w:rsidR="00DE3E7E">
        <w:rPr>
          <w:rFonts w:ascii="Garamond" w:hAnsi="Garamond" w:cs="Futura"/>
          <w:sz w:val="24"/>
        </w:rPr>
        <w:t>and thus cannot be enforced by indi</w:t>
      </w:r>
      <w:r w:rsidR="00C61793">
        <w:rPr>
          <w:rFonts w:ascii="Garamond" w:hAnsi="Garamond" w:cs="Futura"/>
          <w:sz w:val="24"/>
        </w:rPr>
        <w:t>viduals in domestic proceedings</w:t>
      </w:r>
      <w:r w:rsidR="00DE3E7E">
        <w:rPr>
          <w:rFonts w:ascii="Garamond" w:hAnsi="Garamond" w:cs="Futura"/>
          <w:sz w:val="24"/>
        </w:rPr>
        <w:t>.</w:t>
      </w:r>
    </w:p>
    <w:p w14:paraId="269E816A" w14:textId="298AC492" w:rsidR="000461F9" w:rsidRDefault="00FF0F1C" w:rsidP="000B4432">
      <w:pPr>
        <w:ind w:firstLine="624"/>
        <w:contextualSpacing/>
        <w:rPr>
          <w:rFonts w:ascii="Garamond" w:hAnsi="Garamond" w:cs="Futura"/>
          <w:sz w:val="24"/>
        </w:rPr>
      </w:pPr>
      <w:r>
        <w:rPr>
          <w:rFonts w:ascii="Garamond" w:hAnsi="Garamond" w:cs="Futura"/>
          <w:sz w:val="24"/>
        </w:rPr>
        <w:t>The</w:t>
      </w:r>
      <w:r w:rsidR="005A69FB">
        <w:rPr>
          <w:rFonts w:ascii="Garamond" w:hAnsi="Garamond" w:cs="Futura"/>
          <w:sz w:val="24"/>
        </w:rPr>
        <w:t xml:space="preserve"> majority recognise</w:t>
      </w:r>
      <w:r w:rsidR="009E6DC1">
        <w:rPr>
          <w:rFonts w:ascii="Garamond" w:hAnsi="Garamond" w:cs="Futura"/>
          <w:sz w:val="24"/>
        </w:rPr>
        <w:t>d</w:t>
      </w:r>
      <w:r>
        <w:rPr>
          <w:rFonts w:ascii="Garamond" w:hAnsi="Garamond" w:cs="Futura"/>
          <w:sz w:val="24"/>
        </w:rPr>
        <w:t xml:space="preserve"> that</w:t>
      </w:r>
      <w:r w:rsidR="005A69FB">
        <w:rPr>
          <w:rFonts w:ascii="Garamond" w:hAnsi="Garamond" w:cs="Futura"/>
          <w:sz w:val="24"/>
        </w:rPr>
        <w:t xml:space="preserve"> a</w:t>
      </w:r>
      <w:r w:rsidR="00F84870">
        <w:rPr>
          <w:rFonts w:ascii="Garamond" w:hAnsi="Garamond" w:cs="Futura"/>
          <w:sz w:val="24"/>
        </w:rPr>
        <w:t xml:space="preserve"> great deal of</w:t>
      </w:r>
      <w:r w:rsidR="000A6AF1">
        <w:rPr>
          <w:rFonts w:ascii="Garamond" w:hAnsi="Garamond" w:cs="Futura"/>
          <w:sz w:val="24"/>
        </w:rPr>
        <w:t xml:space="preserve"> </w:t>
      </w:r>
      <w:r w:rsidR="000B4432">
        <w:rPr>
          <w:rFonts w:ascii="Garamond" w:hAnsi="Garamond" w:cs="Futura"/>
          <w:sz w:val="24"/>
        </w:rPr>
        <w:t xml:space="preserve">EU law </w:t>
      </w:r>
      <w:r w:rsidR="0083522B">
        <w:rPr>
          <w:rFonts w:ascii="Garamond" w:hAnsi="Garamond" w:cs="Futura"/>
          <w:sz w:val="24"/>
        </w:rPr>
        <w:t>does not take e</w:t>
      </w:r>
      <w:r w:rsidR="005A69FB">
        <w:rPr>
          <w:rFonts w:ascii="Garamond" w:hAnsi="Garamond" w:cs="Futura"/>
          <w:sz w:val="24"/>
        </w:rPr>
        <w:t xml:space="preserve">ffect </w:t>
      </w:r>
      <w:r w:rsidR="00756C13">
        <w:rPr>
          <w:rFonts w:ascii="Garamond" w:hAnsi="Garamond" w:cs="Futura"/>
          <w:sz w:val="24"/>
        </w:rPr>
        <w:t>“</w:t>
      </w:r>
      <w:r w:rsidR="005A69FB">
        <w:rPr>
          <w:rFonts w:ascii="Garamond" w:hAnsi="Garamond" w:cs="Futura"/>
          <w:sz w:val="24"/>
        </w:rPr>
        <w:t>directly</w:t>
      </w:r>
      <w:r w:rsidR="00756C13">
        <w:rPr>
          <w:rFonts w:ascii="Garamond" w:hAnsi="Garamond" w:cs="Futura"/>
          <w:sz w:val="24"/>
        </w:rPr>
        <w:t>”</w:t>
      </w:r>
      <w:r w:rsidR="00C62150">
        <w:rPr>
          <w:rFonts w:ascii="Garamond" w:hAnsi="Garamond" w:cs="Futura"/>
          <w:sz w:val="24"/>
        </w:rPr>
        <w:t xml:space="preserve"> – </w:t>
      </w:r>
      <w:r w:rsidR="005B5441">
        <w:rPr>
          <w:rFonts w:ascii="Garamond" w:hAnsi="Garamond" w:cs="Futura"/>
          <w:sz w:val="24"/>
        </w:rPr>
        <w:t>i.e. is not</w:t>
      </w:r>
      <w:r w:rsidR="00756C13">
        <w:rPr>
          <w:rFonts w:ascii="Garamond" w:hAnsi="Garamond" w:cs="Futura"/>
          <w:sz w:val="24"/>
        </w:rPr>
        <w:t xml:space="preserve"> direct</w:t>
      </w:r>
      <w:r w:rsidR="005B5441">
        <w:rPr>
          <w:rFonts w:ascii="Garamond" w:hAnsi="Garamond" w:cs="Futura"/>
          <w:sz w:val="24"/>
        </w:rPr>
        <w:t>ly</w:t>
      </w:r>
      <w:r w:rsidR="00C62150">
        <w:rPr>
          <w:rFonts w:ascii="Garamond" w:hAnsi="Garamond" w:cs="Futura"/>
          <w:sz w:val="24"/>
        </w:rPr>
        <w:t xml:space="preserve"> effect</w:t>
      </w:r>
      <w:r w:rsidR="005B5441">
        <w:rPr>
          <w:rFonts w:ascii="Garamond" w:hAnsi="Garamond" w:cs="Futura"/>
          <w:sz w:val="24"/>
        </w:rPr>
        <w:t>ive</w:t>
      </w:r>
      <w:r w:rsidR="00C62150">
        <w:rPr>
          <w:rFonts w:ascii="Garamond" w:hAnsi="Garamond" w:cs="Futura"/>
          <w:sz w:val="24"/>
        </w:rPr>
        <w:t xml:space="preserve"> or direct</w:t>
      </w:r>
      <w:r w:rsidR="005B5441">
        <w:rPr>
          <w:rFonts w:ascii="Garamond" w:hAnsi="Garamond" w:cs="Futura"/>
          <w:sz w:val="24"/>
        </w:rPr>
        <w:t>ly applicable</w:t>
      </w:r>
      <w:r w:rsidR="005A69FB">
        <w:rPr>
          <w:rFonts w:ascii="Garamond" w:hAnsi="Garamond" w:cs="Futura"/>
          <w:sz w:val="24"/>
        </w:rPr>
        <w:t>.</w:t>
      </w:r>
      <w:r>
        <w:rPr>
          <w:rStyle w:val="FootnoteReference"/>
          <w:rFonts w:ascii="Garamond" w:hAnsi="Garamond" w:cs="Futura"/>
          <w:sz w:val="24"/>
        </w:rPr>
        <w:footnoteReference w:id="61"/>
      </w:r>
      <w:r w:rsidR="0083522B">
        <w:rPr>
          <w:rFonts w:ascii="Garamond" w:hAnsi="Garamond" w:cs="Futura"/>
          <w:sz w:val="24"/>
        </w:rPr>
        <w:t xml:space="preserve"> </w:t>
      </w:r>
      <w:r w:rsidR="004F53A9">
        <w:rPr>
          <w:rFonts w:ascii="Garamond" w:hAnsi="Garamond" w:cs="Futura"/>
          <w:sz w:val="24"/>
        </w:rPr>
        <w:t xml:space="preserve">Ministers </w:t>
      </w:r>
      <w:r w:rsidR="002D0CCB">
        <w:rPr>
          <w:rFonts w:ascii="Garamond" w:hAnsi="Garamond" w:cs="Futura"/>
          <w:sz w:val="24"/>
        </w:rPr>
        <w:t xml:space="preserve">are instead </w:t>
      </w:r>
      <w:r w:rsidR="00763F06">
        <w:rPr>
          <w:rFonts w:ascii="Garamond" w:hAnsi="Garamond" w:cs="Futura"/>
          <w:sz w:val="24"/>
        </w:rPr>
        <w:t xml:space="preserve">empowered to adopt </w:t>
      </w:r>
      <w:r w:rsidR="001657C8">
        <w:rPr>
          <w:rFonts w:ascii="Garamond" w:hAnsi="Garamond" w:cs="Futura"/>
          <w:sz w:val="24"/>
        </w:rPr>
        <w:t xml:space="preserve">domestic implementing measures under </w:t>
      </w:r>
      <w:r w:rsidR="000A6AF1">
        <w:rPr>
          <w:rFonts w:ascii="Garamond" w:hAnsi="Garamond" w:cs="Futura"/>
          <w:sz w:val="24"/>
        </w:rPr>
        <w:t>s.2(2)</w:t>
      </w:r>
      <w:r w:rsidR="000461F9">
        <w:rPr>
          <w:rFonts w:ascii="Garamond" w:hAnsi="Garamond" w:cs="Futura"/>
          <w:sz w:val="24"/>
        </w:rPr>
        <w:t>:</w:t>
      </w:r>
    </w:p>
    <w:p w14:paraId="0399951C" w14:textId="16747254" w:rsidR="000461F9" w:rsidRPr="00D50F02" w:rsidRDefault="000461F9" w:rsidP="000461F9">
      <w:pPr>
        <w:contextualSpacing/>
        <w:rPr>
          <w:rFonts w:ascii="Garamond" w:hAnsi="Garamond" w:cs="Futura"/>
          <w:sz w:val="20"/>
          <w:szCs w:val="20"/>
        </w:rPr>
      </w:pPr>
    </w:p>
    <w:p w14:paraId="6A7B7664" w14:textId="6C1CF68F" w:rsidR="00730582" w:rsidRDefault="000461F9" w:rsidP="003975A0">
      <w:pPr>
        <w:contextualSpacing/>
        <w:rPr>
          <w:rFonts w:ascii="Garamond" w:hAnsi="Garamond" w:cs="Futura"/>
          <w:sz w:val="20"/>
          <w:szCs w:val="20"/>
        </w:rPr>
      </w:pPr>
      <w:r w:rsidRPr="00D50F02">
        <w:rPr>
          <w:rFonts w:ascii="Garamond" w:hAnsi="Garamond" w:cs="Futura"/>
          <w:sz w:val="20"/>
          <w:szCs w:val="20"/>
        </w:rPr>
        <w:t>(a)</w:t>
      </w:r>
      <w:r w:rsidR="00BD2940">
        <w:rPr>
          <w:rFonts w:ascii="Garamond" w:hAnsi="Garamond" w:cs="Futura"/>
          <w:sz w:val="20"/>
          <w:szCs w:val="20"/>
        </w:rPr>
        <w:t xml:space="preserve"> </w:t>
      </w:r>
      <w:r w:rsidRPr="00D50F02">
        <w:rPr>
          <w:rFonts w:ascii="Garamond" w:hAnsi="Garamond" w:cs="Futura"/>
          <w:sz w:val="20"/>
          <w:szCs w:val="20"/>
        </w:rPr>
        <w:t>for the</w:t>
      </w:r>
      <w:r w:rsidR="003975A0">
        <w:rPr>
          <w:rFonts w:ascii="Garamond" w:hAnsi="Garamond" w:cs="Futura"/>
          <w:sz w:val="20"/>
          <w:szCs w:val="20"/>
        </w:rPr>
        <w:t xml:space="preserve"> purpose of implementing any EU obligation</w:t>
      </w:r>
      <w:r w:rsidRPr="00D50F02">
        <w:rPr>
          <w:rFonts w:ascii="Garamond" w:hAnsi="Garamond" w:cs="Futura"/>
          <w:sz w:val="20"/>
          <w:szCs w:val="20"/>
        </w:rPr>
        <w:t xml:space="preserve"> of the United Kingdom, or enabling any such obligation to be implemented, or of enabling any rights enjoyed or to be enjoyed by the United Kingdom under or by virtue of the Treaties to be exercised; </w:t>
      </w:r>
      <w:r w:rsidR="003975A0">
        <w:rPr>
          <w:rFonts w:ascii="Garamond" w:hAnsi="Garamond" w:cs="Futura"/>
          <w:sz w:val="20"/>
          <w:szCs w:val="20"/>
        </w:rPr>
        <w:t>…</w:t>
      </w:r>
    </w:p>
    <w:p w14:paraId="4D443CC4" w14:textId="4DDBF921" w:rsidR="003975A0" w:rsidRDefault="003975A0" w:rsidP="000461F9">
      <w:pPr>
        <w:contextualSpacing/>
        <w:rPr>
          <w:rFonts w:ascii="Garamond" w:hAnsi="Garamond" w:cs="Futura"/>
          <w:sz w:val="24"/>
        </w:rPr>
      </w:pPr>
    </w:p>
    <w:p w14:paraId="47F7A656" w14:textId="3631F055" w:rsidR="005A308B" w:rsidRDefault="00EF22D2" w:rsidP="000461F9">
      <w:pPr>
        <w:contextualSpacing/>
        <w:rPr>
          <w:rFonts w:ascii="Garamond" w:hAnsi="Garamond" w:cs="Futura"/>
          <w:sz w:val="24"/>
        </w:rPr>
      </w:pPr>
      <w:r>
        <w:rPr>
          <w:rFonts w:ascii="Garamond" w:hAnsi="Garamond" w:cs="Futura"/>
          <w:sz w:val="24"/>
        </w:rPr>
        <w:t>Another example</w:t>
      </w:r>
      <w:r w:rsidR="00212ED8">
        <w:rPr>
          <w:rFonts w:ascii="Garamond" w:hAnsi="Garamond" w:cs="Futura"/>
          <w:sz w:val="24"/>
        </w:rPr>
        <w:t xml:space="preserve"> </w:t>
      </w:r>
      <w:r>
        <w:rPr>
          <w:rFonts w:ascii="Garamond" w:hAnsi="Garamond" w:cs="Futura"/>
          <w:sz w:val="24"/>
        </w:rPr>
        <w:t>is</w:t>
      </w:r>
      <w:r w:rsidR="00446B0E">
        <w:rPr>
          <w:rFonts w:ascii="Garamond" w:hAnsi="Garamond" w:cs="Futura"/>
          <w:sz w:val="24"/>
        </w:rPr>
        <w:t xml:space="preserve"> a</w:t>
      </w:r>
      <w:r w:rsidR="00AB5BAD">
        <w:rPr>
          <w:rFonts w:ascii="Garamond" w:hAnsi="Garamond" w:cs="Futura"/>
          <w:sz w:val="24"/>
        </w:rPr>
        <w:t xml:space="preserve"> </w:t>
      </w:r>
      <w:r w:rsidR="00432987">
        <w:rPr>
          <w:rFonts w:ascii="Garamond" w:hAnsi="Garamond" w:cs="Futura"/>
          <w:sz w:val="24"/>
        </w:rPr>
        <w:t xml:space="preserve">new EU </w:t>
      </w:r>
      <w:r w:rsidR="00432987" w:rsidRPr="00DA3FC7">
        <w:rPr>
          <w:rFonts w:ascii="Garamond" w:hAnsi="Garamond" w:cs="Futura"/>
          <w:i/>
          <w:sz w:val="24"/>
        </w:rPr>
        <w:t>treat</w:t>
      </w:r>
      <w:r w:rsidR="00446B0E">
        <w:rPr>
          <w:rFonts w:ascii="Garamond" w:hAnsi="Garamond" w:cs="Futura"/>
          <w:i/>
          <w:sz w:val="24"/>
        </w:rPr>
        <w:t>y</w:t>
      </w:r>
      <w:r w:rsidR="00AB5BAD">
        <w:rPr>
          <w:rFonts w:ascii="Garamond" w:hAnsi="Garamond" w:cs="Futura"/>
          <w:sz w:val="24"/>
        </w:rPr>
        <w:t xml:space="preserve">. </w:t>
      </w:r>
      <w:r w:rsidR="00446B0E">
        <w:rPr>
          <w:rFonts w:ascii="Garamond" w:hAnsi="Garamond" w:cs="Futura"/>
          <w:sz w:val="24"/>
        </w:rPr>
        <w:t>According to s</w:t>
      </w:r>
      <w:r w:rsidR="00432987">
        <w:rPr>
          <w:rFonts w:ascii="Garamond" w:hAnsi="Garamond" w:cs="Futura"/>
          <w:sz w:val="24"/>
        </w:rPr>
        <w:t xml:space="preserve">.1(3) of the </w:t>
      </w:r>
      <w:r w:rsidR="006C1CF4">
        <w:rPr>
          <w:rFonts w:ascii="Garamond" w:hAnsi="Garamond" w:cs="Futura"/>
          <w:sz w:val="24"/>
        </w:rPr>
        <w:t>ECA</w:t>
      </w:r>
      <w:r w:rsidR="006B3AEF">
        <w:rPr>
          <w:rFonts w:ascii="Garamond" w:hAnsi="Garamond" w:cs="Futura"/>
          <w:sz w:val="24"/>
        </w:rPr>
        <w:t>:</w:t>
      </w:r>
    </w:p>
    <w:p w14:paraId="54979D4C" w14:textId="577A55E2" w:rsidR="006B3AEF" w:rsidRDefault="006B3AEF" w:rsidP="000461F9">
      <w:pPr>
        <w:contextualSpacing/>
        <w:rPr>
          <w:rFonts w:ascii="Garamond" w:hAnsi="Garamond" w:cs="Futura"/>
          <w:sz w:val="24"/>
        </w:rPr>
      </w:pPr>
    </w:p>
    <w:p w14:paraId="0B3DA0D0" w14:textId="4CF658DF" w:rsidR="006B3AEF" w:rsidRPr="006B3AEF" w:rsidRDefault="006B3AEF" w:rsidP="000461F9">
      <w:pPr>
        <w:contextualSpacing/>
        <w:rPr>
          <w:rFonts w:ascii="Garamond" w:hAnsi="Garamond" w:cs="Futura"/>
          <w:sz w:val="20"/>
          <w:szCs w:val="20"/>
        </w:rPr>
      </w:pPr>
      <w:r w:rsidRPr="006B3AEF">
        <w:rPr>
          <w:rFonts w:ascii="Garamond" w:hAnsi="Garamond" w:cs="Futura"/>
          <w:sz w:val="20"/>
          <w:szCs w:val="20"/>
        </w:rPr>
        <w:lastRenderedPageBreak/>
        <w:t xml:space="preserve">If Her Majesty by Order in Council declares that a treaty specified in the Order </w:t>
      </w:r>
      <w:r>
        <w:rPr>
          <w:rFonts w:ascii="Garamond" w:hAnsi="Garamond" w:cs="Futura"/>
          <w:sz w:val="20"/>
          <w:szCs w:val="20"/>
        </w:rPr>
        <w:t>is to be regarded as one of the EU Treaties</w:t>
      </w:r>
      <w:r w:rsidRPr="006B3AEF">
        <w:rPr>
          <w:rFonts w:ascii="Garamond" w:hAnsi="Garamond" w:cs="Futura"/>
          <w:sz w:val="20"/>
          <w:szCs w:val="20"/>
        </w:rPr>
        <w:t xml:space="preserve"> </w:t>
      </w:r>
      <w:r w:rsidR="0001075E">
        <w:rPr>
          <w:rFonts w:ascii="Garamond" w:hAnsi="Garamond" w:cs="Futura"/>
          <w:sz w:val="20"/>
          <w:szCs w:val="20"/>
        </w:rPr>
        <w:t xml:space="preserve">herein defined </w:t>
      </w:r>
      <w:r w:rsidR="003247BA">
        <w:rPr>
          <w:rFonts w:ascii="Garamond" w:hAnsi="Garamond" w:cs="Futura"/>
          <w:sz w:val="20"/>
          <w:szCs w:val="20"/>
        </w:rPr>
        <w:t>[</w:t>
      </w:r>
      <w:r w:rsidR="00313340">
        <w:rPr>
          <w:rFonts w:ascii="Garamond" w:hAnsi="Garamond" w:cs="Futura"/>
          <w:sz w:val="20"/>
          <w:szCs w:val="20"/>
        </w:rPr>
        <w:t>i.e.</w:t>
      </w:r>
      <w:r w:rsidR="003247BA">
        <w:rPr>
          <w:rFonts w:ascii="Garamond" w:hAnsi="Garamond" w:cs="Futura"/>
          <w:sz w:val="20"/>
          <w:szCs w:val="20"/>
        </w:rPr>
        <w:t xml:space="preserve"> </w:t>
      </w:r>
      <w:r w:rsidR="002A62DD">
        <w:rPr>
          <w:rFonts w:ascii="Garamond" w:hAnsi="Garamond" w:cs="Futura"/>
          <w:sz w:val="20"/>
          <w:szCs w:val="20"/>
        </w:rPr>
        <w:t xml:space="preserve">the list of treaties </w:t>
      </w:r>
      <w:r w:rsidR="00313340">
        <w:rPr>
          <w:rFonts w:ascii="Garamond" w:hAnsi="Garamond" w:cs="Futura"/>
          <w:sz w:val="20"/>
          <w:szCs w:val="20"/>
        </w:rPr>
        <w:t xml:space="preserve">set out </w:t>
      </w:r>
      <w:r w:rsidR="002A62DD">
        <w:rPr>
          <w:rFonts w:ascii="Garamond" w:hAnsi="Garamond" w:cs="Futura"/>
          <w:sz w:val="20"/>
          <w:szCs w:val="20"/>
        </w:rPr>
        <w:t xml:space="preserve">in </w:t>
      </w:r>
      <w:r w:rsidR="003247BA">
        <w:rPr>
          <w:rFonts w:ascii="Garamond" w:hAnsi="Garamond" w:cs="Futura"/>
          <w:sz w:val="20"/>
          <w:szCs w:val="20"/>
        </w:rPr>
        <w:t>s.1(2)]</w:t>
      </w:r>
      <w:r w:rsidRPr="006B3AEF">
        <w:rPr>
          <w:rFonts w:ascii="Garamond" w:hAnsi="Garamond" w:cs="Futura"/>
          <w:sz w:val="20"/>
          <w:szCs w:val="20"/>
        </w:rPr>
        <w:t>, the Order shall be conclusive that it is to be so regarded; but a treaty entered into by the United Kingdom</w:t>
      </w:r>
      <w:r w:rsidR="00175AE3">
        <w:rPr>
          <w:rFonts w:ascii="Garamond" w:hAnsi="Garamond" w:cs="Futura"/>
          <w:sz w:val="20"/>
          <w:szCs w:val="20"/>
        </w:rPr>
        <w:t xml:space="preserve"> after the 22nd January 1972 … </w:t>
      </w:r>
      <w:r w:rsidRPr="006B3AEF">
        <w:rPr>
          <w:rFonts w:ascii="Garamond" w:hAnsi="Garamond" w:cs="Futura"/>
          <w:sz w:val="20"/>
          <w:szCs w:val="20"/>
        </w:rPr>
        <w:t>shall not be so regarded unless it is so specified, nor be so specified unless a draft of the Order in Council has been approved by resolution of each House of Parliament.</w:t>
      </w:r>
      <w:r w:rsidR="004A73F1">
        <w:rPr>
          <w:rStyle w:val="FootnoteReference"/>
          <w:rFonts w:ascii="Garamond" w:hAnsi="Garamond" w:cs="Futura"/>
          <w:sz w:val="20"/>
          <w:szCs w:val="20"/>
        </w:rPr>
        <w:footnoteReference w:id="62"/>
      </w:r>
    </w:p>
    <w:p w14:paraId="750706DA" w14:textId="7DDB1043" w:rsidR="005A308B" w:rsidRDefault="005A308B" w:rsidP="000461F9">
      <w:pPr>
        <w:contextualSpacing/>
        <w:rPr>
          <w:rFonts w:ascii="Garamond" w:hAnsi="Garamond" w:cs="Futura"/>
          <w:sz w:val="24"/>
        </w:rPr>
      </w:pPr>
    </w:p>
    <w:p w14:paraId="33F3054B" w14:textId="2C158F9D" w:rsidR="004D4740" w:rsidRDefault="00F83DDE" w:rsidP="000461F9">
      <w:pPr>
        <w:contextualSpacing/>
        <w:rPr>
          <w:rFonts w:ascii="Garamond" w:hAnsi="Garamond" w:cs="Futura"/>
          <w:sz w:val="24"/>
        </w:rPr>
      </w:pPr>
      <w:r>
        <w:rPr>
          <w:rFonts w:ascii="Garamond" w:hAnsi="Garamond" w:cs="Futura"/>
          <w:sz w:val="24"/>
        </w:rPr>
        <w:t>We</w:t>
      </w:r>
      <w:r w:rsidR="002C1769">
        <w:rPr>
          <w:rFonts w:ascii="Garamond" w:hAnsi="Garamond" w:cs="Futura"/>
          <w:sz w:val="24"/>
        </w:rPr>
        <w:t xml:space="preserve"> </w:t>
      </w:r>
      <w:r w:rsidR="005D475B">
        <w:rPr>
          <w:rFonts w:ascii="Garamond" w:hAnsi="Garamond" w:cs="Futura"/>
          <w:sz w:val="24"/>
        </w:rPr>
        <w:t>should</w:t>
      </w:r>
      <w:r w:rsidR="002C1769">
        <w:rPr>
          <w:rFonts w:ascii="Garamond" w:hAnsi="Garamond" w:cs="Futura"/>
          <w:sz w:val="24"/>
        </w:rPr>
        <w:t xml:space="preserve"> </w:t>
      </w:r>
      <w:r w:rsidR="00945BEC">
        <w:rPr>
          <w:rFonts w:ascii="Garamond" w:hAnsi="Garamond" w:cs="Futura"/>
          <w:sz w:val="24"/>
        </w:rPr>
        <w:t>also note</w:t>
      </w:r>
      <w:r w:rsidR="002C1769">
        <w:rPr>
          <w:rFonts w:ascii="Garamond" w:hAnsi="Garamond" w:cs="Futura"/>
          <w:sz w:val="24"/>
        </w:rPr>
        <w:t xml:space="preserve"> various requirements </w:t>
      </w:r>
      <w:r w:rsidR="00212ED8">
        <w:rPr>
          <w:rFonts w:ascii="Garamond" w:hAnsi="Garamond" w:cs="Futura"/>
          <w:sz w:val="24"/>
        </w:rPr>
        <w:t>under the E</w:t>
      </w:r>
      <w:r w:rsidR="001E4D10">
        <w:rPr>
          <w:rFonts w:ascii="Garamond" w:hAnsi="Garamond" w:cs="Futura"/>
          <w:sz w:val="24"/>
        </w:rPr>
        <w:t xml:space="preserve">uropean </w:t>
      </w:r>
      <w:r w:rsidR="00212ED8">
        <w:rPr>
          <w:rFonts w:ascii="Garamond" w:hAnsi="Garamond" w:cs="Futura"/>
          <w:sz w:val="24"/>
        </w:rPr>
        <w:t>U</w:t>
      </w:r>
      <w:r w:rsidR="001E4D10">
        <w:rPr>
          <w:rFonts w:ascii="Garamond" w:hAnsi="Garamond" w:cs="Futura"/>
          <w:sz w:val="24"/>
        </w:rPr>
        <w:t>nion</w:t>
      </w:r>
      <w:r w:rsidR="00212ED8">
        <w:rPr>
          <w:rFonts w:ascii="Garamond" w:hAnsi="Garamond" w:cs="Futura"/>
          <w:sz w:val="24"/>
        </w:rPr>
        <w:t xml:space="preserve"> Act 2011 </w:t>
      </w:r>
      <w:r w:rsidR="00DA3FC7">
        <w:rPr>
          <w:rFonts w:ascii="Garamond" w:hAnsi="Garamond" w:cs="Futura"/>
          <w:sz w:val="24"/>
        </w:rPr>
        <w:t xml:space="preserve">regarding </w:t>
      </w:r>
      <w:r w:rsidR="00043F88">
        <w:rPr>
          <w:rFonts w:ascii="Garamond" w:hAnsi="Garamond" w:cs="Futura"/>
          <w:sz w:val="24"/>
        </w:rPr>
        <w:t xml:space="preserve">the </w:t>
      </w:r>
      <w:r w:rsidR="00DD38BA">
        <w:rPr>
          <w:rFonts w:ascii="Garamond" w:hAnsi="Garamond" w:cs="Futura"/>
          <w:sz w:val="24"/>
        </w:rPr>
        <w:t xml:space="preserve">ratification of new EU treaties, including </w:t>
      </w:r>
      <w:r w:rsidR="00DA3FC7">
        <w:rPr>
          <w:rFonts w:ascii="Garamond" w:hAnsi="Garamond" w:cs="Futura"/>
          <w:sz w:val="24"/>
        </w:rPr>
        <w:t>approval by Act of Parliament</w:t>
      </w:r>
      <w:r w:rsidR="006445FD">
        <w:rPr>
          <w:rFonts w:ascii="Garamond" w:hAnsi="Garamond" w:cs="Futura"/>
          <w:sz w:val="24"/>
        </w:rPr>
        <w:t xml:space="preserve"> </w:t>
      </w:r>
      <w:r w:rsidR="00DD38BA">
        <w:rPr>
          <w:rFonts w:ascii="Garamond" w:hAnsi="Garamond" w:cs="Futura"/>
          <w:sz w:val="24"/>
        </w:rPr>
        <w:t>under s.2</w:t>
      </w:r>
      <w:r w:rsidR="006445FD">
        <w:rPr>
          <w:rFonts w:ascii="Garamond" w:hAnsi="Garamond" w:cs="Futura"/>
          <w:sz w:val="24"/>
        </w:rPr>
        <w:t>(1)(b) of the 2011 Act</w:t>
      </w:r>
      <w:r w:rsidR="001A6818">
        <w:rPr>
          <w:rFonts w:ascii="Garamond" w:hAnsi="Garamond" w:cs="Futura"/>
          <w:sz w:val="24"/>
        </w:rPr>
        <w:t>.</w:t>
      </w:r>
      <w:r w:rsidR="00AA0AFA">
        <w:rPr>
          <w:rFonts w:ascii="Garamond" w:hAnsi="Garamond" w:cs="Futura"/>
          <w:sz w:val="24"/>
        </w:rPr>
        <w:t xml:space="preserve"> </w:t>
      </w:r>
      <w:r>
        <w:rPr>
          <w:rFonts w:ascii="Garamond" w:hAnsi="Garamond" w:cs="Futura"/>
          <w:sz w:val="24"/>
        </w:rPr>
        <w:t xml:space="preserve">These are all obstacles in the way of </w:t>
      </w:r>
      <w:r w:rsidR="001F4004">
        <w:rPr>
          <w:rFonts w:ascii="Garamond" w:hAnsi="Garamond" w:cs="Futura"/>
          <w:sz w:val="24"/>
        </w:rPr>
        <w:t xml:space="preserve">a </w:t>
      </w:r>
      <w:r>
        <w:rPr>
          <w:rFonts w:ascii="Garamond" w:hAnsi="Garamond" w:cs="Futura"/>
          <w:sz w:val="24"/>
        </w:rPr>
        <w:t>new EU treat</w:t>
      </w:r>
      <w:r w:rsidR="001F4004">
        <w:rPr>
          <w:rFonts w:ascii="Garamond" w:hAnsi="Garamond" w:cs="Futura"/>
          <w:sz w:val="24"/>
        </w:rPr>
        <w:t>y</w:t>
      </w:r>
      <w:r>
        <w:rPr>
          <w:rFonts w:ascii="Garamond" w:hAnsi="Garamond" w:cs="Futura"/>
          <w:sz w:val="24"/>
        </w:rPr>
        <w:t xml:space="preserve"> taking effect. </w:t>
      </w:r>
      <w:r w:rsidR="00DA3FC7">
        <w:rPr>
          <w:rFonts w:ascii="Garamond" w:hAnsi="Garamond" w:cs="Futura"/>
          <w:sz w:val="24"/>
        </w:rPr>
        <w:t>Thus, t</w:t>
      </w:r>
      <w:r w:rsidR="00DD3400">
        <w:rPr>
          <w:rFonts w:ascii="Garamond" w:hAnsi="Garamond" w:cs="Futura"/>
          <w:sz w:val="24"/>
        </w:rPr>
        <w:t>he</w:t>
      </w:r>
      <w:r w:rsidR="00223F01">
        <w:rPr>
          <w:rFonts w:ascii="Garamond" w:hAnsi="Garamond" w:cs="Futura"/>
          <w:sz w:val="24"/>
        </w:rPr>
        <w:t xml:space="preserve"> extent to which EU law is a “direct” source</w:t>
      </w:r>
      <w:r w:rsidR="00A6451D">
        <w:rPr>
          <w:rFonts w:ascii="Garamond" w:hAnsi="Garamond" w:cs="Futura"/>
          <w:sz w:val="24"/>
        </w:rPr>
        <w:t xml:space="preserve"> </w:t>
      </w:r>
      <w:r w:rsidR="00DD3400">
        <w:rPr>
          <w:rFonts w:ascii="Garamond" w:hAnsi="Garamond" w:cs="Futura"/>
          <w:sz w:val="24"/>
        </w:rPr>
        <w:t>in the way that the majority mea</w:t>
      </w:r>
      <w:r w:rsidR="00AE4EB9">
        <w:rPr>
          <w:rFonts w:ascii="Garamond" w:hAnsi="Garamond" w:cs="Futura"/>
          <w:sz w:val="24"/>
        </w:rPr>
        <w:t>n</w:t>
      </w:r>
      <w:r w:rsidR="009E6DC1">
        <w:rPr>
          <w:rFonts w:ascii="Garamond" w:hAnsi="Garamond" w:cs="Futura"/>
          <w:sz w:val="24"/>
        </w:rPr>
        <w:t>t</w:t>
      </w:r>
      <w:r w:rsidR="00AE4EB9">
        <w:rPr>
          <w:rFonts w:ascii="Garamond" w:hAnsi="Garamond" w:cs="Futura"/>
          <w:sz w:val="24"/>
        </w:rPr>
        <w:t xml:space="preserve"> – </w:t>
      </w:r>
      <w:r w:rsidR="0046743A">
        <w:rPr>
          <w:rFonts w:ascii="Garamond" w:hAnsi="Garamond" w:cs="Futura"/>
          <w:sz w:val="24"/>
        </w:rPr>
        <w:t xml:space="preserve">i.e. </w:t>
      </w:r>
      <w:r w:rsidR="00AE4EB9">
        <w:rPr>
          <w:rFonts w:ascii="Garamond" w:hAnsi="Garamond" w:cs="Futura"/>
          <w:sz w:val="24"/>
        </w:rPr>
        <w:t>taking</w:t>
      </w:r>
      <w:r w:rsidR="004B0B97">
        <w:rPr>
          <w:rFonts w:ascii="Garamond" w:hAnsi="Garamond" w:cs="Futura"/>
          <w:sz w:val="24"/>
        </w:rPr>
        <w:t xml:space="preserve"> effect </w:t>
      </w:r>
      <w:r w:rsidR="00E650B3">
        <w:rPr>
          <w:rFonts w:ascii="Garamond" w:hAnsi="Garamond" w:cs="Futura"/>
          <w:sz w:val="24"/>
        </w:rPr>
        <w:t xml:space="preserve">directly </w:t>
      </w:r>
      <w:r w:rsidR="00B02BF1">
        <w:rPr>
          <w:rFonts w:ascii="Garamond" w:hAnsi="Garamond" w:cs="Futura"/>
          <w:sz w:val="24"/>
        </w:rPr>
        <w:t>or</w:t>
      </w:r>
      <w:r w:rsidR="00E650B3">
        <w:rPr>
          <w:rFonts w:ascii="Garamond" w:hAnsi="Garamond" w:cs="Futura"/>
          <w:sz w:val="24"/>
        </w:rPr>
        <w:t xml:space="preserve"> automatically </w:t>
      </w:r>
      <w:r w:rsidR="004B0B97">
        <w:rPr>
          <w:rFonts w:ascii="Garamond" w:hAnsi="Garamond" w:cs="Futura"/>
          <w:sz w:val="24"/>
        </w:rPr>
        <w:t>– is</w:t>
      </w:r>
      <w:r w:rsidR="001202CA">
        <w:rPr>
          <w:rFonts w:ascii="Garamond" w:hAnsi="Garamond" w:cs="Futura"/>
          <w:sz w:val="24"/>
        </w:rPr>
        <w:t xml:space="preserve"> </w:t>
      </w:r>
      <w:r w:rsidR="00223F01">
        <w:rPr>
          <w:rFonts w:ascii="Garamond" w:hAnsi="Garamond" w:cs="Futura"/>
          <w:sz w:val="24"/>
        </w:rPr>
        <w:t>contingent</w:t>
      </w:r>
      <w:r w:rsidR="005027DE">
        <w:rPr>
          <w:rFonts w:ascii="Garamond" w:hAnsi="Garamond" w:cs="Futura"/>
          <w:sz w:val="24"/>
        </w:rPr>
        <w:t xml:space="preserve">. </w:t>
      </w:r>
      <w:r w:rsidR="005438B1">
        <w:rPr>
          <w:rFonts w:ascii="Garamond" w:hAnsi="Garamond" w:cs="Futura"/>
          <w:sz w:val="24"/>
        </w:rPr>
        <w:t xml:space="preserve">EU law </w:t>
      </w:r>
      <w:r w:rsidR="00DA2177">
        <w:rPr>
          <w:rFonts w:ascii="Garamond" w:hAnsi="Garamond" w:cs="Futura"/>
          <w:sz w:val="24"/>
        </w:rPr>
        <w:t>is qualifiedly “direct”</w:t>
      </w:r>
      <w:r w:rsidR="00234069">
        <w:rPr>
          <w:rFonts w:ascii="Garamond" w:hAnsi="Garamond" w:cs="Futura"/>
          <w:sz w:val="24"/>
        </w:rPr>
        <w:t>.</w:t>
      </w:r>
    </w:p>
    <w:p w14:paraId="2D618FA4" w14:textId="75D9D69B" w:rsidR="000C5158" w:rsidRDefault="00B53596" w:rsidP="00E17FC6">
      <w:pPr>
        <w:contextualSpacing/>
        <w:rPr>
          <w:rFonts w:ascii="Garamond" w:hAnsi="Garamond" w:cs="Futura"/>
          <w:sz w:val="24"/>
        </w:rPr>
      </w:pPr>
      <w:r>
        <w:rPr>
          <w:rFonts w:ascii="Garamond" w:hAnsi="Garamond" w:cs="Futura"/>
          <w:sz w:val="24"/>
        </w:rPr>
        <w:tab/>
      </w:r>
      <w:r w:rsidR="008A6388">
        <w:rPr>
          <w:rFonts w:ascii="Garamond" w:hAnsi="Garamond" w:cs="Futura"/>
          <w:sz w:val="24"/>
        </w:rPr>
        <w:t>Clarifying this issue</w:t>
      </w:r>
      <w:r w:rsidR="00595482">
        <w:rPr>
          <w:rFonts w:ascii="Garamond" w:hAnsi="Garamond" w:cs="Futura"/>
          <w:sz w:val="24"/>
        </w:rPr>
        <w:t xml:space="preserve"> is important because it is, at</w:t>
      </w:r>
      <w:r w:rsidR="002C509C">
        <w:rPr>
          <w:rFonts w:ascii="Garamond" w:hAnsi="Garamond" w:cs="Futura"/>
          <w:sz w:val="24"/>
        </w:rPr>
        <w:t xml:space="preserve"> times, </w:t>
      </w:r>
      <w:r w:rsidR="00914B20">
        <w:rPr>
          <w:rFonts w:ascii="Garamond" w:hAnsi="Garamond" w:cs="Futura"/>
          <w:sz w:val="24"/>
        </w:rPr>
        <w:t xml:space="preserve">slightly </w:t>
      </w:r>
      <w:r w:rsidR="002C509C">
        <w:rPr>
          <w:rFonts w:ascii="Garamond" w:hAnsi="Garamond" w:cs="Futura"/>
          <w:sz w:val="24"/>
        </w:rPr>
        <w:t xml:space="preserve">obscured in </w:t>
      </w:r>
      <w:r w:rsidR="00734E0B">
        <w:rPr>
          <w:rFonts w:ascii="Garamond" w:hAnsi="Garamond" w:cs="Futura"/>
          <w:sz w:val="24"/>
        </w:rPr>
        <w:t>the</w:t>
      </w:r>
      <w:r w:rsidR="00513F3F">
        <w:rPr>
          <w:rFonts w:ascii="Garamond" w:hAnsi="Garamond" w:cs="Futura"/>
          <w:sz w:val="24"/>
        </w:rPr>
        <w:t xml:space="preserve"> majority’s </w:t>
      </w:r>
      <w:r w:rsidR="00116F09">
        <w:rPr>
          <w:rFonts w:ascii="Garamond" w:hAnsi="Garamond" w:cs="Futura"/>
          <w:sz w:val="24"/>
        </w:rPr>
        <w:t>discussion</w:t>
      </w:r>
      <w:r w:rsidR="002C509C">
        <w:rPr>
          <w:rFonts w:ascii="Garamond" w:hAnsi="Garamond" w:cs="Futura"/>
          <w:sz w:val="24"/>
        </w:rPr>
        <w:t>. This can be seen, for example, in its analysis</w:t>
      </w:r>
      <w:r w:rsidR="00116F09">
        <w:rPr>
          <w:rFonts w:ascii="Garamond" w:hAnsi="Garamond" w:cs="Futura"/>
          <w:sz w:val="24"/>
        </w:rPr>
        <w:t xml:space="preserve"> of</w:t>
      </w:r>
      <w:r w:rsidR="00513F3F">
        <w:rPr>
          <w:rFonts w:ascii="Garamond" w:hAnsi="Garamond" w:cs="Futura"/>
          <w:sz w:val="24"/>
        </w:rPr>
        <w:t xml:space="preserve"> double taxation treaties </w:t>
      </w:r>
      <w:r w:rsidR="00734E0B">
        <w:rPr>
          <w:rFonts w:ascii="Garamond" w:hAnsi="Garamond" w:cs="Futura"/>
          <w:sz w:val="24"/>
        </w:rPr>
        <w:t xml:space="preserve">which </w:t>
      </w:r>
      <w:r w:rsidR="00E6209A">
        <w:rPr>
          <w:rFonts w:ascii="Garamond" w:hAnsi="Garamond" w:cs="Futura"/>
          <w:sz w:val="24"/>
        </w:rPr>
        <w:t xml:space="preserve">now </w:t>
      </w:r>
      <w:r w:rsidR="00734E0B">
        <w:rPr>
          <w:rFonts w:ascii="Garamond" w:hAnsi="Garamond" w:cs="Futura"/>
          <w:sz w:val="24"/>
        </w:rPr>
        <w:t>take effect under</w:t>
      </w:r>
      <w:r w:rsidR="00513F3F">
        <w:rPr>
          <w:rFonts w:ascii="Garamond" w:hAnsi="Garamond" w:cs="Futura"/>
          <w:sz w:val="24"/>
        </w:rPr>
        <w:t xml:space="preserve"> </w:t>
      </w:r>
      <w:r w:rsidR="003E065C">
        <w:rPr>
          <w:rFonts w:ascii="Garamond" w:hAnsi="Garamond" w:cs="Futura"/>
          <w:sz w:val="24"/>
        </w:rPr>
        <w:t xml:space="preserve">the </w:t>
      </w:r>
      <w:r w:rsidR="003E065C" w:rsidRPr="00E06201">
        <w:rPr>
          <w:rFonts w:ascii="Garamond" w:hAnsi="Garamond" w:cs="Futura"/>
          <w:sz w:val="24"/>
        </w:rPr>
        <w:t>Taxation (International and Other Provisions) Act 2010</w:t>
      </w:r>
      <w:r w:rsidR="003E065C">
        <w:rPr>
          <w:rFonts w:ascii="Garamond" w:hAnsi="Garamond" w:cs="Futura"/>
          <w:sz w:val="24"/>
        </w:rPr>
        <w:t>.</w:t>
      </w:r>
      <w:r w:rsidR="00D53316">
        <w:rPr>
          <w:rFonts w:ascii="Garamond" w:hAnsi="Garamond" w:cs="Futura"/>
          <w:sz w:val="24"/>
        </w:rPr>
        <w:t xml:space="preserve"> </w:t>
      </w:r>
      <w:r w:rsidR="00E17FC6">
        <w:rPr>
          <w:rFonts w:ascii="Garamond" w:hAnsi="Garamond" w:cs="Futura"/>
          <w:sz w:val="24"/>
        </w:rPr>
        <w:t xml:space="preserve">The majority </w:t>
      </w:r>
      <w:r w:rsidR="00E67050">
        <w:rPr>
          <w:rFonts w:ascii="Garamond" w:hAnsi="Garamond" w:cs="Futura"/>
          <w:sz w:val="24"/>
        </w:rPr>
        <w:t>indicated</w:t>
      </w:r>
      <w:r w:rsidR="0030783B">
        <w:rPr>
          <w:rFonts w:ascii="Garamond" w:hAnsi="Garamond" w:cs="Futura"/>
          <w:sz w:val="24"/>
        </w:rPr>
        <w:t xml:space="preserve"> that this</w:t>
      </w:r>
      <w:r w:rsidR="00E17FC6">
        <w:rPr>
          <w:rFonts w:ascii="Garamond" w:hAnsi="Garamond" w:cs="Futura"/>
          <w:sz w:val="24"/>
        </w:rPr>
        <w:t xml:space="preserve"> legislation did not treat rights established under double taxation treaties as a “direct” (or “automatic”): “</w:t>
      </w:r>
      <w:r w:rsidR="00E17FC6" w:rsidRPr="00E06201">
        <w:rPr>
          <w:rFonts w:ascii="Garamond" w:hAnsi="Garamond" w:cs="Futura"/>
          <w:sz w:val="24"/>
        </w:rPr>
        <w:t xml:space="preserve">unlike EU law which becomes part of UK law automatically as a result of the 1972 Act, the arrangements under a </w:t>
      </w:r>
      <w:r w:rsidR="00E17FC6">
        <w:rPr>
          <w:rFonts w:ascii="Garamond" w:hAnsi="Garamond" w:cs="Futura"/>
          <w:sz w:val="24"/>
        </w:rPr>
        <w:t>[double taxation treaty]</w:t>
      </w:r>
      <w:r w:rsidR="00E17FC6" w:rsidRPr="00E06201">
        <w:rPr>
          <w:rFonts w:ascii="Garamond" w:hAnsi="Garamond" w:cs="Futura"/>
          <w:sz w:val="24"/>
        </w:rPr>
        <w:t xml:space="preserve"> do not take effect automatically as a result of </w:t>
      </w:r>
      <w:r w:rsidR="00E17FC6">
        <w:rPr>
          <w:rFonts w:ascii="Garamond" w:hAnsi="Garamond" w:cs="Futura"/>
          <w:sz w:val="24"/>
        </w:rPr>
        <w:t>…</w:t>
      </w:r>
      <w:r w:rsidR="00E17FC6" w:rsidRPr="00E06201">
        <w:rPr>
          <w:rFonts w:ascii="Garamond" w:hAnsi="Garamond" w:cs="Futura"/>
          <w:sz w:val="24"/>
        </w:rPr>
        <w:t xml:space="preserve"> </w:t>
      </w:r>
      <w:r w:rsidR="00E17FC6">
        <w:rPr>
          <w:rFonts w:ascii="Garamond" w:hAnsi="Garamond" w:cs="Futura"/>
          <w:sz w:val="24"/>
        </w:rPr>
        <w:t>[the 2010 Act]</w:t>
      </w:r>
      <w:r w:rsidR="00E17FC6" w:rsidRPr="00E06201">
        <w:rPr>
          <w:rFonts w:ascii="Garamond" w:hAnsi="Garamond" w:cs="Futura"/>
          <w:sz w:val="24"/>
        </w:rPr>
        <w:t>, but only through a specific Order in Council which has to be approved</w:t>
      </w:r>
      <w:r w:rsidR="00E17FC6">
        <w:rPr>
          <w:rFonts w:ascii="Garamond" w:hAnsi="Garamond" w:cs="Futura"/>
          <w:sz w:val="24"/>
        </w:rPr>
        <w:t>” by the House of Commons.</w:t>
      </w:r>
      <w:r w:rsidR="00E17FC6">
        <w:rPr>
          <w:rStyle w:val="FootnoteReference"/>
          <w:rFonts w:ascii="Garamond" w:hAnsi="Garamond" w:cs="Futura"/>
          <w:sz w:val="24"/>
        </w:rPr>
        <w:footnoteReference w:id="63"/>
      </w:r>
      <w:r w:rsidR="009318EB">
        <w:rPr>
          <w:rFonts w:ascii="Garamond" w:hAnsi="Garamond" w:cs="Futura"/>
          <w:sz w:val="24"/>
        </w:rPr>
        <w:t xml:space="preserve"> </w:t>
      </w:r>
      <w:r w:rsidR="008A6388">
        <w:rPr>
          <w:rFonts w:ascii="Garamond" w:hAnsi="Garamond" w:cs="Futura"/>
          <w:sz w:val="24"/>
        </w:rPr>
        <w:t>The difficulty</w:t>
      </w:r>
      <w:r w:rsidR="00A331DD">
        <w:rPr>
          <w:rFonts w:ascii="Garamond" w:hAnsi="Garamond" w:cs="Futura"/>
          <w:sz w:val="24"/>
        </w:rPr>
        <w:t>, as we have seen,</w:t>
      </w:r>
      <w:r w:rsidR="000C5158">
        <w:rPr>
          <w:rFonts w:ascii="Garamond" w:hAnsi="Garamond" w:cs="Futura"/>
          <w:sz w:val="24"/>
        </w:rPr>
        <w:t xml:space="preserve"> </w:t>
      </w:r>
      <w:r w:rsidR="008A6388">
        <w:rPr>
          <w:rFonts w:ascii="Garamond" w:hAnsi="Garamond" w:cs="Futura"/>
          <w:sz w:val="24"/>
        </w:rPr>
        <w:t xml:space="preserve">is that </w:t>
      </w:r>
      <w:r w:rsidR="00C26F98">
        <w:rPr>
          <w:rFonts w:ascii="Garamond" w:hAnsi="Garamond" w:cs="Futura"/>
          <w:sz w:val="24"/>
        </w:rPr>
        <w:t xml:space="preserve">various EU legislative acts, and new EU treaties, </w:t>
      </w:r>
      <w:r w:rsidR="00ED7508">
        <w:rPr>
          <w:rFonts w:ascii="Garamond" w:hAnsi="Garamond" w:cs="Futura"/>
          <w:sz w:val="24"/>
        </w:rPr>
        <w:t xml:space="preserve">will </w:t>
      </w:r>
      <w:r w:rsidR="00C26F98">
        <w:rPr>
          <w:rFonts w:ascii="Garamond" w:hAnsi="Garamond" w:cs="Futura"/>
          <w:sz w:val="24"/>
        </w:rPr>
        <w:t xml:space="preserve">also take effect </w:t>
      </w:r>
      <w:r w:rsidR="00ED7508">
        <w:rPr>
          <w:rFonts w:ascii="Garamond" w:hAnsi="Garamond" w:cs="Futura"/>
          <w:sz w:val="24"/>
        </w:rPr>
        <w:t xml:space="preserve">domestically </w:t>
      </w:r>
      <w:r w:rsidR="00C26F98">
        <w:rPr>
          <w:rFonts w:ascii="Garamond" w:hAnsi="Garamond" w:cs="Futura"/>
          <w:sz w:val="24"/>
        </w:rPr>
        <w:t xml:space="preserve">only if </w:t>
      </w:r>
      <w:r w:rsidR="00ED7508">
        <w:rPr>
          <w:rFonts w:ascii="Garamond" w:hAnsi="Garamond" w:cs="Futura"/>
          <w:sz w:val="24"/>
        </w:rPr>
        <w:t>there are specific domestic implementing (or ratifying) measures.</w:t>
      </w:r>
    </w:p>
    <w:p w14:paraId="110CD75F" w14:textId="4A5695D8" w:rsidR="00823C59" w:rsidRDefault="008A6388" w:rsidP="00142D8D">
      <w:pPr>
        <w:ind w:firstLine="624"/>
        <w:contextualSpacing/>
        <w:rPr>
          <w:rFonts w:ascii="Garamond" w:hAnsi="Garamond" w:cs="Futura"/>
          <w:sz w:val="24"/>
        </w:rPr>
      </w:pPr>
      <w:r>
        <w:rPr>
          <w:rFonts w:ascii="Garamond" w:hAnsi="Garamond" w:cs="Futura"/>
          <w:sz w:val="24"/>
        </w:rPr>
        <w:t>Given, then,</w:t>
      </w:r>
      <w:r w:rsidR="00595482">
        <w:rPr>
          <w:rFonts w:ascii="Garamond" w:hAnsi="Garamond" w:cs="Futura"/>
          <w:sz w:val="24"/>
        </w:rPr>
        <w:t xml:space="preserve"> that EU law itself is only qualifiedly “direct”, we </w:t>
      </w:r>
      <w:r>
        <w:rPr>
          <w:rFonts w:ascii="Garamond" w:hAnsi="Garamond" w:cs="Futura"/>
          <w:sz w:val="24"/>
        </w:rPr>
        <w:t>should</w:t>
      </w:r>
      <w:r w:rsidR="00595482">
        <w:rPr>
          <w:rFonts w:ascii="Garamond" w:hAnsi="Garamond" w:cs="Futura"/>
          <w:sz w:val="24"/>
        </w:rPr>
        <w:t xml:space="preserve"> ask how “direct” another source </w:t>
      </w:r>
      <w:r>
        <w:rPr>
          <w:rFonts w:ascii="Garamond" w:hAnsi="Garamond" w:cs="Futura"/>
          <w:sz w:val="24"/>
        </w:rPr>
        <w:t>must</w:t>
      </w:r>
      <w:r w:rsidR="00595482">
        <w:rPr>
          <w:rFonts w:ascii="Garamond" w:hAnsi="Garamond" w:cs="Futura"/>
          <w:sz w:val="24"/>
        </w:rPr>
        <w:t xml:space="preserve"> be to satisfy </w:t>
      </w:r>
      <w:r w:rsidR="00DD4F73">
        <w:rPr>
          <w:rFonts w:ascii="Garamond" w:hAnsi="Garamond" w:cs="Futura"/>
          <w:sz w:val="24"/>
        </w:rPr>
        <w:t xml:space="preserve">this </w:t>
      </w:r>
      <w:r w:rsidR="00595482">
        <w:rPr>
          <w:rFonts w:ascii="Garamond" w:hAnsi="Garamond" w:cs="Futura"/>
          <w:sz w:val="24"/>
        </w:rPr>
        <w:t xml:space="preserve">property in </w:t>
      </w:r>
      <w:r w:rsidR="00595482" w:rsidRPr="000F0402">
        <w:rPr>
          <w:rFonts w:ascii="Garamond" w:hAnsi="Garamond" w:cs="Futura"/>
          <w:i/>
          <w:sz w:val="24"/>
        </w:rPr>
        <w:t>Miller</w:t>
      </w:r>
      <w:r w:rsidR="00595482">
        <w:rPr>
          <w:rFonts w:ascii="Garamond" w:hAnsi="Garamond" w:cs="Futura"/>
          <w:sz w:val="24"/>
        </w:rPr>
        <w:t xml:space="preserve">. </w:t>
      </w:r>
      <w:r w:rsidR="00B616C3">
        <w:rPr>
          <w:rFonts w:ascii="Garamond" w:hAnsi="Garamond" w:cs="Futura"/>
          <w:sz w:val="24"/>
        </w:rPr>
        <w:t>The aim is to</w:t>
      </w:r>
      <w:r w:rsidR="000C5158">
        <w:rPr>
          <w:rFonts w:ascii="Garamond" w:hAnsi="Garamond" w:cs="Futura"/>
          <w:sz w:val="24"/>
        </w:rPr>
        <w:t xml:space="preserve"> delineate</w:t>
      </w:r>
      <w:r w:rsidR="00E17FC6">
        <w:rPr>
          <w:rFonts w:ascii="Garamond" w:hAnsi="Garamond" w:cs="Futura"/>
          <w:sz w:val="24"/>
        </w:rPr>
        <w:t xml:space="preserve"> those treaty-based sources which take effect </w:t>
      </w:r>
      <w:r w:rsidR="00B66E12">
        <w:rPr>
          <w:rFonts w:ascii="Garamond" w:hAnsi="Garamond" w:cs="Futura"/>
          <w:sz w:val="24"/>
        </w:rPr>
        <w:t>“</w:t>
      </w:r>
      <w:r w:rsidR="00E17FC6">
        <w:rPr>
          <w:rFonts w:ascii="Garamond" w:hAnsi="Garamond" w:cs="Futura"/>
          <w:sz w:val="24"/>
        </w:rPr>
        <w:t>directly</w:t>
      </w:r>
      <w:r w:rsidR="00B66E12">
        <w:rPr>
          <w:rFonts w:ascii="Garamond" w:hAnsi="Garamond" w:cs="Futura"/>
          <w:sz w:val="24"/>
        </w:rPr>
        <w:t>”</w:t>
      </w:r>
      <w:r w:rsidR="00227D90">
        <w:rPr>
          <w:rFonts w:ascii="Garamond" w:hAnsi="Garamond" w:cs="Futura"/>
          <w:sz w:val="24"/>
        </w:rPr>
        <w:t xml:space="preserve"> </w:t>
      </w:r>
      <w:r w:rsidR="00B616C3">
        <w:rPr>
          <w:rFonts w:ascii="Garamond" w:hAnsi="Garamond" w:cs="Futura"/>
          <w:sz w:val="24"/>
        </w:rPr>
        <w:t xml:space="preserve">(for </w:t>
      </w:r>
      <w:r w:rsidR="00B616C3" w:rsidRPr="00B616C3">
        <w:rPr>
          <w:rFonts w:ascii="Garamond" w:hAnsi="Garamond" w:cs="Futura"/>
          <w:i/>
          <w:sz w:val="24"/>
        </w:rPr>
        <w:t>Miller</w:t>
      </w:r>
      <w:r w:rsidR="00B616C3">
        <w:rPr>
          <w:rFonts w:ascii="Garamond" w:hAnsi="Garamond" w:cs="Futura"/>
          <w:sz w:val="24"/>
        </w:rPr>
        <w:t xml:space="preserve"> purposes) </w:t>
      </w:r>
      <w:r w:rsidR="00227D90">
        <w:rPr>
          <w:rFonts w:ascii="Garamond" w:hAnsi="Garamond" w:cs="Futura"/>
          <w:sz w:val="24"/>
        </w:rPr>
        <w:t xml:space="preserve">under </w:t>
      </w:r>
      <w:r w:rsidR="00914B20">
        <w:rPr>
          <w:rFonts w:ascii="Garamond" w:hAnsi="Garamond" w:cs="Futura"/>
          <w:sz w:val="24"/>
        </w:rPr>
        <w:t>their domestic</w:t>
      </w:r>
      <w:r w:rsidR="00E17FC6">
        <w:rPr>
          <w:rFonts w:ascii="Garamond" w:hAnsi="Garamond" w:cs="Futura"/>
          <w:sz w:val="24"/>
        </w:rPr>
        <w:t xml:space="preserve"> </w:t>
      </w:r>
      <w:r w:rsidR="00914B20">
        <w:rPr>
          <w:rFonts w:ascii="Garamond" w:hAnsi="Garamond" w:cs="Futura"/>
          <w:sz w:val="24"/>
        </w:rPr>
        <w:t>legislative</w:t>
      </w:r>
      <w:r w:rsidR="00E17FC6">
        <w:rPr>
          <w:rFonts w:ascii="Garamond" w:hAnsi="Garamond" w:cs="Futura"/>
          <w:sz w:val="24"/>
        </w:rPr>
        <w:t xml:space="preserve"> </w:t>
      </w:r>
      <w:r w:rsidR="00227D90">
        <w:rPr>
          <w:rFonts w:ascii="Garamond" w:hAnsi="Garamond" w:cs="Futura"/>
          <w:sz w:val="24"/>
        </w:rPr>
        <w:t>scheme</w:t>
      </w:r>
      <w:r w:rsidR="00D921DB">
        <w:rPr>
          <w:rFonts w:ascii="Garamond" w:hAnsi="Garamond" w:cs="Futura"/>
          <w:sz w:val="24"/>
        </w:rPr>
        <w:t>s</w:t>
      </w:r>
      <w:r w:rsidR="000C5158">
        <w:rPr>
          <w:rFonts w:ascii="Garamond" w:hAnsi="Garamond" w:cs="Futura"/>
          <w:sz w:val="24"/>
        </w:rPr>
        <w:t>, and those whi</w:t>
      </w:r>
      <w:r w:rsidR="00B616C3">
        <w:rPr>
          <w:rFonts w:ascii="Garamond" w:hAnsi="Garamond" w:cs="Futura"/>
          <w:sz w:val="24"/>
        </w:rPr>
        <w:t>ch do not.</w:t>
      </w:r>
      <w:r w:rsidR="00284139">
        <w:rPr>
          <w:rFonts w:ascii="Garamond" w:hAnsi="Garamond" w:cs="Futura"/>
          <w:sz w:val="24"/>
        </w:rPr>
        <w:t xml:space="preserve"> </w:t>
      </w:r>
      <w:r w:rsidR="004003EB">
        <w:rPr>
          <w:rFonts w:ascii="Garamond" w:hAnsi="Garamond" w:cs="Futura"/>
          <w:sz w:val="24"/>
        </w:rPr>
        <w:t xml:space="preserve">Although the matter is not entirely clear, arguably </w:t>
      </w:r>
      <w:r w:rsidR="00735117">
        <w:rPr>
          <w:rFonts w:ascii="Garamond" w:hAnsi="Garamond" w:cs="Futura"/>
          <w:sz w:val="24"/>
        </w:rPr>
        <w:t>the</w:t>
      </w:r>
      <w:r w:rsidR="00914B20">
        <w:rPr>
          <w:rFonts w:ascii="Garamond" w:hAnsi="Garamond" w:cs="Futura"/>
          <w:sz w:val="24"/>
        </w:rPr>
        <w:t xml:space="preserve"> </w:t>
      </w:r>
      <w:r w:rsidR="004003EB">
        <w:rPr>
          <w:rFonts w:ascii="Garamond" w:hAnsi="Garamond" w:cs="Futura"/>
          <w:sz w:val="24"/>
        </w:rPr>
        <w:t>majority</w:t>
      </w:r>
      <w:r w:rsidR="0032391E">
        <w:rPr>
          <w:rFonts w:ascii="Garamond" w:hAnsi="Garamond" w:cs="Futura"/>
          <w:sz w:val="24"/>
        </w:rPr>
        <w:t xml:space="preserve"> </w:t>
      </w:r>
      <w:r w:rsidR="00914B20">
        <w:rPr>
          <w:rFonts w:ascii="Garamond" w:hAnsi="Garamond" w:cs="Futura"/>
          <w:sz w:val="24"/>
        </w:rPr>
        <w:t xml:space="preserve">in </w:t>
      </w:r>
      <w:r w:rsidR="00914B20" w:rsidRPr="00914B20">
        <w:rPr>
          <w:rFonts w:ascii="Garamond" w:hAnsi="Garamond" w:cs="Futura"/>
          <w:i/>
          <w:sz w:val="24"/>
        </w:rPr>
        <w:t>Miller</w:t>
      </w:r>
      <w:r w:rsidR="00914B20">
        <w:rPr>
          <w:rFonts w:ascii="Garamond" w:hAnsi="Garamond" w:cs="Futura"/>
          <w:sz w:val="24"/>
        </w:rPr>
        <w:t xml:space="preserve"> </w:t>
      </w:r>
      <w:r w:rsidR="0032391E">
        <w:rPr>
          <w:rFonts w:ascii="Garamond" w:hAnsi="Garamond" w:cs="Futura"/>
          <w:sz w:val="24"/>
        </w:rPr>
        <w:t xml:space="preserve">was </w:t>
      </w:r>
      <w:r w:rsidR="005806D3">
        <w:rPr>
          <w:rFonts w:ascii="Garamond" w:hAnsi="Garamond" w:cs="Futura"/>
          <w:sz w:val="24"/>
        </w:rPr>
        <w:t>moved by</w:t>
      </w:r>
      <w:r w:rsidR="0032391E">
        <w:rPr>
          <w:rFonts w:ascii="Garamond" w:hAnsi="Garamond" w:cs="Futura"/>
          <w:sz w:val="24"/>
        </w:rPr>
        <w:t xml:space="preserve"> </w:t>
      </w:r>
      <w:r w:rsidR="009F617F">
        <w:rPr>
          <w:rFonts w:ascii="Garamond" w:hAnsi="Garamond" w:cs="Futura"/>
          <w:sz w:val="24"/>
        </w:rPr>
        <w:t xml:space="preserve">the idea of </w:t>
      </w:r>
      <w:r w:rsidR="004003EB">
        <w:rPr>
          <w:rFonts w:ascii="Garamond" w:hAnsi="Garamond" w:cs="Futura"/>
          <w:sz w:val="24"/>
        </w:rPr>
        <w:t>a</w:t>
      </w:r>
      <w:r w:rsidR="00064EC1">
        <w:rPr>
          <w:rFonts w:ascii="Garamond" w:hAnsi="Garamond" w:cs="Futura"/>
          <w:sz w:val="24"/>
        </w:rPr>
        <w:t xml:space="preserve"> </w:t>
      </w:r>
      <w:r w:rsidR="004003EB">
        <w:rPr>
          <w:rFonts w:ascii="Garamond" w:hAnsi="Garamond" w:cs="Futura"/>
          <w:sz w:val="24"/>
        </w:rPr>
        <w:t>legislative platform</w:t>
      </w:r>
      <w:r w:rsidR="0000775D">
        <w:rPr>
          <w:rFonts w:ascii="Garamond" w:hAnsi="Garamond" w:cs="Futura"/>
          <w:sz w:val="24"/>
        </w:rPr>
        <w:t xml:space="preserve"> that is, to some</w:t>
      </w:r>
      <w:r w:rsidR="00064EC1">
        <w:rPr>
          <w:rFonts w:ascii="Garamond" w:hAnsi="Garamond" w:cs="Futura"/>
          <w:sz w:val="24"/>
        </w:rPr>
        <w:t xml:space="preserve"> significant degree, a </w:t>
      </w:r>
      <w:r w:rsidR="00064EC1" w:rsidRPr="00064EC1">
        <w:rPr>
          <w:rFonts w:ascii="Garamond" w:hAnsi="Garamond" w:cs="Futura"/>
          <w:i/>
          <w:sz w:val="24"/>
        </w:rPr>
        <w:t>standing</w:t>
      </w:r>
      <w:r w:rsidR="00064EC1">
        <w:rPr>
          <w:rFonts w:ascii="Garamond" w:hAnsi="Garamond" w:cs="Futura"/>
          <w:sz w:val="24"/>
        </w:rPr>
        <w:t xml:space="preserve"> one</w:t>
      </w:r>
      <w:r w:rsidR="004003EB">
        <w:rPr>
          <w:rFonts w:ascii="Garamond" w:hAnsi="Garamond" w:cs="Futura"/>
          <w:sz w:val="24"/>
        </w:rPr>
        <w:t xml:space="preserve"> </w:t>
      </w:r>
      <w:r w:rsidR="004E0860">
        <w:rPr>
          <w:rFonts w:ascii="Garamond" w:hAnsi="Garamond" w:cs="Futura"/>
          <w:sz w:val="24"/>
        </w:rPr>
        <w:t xml:space="preserve">– </w:t>
      </w:r>
      <w:r w:rsidR="00064EC1">
        <w:rPr>
          <w:rFonts w:ascii="Garamond" w:hAnsi="Garamond" w:cs="Futura"/>
          <w:sz w:val="24"/>
        </w:rPr>
        <w:t>i.e. a platform</w:t>
      </w:r>
      <w:r w:rsidR="004E0860">
        <w:rPr>
          <w:rFonts w:ascii="Garamond" w:hAnsi="Garamond" w:cs="Futura"/>
          <w:sz w:val="24"/>
        </w:rPr>
        <w:t xml:space="preserve"> </w:t>
      </w:r>
      <w:r w:rsidR="00855851">
        <w:rPr>
          <w:rFonts w:ascii="Garamond" w:hAnsi="Garamond" w:cs="Futura"/>
          <w:sz w:val="24"/>
        </w:rPr>
        <w:t>that gives</w:t>
      </w:r>
      <w:r w:rsidR="00243907">
        <w:rPr>
          <w:rFonts w:ascii="Garamond" w:hAnsi="Garamond" w:cs="Futura"/>
          <w:sz w:val="24"/>
        </w:rPr>
        <w:t xml:space="preserve"> effect to</w:t>
      </w:r>
      <w:r w:rsidR="002E7D52">
        <w:rPr>
          <w:rFonts w:ascii="Garamond" w:hAnsi="Garamond" w:cs="Futura"/>
          <w:sz w:val="24"/>
        </w:rPr>
        <w:t xml:space="preserve"> </w:t>
      </w:r>
      <w:r w:rsidR="00844234">
        <w:rPr>
          <w:rFonts w:ascii="Garamond" w:hAnsi="Garamond" w:cs="Futura"/>
          <w:sz w:val="24"/>
        </w:rPr>
        <w:t>a</w:t>
      </w:r>
      <w:r w:rsidR="00FC0481">
        <w:rPr>
          <w:rFonts w:ascii="Garamond" w:hAnsi="Garamond" w:cs="Futura"/>
          <w:sz w:val="24"/>
        </w:rPr>
        <w:t xml:space="preserve"> treaty-based </w:t>
      </w:r>
      <w:r w:rsidR="009317E3">
        <w:rPr>
          <w:rFonts w:ascii="Garamond" w:hAnsi="Garamond" w:cs="Futura"/>
          <w:sz w:val="24"/>
        </w:rPr>
        <w:t>source</w:t>
      </w:r>
      <w:r w:rsidR="002E7D52">
        <w:rPr>
          <w:rFonts w:ascii="Garamond" w:hAnsi="Garamond" w:cs="Futura"/>
          <w:sz w:val="24"/>
        </w:rPr>
        <w:t xml:space="preserve"> </w:t>
      </w:r>
      <w:r w:rsidR="003F6199">
        <w:rPr>
          <w:rFonts w:ascii="Garamond" w:hAnsi="Garamond" w:cs="Futura"/>
          <w:sz w:val="24"/>
        </w:rPr>
        <w:t xml:space="preserve">without </w:t>
      </w:r>
      <w:r w:rsidR="00097783">
        <w:rPr>
          <w:rFonts w:ascii="Garamond" w:hAnsi="Garamond" w:cs="Futura"/>
          <w:sz w:val="24"/>
        </w:rPr>
        <w:t xml:space="preserve">the repeated need for </w:t>
      </w:r>
      <w:r w:rsidR="003F6199">
        <w:rPr>
          <w:rFonts w:ascii="Garamond" w:hAnsi="Garamond" w:cs="Futura"/>
          <w:sz w:val="24"/>
        </w:rPr>
        <w:t xml:space="preserve">specific implementing </w:t>
      </w:r>
      <w:r w:rsidR="003F6199">
        <w:rPr>
          <w:rFonts w:ascii="Garamond" w:hAnsi="Garamond" w:cs="Futura"/>
          <w:sz w:val="24"/>
        </w:rPr>
        <w:lastRenderedPageBreak/>
        <w:t xml:space="preserve">measures. </w:t>
      </w:r>
      <w:r w:rsidR="00CF0251">
        <w:rPr>
          <w:rFonts w:ascii="Garamond" w:hAnsi="Garamond" w:cs="Futura"/>
          <w:sz w:val="24"/>
        </w:rPr>
        <w:t xml:space="preserve">This </w:t>
      </w:r>
      <w:r w:rsidR="00080B19">
        <w:rPr>
          <w:rFonts w:ascii="Garamond" w:hAnsi="Garamond" w:cs="Futura"/>
          <w:sz w:val="24"/>
        </w:rPr>
        <w:t>accounts for</w:t>
      </w:r>
      <w:r w:rsidR="00CF0251">
        <w:rPr>
          <w:rFonts w:ascii="Garamond" w:hAnsi="Garamond" w:cs="Futura"/>
          <w:sz w:val="24"/>
        </w:rPr>
        <w:t xml:space="preserve"> the majority’s </w:t>
      </w:r>
      <w:r w:rsidR="00080B19">
        <w:rPr>
          <w:rFonts w:ascii="Garamond" w:hAnsi="Garamond" w:cs="Futura"/>
          <w:sz w:val="24"/>
        </w:rPr>
        <w:t>view</w:t>
      </w:r>
      <w:r w:rsidR="00CF0251">
        <w:rPr>
          <w:rFonts w:ascii="Garamond" w:hAnsi="Garamond" w:cs="Futura"/>
          <w:sz w:val="24"/>
        </w:rPr>
        <w:t xml:space="preserve"> that EU law </w:t>
      </w:r>
      <w:r w:rsidR="00A54D15">
        <w:rPr>
          <w:rFonts w:ascii="Garamond" w:hAnsi="Garamond" w:cs="Futura"/>
          <w:sz w:val="24"/>
        </w:rPr>
        <w:t>is</w:t>
      </w:r>
      <w:r w:rsidR="00574277">
        <w:rPr>
          <w:rFonts w:ascii="Garamond" w:hAnsi="Garamond" w:cs="Futura"/>
          <w:sz w:val="24"/>
        </w:rPr>
        <w:t xml:space="preserve"> (to some degree)</w:t>
      </w:r>
      <w:r w:rsidR="00A54D15">
        <w:rPr>
          <w:rFonts w:ascii="Garamond" w:hAnsi="Garamond" w:cs="Futura"/>
          <w:sz w:val="24"/>
        </w:rPr>
        <w:t xml:space="preserve"> capable of taking</w:t>
      </w:r>
      <w:r w:rsidR="00C52333">
        <w:rPr>
          <w:rFonts w:ascii="Garamond" w:hAnsi="Garamond" w:cs="Futura"/>
          <w:sz w:val="24"/>
        </w:rPr>
        <w:t xml:space="preserve"> effect</w:t>
      </w:r>
      <w:r w:rsidR="00CF0251">
        <w:rPr>
          <w:rFonts w:ascii="Garamond" w:hAnsi="Garamond" w:cs="Futura"/>
          <w:sz w:val="24"/>
        </w:rPr>
        <w:t xml:space="preserve"> domestically “without the </w:t>
      </w:r>
      <w:r w:rsidR="00CF0251" w:rsidRPr="007A44F1">
        <w:rPr>
          <w:rFonts w:ascii="Garamond" w:hAnsi="Garamond" w:cs="Futura"/>
          <w:i/>
          <w:sz w:val="24"/>
        </w:rPr>
        <w:t>specific</w:t>
      </w:r>
      <w:r w:rsidR="00CF0251">
        <w:rPr>
          <w:rFonts w:ascii="Garamond" w:hAnsi="Garamond" w:cs="Futura"/>
          <w:sz w:val="24"/>
        </w:rPr>
        <w:t xml:space="preserve"> sanction of any UK institution”</w:t>
      </w:r>
      <w:r w:rsidR="00791518">
        <w:rPr>
          <w:rFonts w:ascii="Garamond" w:hAnsi="Garamond" w:cs="Futura"/>
          <w:sz w:val="24"/>
        </w:rPr>
        <w:t>.</w:t>
      </w:r>
      <w:r w:rsidR="00CF0251">
        <w:rPr>
          <w:rStyle w:val="FootnoteReference"/>
          <w:rFonts w:ascii="Garamond" w:hAnsi="Garamond" w:cs="Futura"/>
          <w:sz w:val="24"/>
        </w:rPr>
        <w:footnoteReference w:id="64"/>
      </w:r>
      <w:r w:rsidR="00CF0251">
        <w:rPr>
          <w:rFonts w:ascii="Garamond" w:hAnsi="Garamond" w:cs="Futura"/>
          <w:sz w:val="24"/>
        </w:rPr>
        <w:t xml:space="preserve"> </w:t>
      </w:r>
      <w:r w:rsidR="00791518">
        <w:rPr>
          <w:rFonts w:ascii="Garamond" w:hAnsi="Garamond" w:cs="Futura"/>
          <w:sz w:val="24"/>
        </w:rPr>
        <w:t xml:space="preserve">On this reading of </w:t>
      </w:r>
      <w:r w:rsidR="00791518" w:rsidRPr="00791518">
        <w:rPr>
          <w:rFonts w:ascii="Garamond" w:hAnsi="Garamond" w:cs="Futura"/>
          <w:i/>
          <w:sz w:val="24"/>
        </w:rPr>
        <w:t>Miller</w:t>
      </w:r>
      <w:r w:rsidR="00791518">
        <w:rPr>
          <w:rFonts w:ascii="Garamond" w:hAnsi="Garamond" w:cs="Futura"/>
          <w:sz w:val="24"/>
        </w:rPr>
        <w:t xml:space="preserve"> we should</w:t>
      </w:r>
      <w:r w:rsidR="00CF0251">
        <w:rPr>
          <w:rFonts w:ascii="Garamond" w:hAnsi="Garamond" w:cs="Futura"/>
          <w:sz w:val="24"/>
        </w:rPr>
        <w:t xml:space="preserve"> distinguish a standing </w:t>
      </w:r>
      <w:r w:rsidR="00212A73">
        <w:rPr>
          <w:rFonts w:ascii="Garamond" w:hAnsi="Garamond" w:cs="Futura"/>
          <w:sz w:val="24"/>
        </w:rPr>
        <w:t>legislative platform</w:t>
      </w:r>
      <w:r w:rsidR="00CF0251">
        <w:rPr>
          <w:rFonts w:ascii="Garamond" w:hAnsi="Garamond" w:cs="Futura"/>
          <w:sz w:val="24"/>
        </w:rPr>
        <w:t xml:space="preserve"> from circumstances where </w:t>
      </w:r>
      <w:r w:rsidR="00212A73">
        <w:rPr>
          <w:rFonts w:ascii="Garamond" w:hAnsi="Garamond" w:cs="Futura"/>
          <w:sz w:val="24"/>
        </w:rPr>
        <w:t xml:space="preserve">specific </w:t>
      </w:r>
      <w:r w:rsidR="00CF0251">
        <w:rPr>
          <w:rFonts w:ascii="Garamond" w:hAnsi="Garamond" w:cs="Futura"/>
          <w:sz w:val="24"/>
        </w:rPr>
        <w:t>implementing measures</w:t>
      </w:r>
      <w:r w:rsidR="005E7B67">
        <w:rPr>
          <w:rFonts w:ascii="Garamond" w:hAnsi="Garamond" w:cs="Futura"/>
          <w:sz w:val="24"/>
        </w:rPr>
        <w:t xml:space="preserve">, mediating between the </w:t>
      </w:r>
      <w:r w:rsidR="0000775D">
        <w:rPr>
          <w:rFonts w:ascii="Garamond" w:hAnsi="Garamond" w:cs="Futura"/>
          <w:sz w:val="24"/>
        </w:rPr>
        <w:t xml:space="preserve">treaty </w:t>
      </w:r>
      <w:r w:rsidR="005E7B67">
        <w:rPr>
          <w:rFonts w:ascii="Garamond" w:hAnsi="Garamond" w:cs="Futura"/>
          <w:sz w:val="24"/>
        </w:rPr>
        <w:t>and domestic law,</w:t>
      </w:r>
      <w:r w:rsidR="00CF0251">
        <w:rPr>
          <w:rFonts w:ascii="Garamond" w:hAnsi="Garamond" w:cs="Futura"/>
          <w:sz w:val="24"/>
        </w:rPr>
        <w:t xml:space="preserve"> are repeatedly required</w:t>
      </w:r>
      <w:r w:rsidR="00C95CF5">
        <w:rPr>
          <w:rFonts w:ascii="Garamond" w:hAnsi="Garamond" w:cs="Futura"/>
          <w:sz w:val="24"/>
        </w:rPr>
        <w:t xml:space="preserve"> </w:t>
      </w:r>
      <w:r w:rsidR="007647DD">
        <w:rPr>
          <w:rFonts w:ascii="Garamond" w:hAnsi="Garamond" w:cs="Futura"/>
          <w:sz w:val="24"/>
        </w:rPr>
        <w:t>from case to case.</w:t>
      </w:r>
    </w:p>
    <w:p w14:paraId="3CC37B64" w14:textId="5B12BC46" w:rsidR="007B01FE" w:rsidRDefault="00080B19" w:rsidP="007B01FE">
      <w:pPr>
        <w:ind w:firstLine="624"/>
        <w:contextualSpacing/>
        <w:rPr>
          <w:rFonts w:ascii="Garamond" w:hAnsi="Garamond" w:cs="Futura"/>
          <w:sz w:val="24"/>
        </w:rPr>
      </w:pPr>
      <w:r>
        <w:rPr>
          <w:rFonts w:ascii="Garamond" w:hAnsi="Garamond" w:cs="Futura"/>
          <w:sz w:val="24"/>
        </w:rPr>
        <w:t>If we follow this reading, we can identify</w:t>
      </w:r>
      <w:r w:rsidR="00714FC5">
        <w:rPr>
          <w:rFonts w:ascii="Garamond" w:hAnsi="Garamond" w:cs="Futura"/>
          <w:sz w:val="24"/>
        </w:rPr>
        <w:t xml:space="preserve"> as “direct”</w:t>
      </w:r>
      <w:r w:rsidR="001F603B">
        <w:rPr>
          <w:rFonts w:ascii="Garamond" w:hAnsi="Garamond" w:cs="Futura"/>
          <w:sz w:val="24"/>
        </w:rPr>
        <w:t xml:space="preserve"> </w:t>
      </w:r>
      <w:r w:rsidR="009E1699">
        <w:rPr>
          <w:rFonts w:ascii="Garamond" w:hAnsi="Garamond" w:cs="Futura"/>
          <w:sz w:val="24"/>
        </w:rPr>
        <w:t xml:space="preserve">the legislative implementation of </w:t>
      </w:r>
      <w:r w:rsidR="001F603B">
        <w:rPr>
          <w:rFonts w:ascii="Garamond" w:hAnsi="Garamond" w:cs="Futura"/>
          <w:sz w:val="24"/>
        </w:rPr>
        <w:t>other treaty-based sources</w:t>
      </w:r>
      <w:r w:rsidR="009A19F2">
        <w:rPr>
          <w:rFonts w:ascii="Garamond" w:hAnsi="Garamond" w:cs="Futura"/>
          <w:sz w:val="24"/>
        </w:rPr>
        <w:t xml:space="preserve"> – in particular, COTIF</w:t>
      </w:r>
      <w:r w:rsidR="00A8234B">
        <w:rPr>
          <w:rFonts w:ascii="Garamond" w:hAnsi="Garamond" w:cs="Futura"/>
          <w:sz w:val="24"/>
        </w:rPr>
        <w:t xml:space="preserve"> </w:t>
      </w:r>
      <w:r w:rsidR="00986A1C">
        <w:rPr>
          <w:rFonts w:ascii="Garamond" w:hAnsi="Garamond" w:cs="Futura"/>
          <w:sz w:val="24"/>
        </w:rPr>
        <w:t>concerning international rail</w:t>
      </w:r>
      <w:r w:rsidR="009B348F">
        <w:rPr>
          <w:rFonts w:ascii="Garamond" w:hAnsi="Garamond" w:cs="Futura"/>
          <w:sz w:val="24"/>
        </w:rPr>
        <w:t xml:space="preserve"> traffic</w:t>
      </w:r>
      <w:r w:rsidR="001F603B">
        <w:rPr>
          <w:rFonts w:ascii="Garamond" w:hAnsi="Garamond" w:cs="Futura"/>
          <w:sz w:val="24"/>
        </w:rPr>
        <w:t>.</w:t>
      </w:r>
      <w:r w:rsidR="00823C59">
        <w:rPr>
          <w:rFonts w:ascii="Garamond" w:hAnsi="Garamond" w:cs="Futura"/>
          <w:sz w:val="24"/>
        </w:rPr>
        <w:t xml:space="preserve"> </w:t>
      </w:r>
      <w:r w:rsidR="009A19F2">
        <w:rPr>
          <w:rFonts w:ascii="Garamond" w:hAnsi="Garamond" w:cs="Futura"/>
          <w:sz w:val="24"/>
        </w:rPr>
        <w:t xml:space="preserve">As noted earlier, the </w:t>
      </w:r>
      <w:r w:rsidR="009A19F2" w:rsidRPr="003B37BA">
        <w:rPr>
          <w:rFonts w:ascii="Garamond" w:hAnsi="Garamond" w:cs="Futura"/>
          <w:sz w:val="24"/>
        </w:rPr>
        <w:t>Railways (Convention on International Carriage by Rail) Regulations 2005</w:t>
      </w:r>
      <w:r w:rsidR="00A75C25">
        <w:rPr>
          <w:rFonts w:ascii="Garamond" w:hAnsi="Garamond" w:cs="Futura"/>
          <w:sz w:val="24"/>
        </w:rPr>
        <w:t xml:space="preserve"> were adopted </w:t>
      </w:r>
      <w:r w:rsidR="009A19F2">
        <w:rPr>
          <w:rFonts w:ascii="Garamond" w:hAnsi="Garamond" w:cs="Futura"/>
          <w:sz w:val="24"/>
        </w:rPr>
        <w:t>u</w:t>
      </w:r>
      <w:r w:rsidR="008F65B4">
        <w:rPr>
          <w:rFonts w:ascii="Garamond" w:hAnsi="Garamond" w:cs="Futura"/>
          <w:sz w:val="24"/>
        </w:rPr>
        <w:t>nder s</w:t>
      </w:r>
      <w:r w:rsidR="00BD0D80">
        <w:rPr>
          <w:rFonts w:ascii="Garamond" w:hAnsi="Garamond" w:cs="Futura"/>
          <w:sz w:val="24"/>
        </w:rPr>
        <w:t xml:space="preserve">.103 of the </w:t>
      </w:r>
      <w:r w:rsidR="00BD0D80" w:rsidRPr="00B268C6">
        <w:rPr>
          <w:rFonts w:ascii="Garamond" w:hAnsi="Garamond" w:cs="Futura"/>
          <w:sz w:val="24"/>
        </w:rPr>
        <w:t>Railways and Transport Safety Act 2003</w:t>
      </w:r>
      <w:r>
        <w:rPr>
          <w:rFonts w:ascii="Garamond" w:hAnsi="Garamond" w:cs="Futura"/>
          <w:sz w:val="24"/>
        </w:rPr>
        <w:t>, with p</w:t>
      </w:r>
      <w:r w:rsidR="00E47E8C">
        <w:rPr>
          <w:rFonts w:ascii="Garamond" w:hAnsi="Garamond" w:cs="Futura"/>
          <w:sz w:val="24"/>
        </w:rPr>
        <w:t xml:space="preserve">ara.3(1) </w:t>
      </w:r>
      <w:r w:rsidR="009A19F2">
        <w:rPr>
          <w:rFonts w:ascii="Garamond" w:hAnsi="Garamond" w:cs="Futura"/>
          <w:sz w:val="24"/>
        </w:rPr>
        <w:t xml:space="preserve">of the 2005 Regulations </w:t>
      </w:r>
      <w:r>
        <w:rPr>
          <w:rFonts w:ascii="Garamond" w:hAnsi="Garamond" w:cs="Futura"/>
          <w:sz w:val="24"/>
        </w:rPr>
        <w:t>providing</w:t>
      </w:r>
      <w:r w:rsidR="00E47E8C">
        <w:rPr>
          <w:rFonts w:ascii="Garamond" w:hAnsi="Garamond" w:cs="Futura"/>
          <w:sz w:val="24"/>
        </w:rPr>
        <w:t xml:space="preserve"> that COTIF</w:t>
      </w:r>
      <w:r w:rsidR="00C20310">
        <w:rPr>
          <w:rFonts w:ascii="Garamond" w:hAnsi="Garamond" w:cs="Futura"/>
          <w:sz w:val="24"/>
        </w:rPr>
        <w:t xml:space="preserve"> </w:t>
      </w:r>
      <w:r w:rsidR="00E47E8C">
        <w:rPr>
          <w:rFonts w:ascii="Garamond" w:hAnsi="Garamond" w:cs="Futura"/>
          <w:sz w:val="24"/>
        </w:rPr>
        <w:t>“</w:t>
      </w:r>
      <w:r w:rsidR="00E47E8C" w:rsidRPr="00F94EBD">
        <w:rPr>
          <w:rFonts w:ascii="Garamond" w:hAnsi="Garamond" w:cs="Futura"/>
          <w:sz w:val="24"/>
        </w:rPr>
        <w:t>shall have the force of law in the United Kingdom, and judic</w:t>
      </w:r>
      <w:r w:rsidR="00E47E8C">
        <w:rPr>
          <w:rFonts w:ascii="Garamond" w:hAnsi="Garamond" w:cs="Futura"/>
          <w:sz w:val="24"/>
        </w:rPr>
        <w:t xml:space="preserve">ial notice shall be taken of it”. </w:t>
      </w:r>
      <w:r w:rsidR="006E7982">
        <w:rPr>
          <w:rFonts w:ascii="Garamond" w:hAnsi="Garamond" w:cs="Futura"/>
          <w:sz w:val="24"/>
        </w:rPr>
        <w:t xml:space="preserve">The 2005 Regulations </w:t>
      </w:r>
      <w:r>
        <w:rPr>
          <w:rFonts w:ascii="Garamond" w:hAnsi="Garamond" w:cs="Futura"/>
          <w:sz w:val="24"/>
        </w:rPr>
        <w:t>establish</w:t>
      </w:r>
      <w:r w:rsidR="00FA7E5F">
        <w:rPr>
          <w:rFonts w:ascii="Garamond" w:hAnsi="Garamond" w:cs="Futura"/>
          <w:sz w:val="24"/>
        </w:rPr>
        <w:t xml:space="preserve"> a</w:t>
      </w:r>
      <w:r w:rsidR="00142D8D">
        <w:rPr>
          <w:rFonts w:ascii="Garamond" w:hAnsi="Garamond" w:cs="Futura"/>
          <w:sz w:val="24"/>
        </w:rPr>
        <w:t xml:space="preserve"> </w:t>
      </w:r>
      <w:r w:rsidR="00FA7E5F">
        <w:rPr>
          <w:rFonts w:ascii="Garamond" w:hAnsi="Garamond" w:cs="Futura"/>
          <w:sz w:val="24"/>
        </w:rPr>
        <w:t xml:space="preserve">standing </w:t>
      </w:r>
      <w:r w:rsidR="008E5B88">
        <w:rPr>
          <w:rFonts w:ascii="Garamond" w:hAnsi="Garamond" w:cs="Futura"/>
          <w:sz w:val="24"/>
        </w:rPr>
        <w:t xml:space="preserve">legislative </w:t>
      </w:r>
      <w:r w:rsidR="009F7909">
        <w:rPr>
          <w:rFonts w:ascii="Garamond" w:hAnsi="Garamond" w:cs="Futura"/>
          <w:sz w:val="24"/>
        </w:rPr>
        <w:t>platform</w:t>
      </w:r>
      <w:r w:rsidR="00652104">
        <w:rPr>
          <w:rFonts w:ascii="Garamond" w:hAnsi="Garamond" w:cs="Futura"/>
          <w:sz w:val="24"/>
        </w:rPr>
        <w:t xml:space="preserve"> </w:t>
      </w:r>
      <w:r w:rsidR="00EC1244">
        <w:rPr>
          <w:rFonts w:ascii="Garamond" w:hAnsi="Garamond" w:cs="Futura"/>
          <w:sz w:val="24"/>
        </w:rPr>
        <w:t>through</w:t>
      </w:r>
      <w:r w:rsidR="00652104">
        <w:rPr>
          <w:rFonts w:ascii="Garamond" w:hAnsi="Garamond" w:cs="Futura"/>
          <w:sz w:val="24"/>
        </w:rPr>
        <w:t xml:space="preserve"> which </w:t>
      </w:r>
      <w:r w:rsidR="002D39E6">
        <w:rPr>
          <w:rFonts w:ascii="Garamond" w:hAnsi="Garamond" w:cs="Futura"/>
          <w:sz w:val="24"/>
        </w:rPr>
        <w:t xml:space="preserve">new rules </w:t>
      </w:r>
      <w:r w:rsidR="00DF7889">
        <w:rPr>
          <w:rFonts w:ascii="Garamond" w:hAnsi="Garamond" w:cs="Futura"/>
          <w:sz w:val="24"/>
        </w:rPr>
        <w:t>made</w:t>
      </w:r>
      <w:r w:rsidR="002D39E6">
        <w:rPr>
          <w:rFonts w:ascii="Garamond" w:hAnsi="Garamond" w:cs="Futura"/>
          <w:sz w:val="24"/>
        </w:rPr>
        <w:t xml:space="preserve"> by the treaty-based organisation</w:t>
      </w:r>
      <w:r w:rsidR="00EC1244">
        <w:rPr>
          <w:rFonts w:ascii="Garamond" w:hAnsi="Garamond" w:cs="Futura"/>
          <w:sz w:val="24"/>
        </w:rPr>
        <w:t xml:space="preserve"> </w:t>
      </w:r>
      <w:r w:rsidR="00DF7889">
        <w:rPr>
          <w:rFonts w:ascii="Garamond" w:hAnsi="Garamond" w:cs="Futura"/>
          <w:sz w:val="24"/>
        </w:rPr>
        <w:t xml:space="preserve">take effect </w:t>
      </w:r>
      <w:r w:rsidR="00EC1244">
        <w:rPr>
          <w:rFonts w:ascii="Garamond" w:hAnsi="Garamond" w:cs="Futura"/>
          <w:sz w:val="24"/>
        </w:rPr>
        <w:t xml:space="preserve">without </w:t>
      </w:r>
      <w:r w:rsidR="00964FD4">
        <w:rPr>
          <w:rFonts w:ascii="Garamond" w:hAnsi="Garamond" w:cs="Futura"/>
          <w:sz w:val="24"/>
        </w:rPr>
        <w:t>the</w:t>
      </w:r>
      <w:r w:rsidR="00EC1244">
        <w:rPr>
          <w:rFonts w:ascii="Garamond" w:hAnsi="Garamond" w:cs="Futura"/>
          <w:sz w:val="24"/>
        </w:rPr>
        <w:t xml:space="preserve"> </w:t>
      </w:r>
      <w:r w:rsidR="00FD0514">
        <w:rPr>
          <w:rFonts w:ascii="Garamond" w:hAnsi="Garamond" w:cs="Futura"/>
          <w:sz w:val="24"/>
        </w:rPr>
        <w:t xml:space="preserve">repeated </w:t>
      </w:r>
      <w:r w:rsidR="00EC1244">
        <w:rPr>
          <w:rFonts w:ascii="Garamond" w:hAnsi="Garamond" w:cs="Futura"/>
          <w:sz w:val="24"/>
        </w:rPr>
        <w:t>need for</w:t>
      </w:r>
      <w:r w:rsidR="00212B6E">
        <w:rPr>
          <w:rFonts w:ascii="Garamond" w:hAnsi="Garamond" w:cs="Futura"/>
          <w:sz w:val="24"/>
        </w:rPr>
        <w:t xml:space="preserve"> </w:t>
      </w:r>
      <w:r w:rsidR="00FD0514">
        <w:rPr>
          <w:rFonts w:ascii="Garamond" w:hAnsi="Garamond" w:cs="Futura"/>
          <w:sz w:val="24"/>
        </w:rPr>
        <w:t>specific</w:t>
      </w:r>
      <w:r w:rsidR="00EC1244">
        <w:rPr>
          <w:rFonts w:ascii="Garamond" w:hAnsi="Garamond" w:cs="Futura"/>
          <w:sz w:val="24"/>
        </w:rPr>
        <w:t xml:space="preserve"> </w:t>
      </w:r>
      <w:r w:rsidR="002D39E6">
        <w:rPr>
          <w:rFonts w:ascii="Garamond" w:hAnsi="Garamond" w:cs="Futura"/>
          <w:sz w:val="24"/>
        </w:rPr>
        <w:t xml:space="preserve">implementing </w:t>
      </w:r>
      <w:r w:rsidR="00212B6E">
        <w:rPr>
          <w:rFonts w:ascii="Garamond" w:hAnsi="Garamond" w:cs="Futura"/>
          <w:sz w:val="24"/>
        </w:rPr>
        <w:t>measures</w:t>
      </w:r>
      <w:r w:rsidR="009F7909">
        <w:rPr>
          <w:rFonts w:ascii="Garamond" w:hAnsi="Garamond" w:cs="Futura"/>
          <w:sz w:val="24"/>
        </w:rPr>
        <w:t xml:space="preserve">. </w:t>
      </w:r>
      <w:r w:rsidR="007B01FE">
        <w:rPr>
          <w:rFonts w:ascii="Garamond" w:hAnsi="Garamond" w:cs="Futura"/>
          <w:sz w:val="24"/>
        </w:rPr>
        <w:t xml:space="preserve">Thus, as the Explanatory Note </w:t>
      </w:r>
      <w:r w:rsidR="00DF7889">
        <w:rPr>
          <w:rFonts w:ascii="Garamond" w:hAnsi="Garamond" w:cs="Futura"/>
          <w:sz w:val="24"/>
        </w:rPr>
        <w:t xml:space="preserve">to the 2005 Regulations </w:t>
      </w:r>
      <w:r w:rsidR="007B01FE">
        <w:rPr>
          <w:rFonts w:ascii="Garamond" w:hAnsi="Garamond" w:cs="Futura"/>
          <w:sz w:val="24"/>
        </w:rPr>
        <w:t>describes:</w:t>
      </w:r>
    </w:p>
    <w:p w14:paraId="326174D5" w14:textId="77777777" w:rsidR="007B01FE" w:rsidRDefault="007B01FE" w:rsidP="007B01FE">
      <w:pPr>
        <w:contextualSpacing/>
        <w:rPr>
          <w:rFonts w:ascii="Garamond" w:hAnsi="Garamond" w:cs="Futura"/>
          <w:sz w:val="24"/>
        </w:rPr>
      </w:pPr>
    </w:p>
    <w:p w14:paraId="5FCBF07C" w14:textId="77777777" w:rsidR="007B01FE" w:rsidRPr="005636B8" w:rsidRDefault="007B01FE" w:rsidP="007B01FE">
      <w:pPr>
        <w:rPr>
          <w:rFonts w:ascii="Garamond" w:hAnsi="Garamond" w:cs="Futura"/>
          <w:sz w:val="20"/>
          <w:szCs w:val="20"/>
        </w:rPr>
      </w:pPr>
      <w:r w:rsidRPr="005636B8">
        <w:rPr>
          <w:rFonts w:ascii="Garamond" w:hAnsi="Garamond" w:cs="Futura"/>
          <w:sz w:val="20"/>
          <w:szCs w:val="20"/>
        </w:rPr>
        <w:t>Any modifications made to COTIF by any decision of the Revision Committee, the RID Expert Committee or the Committee of Technical Experts, shall automatically have the force of law, by virtue of the definition of “the Convention” in regulation 2(2).</w:t>
      </w:r>
    </w:p>
    <w:p w14:paraId="14F607B3" w14:textId="77777777" w:rsidR="00BC6750" w:rsidRDefault="00BC6750" w:rsidP="00BC6750">
      <w:pPr>
        <w:contextualSpacing/>
        <w:rPr>
          <w:rFonts w:ascii="Garamond" w:hAnsi="Garamond" w:cs="Futura"/>
          <w:sz w:val="24"/>
        </w:rPr>
      </w:pPr>
    </w:p>
    <w:p w14:paraId="55822E56" w14:textId="78E0F3B0" w:rsidR="00531348" w:rsidRDefault="00FD0514" w:rsidP="00BC6750">
      <w:pPr>
        <w:contextualSpacing/>
        <w:rPr>
          <w:rFonts w:ascii="Garamond" w:hAnsi="Garamond" w:cs="Futura"/>
          <w:sz w:val="24"/>
        </w:rPr>
      </w:pPr>
      <w:r>
        <w:rPr>
          <w:rFonts w:ascii="Garamond" w:hAnsi="Garamond" w:cs="Futura"/>
          <w:sz w:val="24"/>
        </w:rPr>
        <w:t>Indeed, this</w:t>
      </w:r>
      <w:r w:rsidR="00964FD4">
        <w:rPr>
          <w:rFonts w:ascii="Garamond" w:hAnsi="Garamond" w:cs="Futura"/>
          <w:sz w:val="24"/>
        </w:rPr>
        <w:t xml:space="preserve"> </w:t>
      </w:r>
      <w:r>
        <w:rPr>
          <w:rFonts w:ascii="Garamond" w:hAnsi="Garamond" w:cs="Futura"/>
          <w:sz w:val="24"/>
        </w:rPr>
        <w:t>was</w:t>
      </w:r>
      <w:r w:rsidR="00DF7889">
        <w:rPr>
          <w:rFonts w:ascii="Garamond" w:hAnsi="Garamond" w:cs="Futura"/>
          <w:sz w:val="24"/>
        </w:rPr>
        <w:t xml:space="preserve"> the very </w:t>
      </w:r>
      <w:r w:rsidR="00964FD4">
        <w:rPr>
          <w:rFonts w:ascii="Garamond" w:hAnsi="Garamond" w:cs="Futura"/>
          <w:sz w:val="24"/>
        </w:rPr>
        <w:t xml:space="preserve">purpose of the legislative scheme giving effect to COTIF, </w:t>
      </w:r>
      <w:r>
        <w:rPr>
          <w:rFonts w:ascii="Garamond" w:hAnsi="Garamond" w:cs="Futura"/>
          <w:sz w:val="24"/>
        </w:rPr>
        <w:t>as</w:t>
      </w:r>
      <w:r w:rsidR="00DF7889">
        <w:rPr>
          <w:rFonts w:ascii="Garamond" w:hAnsi="Garamond" w:cs="Futura"/>
          <w:sz w:val="24"/>
        </w:rPr>
        <w:t xml:space="preserve"> </w:t>
      </w:r>
      <w:r>
        <w:rPr>
          <w:rFonts w:ascii="Garamond" w:hAnsi="Garamond" w:cs="Futura"/>
          <w:sz w:val="24"/>
        </w:rPr>
        <w:t>made clear</w:t>
      </w:r>
      <w:r w:rsidR="00964FD4">
        <w:rPr>
          <w:rFonts w:ascii="Garamond" w:hAnsi="Garamond" w:cs="Futura"/>
          <w:sz w:val="24"/>
        </w:rPr>
        <w:t xml:space="preserve"> in t</w:t>
      </w:r>
      <w:r w:rsidR="00805C53">
        <w:rPr>
          <w:rFonts w:ascii="Garamond" w:hAnsi="Garamond" w:cs="Futura"/>
          <w:sz w:val="24"/>
        </w:rPr>
        <w:t xml:space="preserve">he </w:t>
      </w:r>
      <w:r w:rsidR="00DF7889">
        <w:rPr>
          <w:rFonts w:ascii="Garamond" w:hAnsi="Garamond" w:cs="Futura"/>
          <w:sz w:val="24"/>
        </w:rPr>
        <w:t xml:space="preserve">(separate) </w:t>
      </w:r>
      <w:r w:rsidR="00805C53">
        <w:rPr>
          <w:rFonts w:ascii="Garamond" w:hAnsi="Garamond" w:cs="Futura"/>
          <w:sz w:val="24"/>
        </w:rPr>
        <w:t xml:space="preserve">Explanatory Memorandum to the </w:t>
      </w:r>
      <w:r w:rsidR="00964FD4">
        <w:rPr>
          <w:rFonts w:ascii="Garamond" w:hAnsi="Garamond" w:cs="Futura"/>
          <w:sz w:val="24"/>
        </w:rPr>
        <w:t xml:space="preserve">2005 </w:t>
      </w:r>
      <w:r w:rsidR="00805C53">
        <w:rPr>
          <w:rFonts w:ascii="Garamond" w:hAnsi="Garamond" w:cs="Futura"/>
          <w:sz w:val="24"/>
        </w:rPr>
        <w:t>Regulations:</w:t>
      </w:r>
    </w:p>
    <w:p w14:paraId="432DF2C2" w14:textId="77777777" w:rsidR="00805C53" w:rsidRDefault="00805C53" w:rsidP="00645477">
      <w:pPr>
        <w:contextualSpacing/>
        <w:rPr>
          <w:rFonts w:ascii="Garamond" w:hAnsi="Garamond" w:cs="Futura"/>
          <w:sz w:val="24"/>
        </w:rPr>
      </w:pPr>
    </w:p>
    <w:p w14:paraId="59EC10BF" w14:textId="737A3B6F" w:rsidR="00805C53" w:rsidRPr="0002328A" w:rsidRDefault="00805C53" w:rsidP="00645477">
      <w:pPr>
        <w:contextualSpacing/>
        <w:rPr>
          <w:rFonts w:ascii="Garamond" w:hAnsi="Garamond" w:cs="Futura"/>
          <w:sz w:val="20"/>
          <w:szCs w:val="20"/>
        </w:rPr>
      </w:pPr>
      <w:r>
        <w:rPr>
          <w:rFonts w:ascii="Garamond" w:hAnsi="Garamond" w:cs="Futura"/>
          <w:sz w:val="20"/>
          <w:szCs w:val="20"/>
        </w:rPr>
        <w:t>4.5</w:t>
      </w:r>
      <w:r w:rsidR="00A2500B">
        <w:rPr>
          <w:rFonts w:ascii="Garamond" w:hAnsi="Garamond" w:cs="Futura"/>
          <w:sz w:val="20"/>
          <w:szCs w:val="20"/>
        </w:rPr>
        <w:t>.</w:t>
      </w:r>
      <w:r>
        <w:rPr>
          <w:rFonts w:ascii="Garamond" w:hAnsi="Garamond" w:cs="Futura"/>
          <w:sz w:val="20"/>
          <w:szCs w:val="20"/>
        </w:rPr>
        <w:t xml:space="preserve"> </w:t>
      </w:r>
      <w:r w:rsidRPr="00805C53">
        <w:rPr>
          <w:rFonts w:ascii="Garamond" w:hAnsi="Garamond" w:cs="Futura"/>
          <w:sz w:val="20"/>
          <w:szCs w:val="20"/>
          <w:u w:val="single"/>
        </w:rPr>
        <w:t>Implementation of COTIF 1980 in the UK.</w:t>
      </w:r>
      <w:r w:rsidRPr="00805C53">
        <w:rPr>
          <w:rFonts w:ascii="Garamond" w:hAnsi="Garamond" w:cs="Futura"/>
          <w:sz w:val="20"/>
          <w:szCs w:val="20"/>
        </w:rPr>
        <w:t xml:space="preserve"> The 1980 version of COTIF was given effect in the UK by the International Transport Conventions Act 1983 (‘1983 Act’). </w:t>
      </w:r>
      <w:r w:rsidRPr="0002328A">
        <w:rPr>
          <w:rFonts w:ascii="Garamond" w:hAnsi="Garamond" w:cs="Futura"/>
          <w:sz w:val="20"/>
          <w:szCs w:val="20"/>
        </w:rPr>
        <w:t>However the 1983 Act is not sufficiently flexible to deal with implementation of the more fluid 1999 version of COTIF.</w:t>
      </w:r>
      <w:r w:rsidRPr="00805C53">
        <w:rPr>
          <w:rFonts w:ascii="Garamond" w:hAnsi="Garamond" w:cs="Futura"/>
          <w:sz w:val="20"/>
          <w:szCs w:val="20"/>
        </w:rPr>
        <w:t xml:space="preserve"> In particular the 1983 Act’s provision that </w:t>
      </w:r>
      <w:r w:rsidRPr="0002328A">
        <w:rPr>
          <w:rFonts w:ascii="Garamond" w:hAnsi="Garamond" w:cs="Futura"/>
          <w:i/>
          <w:sz w:val="20"/>
          <w:szCs w:val="20"/>
        </w:rPr>
        <w:t>any</w:t>
      </w:r>
      <w:r w:rsidRPr="00805C53">
        <w:rPr>
          <w:rFonts w:ascii="Garamond" w:hAnsi="Garamond" w:cs="Futura"/>
          <w:sz w:val="20"/>
          <w:szCs w:val="20"/>
        </w:rPr>
        <w:t xml:space="preserve"> revisions to the Convention could only be brought into effect by Order in Council, upon a </w:t>
      </w:r>
      <w:r w:rsidRPr="0002328A">
        <w:rPr>
          <w:rFonts w:ascii="Garamond" w:hAnsi="Garamond" w:cs="Futura"/>
          <w:sz w:val="20"/>
          <w:szCs w:val="20"/>
        </w:rPr>
        <w:t>recommendation approved by resolution of both Houses of Parliament, is no longer appropriate given that COTIF 1999 is intended to be more of a living document undergoing frequent minor change through committee processes, for example to amend particular detailed technical standards.</w:t>
      </w:r>
    </w:p>
    <w:p w14:paraId="5C613C30" w14:textId="194EE0CC" w:rsidR="002F25E6" w:rsidRDefault="002F25E6" w:rsidP="00645477">
      <w:pPr>
        <w:contextualSpacing/>
        <w:rPr>
          <w:rFonts w:ascii="Garamond" w:hAnsi="Garamond" w:cs="Futura"/>
          <w:sz w:val="20"/>
          <w:szCs w:val="20"/>
        </w:rPr>
      </w:pPr>
    </w:p>
    <w:p w14:paraId="0212A00B" w14:textId="2E865C54" w:rsidR="002F25E6" w:rsidRPr="00805C53" w:rsidRDefault="002F25E6" w:rsidP="00645477">
      <w:pPr>
        <w:contextualSpacing/>
        <w:rPr>
          <w:rFonts w:ascii="Garamond" w:hAnsi="Garamond" w:cs="Futura"/>
          <w:sz w:val="20"/>
          <w:szCs w:val="20"/>
        </w:rPr>
      </w:pPr>
      <w:r w:rsidRPr="002F25E6">
        <w:rPr>
          <w:rFonts w:ascii="Garamond" w:hAnsi="Garamond" w:cs="Futura"/>
          <w:sz w:val="20"/>
          <w:szCs w:val="20"/>
        </w:rPr>
        <w:t xml:space="preserve">4.6. </w:t>
      </w:r>
      <w:r w:rsidRPr="00A2500B">
        <w:rPr>
          <w:rFonts w:ascii="Garamond" w:hAnsi="Garamond" w:cs="Futura"/>
          <w:sz w:val="20"/>
          <w:szCs w:val="20"/>
          <w:u w:val="single"/>
        </w:rPr>
        <w:t>Implementation of COTIF 1999 in the UK.</w:t>
      </w:r>
      <w:r w:rsidRPr="002F25E6">
        <w:rPr>
          <w:rFonts w:ascii="Garamond" w:hAnsi="Garamond" w:cs="Futura"/>
          <w:sz w:val="20"/>
          <w:szCs w:val="20"/>
        </w:rPr>
        <w:t xml:space="preserve"> </w:t>
      </w:r>
      <w:r w:rsidRPr="006924B3">
        <w:rPr>
          <w:rFonts w:ascii="Garamond" w:hAnsi="Garamond" w:cs="Futura"/>
          <w:sz w:val="20"/>
          <w:szCs w:val="20"/>
        </w:rPr>
        <w:t xml:space="preserve">The Government has therefore obtained new primary powers – in section 103 of the Railways and Transport </w:t>
      </w:r>
      <w:r w:rsidRPr="006924B3">
        <w:rPr>
          <w:rFonts w:ascii="Garamond" w:hAnsi="Garamond" w:cs="Futura"/>
          <w:sz w:val="20"/>
          <w:szCs w:val="20"/>
        </w:rPr>
        <w:lastRenderedPageBreak/>
        <w:t>Safety Act 2003 (‘</w:t>
      </w:r>
      <w:r w:rsidRPr="006A4E1D">
        <w:rPr>
          <w:rFonts w:ascii="Garamond" w:hAnsi="Garamond" w:cs="Futura"/>
          <w:sz w:val="20"/>
          <w:szCs w:val="20"/>
        </w:rPr>
        <w:t xml:space="preserve">2003 Act’) – to give effect to </w:t>
      </w:r>
      <w:r w:rsidR="00D60C66" w:rsidRPr="006A4E1D">
        <w:rPr>
          <w:rFonts w:ascii="Garamond" w:hAnsi="Garamond" w:cs="Futura"/>
          <w:sz w:val="20"/>
          <w:szCs w:val="20"/>
        </w:rPr>
        <w:t>[COTIF 1999]</w:t>
      </w:r>
      <w:r w:rsidRPr="006A4E1D">
        <w:rPr>
          <w:rFonts w:ascii="Garamond" w:hAnsi="Garamond" w:cs="Futura"/>
          <w:sz w:val="20"/>
          <w:szCs w:val="20"/>
        </w:rPr>
        <w:t xml:space="preserve"> by regulations, rather than relying on the 1983 Act. The 2003 Act makes provision for a reference </w:t>
      </w:r>
      <w:r w:rsidR="00D60C66" w:rsidRPr="006A4E1D">
        <w:rPr>
          <w:rFonts w:ascii="Garamond" w:hAnsi="Garamond" w:cs="Futura"/>
          <w:sz w:val="20"/>
          <w:szCs w:val="20"/>
        </w:rPr>
        <w:t>in such regulations to [</w:t>
      </w:r>
      <w:r w:rsidR="005969E8" w:rsidRPr="006A4E1D">
        <w:rPr>
          <w:rFonts w:ascii="Garamond" w:hAnsi="Garamond" w:cs="Futura"/>
          <w:sz w:val="20"/>
          <w:szCs w:val="20"/>
        </w:rPr>
        <w:t>COTIF</w:t>
      </w:r>
      <w:r w:rsidR="00D60C66" w:rsidRPr="006A4E1D">
        <w:rPr>
          <w:rFonts w:ascii="Garamond" w:hAnsi="Garamond" w:cs="Futura"/>
          <w:sz w:val="20"/>
          <w:szCs w:val="20"/>
        </w:rPr>
        <w:t xml:space="preserve"> 1999</w:t>
      </w:r>
      <w:r w:rsidR="005969E8" w:rsidRPr="006A4E1D">
        <w:rPr>
          <w:rFonts w:ascii="Garamond" w:hAnsi="Garamond" w:cs="Futura"/>
          <w:sz w:val="20"/>
          <w:szCs w:val="20"/>
        </w:rPr>
        <w:t>]</w:t>
      </w:r>
      <w:r w:rsidRPr="006A4E1D">
        <w:rPr>
          <w:rFonts w:ascii="Garamond" w:hAnsi="Garamond" w:cs="Futura"/>
          <w:sz w:val="20"/>
          <w:szCs w:val="20"/>
        </w:rPr>
        <w:t xml:space="preserve"> to be treated, following modification, as a reference to </w:t>
      </w:r>
      <w:r w:rsidR="005969E8" w:rsidRPr="006A4E1D">
        <w:rPr>
          <w:rFonts w:ascii="Garamond" w:hAnsi="Garamond" w:cs="Futura"/>
          <w:sz w:val="20"/>
          <w:szCs w:val="20"/>
        </w:rPr>
        <w:t>[COTIF</w:t>
      </w:r>
      <w:r w:rsidR="00D60C66" w:rsidRPr="006A4E1D">
        <w:rPr>
          <w:rFonts w:ascii="Garamond" w:hAnsi="Garamond" w:cs="Futura"/>
          <w:sz w:val="20"/>
          <w:szCs w:val="20"/>
        </w:rPr>
        <w:t xml:space="preserve"> 1999</w:t>
      </w:r>
      <w:r w:rsidR="005969E8" w:rsidRPr="006A4E1D">
        <w:rPr>
          <w:rFonts w:ascii="Garamond" w:hAnsi="Garamond" w:cs="Futura"/>
          <w:sz w:val="20"/>
          <w:szCs w:val="20"/>
        </w:rPr>
        <w:t>]</w:t>
      </w:r>
      <w:r w:rsidRPr="006A4E1D">
        <w:rPr>
          <w:rFonts w:ascii="Garamond" w:hAnsi="Garamond" w:cs="Futura"/>
          <w:sz w:val="20"/>
          <w:szCs w:val="20"/>
        </w:rPr>
        <w:t xml:space="preserve"> as so modified …</w:t>
      </w:r>
      <w:r w:rsidR="00A2500B">
        <w:rPr>
          <w:rStyle w:val="FootnoteReference"/>
          <w:rFonts w:ascii="Garamond" w:hAnsi="Garamond" w:cs="Futura"/>
          <w:sz w:val="20"/>
          <w:szCs w:val="20"/>
        </w:rPr>
        <w:footnoteReference w:id="65"/>
      </w:r>
    </w:p>
    <w:p w14:paraId="7F1375AC" w14:textId="3789E23A" w:rsidR="005B38F3" w:rsidRDefault="005B38F3" w:rsidP="00645477">
      <w:pPr>
        <w:contextualSpacing/>
        <w:rPr>
          <w:rFonts w:ascii="Garamond" w:hAnsi="Garamond" w:cs="Futura"/>
          <w:sz w:val="24"/>
        </w:rPr>
      </w:pPr>
    </w:p>
    <w:p w14:paraId="5DD8AAEF" w14:textId="1007E73D" w:rsidR="005636B8" w:rsidRPr="005B38F3" w:rsidRDefault="00916FEE" w:rsidP="005B38F3">
      <w:pPr>
        <w:ind w:firstLine="624"/>
        <w:contextualSpacing/>
        <w:rPr>
          <w:rFonts w:ascii="Garamond" w:hAnsi="Garamond" w:cs="Futura"/>
          <w:sz w:val="20"/>
          <w:szCs w:val="20"/>
        </w:rPr>
      </w:pPr>
      <w:r>
        <w:rPr>
          <w:rFonts w:ascii="Garamond" w:hAnsi="Garamond" w:cs="Futura"/>
          <w:sz w:val="24"/>
        </w:rPr>
        <w:t xml:space="preserve">A critic may wish to </w:t>
      </w:r>
      <w:r w:rsidR="00302ABA">
        <w:rPr>
          <w:rFonts w:ascii="Garamond" w:hAnsi="Garamond" w:cs="Futura"/>
          <w:sz w:val="24"/>
        </w:rPr>
        <w:t>deny</w:t>
      </w:r>
      <w:r w:rsidR="001C5A3D">
        <w:rPr>
          <w:rFonts w:ascii="Garamond" w:hAnsi="Garamond" w:cs="Futura"/>
          <w:sz w:val="24"/>
        </w:rPr>
        <w:t xml:space="preserve"> </w:t>
      </w:r>
      <w:r w:rsidR="00A37CA6">
        <w:rPr>
          <w:rFonts w:ascii="Garamond" w:hAnsi="Garamond" w:cs="Futura"/>
          <w:sz w:val="24"/>
        </w:rPr>
        <w:t>that</w:t>
      </w:r>
      <w:r w:rsidR="001C5A3D">
        <w:rPr>
          <w:rFonts w:ascii="Garamond" w:hAnsi="Garamond" w:cs="Futura"/>
          <w:sz w:val="24"/>
        </w:rPr>
        <w:t xml:space="preserve"> </w:t>
      </w:r>
      <w:r>
        <w:rPr>
          <w:rFonts w:ascii="Garamond" w:hAnsi="Garamond" w:cs="Futura"/>
          <w:sz w:val="24"/>
        </w:rPr>
        <w:t>COTIF’s implementing legislation establishes a</w:t>
      </w:r>
      <w:r w:rsidR="001C5A3D">
        <w:rPr>
          <w:rFonts w:ascii="Garamond" w:hAnsi="Garamond" w:cs="Futura"/>
          <w:sz w:val="24"/>
        </w:rPr>
        <w:t xml:space="preserve"> “direct” </w:t>
      </w:r>
      <w:r>
        <w:rPr>
          <w:rFonts w:ascii="Garamond" w:hAnsi="Garamond" w:cs="Futura"/>
          <w:sz w:val="24"/>
        </w:rPr>
        <w:t xml:space="preserve">source </w:t>
      </w:r>
      <w:r w:rsidR="007D3BF3">
        <w:rPr>
          <w:rFonts w:ascii="Garamond" w:hAnsi="Garamond" w:cs="Futura"/>
          <w:sz w:val="24"/>
        </w:rPr>
        <w:t xml:space="preserve">given </w:t>
      </w:r>
      <w:r>
        <w:rPr>
          <w:rFonts w:ascii="Garamond" w:hAnsi="Garamond" w:cs="Futura"/>
          <w:sz w:val="24"/>
        </w:rPr>
        <w:t>that</w:t>
      </w:r>
      <w:r w:rsidR="00C81B49">
        <w:rPr>
          <w:rFonts w:ascii="Garamond" w:hAnsi="Garamond" w:cs="Futura"/>
          <w:sz w:val="24"/>
        </w:rPr>
        <w:t xml:space="preserve"> </w:t>
      </w:r>
      <w:r w:rsidR="009B6F97">
        <w:rPr>
          <w:rFonts w:ascii="Garamond" w:hAnsi="Garamond" w:cs="Futura"/>
          <w:sz w:val="24"/>
        </w:rPr>
        <w:t xml:space="preserve">the legislative scheme depends on </w:t>
      </w:r>
      <w:r w:rsidR="007D3BF3">
        <w:rPr>
          <w:rFonts w:ascii="Garamond" w:hAnsi="Garamond" w:cs="Futura"/>
          <w:sz w:val="24"/>
        </w:rPr>
        <w:t>secondary legislation</w:t>
      </w:r>
      <w:r w:rsidR="00B312B7">
        <w:rPr>
          <w:rFonts w:ascii="Garamond" w:hAnsi="Garamond" w:cs="Futura"/>
          <w:sz w:val="24"/>
        </w:rPr>
        <w:t xml:space="preserve"> </w:t>
      </w:r>
      <w:r w:rsidR="007D3BF3">
        <w:rPr>
          <w:rFonts w:ascii="Garamond" w:hAnsi="Garamond" w:cs="Futura"/>
          <w:sz w:val="24"/>
        </w:rPr>
        <w:t>in the shape of the 2005 Regulations</w:t>
      </w:r>
      <w:r w:rsidR="00403746">
        <w:rPr>
          <w:rFonts w:ascii="Garamond" w:hAnsi="Garamond" w:cs="Futura"/>
          <w:sz w:val="24"/>
        </w:rPr>
        <w:t>.</w:t>
      </w:r>
      <w:r w:rsidR="00B312B7">
        <w:rPr>
          <w:rFonts w:ascii="Garamond" w:hAnsi="Garamond" w:cs="Futura"/>
          <w:sz w:val="24"/>
        </w:rPr>
        <w:t xml:space="preserve"> But this would be an arbitrary view.</w:t>
      </w:r>
      <w:r w:rsidR="00403746">
        <w:rPr>
          <w:rFonts w:ascii="Garamond" w:hAnsi="Garamond" w:cs="Futura"/>
          <w:sz w:val="24"/>
        </w:rPr>
        <w:t xml:space="preserve"> </w:t>
      </w:r>
      <w:r w:rsidR="00A37CA6">
        <w:rPr>
          <w:rFonts w:ascii="Garamond" w:hAnsi="Garamond" w:cs="Futura"/>
          <w:sz w:val="24"/>
        </w:rPr>
        <w:t>A</w:t>
      </w:r>
      <w:r w:rsidR="00403746">
        <w:rPr>
          <w:rFonts w:ascii="Garamond" w:hAnsi="Garamond" w:cs="Futura"/>
          <w:sz w:val="24"/>
        </w:rPr>
        <w:t xml:space="preserve">s the </w:t>
      </w:r>
      <w:r w:rsidR="00B312B7">
        <w:rPr>
          <w:rFonts w:ascii="Garamond" w:hAnsi="Garamond" w:cs="Futura"/>
          <w:sz w:val="24"/>
        </w:rPr>
        <w:t xml:space="preserve">above </w:t>
      </w:r>
      <w:r w:rsidR="00C81B49">
        <w:rPr>
          <w:rFonts w:ascii="Garamond" w:hAnsi="Garamond" w:cs="Futura"/>
          <w:sz w:val="24"/>
        </w:rPr>
        <w:t>excerpt</w:t>
      </w:r>
      <w:r w:rsidR="00216D43">
        <w:rPr>
          <w:rFonts w:ascii="Garamond" w:hAnsi="Garamond" w:cs="Futura"/>
          <w:sz w:val="24"/>
        </w:rPr>
        <w:t xml:space="preserve"> </w:t>
      </w:r>
      <w:r w:rsidR="00B312B7">
        <w:rPr>
          <w:rFonts w:ascii="Garamond" w:hAnsi="Garamond" w:cs="Futura"/>
          <w:sz w:val="24"/>
        </w:rPr>
        <w:t>shows</w:t>
      </w:r>
      <w:r w:rsidR="00216D43">
        <w:rPr>
          <w:rFonts w:ascii="Garamond" w:hAnsi="Garamond" w:cs="Futura"/>
          <w:sz w:val="24"/>
        </w:rPr>
        <w:t xml:space="preserve">, </w:t>
      </w:r>
      <w:r w:rsidR="00EB370D">
        <w:rPr>
          <w:rFonts w:ascii="Garamond" w:hAnsi="Garamond" w:cs="Futura"/>
          <w:sz w:val="24"/>
        </w:rPr>
        <w:t xml:space="preserve">it so happens that </w:t>
      </w:r>
      <w:r w:rsidR="00216D43">
        <w:rPr>
          <w:rFonts w:ascii="Garamond" w:hAnsi="Garamond" w:cs="Futura"/>
          <w:sz w:val="24"/>
        </w:rPr>
        <w:t xml:space="preserve">legislative implementation of </w:t>
      </w:r>
      <w:r w:rsidR="00980520">
        <w:rPr>
          <w:rFonts w:ascii="Garamond" w:hAnsi="Garamond" w:cs="Futura"/>
          <w:sz w:val="24"/>
        </w:rPr>
        <w:t xml:space="preserve">(the old) </w:t>
      </w:r>
      <w:r w:rsidR="00216D43">
        <w:rPr>
          <w:rFonts w:ascii="Garamond" w:hAnsi="Garamond" w:cs="Futura"/>
          <w:sz w:val="24"/>
        </w:rPr>
        <w:t xml:space="preserve">COTIF had previously been </w:t>
      </w:r>
      <w:r w:rsidR="00542920">
        <w:rPr>
          <w:rFonts w:ascii="Garamond" w:hAnsi="Garamond" w:cs="Futura"/>
          <w:sz w:val="24"/>
        </w:rPr>
        <w:t>achieved</w:t>
      </w:r>
      <w:r w:rsidR="00216D43">
        <w:rPr>
          <w:rFonts w:ascii="Garamond" w:hAnsi="Garamond" w:cs="Futura"/>
          <w:sz w:val="24"/>
        </w:rPr>
        <w:t xml:space="preserve"> </w:t>
      </w:r>
      <w:r w:rsidR="005C38E4">
        <w:rPr>
          <w:rFonts w:ascii="Garamond" w:hAnsi="Garamond" w:cs="Futura"/>
          <w:sz w:val="24"/>
        </w:rPr>
        <w:t xml:space="preserve">solely </w:t>
      </w:r>
      <w:r w:rsidR="00B312B7">
        <w:rPr>
          <w:rFonts w:ascii="Garamond" w:hAnsi="Garamond" w:cs="Futura"/>
          <w:sz w:val="24"/>
        </w:rPr>
        <w:t>by</w:t>
      </w:r>
      <w:r w:rsidR="00216D43">
        <w:rPr>
          <w:rFonts w:ascii="Garamond" w:hAnsi="Garamond" w:cs="Futura"/>
          <w:sz w:val="24"/>
        </w:rPr>
        <w:t xml:space="preserve"> primary legislation</w:t>
      </w:r>
      <w:r w:rsidR="00101508">
        <w:rPr>
          <w:rFonts w:ascii="Garamond" w:hAnsi="Garamond" w:cs="Futura"/>
          <w:sz w:val="24"/>
        </w:rPr>
        <w:t xml:space="preserve"> – </w:t>
      </w:r>
      <w:r w:rsidR="00542920">
        <w:rPr>
          <w:rFonts w:ascii="Garamond" w:hAnsi="Garamond" w:cs="Futura"/>
          <w:sz w:val="24"/>
        </w:rPr>
        <w:t xml:space="preserve">namely, s.1(3) of </w:t>
      </w:r>
      <w:r w:rsidR="00216D43">
        <w:rPr>
          <w:rFonts w:ascii="Garamond" w:hAnsi="Garamond" w:cs="Futura"/>
          <w:sz w:val="24"/>
        </w:rPr>
        <w:t xml:space="preserve">the </w:t>
      </w:r>
      <w:r w:rsidR="00216D43" w:rsidRPr="00216D43">
        <w:rPr>
          <w:rFonts w:ascii="Garamond" w:hAnsi="Garamond" w:cs="Futura"/>
          <w:sz w:val="24"/>
        </w:rPr>
        <w:t>International Transport Conventions Act 1983</w:t>
      </w:r>
      <w:r w:rsidR="00980520">
        <w:rPr>
          <w:rFonts w:ascii="Garamond" w:hAnsi="Garamond" w:cs="Futura"/>
          <w:sz w:val="24"/>
        </w:rPr>
        <w:t xml:space="preserve"> requiring that “judicial notice </w:t>
      </w:r>
      <w:r w:rsidR="00644E72">
        <w:rPr>
          <w:rFonts w:ascii="Garamond" w:hAnsi="Garamond" w:cs="Futura"/>
          <w:sz w:val="24"/>
        </w:rPr>
        <w:t>shall be taken of [the treaty] provisions as if they were contained in this Act”</w:t>
      </w:r>
      <w:r w:rsidR="00716768">
        <w:rPr>
          <w:rFonts w:ascii="Garamond" w:hAnsi="Garamond" w:cs="Futura"/>
          <w:sz w:val="24"/>
        </w:rPr>
        <w:t xml:space="preserve">. As the excerpt </w:t>
      </w:r>
      <w:r w:rsidR="00C47942">
        <w:rPr>
          <w:rFonts w:ascii="Garamond" w:hAnsi="Garamond" w:cs="Futura"/>
          <w:sz w:val="24"/>
        </w:rPr>
        <w:t xml:space="preserve">also </w:t>
      </w:r>
      <w:r w:rsidR="002B79FA">
        <w:rPr>
          <w:rFonts w:ascii="Garamond" w:hAnsi="Garamond" w:cs="Futura"/>
          <w:sz w:val="24"/>
        </w:rPr>
        <w:t>notes</w:t>
      </w:r>
      <w:r w:rsidR="00716768">
        <w:rPr>
          <w:rFonts w:ascii="Garamond" w:hAnsi="Garamond" w:cs="Futura"/>
          <w:sz w:val="24"/>
        </w:rPr>
        <w:t xml:space="preserve">, </w:t>
      </w:r>
      <w:r w:rsidR="002B79FA">
        <w:rPr>
          <w:rFonts w:ascii="Garamond" w:hAnsi="Garamond" w:cs="Futura"/>
          <w:sz w:val="24"/>
        </w:rPr>
        <w:t>the</w:t>
      </w:r>
      <w:r w:rsidR="00716768">
        <w:rPr>
          <w:rFonts w:ascii="Garamond" w:hAnsi="Garamond" w:cs="Futura"/>
          <w:sz w:val="24"/>
        </w:rPr>
        <w:t xml:space="preserve"> previous legislative scheme </w:t>
      </w:r>
      <w:r w:rsidR="00C47942">
        <w:rPr>
          <w:rFonts w:ascii="Garamond" w:hAnsi="Garamond" w:cs="Futura"/>
          <w:sz w:val="24"/>
        </w:rPr>
        <w:t xml:space="preserve">was replaced because it </w:t>
      </w:r>
      <w:r w:rsidR="007D3BF3">
        <w:rPr>
          <w:rFonts w:ascii="Garamond" w:hAnsi="Garamond" w:cs="Futura"/>
          <w:sz w:val="24"/>
        </w:rPr>
        <w:t>was</w:t>
      </w:r>
      <w:r w:rsidR="006C1955">
        <w:rPr>
          <w:rFonts w:ascii="Garamond" w:hAnsi="Garamond" w:cs="Futura"/>
          <w:sz w:val="24"/>
        </w:rPr>
        <w:t xml:space="preserve"> </w:t>
      </w:r>
      <w:r w:rsidR="00101508">
        <w:rPr>
          <w:rFonts w:ascii="Garamond" w:hAnsi="Garamond" w:cs="Futura"/>
          <w:sz w:val="24"/>
        </w:rPr>
        <w:t>less flexible</w:t>
      </w:r>
      <w:r w:rsidR="00015125">
        <w:rPr>
          <w:rFonts w:ascii="Garamond" w:hAnsi="Garamond" w:cs="Futura"/>
          <w:sz w:val="24"/>
        </w:rPr>
        <w:t>; it</w:t>
      </w:r>
      <w:r w:rsidR="00101508">
        <w:rPr>
          <w:rFonts w:ascii="Garamond" w:hAnsi="Garamond" w:cs="Futura"/>
          <w:sz w:val="24"/>
        </w:rPr>
        <w:t xml:space="preserve"> </w:t>
      </w:r>
      <w:r w:rsidR="00015125">
        <w:rPr>
          <w:rFonts w:ascii="Garamond" w:hAnsi="Garamond" w:cs="Futura"/>
          <w:sz w:val="24"/>
        </w:rPr>
        <w:t>stipulated</w:t>
      </w:r>
      <w:r w:rsidR="0012264B">
        <w:rPr>
          <w:rFonts w:ascii="Garamond" w:hAnsi="Garamond" w:cs="Futura"/>
          <w:sz w:val="24"/>
        </w:rPr>
        <w:t xml:space="preserve"> </w:t>
      </w:r>
      <w:r w:rsidR="00C47942">
        <w:rPr>
          <w:rFonts w:ascii="Garamond" w:hAnsi="Garamond" w:cs="Futura"/>
          <w:sz w:val="24"/>
        </w:rPr>
        <w:t xml:space="preserve">(under s.8 of the 1983 Act) </w:t>
      </w:r>
      <w:r w:rsidR="0012264B">
        <w:rPr>
          <w:rFonts w:ascii="Garamond" w:hAnsi="Garamond" w:cs="Futura"/>
          <w:sz w:val="24"/>
        </w:rPr>
        <w:t xml:space="preserve">that </w:t>
      </w:r>
      <w:r w:rsidR="00C52311">
        <w:rPr>
          <w:rFonts w:ascii="Garamond" w:hAnsi="Garamond" w:cs="Futura"/>
          <w:sz w:val="24"/>
        </w:rPr>
        <w:t>each</w:t>
      </w:r>
      <w:r w:rsidR="00A101E3">
        <w:rPr>
          <w:rFonts w:ascii="Garamond" w:hAnsi="Garamond" w:cs="Futura"/>
          <w:sz w:val="24"/>
        </w:rPr>
        <w:t xml:space="preserve"> </w:t>
      </w:r>
      <w:r w:rsidR="0012264B">
        <w:rPr>
          <w:rFonts w:ascii="Garamond" w:hAnsi="Garamond" w:cs="Futura"/>
          <w:sz w:val="24"/>
        </w:rPr>
        <w:t xml:space="preserve">treaty </w:t>
      </w:r>
      <w:r w:rsidR="00A101E3">
        <w:rPr>
          <w:rFonts w:ascii="Garamond" w:hAnsi="Garamond" w:cs="Futura"/>
          <w:sz w:val="24"/>
        </w:rPr>
        <w:t>revision only</w:t>
      </w:r>
      <w:r w:rsidR="0012264B">
        <w:rPr>
          <w:rFonts w:ascii="Garamond" w:hAnsi="Garamond" w:cs="Futura"/>
          <w:sz w:val="24"/>
        </w:rPr>
        <w:t xml:space="preserve"> t</w:t>
      </w:r>
      <w:r w:rsidR="00015125">
        <w:rPr>
          <w:rFonts w:ascii="Garamond" w:hAnsi="Garamond" w:cs="Futura"/>
          <w:sz w:val="24"/>
        </w:rPr>
        <w:t>ook</w:t>
      </w:r>
      <w:r w:rsidR="0012264B">
        <w:rPr>
          <w:rFonts w:ascii="Garamond" w:hAnsi="Garamond" w:cs="Futura"/>
          <w:sz w:val="24"/>
        </w:rPr>
        <w:t xml:space="preserve"> effect domestically </w:t>
      </w:r>
      <w:r w:rsidR="00A101E3">
        <w:rPr>
          <w:rFonts w:ascii="Garamond" w:hAnsi="Garamond" w:cs="Futura"/>
          <w:sz w:val="24"/>
        </w:rPr>
        <w:t xml:space="preserve">by means of a specific Order </w:t>
      </w:r>
      <w:r w:rsidR="001834DA">
        <w:rPr>
          <w:rFonts w:ascii="Garamond" w:hAnsi="Garamond" w:cs="Futura"/>
          <w:sz w:val="24"/>
        </w:rPr>
        <w:t>in Council.</w:t>
      </w:r>
      <w:r w:rsidR="006C1955">
        <w:rPr>
          <w:rFonts w:ascii="Garamond" w:hAnsi="Garamond" w:cs="Futura"/>
          <w:sz w:val="24"/>
        </w:rPr>
        <w:t xml:space="preserve"> </w:t>
      </w:r>
      <w:r w:rsidR="00B9579A">
        <w:rPr>
          <w:rFonts w:ascii="Garamond" w:hAnsi="Garamond" w:cs="Futura"/>
          <w:sz w:val="24"/>
        </w:rPr>
        <w:t>The</w:t>
      </w:r>
      <w:r w:rsidR="005636B8">
        <w:rPr>
          <w:rFonts w:ascii="Garamond" w:hAnsi="Garamond" w:cs="Futura"/>
          <w:sz w:val="24"/>
        </w:rPr>
        <w:t xml:space="preserve"> </w:t>
      </w:r>
      <w:r w:rsidR="00A52A13">
        <w:rPr>
          <w:rFonts w:ascii="Garamond" w:hAnsi="Garamond" w:cs="Futura"/>
          <w:sz w:val="24"/>
        </w:rPr>
        <w:t>current</w:t>
      </w:r>
      <w:r w:rsidR="005636B8">
        <w:rPr>
          <w:rFonts w:ascii="Garamond" w:hAnsi="Garamond" w:cs="Futura"/>
          <w:sz w:val="24"/>
        </w:rPr>
        <w:t xml:space="preserve"> </w:t>
      </w:r>
      <w:r w:rsidR="00B9579A">
        <w:rPr>
          <w:rFonts w:ascii="Garamond" w:hAnsi="Garamond" w:cs="Futura"/>
          <w:sz w:val="24"/>
        </w:rPr>
        <w:t xml:space="preserve">legislative </w:t>
      </w:r>
      <w:r w:rsidR="005636B8">
        <w:rPr>
          <w:rFonts w:ascii="Garamond" w:hAnsi="Garamond" w:cs="Futura"/>
          <w:sz w:val="24"/>
        </w:rPr>
        <w:t xml:space="preserve">scheme </w:t>
      </w:r>
      <w:r w:rsidR="006A23B5">
        <w:rPr>
          <w:rFonts w:ascii="Garamond" w:hAnsi="Garamond" w:cs="Futura"/>
          <w:sz w:val="24"/>
        </w:rPr>
        <w:t>gives</w:t>
      </w:r>
      <w:r w:rsidR="00B9579A">
        <w:rPr>
          <w:rFonts w:ascii="Garamond" w:hAnsi="Garamond" w:cs="Futura"/>
          <w:sz w:val="24"/>
        </w:rPr>
        <w:t xml:space="preserve"> effect to the up</w:t>
      </w:r>
      <w:r w:rsidR="00C169B8">
        <w:rPr>
          <w:rFonts w:ascii="Garamond" w:hAnsi="Garamond" w:cs="Futura"/>
          <w:sz w:val="24"/>
        </w:rPr>
        <w:t>dated and more fluid COTIF 1999</w:t>
      </w:r>
      <w:r w:rsidR="006A23B5">
        <w:rPr>
          <w:rFonts w:ascii="Garamond" w:hAnsi="Garamond" w:cs="Futura"/>
          <w:sz w:val="24"/>
        </w:rPr>
        <w:t xml:space="preserve"> and it </w:t>
      </w:r>
      <w:r w:rsidR="00C169B8">
        <w:rPr>
          <w:rFonts w:ascii="Garamond" w:hAnsi="Garamond" w:cs="Futura"/>
          <w:sz w:val="24"/>
        </w:rPr>
        <w:t xml:space="preserve">so </w:t>
      </w:r>
      <w:r w:rsidR="006A23B5">
        <w:rPr>
          <w:rFonts w:ascii="Garamond" w:hAnsi="Garamond" w:cs="Futura"/>
          <w:sz w:val="24"/>
        </w:rPr>
        <w:t xml:space="preserve">happens </w:t>
      </w:r>
      <w:r w:rsidR="00C169B8">
        <w:rPr>
          <w:rFonts w:ascii="Garamond" w:hAnsi="Garamond" w:cs="Futura"/>
          <w:sz w:val="24"/>
        </w:rPr>
        <w:t>that the scheme</w:t>
      </w:r>
      <w:r w:rsidR="006A23B5">
        <w:rPr>
          <w:rFonts w:ascii="Garamond" w:hAnsi="Garamond" w:cs="Futura"/>
          <w:sz w:val="24"/>
        </w:rPr>
        <w:t xml:space="preserve"> </w:t>
      </w:r>
      <w:r w:rsidR="00B9579A">
        <w:rPr>
          <w:rFonts w:ascii="Garamond" w:hAnsi="Garamond" w:cs="Futura"/>
          <w:sz w:val="24"/>
        </w:rPr>
        <w:t>combine</w:t>
      </w:r>
      <w:r w:rsidR="00C169B8">
        <w:rPr>
          <w:rFonts w:ascii="Garamond" w:hAnsi="Garamond" w:cs="Futura"/>
          <w:sz w:val="24"/>
        </w:rPr>
        <w:t>s</w:t>
      </w:r>
      <w:r w:rsidR="005636B8">
        <w:rPr>
          <w:rFonts w:ascii="Garamond" w:hAnsi="Garamond" w:cs="Futura"/>
          <w:sz w:val="24"/>
        </w:rPr>
        <w:t xml:space="preserve"> pri</w:t>
      </w:r>
      <w:r w:rsidR="006A23B5">
        <w:rPr>
          <w:rFonts w:ascii="Garamond" w:hAnsi="Garamond" w:cs="Futura"/>
          <w:sz w:val="24"/>
        </w:rPr>
        <w:t>mary and secondary legislation. Importantly,</w:t>
      </w:r>
      <w:r w:rsidR="00AA777F">
        <w:rPr>
          <w:rFonts w:ascii="Garamond" w:hAnsi="Garamond" w:cs="Futura"/>
          <w:sz w:val="24"/>
        </w:rPr>
        <w:t xml:space="preserve"> </w:t>
      </w:r>
      <w:r w:rsidR="00866D1F">
        <w:rPr>
          <w:rFonts w:ascii="Garamond" w:hAnsi="Garamond" w:cs="Futura"/>
          <w:sz w:val="24"/>
        </w:rPr>
        <w:t>t</w:t>
      </w:r>
      <w:r w:rsidR="00A52A13">
        <w:rPr>
          <w:rFonts w:ascii="Garamond" w:hAnsi="Garamond" w:cs="Futura"/>
          <w:sz w:val="24"/>
        </w:rPr>
        <w:t>he secondary legislation – the 2005 Regulations –</w:t>
      </w:r>
      <w:r w:rsidR="00F5587A">
        <w:rPr>
          <w:rFonts w:ascii="Garamond" w:hAnsi="Garamond" w:cs="Futura"/>
          <w:sz w:val="24"/>
        </w:rPr>
        <w:t xml:space="preserve"> </w:t>
      </w:r>
      <w:r w:rsidR="00A52A13">
        <w:rPr>
          <w:rFonts w:ascii="Garamond" w:hAnsi="Garamond" w:cs="Futura"/>
          <w:sz w:val="24"/>
        </w:rPr>
        <w:t xml:space="preserve">adopted under </w:t>
      </w:r>
      <w:r w:rsidR="00866D1F">
        <w:rPr>
          <w:rFonts w:ascii="Garamond" w:hAnsi="Garamond" w:cs="Futura"/>
          <w:sz w:val="24"/>
        </w:rPr>
        <w:t>s.103 of the 2003 A</w:t>
      </w:r>
      <w:r w:rsidR="00F5587A">
        <w:rPr>
          <w:rFonts w:ascii="Garamond" w:hAnsi="Garamond" w:cs="Futura"/>
          <w:sz w:val="24"/>
        </w:rPr>
        <w:t xml:space="preserve">ct </w:t>
      </w:r>
      <w:r w:rsidR="0080636B">
        <w:rPr>
          <w:rFonts w:ascii="Garamond" w:hAnsi="Garamond" w:cs="Futura"/>
          <w:sz w:val="24"/>
        </w:rPr>
        <w:t>is a general and</w:t>
      </w:r>
      <w:r w:rsidR="006A23B5">
        <w:rPr>
          <w:rFonts w:ascii="Garamond" w:hAnsi="Garamond" w:cs="Futura"/>
          <w:sz w:val="24"/>
        </w:rPr>
        <w:t xml:space="preserve"> </w:t>
      </w:r>
      <w:r w:rsidR="006A23B5" w:rsidRPr="0080636B">
        <w:rPr>
          <w:rFonts w:ascii="Garamond" w:hAnsi="Garamond" w:cs="Futura"/>
          <w:i/>
          <w:sz w:val="24"/>
        </w:rPr>
        <w:t>standing</w:t>
      </w:r>
      <w:r w:rsidR="006A23B5">
        <w:rPr>
          <w:rFonts w:ascii="Garamond" w:hAnsi="Garamond" w:cs="Futura"/>
          <w:sz w:val="24"/>
        </w:rPr>
        <w:t xml:space="preserve"> platform for giving effect to COTIF and </w:t>
      </w:r>
      <w:r w:rsidR="0080636B">
        <w:rPr>
          <w:rFonts w:ascii="Garamond" w:hAnsi="Garamond" w:cs="Futura"/>
          <w:sz w:val="24"/>
        </w:rPr>
        <w:t xml:space="preserve">the </w:t>
      </w:r>
      <w:r w:rsidR="006A23B5">
        <w:rPr>
          <w:rFonts w:ascii="Garamond" w:hAnsi="Garamond" w:cs="Futura"/>
          <w:sz w:val="24"/>
        </w:rPr>
        <w:t>various</w:t>
      </w:r>
      <w:r w:rsidR="0080636B">
        <w:rPr>
          <w:rFonts w:ascii="Garamond" w:hAnsi="Garamond" w:cs="Futura"/>
          <w:sz w:val="24"/>
        </w:rPr>
        <w:t xml:space="preserve"> rule changes that take place </w:t>
      </w:r>
      <w:r w:rsidR="006A23B5">
        <w:rPr>
          <w:rFonts w:ascii="Garamond" w:hAnsi="Garamond" w:cs="Futura"/>
          <w:sz w:val="24"/>
        </w:rPr>
        <w:t>under th</w:t>
      </w:r>
      <w:r w:rsidR="00C169B8">
        <w:rPr>
          <w:rFonts w:ascii="Garamond" w:hAnsi="Garamond" w:cs="Futura"/>
          <w:sz w:val="24"/>
        </w:rPr>
        <w:t>a</w:t>
      </w:r>
      <w:r w:rsidR="0080636B">
        <w:rPr>
          <w:rFonts w:ascii="Garamond" w:hAnsi="Garamond" w:cs="Futura"/>
          <w:sz w:val="24"/>
        </w:rPr>
        <w:t xml:space="preserve">t treaty. </w:t>
      </w:r>
      <w:r w:rsidR="008F1F74">
        <w:rPr>
          <w:rFonts w:ascii="Garamond" w:hAnsi="Garamond" w:cs="Futura"/>
          <w:sz w:val="24"/>
        </w:rPr>
        <w:t xml:space="preserve">It is </w:t>
      </w:r>
      <w:r w:rsidR="00C169B8">
        <w:rPr>
          <w:rFonts w:ascii="Garamond" w:hAnsi="Garamond" w:cs="Futura"/>
          <w:sz w:val="24"/>
        </w:rPr>
        <w:t>very different</w:t>
      </w:r>
      <w:r w:rsidR="0080636B">
        <w:rPr>
          <w:rFonts w:ascii="Garamond" w:hAnsi="Garamond" w:cs="Futura"/>
          <w:sz w:val="24"/>
        </w:rPr>
        <w:t xml:space="preserve"> </w:t>
      </w:r>
      <w:r w:rsidR="00C169B8">
        <w:rPr>
          <w:rFonts w:ascii="Garamond" w:hAnsi="Garamond" w:cs="Futura"/>
          <w:sz w:val="24"/>
        </w:rPr>
        <w:t>from the repeated enactment of specific implementing measures.</w:t>
      </w:r>
      <w:r w:rsidR="006A23B5">
        <w:rPr>
          <w:rFonts w:ascii="Garamond" w:hAnsi="Garamond" w:cs="Futura"/>
          <w:sz w:val="24"/>
        </w:rPr>
        <w:t xml:space="preserve"> Lastly, the 2005 Regulations are not easily disturbed. Their r</w:t>
      </w:r>
      <w:r w:rsidR="00866D1F">
        <w:rPr>
          <w:rFonts w:ascii="Garamond" w:hAnsi="Garamond" w:cs="Futura"/>
          <w:sz w:val="24"/>
        </w:rPr>
        <w:t>epeal would (</w:t>
      </w:r>
      <w:r w:rsidR="003B4CA8">
        <w:rPr>
          <w:rFonts w:ascii="Garamond" w:hAnsi="Garamond" w:cs="Futura"/>
          <w:sz w:val="24"/>
        </w:rPr>
        <w:t>according to</w:t>
      </w:r>
      <w:r w:rsidR="00866D1F">
        <w:rPr>
          <w:rFonts w:ascii="Garamond" w:hAnsi="Garamond" w:cs="Futura"/>
          <w:sz w:val="24"/>
        </w:rPr>
        <w:t xml:space="preserve"> s.14 of the Interpretation Act 1978) need to satisfy the affirmative procedure under s.103(5) of the 2003 Act requiring that the draft be “</w:t>
      </w:r>
      <w:r w:rsidR="00866D1F" w:rsidRPr="00A30F3D">
        <w:rPr>
          <w:rFonts w:ascii="Garamond" w:hAnsi="Garamond" w:cs="Futura"/>
          <w:sz w:val="24"/>
        </w:rPr>
        <w:t>laid before and approved by resolution of each House of Parliament</w:t>
      </w:r>
      <w:r w:rsidR="00866D1F">
        <w:rPr>
          <w:rFonts w:ascii="Garamond" w:hAnsi="Garamond" w:cs="Futura"/>
          <w:sz w:val="24"/>
        </w:rPr>
        <w:t>”</w:t>
      </w:r>
      <w:r w:rsidR="00507B02">
        <w:rPr>
          <w:rFonts w:ascii="Garamond" w:hAnsi="Garamond" w:cs="Futura"/>
          <w:sz w:val="24"/>
        </w:rPr>
        <w:t xml:space="preserve">. </w:t>
      </w:r>
    </w:p>
    <w:p w14:paraId="39759EF1" w14:textId="134DBB33" w:rsidR="006407C8" w:rsidRDefault="00F50D94" w:rsidP="00334BF6">
      <w:pPr>
        <w:ind w:firstLine="624"/>
        <w:contextualSpacing/>
        <w:rPr>
          <w:rFonts w:ascii="Garamond" w:hAnsi="Garamond" w:cs="Futura"/>
          <w:sz w:val="24"/>
        </w:rPr>
      </w:pPr>
      <w:r>
        <w:rPr>
          <w:rFonts w:ascii="Garamond" w:hAnsi="Garamond" w:cs="Futura"/>
          <w:sz w:val="24"/>
        </w:rPr>
        <w:t xml:space="preserve">Arguably, </w:t>
      </w:r>
      <w:r w:rsidR="008F1F74">
        <w:rPr>
          <w:rFonts w:ascii="Garamond" w:hAnsi="Garamond" w:cs="Futura"/>
          <w:sz w:val="24"/>
        </w:rPr>
        <w:t xml:space="preserve">then, </w:t>
      </w:r>
      <w:r w:rsidR="00F455EC">
        <w:rPr>
          <w:rFonts w:ascii="Garamond" w:hAnsi="Garamond" w:cs="Futura"/>
          <w:sz w:val="24"/>
        </w:rPr>
        <w:t xml:space="preserve">it would be a crudely formalistic reading of </w:t>
      </w:r>
      <w:r w:rsidR="00F455EC" w:rsidRPr="00F455EC">
        <w:rPr>
          <w:rFonts w:ascii="Garamond" w:hAnsi="Garamond" w:cs="Futura"/>
          <w:i/>
          <w:sz w:val="24"/>
        </w:rPr>
        <w:t>Miller</w:t>
      </w:r>
      <w:r w:rsidR="00F455EC">
        <w:rPr>
          <w:rFonts w:ascii="Garamond" w:hAnsi="Garamond" w:cs="Futura"/>
          <w:sz w:val="24"/>
        </w:rPr>
        <w:t xml:space="preserve"> </w:t>
      </w:r>
      <w:r>
        <w:rPr>
          <w:rFonts w:ascii="Garamond" w:hAnsi="Garamond" w:cs="Futura"/>
          <w:sz w:val="24"/>
        </w:rPr>
        <w:t>to</w:t>
      </w:r>
      <w:r w:rsidR="004E446F">
        <w:rPr>
          <w:rFonts w:ascii="Garamond" w:hAnsi="Garamond" w:cs="Futura"/>
          <w:sz w:val="24"/>
        </w:rPr>
        <w:t xml:space="preserve"> </w:t>
      </w:r>
      <w:r w:rsidR="008F0CC9">
        <w:rPr>
          <w:rFonts w:ascii="Garamond" w:hAnsi="Garamond" w:cs="Futura"/>
          <w:sz w:val="24"/>
        </w:rPr>
        <w:t>insist</w:t>
      </w:r>
      <w:r w:rsidR="004E446F">
        <w:rPr>
          <w:rFonts w:ascii="Garamond" w:hAnsi="Garamond" w:cs="Futura"/>
          <w:sz w:val="24"/>
        </w:rPr>
        <w:t xml:space="preserve"> that a treaty-based source is necessarily disqualified as “direct” if </w:t>
      </w:r>
      <w:r w:rsidR="00AC124C">
        <w:rPr>
          <w:rFonts w:ascii="Garamond" w:hAnsi="Garamond" w:cs="Futura"/>
          <w:sz w:val="24"/>
        </w:rPr>
        <w:t xml:space="preserve">the </w:t>
      </w:r>
      <w:r w:rsidR="00AC124C" w:rsidRPr="00F455EC">
        <w:rPr>
          <w:rFonts w:ascii="Garamond" w:hAnsi="Garamond" w:cs="Futura"/>
          <w:i/>
          <w:sz w:val="24"/>
        </w:rPr>
        <w:t>standing</w:t>
      </w:r>
      <w:r w:rsidR="00AC124C">
        <w:rPr>
          <w:rFonts w:ascii="Garamond" w:hAnsi="Garamond" w:cs="Futura"/>
          <w:sz w:val="24"/>
        </w:rPr>
        <w:t xml:space="preserve"> platform by which it </w:t>
      </w:r>
      <w:r w:rsidR="00F455EC">
        <w:rPr>
          <w:rFonts w:ascii="Garamond" w:hAnsi="Garamond" w:cs="Futura"/>
          <w:sz w:val="24"/>
        </w:rPr>
        <w:t>is established</w:t>
      </w:r>
      <w:r w:rsidR="00AC124C">
        <w:rPr>
          <w:rFonts w:ascii="Garamond" w:hAnsi="Garamond" w:cs="Futura"/>
          <w:sz w:val="24"/>
        </w:rPr>
        <w:t xml:space="preserve"> </w:t>
      </w:r>
      <w:r w:rsidR="00F455EC">
        <w:rPr>
          <w:rFonts w:ascii="Garamond" w:hAnsi="Garamond" w:cs="Futura"/>
          <w:sz w:val="24"/>
        </w:rPr>
        <w:t>happens to be</w:t>
      </w:r>
      <w:r w:rsidR="004E446F">
        <w:rPr>
          <w:rFonts w:ascii="Garamond" w:hAnsi="Garamond" w:cs="Futura"/>
          <w:sz w:val="24"/>
        </w:rPr>
        <w:t xml:space="preserve"> </w:t>
      </w:r>
      <w:r>
        <w:rPr>
          <w:rFonts w:ascii="Garamond" w:hAnsi="Garamond" w:cs="Futura"/>
          <w:sz w:val="24"/>
        </w:rPr>
        <w:t>secondary legislatio</w:t>
      </w:r>
      <w:r w:rsidR="00F455EC">
        <w:rPr>
          <w:rFonts w:ascii="Garamond" w:hAnsi="Garamond" w:cs="Futura"/>
          <w:sz w:val="24"/>
        </w:rPr>
        <w:t>n</w:t>
      </w:r>
      <w:r w:rsidR="004E446F">
        <w:rPr>
          <w:rFonts w:ascii="Garamond" w:hAnsi="Garamond" w:cs="Futura"/>
          <w:sz w:val="24"/>
        </w:rPr>
        <w:t xml:space="preserve">. </w:t>
      </w:r>
      <w:r w:rsidR="00AF1922">
        <w:rPr>
          <w:rFonts w:ascii="Garamond" w:hAnsi="Garamond" w:cs="Futura"/>
          <w:sz w:val="24"/>
        </w:rPr>
        <w:t xml:space="preserve">Indeed, given the growth in </w:t>
      </w:r>
      <w:r w:rsidR="00F455EC">
        <w:rPr>
          <w:rFonts w:ascii="Garamond" w:hAnsi="Garamond" w:cs="Futura"/>
          <w:sz w:val="24"/>
        </w:rPr>
        <w:t>secondary legislation</w:t>
      </w:r>
      <w:r w:rsidR="00AF1922">
        <w:rPr>
          <w:rFonts w:ascii="Garamond" w:hAnsi="Garamond" w:cs="Futura"/>
          <w:sz w:val="24"/>
        </w:rPr>
        <w:t xml:space="preserve"> it would be </w:t>
      </w:r>
      <w:r w:rsidR="00F455EC">
        <w:rPr>
          <w:rFonts w:ascii="Garamond" w:hAnsi="Garamond" w:cs="Futura"/>
          <w:sz w:val="24"/>
        </w:rPr>
        <w:t>odd</w:t>
      </w:r>
      <w:r w:rsidR="00AF1922">
        <w:rPr>
          <w:rFonts w:ascii="Garamond" w:hAnsi="Garamond" w:cs="Futura"/>
          <w:sz w:val="24"/>
        </w:rPr>
        <w:t xml:space="preserve"> </w:t>
      </w:r>
      <w:r w:rsidR="00F455EC">
        <w:rPr>
          <w:rFonts w:ascii="Garamond" w:hAnsi="Garamond" w:cs="Futura"/>
          <w:sz w:val="24"/>
        </w:rPr>
        <w:t>to restrict the implications</w:t>
      </w:r>
      <w:r w:rsidR="00AF1922">
        <w:rPr>
          <w:rFonts w:ascii="Garamond" w:hAnsi="Garamond" w:cs="Futura"/>
          <w:sz w:val="24"/>
        </w:rPr>
        <w:t xml:space="preserve"> of </w:t>
      </w:r>
      <w:r w:rsidR="00AF1922" w:rsidRPr="0096756A">
        <w:rPr>
          <w:rFonts w:ascii="Garamond" w:hAnsi="Garamond" w:cs="Futura"/>
          <w:i/>
          <w:sz w:val="24"/>
        </w:rPr>
        <w:t>Miller</w:t>
      </w:r>
      <w:r w:rsidR="00AF1922">
        <w:rPr>
          <w:rFonts w:ascii="Garamond" w:hAnsi="Garamond" w:cs="Futura"/>
          <w:sz w:val="24"/>
        </w:rPr>
        <w:t xml:space="preserve"> </w:t>
      </w:r>
      <w:r w:rsidR="00F455EC">
        <w:rPr>
          <w:rFonts w:ascii="Garamond" w:hAnsi="Garamond" w:cs="Futura"/>
          <w:sz w:val="24"/>
        </w:rPr>
        <w:t xml:space="preserve">only to </w:t>
      </w:r>
      <w:r w:rsidR="00AF1922">
        <w:rPr>
          <w:rFonts w:ascii="Garamond" w:hAnsi="Garamond" w:cs="Futura"/>
          <w:sz w:val="24"/>
        </w:rPr>
        <w:t xml:space="preserve">standing platforms under </w:t>
      </w:r>
      <w:r w:rsidR="00AF1922" w:rsidRPr="00B63AF9">
        <w:rPr>
          <w:rFonts w:ascii="Garamond" w:hAnsi="Garamond" w:cs="Futura"/>
          <w:sz w:val="24"/>
        </w:rPr>
        <w:t>primary</w:t>
      </w:r>
      <w:r w:rsidR="00AF1922">
        <w:rPr>
          <w:rFonts w:ascii="Garamond" w:hAnsi="Garamond" w:cs="Futura"/>
          <w:sz w:val="24"/>
        </w:rPr>
        <w:t xml:space="preserve"> legislation. </w:t>
      </w:r>
      <w:r w:rsidR="000B625A">
        <w:rPr>
          <w:rFonts w:ascii="Garamond" w:hAnsi="Garamond" w:cs="Futura"/>
          <w:sz w:val="24"/>
        </w:rPr>
        <w:t xml:space="preserve">The better view is </w:t>
      </w:r>
      <w:r w:rsidR="000E3E09">
        <w:rPr>
          <w:rFonts w:ascii="Garamond" w:hAnsi="Garamond" w:cs="Futura"/>
          <w:sz w:val="24"/>
        </w:rPr>
        <w:t>that</w:t>
      </w:r>
      <w:r w:rsidR="007C769F">
        <w:rPr>
          <w:rFonts w:ascii="Garamond" w:hAnsi="Garamond" w:cs="Futura"/>
          <w:sz w:val="24"/>
        </w:rPr>
        <w:t xml:space="preserve">, </w:t>
      </w:r>
      <w:r>
        <w:rPr>
          <w:rFonts w:ascii="Garamond" w:hAnsi="Garamond" w:cs="Futura"/>
          <w:sz w:val="24"/>
        </w:rPr>
        <w:t>practically</w:t>
      </w:r>
      <w:r w:rsidR="000B625A">
        <w:rPr>
          <w:rFonts w:ascii="Garamond" w:hAnsi="Garamond" w:cs="Futura"/>
          <w:sz w:val="24"/>
        </w:rPr>
        <w:t xml:space="preserve"> speaking,</w:t>
      </w:r>
      <w:r>
        <w:rPr>
          <w:rFonts w:ascii="Garamond" w:hAnsi="Garamond" w:cs="Futura"/>
          <w:sz w:val="24"/>
        </w:rPr>
        <w:t xml:space="preserve"> </w:t>
      </w:r>
      <w:r w:rsidR="007C769F">
        <w:rPr>
          <w:rFonts w:ascii="Garamond" w:hAnsi="Garamond" w:cs="Futura"/>
          <w:sz w:val="24"/>
        </w:rPr>
        <w:t xml:space="preserve">what counts </w:t>
      </w:r>
      <w:r w:rsidR="00F5587A">
        <w:rPr>
          <w:rFonts w:ascii="Garamond" w:hAnsi="Garamond" w:cs="Futura"/>
          <w:sz w:val="24"/>
        </w:rPr>
        <w:t xml:space="preserve">is the establishment of a </w:t>
      </w:r>
      <w:r w:rsidR="007C769F">
        <w:rPr>
          <w:rFonts w:ascii="Garamond" w:hAnsi="Garamond" w:cs="Futura"/>
          <w:sz w:val="24"/>
        </w:rPr>
        <w:t xml:space="preserve">functionally </w:t>
      </w:r>
      <w:r w:rsidR="00E70C75">
        <w:rPr>
          <w:rFonts w:ascii="Garamond" w:hAnsi="Garamond" w:cs="Futura"/>
          <w:sz w:val="24"/>
        </w:rPr>
        <w:t xml:space="preserve">“direct” </w:t>
      </w:r>
      <w:r>
        <w:rPr>
          <w:rFonts w:ascii="Garamond" w:hAnsi="Garamond" w:cs="Futura"/>
          <w:sz w:val="24"/>
        </w:rPr>
        <w:t>legislative platform</w:t>
      </w:r>
      <w:r w:rsidR="00F5587A">
        <w:rPr>
          <w:rFonts w:ascii="Garamond" w:hAnsi="Garamond" w:cs="Futura"/>
          <w:sz w:val="24"/>
        </w:rPr>
        <w:t xml:space="preserve">. </w:t>
      </w:r>
      <w:r w:rsidR="00254131">
        <w:rPr>
          <w:rFonts w:ascii="Garamond" w:hAnsi="Garamond" w:cs="Futura"/>
          <w:sz w:val="24"/>
        </w:rPr>
        <w:t xml:space="preserve">COTIF is an interesting case study </w:t>
      </w:r>
      <w:r w:rsidR="00EC0FD4">
        <w:rPr>
          <w:rFonts w:ascii="Garamond" w:hAnsi="Garamond" w:cs="Futura"/>
          <w:sz w:val="24"/>
        </w:rPr>
        <w:t xml:space="preserve">in this respect </w:t>
      </w:r>
      <w:r w:rsidR="00254131">
        <w:rPr>
          <w:rFonts w:ascii="Garamond" w:hAnsi="Garamond" w:cs="Futura"/>
          <w:sz w:val="24"/>
        </w:rPr>
        <w:t xml:space="preserve">because it suggests that legislative schemes </w:t>
      </w:r>
      <w:r w:rsidR="00254131">
        <w:rPr>
          <w:rFonts w:ascii="Garamond" w:hAnsi="Garamond" w:cs="Futura"/>
          <w:sz w:val="24"/>
        </w:rPr>
        <w:lastRenderedPageBreak/>
        <w:t xml:space="preserve">may </w:t>
      </w:r>
      <w:r w:rsidR="00EC0FD4">
        <w:rPr>
          <w:rFonts w:ascii="Garamond" w:hAnsi="Garamond" w:cs="Futura"/>
          <w:sz w:val="24"/>
        </w:rPr>
        <w:t>establish</w:t>
      </w:r>
      <w:r w:rsidR="00254131">
        <w:rPr>
          <w:rFonts w:ascii="Garamond" w:hAnsi="Garamond" w:cs="Futura"/>
          <w:sz w:val="24"/>
        </w:rPr>
        <w:t xml:space="preserve"> a treaty-based source as “direct” </w:t>
      </w:r>
      <w:r w:rsidR="00AA421D">
        <w:rPr>
          <w:rFonts w:ascii="Garamond" w:hAnsi="Garamond" w:cs="Futura"/>
          <w:sz w:val="24"/>
        </w:rPr>
        <w:t>through a combination of</w:t>
      </w:r>
      <w:r w:rsidR="007C769F">
        <w:rPr>
          <w:rFonts w:ascii="Garamond" w:hAnsi="Garamond" w:cs="Futura"/>
          <w:sz w:val="24"/>
        </w:rPr>
        <w:t xml:space="preserve"> primary and secondary legislation</w:t>
      </w:r>
      <w:r w:rsidR="00254131">
        <w:rPr>
          <w:rFonts w:ascii="Garamond" w:hAnsi="Garamond" w:cs="Futura"/>
          <w:sz w:val="24"/>
        </w:rPr>
        <w:t xml:space="preserve">. </w:t>
      </w:r>
      <w:r w:rsidR="00AA421D">
        <w:rPr>
          <w:rFonts w:ascii="Garamond" w:hAnsi="Garamond" w:cs="Futura"/>
          <w:sz w:val="24"/>
        </w:rPr>
        <w:t>The 2005 Regulations</w:t>
      </w:r>
      <w:r w:rsidR="00AF1922">
        <w:rPr>
          <w:rFonts w:ascii="Garamond" w:hAnsi="Garamond" w:cs="Futura"/>
          <w:sz w:val="24"/>
        </w:rPr>
        <w:t>, adopted under the 2003 Act,</w:t>
      </w:r>
      <w:r w:rsidR="00F5587A">
        <w:rPr>
          <w:rFonts w:ascii="Garamond" w:hAnsi="Garamond" w:cs="Futura"/>
          <w:sz w:val="24"/>
        </w:rPr>
        <w:t xml:space="preserve"> give</w:t>
      </w:r>
      <w:r w:rsidR="001D318B">
        <w:rPr>
          <w:rFonts w:ascii="Garamond" w:hAnsi="Garamond" w:cs="Futura"/>
          <w:sz w:val="24"/>
        </w:rPr>
        <w:t xml:space="preserve"> effect to COTIF </w:t>
      </w:r>
      <w:r w:rsidR="00EC0FD4">
        <w:rPr>
          <w:rFonts w:ascii="Garamond" w:hAnsi="Garamond" w:cs="Futura"/>
          <w:sz w:val="24"/>
        </w:rPr>
        <w:t>(and all the various rule changes under that treaty)</w:t>
      </w:r>
      <w:r w:rsidR="004D351E">
        <w:rPr>
          <w:rFonts w:ascii="Garamond" w:hAnsi="Garamond" w:cs="Futura"/>
          <w:sz w:val="24"/>
        </w:rPr>
        <w:t xml:space="preserve"> </w:t>
      </w:r>
      <w:r w:rsidR="00F5587A">
        <w:rPr>
          <w:rFonts w:ascii="Garamond" w:hAnsi="Garamond" w:cs="Futura"/>
          <w:sz w:val="24"/>
        </w:rPr>
        <w:t>dir</w:t>
      </w:r>
      <w:r w:rsidR="000926AB">
        <w:rPr>
          <w:rFonts w:ascii="Garamond" w:hAnsi="Garamond" w:cs="Futura"/>
          <w:sz w:val="24"/>
        </w:rPr>
        <w:t xml:space="preserve">ectly </w:t>
      </w:r>
      <w:r w:rsidR="00254131">
        <w:rPr>
          <w:rFonts w:ascii="Garamond" w:hAnsi="Garamond" w:cs="Futura"/>
          <w:sz w:val="24"/>
        </w:rPr>
        <w:t xml:space="preserve">and automatically, </w:t>
      </w:r>
      <w:r w:rsidR="000926AB">
        <w:rPr>
          <w:rFonts w:ascii="Garamond" w:hAnsi="Garamond" w:cs="Futura"/>
          <w:sz w:val="24"/>
        </w:rPr>
        <w:t xml:space="preserve">and </w:t>
      </w:r>
      <w:r w:rsidR="00CF122A">
        <w:rPr>
          <w:rFonts w:ascii="Garamond" w:hAnsi="Garamond" w:cs="Futura"/>
          <w:sz w:val="24"/>
        </w:rPr>
        <w:t>represent</w:t>
      </w:r>
      <w:r w:rsidR="000926AB">
        <w:rPr>
          <w:rFonts w:ascii="Garamond" w:hAnsi="Garamond" w:cs="Futura"/>
          <w:sz w:val="24"/>
        </w:rPr>
        <w:t xml:space="preserve"> a standing </w:t>
      </w:r>
      <w:r w:rsidR="00F5587A">
        <w:rPr>
          <w:rFonts w:ascii="Garamond" w:hAnsi="Garamond" w:cs="Futura"/>
          <w:sz w:val="24"/>
        </w:rPr>
        <w:t xml:space="preserve">platform that </w:t>
      </w:r>
      <w:r w:rsidR="00837D41">
        <w:rPr>
          <w:rFonts w:ascii="Garamond" w:hAnsi="Garamond" w:cs="Futura"/>
          <w:sz w:val="24"/>
        </w:rPr>
        <w:t>can</w:t>
      </w:r>
      <w:r w:rsidR="00F5587A">
        <w:rPr>
          <w:rFonts w:ascii="Garamond" w:hAnsi="Garamond" w:cs="Futura"/>
          <w:sz w:val="24"/>
        </w:rPr>
        <w:t xml:space="preserve"> only be repealed if each House of Parliament</w:t>
      </w:r>
      <w:r w:rsidR="000926AB">
        <w:rPr>
          <w:rFonts w:ascii="Garamond" w:hAnsi="Garamond" w:cs="Futura"/>
          <w:sz w:val="24"/>
        </w:rPr>
        <w:t xml:space="preserve"> </w:t>
      </w:r>
      <w:r w:rsidR="00837D41">
        <w:rPr>
          <w:rFonts w:ascii="Garamond" w:hAnsi="Garamond" w:cs="Futura"/>
          <w:sz w:val="24"/>
        </w:rPr>
        <w:t>approves</w:t>
      </w:r>
      <w:r w:rsidR="00F5587A">
        <w:rPr>
          <w:rFonts w:ascii="Garamond" w:hAnsi="Garamond" w:cs="Futura"/>
          <w:sz w:val="24"/>
        </w:rPr>
        <w:t>.</w:t>
      </w:r>
    </w:p>
    <w:p w14:paraId="58947BF5" w14:textId="77777777" w:rsidR="00831C10" w:rsidRDefault="00831C10" w:rsidP="00F16FB0">
      <w:pPr>
        <w:contextualSpacing/>
        <w:rPr>
          <w:rFonts w:ascii="Garamond" w:hAnsi="Garamond" w:cs="Futura"/>
          <w:sz w:val="24"/>
        </w:rPr>
      </w:pPr>
    </w:p>
    <w:p w14:paraId="7534ED21" w14:textId="77777777" w:rsidR="0043799B" w:rsidRPr="008E7422" w:rsidRDefault="0043799B" w:rsidP="0043799B">
      <w:pPr>
        <w:contextualSpacing/>
        <w:jc w:val="center"/>
        <w:rPr>
          <w:rFonts w:ascii="Garamond" w:hAnsi="Garamond" w:cs="Futura"/>
          <w:b/>
          <w:i/>
          <w:sz w:val="24"/>
        </w:rPr>
      </w:pPr>
      <w:r w:rsidRPr="008E7422">
        <w:rPr>
          <w:rFonts w:ascii="Garamond" w:hAnsi="Garamond" w:cs="Futura"/>
          <w:b/>
          <w:i/>
          <w:sz w:val="24"/>
        </w:rPr>
        <w:t>“Dynamic”</w:t>
      </w:r>
    </w:p>
    <w:p w14:paraId="0A79F6F7" w14:textId="77777777" w:rsidR="0043799B" w:rsidRDefault="0043799B" w:rsidP="0043799B">
      <w:pPr>
        <w:contextualSpacing/>
        <w:rPr>
          <w:rFonts w:ascii="Garamond" w:hAnsi="Garamond" w:cs="Futura"/>
          <w:sz w:val="24"/>
        </w:rPr>
      </w:pPr>
    </w:p>
    <w:p w14:paraId="46F8BB90" w14:textId="214FCA62" w:rsidR="000A1E33" w:rsidRDefault="001876BD" w:rsidP="001B02FA">
      <w:pPr>
        <w:contextualSpacing/>
        <w:rPr>
          <w:rFonts w:ascii="Garamond" w:hAnsi="Garamond" w:cs="Futura"/>
          <w:sz w:val="24"/>
        </w:rPr>
      </w:pPr>
      <w:r>
        <w:rPr>
          <w:rFonts w:ascii="Garamond" w:hAnsi="Garamond" w:cs="Futura"/>
          <w:sz w:val="24"/>
        </w:rPr>
        <w:t xml:space="preserve">In </w:t>
      </w:r>
      <w:r w:rsidRPr="001876BD">
        <w:rPr>
          <w:rFonts w:ascii="Garamond" w:hAnsi="Garamond" w:cs="Futura"/>
          <w:i/>
          <w:sz w:val="24"/>
        </w:rPr>
        <w:t>Miller</w:t>
      </w:r>
      <w:r>
        <w:rPr>
          <w:rFonts w:ascii="Garamond" w:hAnsi="Garamond" w:cs="Futura"/>
          <w:sz w:val="24"/>
        </w:rPr>
        <w:t xml:space="preserve"> the term “dynamic” describe</w:t>
      </w:r>
      <w:r w:rsidR="002A7716">
        <w:rPr>
          <w:rFonts w:ascii="Garamond" w:hAnsi="Garamond" w:cs="Futura"/>
          <w:sz w:val="24"/>
        </w:rPr>
        <w:t>d</w:t>
      </w:r>
      <w:r>
        <w:rPr>
          <w:rFonts w:ascii="Garamond" w:hAnsi="Garamond" w:cs="Futura"/>
          <w:sz w:val="24"/>
        </w:rPr>
        <w:t xml:space="preserve"> the changeable quality</w:t>
      </w:r>
      <w:r w:rsidR="006E4B7A">
        <w:rPr>
          <w:rFonts w:ascii="Garamond" w:hAnsi="Garamond" w:cs="Futura"/>
          <w:sz w:val="24"/>
        </w:rPr>
        <w:t xml:space="preserve"> of EU law</w:t>
      </w:r>
      <w:r w:rsidR="007B031C">
        <w:rPr>
          <w:rFonts w:ascii="Garamond" w:hAnsi="Garamond" w:cs="Futura"/>
          <w:sz w:val="24"/>
        </w:rPr>
        <w:t xml:space="preserve">. </w:t>
      </w:r>
      <w:r w:rsidR="00F31BF3">
        <w:rPr>
          <w:rFonts w:ascii="Garamond" w:hAnsi="Garamond" w:cs="Futura"/>
          <w:sz w:val="24"/>
        </w:rPr>
        <w:t>Again,</w:t>
      </w:r>
      <w:r w:rsidR="006E0CBD">
        <w:rPr>
          <w:rFonts w:ascii="Garamond" w:hAnsi="Garamond" w:cs="Futura"/>
          <w:sz w:val="24"/>
        </w:rPr>
        <w:t xml:space="preserve"> </w:t>
      </w:r>
      <w:r w:rsidR="0044322F">
        <w:rPr>
          <w:rFonts w:ascii="Garamond" w:hAnsi="Garamond" w:cs="Futura"/>
          <w:sz w:val="24"/>
        </w:rPr>
        <w:t xml:space="preserve">to grasp the contours of this property </w:t>
      </w:r>
      <w:r w:rsidR="0094331E">
        <w:rPr>
          <w:rFonts w:ascii="Garamond" w:hAnsi="Garamond" w:cs="Futura"/>
          <w:sz w:val="24"/>
        </w:rPr>
        <w:t>w</w:t>
      </w:r>
      <w:r w:rsidR="00CE6E31">
        <w:rPr>
          <w:rFonts w:ascii="Garamond" w:hAnsi="Garamond" w:cs="Futura"/>
          <w:sz w:val="24"/>
        </w:rPr>
        <w:t xml:space="preserve">e </w:t>
      </w:r>
      <w:r w:rsidR="00F31BF3">
        <w:rPr>
          <w:rFonts w:ascii="Garamond" w:hAnsi="Garamond" w:cs="Futura"/>
          <w:sz w:val="24"/>
        </w:rPr>
        <w:t xml:space="preserve">should </w:t>
      </w:r>
      <w:r w:rsidR="0044322F">
        <w:rPr>
          <w:rFonts w:ascii="Garamond" w:hAnsi="Garamond" w:cs="Futura"/>
          <w:sz w:val="24"/>
        </w:rPr>
        <w:t>begin</w:t>
      </w:r>
      <w:r w:rsidR="00F31BF3">
        <w:rPr>
          <w:rFonts w:ascii="Garamond" w:hAnsi="Garamond" w:cs="Futura"/>
          <w:sz w:val="24"/>
        </w:rPr>
        <w:t xml:space="preserve"> by examining EU law</w:t>
      </w:r>
      <w:r w:rsidR="0030253E">
        <w:rPr>
          <w:rFonts w:ascii="Garamond" w:hAnsi="Garamond" w:cs="Futura"/>
          <w:sz w:val="24"/>
        </w:rPr>
        <w:t xml:space="preserve"> before turning to</w:t>
      </w:r>
      <w:r w:rsidR="00B103AB">
        <w:rPr>
          <w:rFonts w:ascii="Garamond" w:hAnsi="Garamond" w:cs="Futura"/>
          <w:sz w:val="24"/>
        </w:rPr>
        <w:t xml:space="preserve"> </w:t>
      </w:r>
      <w:r w:rsidR="0030253E">
        <w:rPr>
          <w:rFonts w:ascii="Garamond" w:hAnsi="Garamond" w:cs="Futura"/>
          <w:sz w:val="24"/>
        </w:rPr>
        <w:t>assess</w:t>
      </w:r>
      <w:r w:rsidR="000A1E33">
        <w:rPr>
          <w:rFonts w:ascii="Garamond" w:hAnsi="Garamond" w:cs="Futura"/>
          <w:sz w:val="24"/>
        </w:rPr>
        <w:t xml:space="preserve"> the implications</w:t>
      </w:r>
      <w:r w:rsidR="00F0144E">
        <w:rPr>
          <w:rFonts w:ascii="Garamond" w:hAnsi="Garamond" w:cs="Futura"/>
          <w:sz w:val="24"/>
        </w:rPr>
        <w:t xml:space="preserve"> for other treaty-based sources</w:t>
      </w:r>
      <w:r w:rsidR="00A5451E">
        <w:rPr>
          <w:rFonts w:ascii="Garamond" w:hAnsi="Garamond" w:cs="Futura"/>
          <w:sz w:val="24"/>
        </w:rPr>
        <w:t xml:space="preserve"> such as </w:t>
      </w:r>
      <w:r w:rsidR="00B103AB">
        <w:rPr>
          <w:rFonts w:ascii="Garamond" w:hAnsi="Garamond" w:cs="Futura"/>
          <w:sz w:val="24"/>
        </w:rPr>
        <w:t>COTIF.</w:t>
      </w:r>
    </w:p>
    <w:p w14:paraId="3DC43924" w14:textId="4F48E85B" w:rsidR="005A5161" w:rsidRDefault="005E1B42" w:rsidP="000A1E33">
      <w:pPr>
        <w:ind w:firstLine="624"/>
        <w:contextualSpacing/>
        <w:rPr>
          <w:rFonts w:ascii="Garamond" w:hAnsi="Garamond" w:cs="Futura"/>
          <w:sz w:val="24"/>
        </w:rPr>
      </w:pPr>
      <w:r>
        <w:rPr>
          <w:rFonts w:ascii="Garamond" w:hAnsi="Garamond" w:cs="Futura"/>
          <w:sz w:val="24"/>
        </w:rPr>
        <w:t>A notable feature of EU law is t</w:t>
      </w:r>
      <w:r w:rsidR="00024D76">
        <w:rPr>
          <w:rFonts w:ascii="Garamond" w:hAnsi="Garamond" w:cs="Futura"/>
          <w:sz w:val="24"/>
        </w:rPr>
        <w:t xml:space="preserve">he </w:t>
      </w:r>
      <w:r w:rsidR="005D111E">
        <w:rPr>
          <w:rFonts w:ascii="Garamond" w:hAnsi="Garamond" w:cs="Futura"/>
          <w:sz w:val="24"/>
        </w:rPr>
        <w:t xml:space="preserve">regular </w:t>
      </w:r>
      <w:r w:rsidR="0058667D">
        <w:rPr>
          <w:rFonts w:ascii="Garamond" w:hAnsi="Garamond" w:cs="Futura"/>
          <w:sz w:val="24"/>
        </w:rPr>
        <w:t>production</w:t>
      </w:r>
      <w:r w:rsidR="005D111E">
        <w:rPr>
          <w:rFonts w:ascii="Garamond" w:hAnsi="Garamond" w:cs="Futura"/>
          <w:sz w:val="24"/>
        </w:rPr>
        <w:t xml:space="preserve"> of </w:t>
      </w:r>
      <w:r w:rsidR="006E4B7A">
        <w:rPr>
          <w:rFonts w:ascii="Garamond" w:hAnsi="Garamond" w:cs="Futura"/>
          <w:sz w:val="24"/>
        </w:rPr>
        <w:t xml:space="preserve">EU </w:t>
      </w:r>
      <w:r w:rsidR="005D111E">
        <w:rPr>
          <w:rFonts w:ascii="Garamond" w:hAnsi="Garamond" w:cs="Futura"/>
          <w:sz w:val="24"/>
        </w:rPr>
        <w:t xml:space="preserve">legislative acts </w:t>
      </w:r>
      <w:r w:rsidR="00D23CAF">
        <w:rPr>
          <w:rFonts w:ascii="Garamond" w:hAnsi="Garamond" w:cs="Futura"/>
          <w:sz w:val="24"/>
        </w:rPr>
        <w:t>–</w:t>
      </w:r>
      <w:r w:rsidR="00AC0835">
        <w:rPr>
          <w:rFonts w:ascii="Garamond" w:hAnsi="Garamond" w:cs="Futura"/>
          <w:sz w:val="24"/>
        </w:rPr>
        <w:t xml:space="preserve"> R</w:t>
      </w:r>
      <w:r w:rsidR="00D23CAF">
        <w:rPr>
          <w:rFonts w:ascii="Garamond" w:hAnsi="Garamond" w:cs="Futura"/>
          <w:sz w:val="24"/>
        </w:rPr>
        <w:t xml:space="preserve">egulations, </w:t>
      </w:r>
      <w:r w:rsidR="00AC0835">
        <w:rPr>
          <w:rFonts w:ascii="Garamond" w:hAnsi="Garamond" w:cs="Futura"/>
          <w:sz w:val="24"/>
        </w:rPr>
        <w:t>Directives and D</w:t>
      </w:r>
      <w:r w:rsidR="00D23CAF">
        <w:rPr>
          <w:rFonts w:ascii="Garamond" w:hAnsi="Garamond" w:cs="Futura"/>
          <w:sz w:val="24"/>
        </w:rPr>
        <w:t>ecisions</w:t>
      </w:r>
      <w:r w:rsidR="008F64A2">
        <w:rPr>
          <w:rFonts w:ascii="Garamond" w:hAnsi="Garamond" w:cs="Futura"/>
          <w:sz w:val="24"/>
        </w:rPr>
        <w:t xml:space="preserve"> (Article 288 TFEU)</w:t>
      </w:r>
      <w:r w:rsidR="00D23CAF">
        <w:rPr>
          <w:rFonts w:ascii="Garamond" w:hAnsi="Garamond" w:cs="Futura"/>
          <w:sz w:val="24"/>
        </w:rPr>
        <w:t xml:space="preserve"> – </w:t>
      </w:r>
      <w:r w:rsidR="00024D76">
        <w:rPr>
          <w:rFonts w:ascii="Garamond" w:hAnsi="Garamond" w:cs="Futura"/>
          <w:sz w:val="24"/>
        </w:rPr>
        <w:t>by means of</w:t>
      </w:r>
      <w:r w:rsidR="008F64A2">
        <w:rPr>
          <w:rFonts w:ascii="Garamond" w:hAnsi="Garamond" w:cs="Futura"/>
          <w:sz w:val="24"/>
        </w:rPr>
        <w:t xml:space="preserve"> </w:t>
      </w:r>
      <w:r w:rsidR="00CE793D">
        <w:rPr>
          <w:rFonts w:ascii="Garamond" w:hAnsi="Garamond" w:cs="Futura"/>
          <w:sz w:val="24"/>
        </w:rPr>
        <w:t xml:space="preserve">stipulated </w:t>
      </w:r>
      <w:r w:rsidR="0058667D">
        <w:rPr>
          <w:rFonts w:ascii="Garamond" w:hAnsi="Garamond" w:cs="Futura"/>
          <w:sz w:val="24"/>
        </w:rPr>
        <w:t xml:space="preserve">legislative </w:t>
      </w:r>
      <w:r w:rsidR="008F64A2">
        <w:rPr>
          <w:rFonts w:ascii="Garamond" w:hAnsi="Garamond" w:cs="Futura"/>
          <w:sz w:val="24"/>
        </w:rPr>
        <w:t xml:space="preserve">procedures </w:t>
      </w:r>
      <w:r w:rsidR="00B614B0">
        <w:rPr>
          <w:rFonts w:ascii="Garamond" w:hAnsi="Garamond" w:cs="Futura"/>
          <w:sz w:val="24"/>
        </w:rPr>
        <w:t>(Article 289 TFEU)</w:t>
      </w:r>
      <w:r w:rsidR="009B56B3">
        <w:rPr>
          <w:rFonts w:ascii="Garamond" w:hAnsi="Garamond" w:cs="Futura"/>
          <w:sz w:val="24"/>
        </w:rPr>
        <w:t xml:space="preserve">. </w:t>
      </w:r>
      <w:r w:rsidR="002E2B5C">
        <w:rPr>
          <w:rFonts w:ascii="Garamond" w:hAnsi="Garamond" w:cs="Futura"/>
          <w:sz w:val="24"/>
        </w:rPr>
        <w:t>At a more basic level</w:t>
      </w:r>
      <w:r w:rsidR="00DF094C">
        <w:rPr>
          <w:rFonts w:ascii="Garamond" w:hAnsi="Garamond" w:cs="Futura"/>
          <w:sz w:val="24"/>
        </w:rPr>
        <w:t>,</w:t>
      </w:r>
      <w:r w:rsidR="005D405A">
        <w:rPr>
          <w:rFonts w:ascii="Garamond" w:hAnsi="Garamond" w:cs="Futura"/>
          <w:sz w:val="24"/>
        </w:rPr>
        <w:t xml:space="preserve"> </w:t>
      </w:r>
      <w:r w:rsidR="00B614B0">
        <w:rPr>
          <w:rFonts w:ascii="Garamond" w:hAnsi="Garamond" w:cs="Futura"/>
          <w:sz w:val="24"/>
        </w:rPr>
        <w:t xml:space="preserve">EU law is </w:t>
      </w:r>
      <w:r w:rsidR="009B56B3">
        <w:rPr>
          <w:rFonts w:ascii="Garamond" w:hAnsi="Garamond" w:cs="Futura"/>
          <w:sz w:val="24"/>
        </w:rPr>
        <w:t>dynamic</w:t>
      </w:r>
      <w:r w:rsidR="00B614B0">
        <w:rPr>
          <w:rFonts w:ascii="Garamond" w:hAnsi="Garamond" w:cs="Futura"/>
          <w:sz w:val="24"/>
        </w:rPr>
        <w:t xml:space="preserve"> in that </w:t>
      </w:r>
      <w:r w:rsidR="00E956E8">
        <w:rPr>
          <w:rFonts w:ascii="Garamond" w:hAnsi="Garamond" w:cs="Futura"/>
          <w:sz w:val="24"/>
        </w:rPr>
        <w:t xml:space="preserve">the content of </w:t>
      </w:r>
      <w:r w:rsidR="00E956E8" w:rsidRPr="001852B1">
        <w:rPr>
          <w:rFonts w:ascii="Garamond" w:hAnsi="Garamond" w:cs="Futura"/>
          <w:i/>
          <w:sz w:val="24"/>
        </w:rPr>
        <w:t xml:space="preserve">treaty </w:t>
      </w:r>
      <w:r w:rsidR="00DF094C" w:rsidRPr="00DF094C">
        <w:rPr>
          <w:rFonts w:ascii="Garamond" w:hAnsi="Garamond" w:cs="Futura"/>
          <w:sz w:val="24"/>
        </w:rPr>
        <w:t>requirements</w:t>
      </w:r>
      <w:r w:rsidR="00E37759">
        <w:rPr>
          <w:rFonts w:ascii="Garamond" w:hAnsi="Garamond" w:cs="Futura"/>
          <w:sz w:val="24"/>
        </w:rPr>
        <w:t xml:space="preserve"> may </w:t>
      </w:r>
      <w:r w:rsidR="00B76619">
        <w:rPr>
          <w:rFonts w:ascii="Garamond" w:hAnsi="Garamond" w:cs="Futura"/>
          <w:sz w:val="24"/>
        </w:rPr>
        <w:t>change</w:t>
      </w:r>
      <w:r w:rsidR="005D405A">
        <w:rPr>
          <w:rFonts w:ascii="Garamond" w:hAnsi="Garamond" w:cs="Futura"/>
          <w:sz w:val="24"/>
        </w:rPr>
        <w:t xml:space="preserve"> </w:t>
      </w:r>
      <w:r w:rsidR="003619EA">
        <w:rPr>
          <w:rFonts w:ascii="Garamond" w:hAnsi="Garamond" w:cs="Futura"/>
          <w:sz w:val="24"/>
        </w:rPr>
        <w:t xml:space="preserve">– e.g. </w:t>
      </w:r>
      <w:r w:rsidR="006721E5">
        <w:rPr>
          <w:rFonts w:ascii="Garamond" w:hAnsi="Garamond" w:cs="Futura"/>
          <w:sz w:val="24"/>
        </w:rPr>
        <w:t>in light of</w:t>
      </w:r>
      <w:r w:rsidR="003619EA">
        <w:rPr>
          <w:rFonts w:ascii="Garamond" w:hAnsi="Garamond" w:cs="Futura"/>
          <w:sz w:val="24"/>
        </w:rPr>
        <w:t xml:space="preserve"> </w:t>
      </w:r>
      <w:r w:rsidR="00E81745">
        <w:rPr>
          <w:rFonts w:ascii="Garamond" w:hAnsi="Garamond" w:cs="Futura"/>
          <w:sz w:val="24"/>
        </w:rPr>
        <w:t>the Court of Justice’s</w:t>
      </w:r>
      <w:r w:rsidR="00B61D12">
        <w:rPr>
          <w:rFonts w:ascii="Garamond" w:hAnsi="Garamond" w:cs="Futura"/>
          <w:sz w:val="24"/>
        </w:rPr>
        <w:t xml:space="preserve"> </w:t>
      </w:r>
      <w:r w:rsidR="003619EA">
        <w:rPr>
          <w:rFonts w:ascii="Garamond" w:hAnsi="Garamond" w:cs="Futura"/>
          <w:sz w:val="24"/>
        </w:rPr>
        <w:t xml:space="preserve">developing </w:t>
      </w:r>
      <w:r w:rsidR="00B61D12">
        <w:rPr>
          <w:rFonts w:ascii="Garamond" w:hAnsi="Garamond" w:cs="Futura"/>
          <w:sz w:val="24"/>
        </w:rPr>
        <w:t>case law</w:t>
      </w:r>
      <w:r w:rsidR="001D35A0">
        <w:rPr>
          <w:rFonts w:ascii="Garamond" w:hAnsi="Garamond" w:cs="Futura"/>
          <w:sz w:val="24"/>
        </w:rPr>
        <w:t xml:space="preserve">. </w:t>
      </w:r>
      <w:r w:rsidR="006721E5">
        <w:rPr>
          <w:rFonts w:ascii="Garamond" w:hAnsi="Garamond" w:cs="Futura"/>
          <w:sz w:val="24"/>
        </w:rPr>
        <w:t>Consider the</w:t>
      </w:r>
      <w:r w:rsidR="001D35A0">
        <w:rPr>
          <w:rFonts w:ascii="Garamond" w:hAnsi="Garamond" w:cs="Futura"/>
          <w:sz w:val="24"/>
        </w:rPr>
        <w:t xml:space="preserve"> </w:t>
      </w:r>
      <w:r w:rsidR="001F62FA">
        <w:rPr>
          <w:rFonts w:ascii="Garamond" w:hAnsi="Garamond" w:cs="Futura"/>
          <w:sz w:val="24"/>
        </w:rPr>
        <w:t>treaty provisions</w:t>
      </w:r>
      <w:r w:rsidR="008426B7">
        <w:rPr>
          <w:rFonts w:ascii="Garamond" w:hAnsi="Garamond" w:cs="Futura"/>
          <w:sz w:val="24"/>
        </w:rPr>
        <w:t xml:space="preserve"> </w:t>
      </w:r>
      <w:r w:rsidR="006721E5">
        <w:rPr>
          <w:rFonts w:ascii="Garamond" w:hAnsi="Garamond" w:cs="Futura"/>
          <w:sz w:val="24"/>
        </w:rPr>
        <w:t>concerning</w:t>
      </w:r>
      <w:r w:rsidR="008426B7">
        <w:rPr>
          <w:rFonts w:ascii="Garamond" w:hAnsi="Garamond" w:cs="Futura"/>
          <w:sz w:val="24"/>
        </w:rPr>
        <w:t xml:space="preserve"> the </w:t>
      </w:r>
      <w:r w:rsidR="006721E5">
        <w:rPr>
          <w:rFonts w:ascii="Garamond" w:hAnsi="Garamond" w:cs="Futura"/>
          <w:sz w:val="24"/>
        </w:rPr>
        <w:t xml:space="preserve">completion of the </w:t>
      </w:r>
      <w:r w:rsidR="008426B7">
        <w:rPr>
          <w:rFonts w:ascii="Garamond" w:hAnsi="Garamond" w:cs="Futura"/>
          <w:sz w:val="24"/>
        </w:rPr>
        <w:t>internal market</w:t>
      </w:r>
      <w:r w:rsidR="003619EA">
        <w:rPr>
          <w:rFonts w:ascii="Garamond" w:hAnsi="Garamond" w:cs="Futura"/>
          <w:sz w:val="24"/>
        </w:rPr>
        <w:t xml:space="preserve">, such as </w:t>
      </w:r>
      <w:r w:rsidR="00C54634">
        <w:rPr>
          <w:rFonts w:ascii="Garamond" w:hAnsi="Garamond" w:cs="Futura"/>
          <w:sz w:val="24"/>
        </w:rPr>
        <w:t xml:space="preserve">Article 34 TFEU </w:t>
      </w:r>
      <w:r w:rsidR="00683000">
        <w:rPr>
          <w:rFonts w:ascii="Garamond" w:hAnsi="Garamond" w:cs="Futura"/>
          <w:sz w:val="24"/>
        </w:rPr>
        <w:t>providing</w:t>
      </w:r>
      <w:r w:rsidR="001F62FA">
        <w:rPr>
          <w:rFonts w:ascii="Garamond" w:hAnsi="Garamond" w:cs="Futura"/>
          <w:sz w:val="24"/>
        </w:rPr>
        <w:t xml:space="preserve"> that </w:t>
      </w:r>
      <w:r w:rsidR="00C54634">
        <w:rPr>
          <w:rFonts w:ascii="Garamond" w:hAnsi="Garamond" w:cs="Futura"/>
          <w:sz w:val="24"/>
        </w:rPr>
        <w:t>“</w:t>
      </w:r>
      <w:r w:rsidR="001F62FA">
        <w:rPr>
          <w:rFonts w:ascii="Garamond" w:hAnsi="Garamond" w:cs="Futura"/>
          <w:sz w:val="24"/>
        </w:rPr>
        <w:t>[q]</w:t>
      </w:r>
      <w:r w:rsidR="00C54634" w:rsidRPr="00C54634">
        <w:rPr>
          <w:rFonts w:ascii="Garamond" w:hAnsi="Garamond" w:cs="Futura"/>
          <w:sz w:val="24"/>
        </w:rPr>
        <w:t>uantitative restrictions on imports and all measures having equivalent effect shall be p</w:t>
      </w:r>
      <w:r w:rsidR="00C54634">
        <w:rPr>
          <w:rFonts w:ascii="Garamond" w:hAnsi="Garamond" w:cs="Futura"/>
          <w:sz w:val="24"/>
        </w:rPr>
        <w:t>rohibited between Member States”.</w:t>
      </w:r>
      <w:r w:rsidR="007519A2">
        <w:rPr>
          <w:rFonts w:ascii="Garamond" w:hAnsi="Garamond" w:cs="Futura"/>
          <w:sz w:val="24"/>
        </w:rPr>
        <w:t xml:space="preserve"> The </w:t>
      </w:r>
      <w:r w:rsidR="00683000">
        <w:rPr>
          <w:rFonts w:ascii="Garamond" w:hAnsi="Garamond" w:cs="Futura"/>
          <w:sz w:val="24"/>
        </w:rPr>
        <w:t>range</w:t>
      </w:r>
      <w:r w:rsidR="004855D8">
        <w:rPr>
          <w:rFonts w:ascii="Garamond" w:hAnsi="Garamond" w:cs="Futura"/>
          <w:sz w:val="24"/>
        </w:rPr>
        <w:t xml:space="preserve"> of </w:t>
      </w:r>
      <w:r w:rsidR="005D75B9">
        <w:rPr>
          <w:rFonts w:ascii="Garamond" w:hAnsi="Garamond" w:cs="Futura"/>
          <w:sz w:val="24"/>
        </w:rPr>
        <w:t>domestic</w:t>
      </w:r>
      <w:r w:rsidR="007519A2">
        <w:rPr>
          <w:rFonts w:ascii="Garamond" w:hAnsi="Garamond" w:cs="Futura"/>
          <w:sz w:val="24"/>
        </w:rPr>
        <w:t xml:space="preserve"> measures </w:t>
      </w:r>
      <w:r w:rsidR="004855D8">
        <w:rPr>
          <w:rFonts w:ascii="Garamond" w:hAnsi="Garamond" w:cs="Futura"/>
          <w:sz w:val="24"/>
        </w:rPr>
        <w:t xml:space="preserve">having </w:t>
      </w:r>
      <w:r w:rsidR="007519A2">
        <w:rPr>
          <w:rFonts w:ascii="Garamond" w:hAnsi="Garamond" w:cs="Futura"/>
          <w:sz w:val="24"/>
        </w:rPr>
        <w:t xml:space="preserve">equivalent effect to quantitative restrictions </w:t>
      </w:r>
      <w:r w:rsidR="004855D8">
        <w:rPr>
          <w:rFonts w:ascii="Garamond" w:hAnsi="Garamond" w:cs="Futura"/>
          <w:sz w:val="24"/>
        </w:rPr>
        <w:t>on imports</w:t>
      </w:r>
      <w:r w:rsidR="006F3AD3">
        <w:rPr>
          <w:rFonts w:ascii="Garamond" w:hAnsi="Garamond" w:cs="Futura"/>
          <w:sz w:val="24"/>
        </w:rPr>
        <w:t xml:space="preserve"> </w:t>
      </w:r>
      <w:r w:rsidR="00683000">
        <w:rPr>
          <w:rFonts w:ascii="Garamond" w:hAnsi="Garamond" w:cs="Futura"/>
          <w:sz w:val="24"/>
        </w:rPr>
        <w:t>has</w:t>
      </w:r>
      <w:r w:rsidR="007519A2">
        <w:rPr>
          <w:rFonts w:ascii="Garamond" w:hAnsi="Garamond" w:cs="Futura"/>
          <w:sz w:val="24"/>
        </w:rPr>
        <w:t xml:space="preserve"> changed over time</w:t>
      </w:r>
      <w:r w:rsidR="00E81745">
        <w:rPr>
          <w:rFonts w:ascii="Garamond" w:hAnsi="Garamond" w:cs="Futura"/>
          <w:sz w:val="24"/>
        </w:rPr>
        <w:t xml:space="preserve"> in light of changing constructions of Article 34, </w:t>
      </w:r>
      <w:r w:rsidR="003619EA">
        <w:rPr>
          <w:rFonts w:ascii="Garamond" w:hAnsi="Garamond" w:cs="Futura"/>
          <w:sz w:val="24"/>
        </w:rPr>
        <w:t xml:space="preserve">and </w:t>
      </w:r>
      <w:r w:rsidR="00E81745">
        <w:rPr>
          <w:rFonts w:ascii="Garamond" w:hAnsi="Garamond" w:cs="Futura"/>
          <w:sz w:val="24"/>
        </w:rPr>
        <w:t>with significant implications for the</w:t>
      </w:r>
      <w:r w:rsidR="001431C0">
        <w:rPr>
          <w:rFonts w:ascii="Garamond" w:hAnsi="Garamond" w:cs="Futura"/>
          <w:sz w:val="24"/>
        </w:rPr>
        <w:t xml:space="preserve"> </w:t>
      </w:r>
      <w:r w:rsidR="00E81745">
        <w:rPr>
          <w:rFonts w:ascii="Garamond" w:hAnsi="Garamond" w:cs="Futura"/>
          <w:sz w:val="24"/>
        </w:rPr>
        <w:t>internal market.</w:t>
      </w:r>
      <w:r w:rsidR="00E20AC2">
        <w:rPr>
          <w:rStyle w:val="FootnoteReference"/>
          <w:rFonts w:ascii="Garamond" w:hAnsi="Garamond" w:cs="Futura"/>
          <w:sz w:val="24"/>
        </w:rPr>
        <w:footnoteReference w:id="66"/>
      </w:r>
      <w:r w:rsidR="0019792D">
        <w:rPr>
          <w:rFonts w:ascii="Garamond" w:hAnsi="Garamond" w:cs="Futura"/>
          <w:sz w:val="24"/>
        </w:rPr>
        <w:t xml:space="preserve"> </w:t>
      </w:r>
      <w:r w:rsidR="008E7D39">
        <w:rPr>
          <w:rFonts w:ascii="Garamond" w:hAnsi="Garamond" w:cs="Futura"/>
          <w:sz w:val="24"/>
        </w:rPr>
        <w:t xml:space="preserve">This </w:t>
      </w:r>
      <w:r w:rsidR="00BC30E9">
        <w:rPr>
          <w:rFonts w:ascii="Garamond" w:hAnsi="Garamond" w:cs="Futura"/>
          <w:sz w:val="24"/>
        </w:rPr>
        <w:t xml:space="preserve">would </w:t>
      </w:r>
      <w:r w:rsidR="00085127">
        <w:rPr>
          <w:rFonts w:ascii="Garamond" w:hAnsi="Garamond" w:cs="Futura"/>
          <w:sz w:val="24"/>
        </w:rPr>
        <w:t>suggest</w:t>
      </w:r>
      <w:r w:rsidR="008E7D39">
        <w:rPr>
          <w:rFonts w:ascii="Garamond" w:hAnsi="Garamond" w:cs="Futura"/>
          <w:sz w:val="24"/>
        </w:rPr>
        <w:t xml:space="preserve"> that </w:t>
      </w:r>
      <w:r w:rsidR="001431C0">
        <w:rPr>
          <w:rFonts w:ascii="Garamond" w:hAnsi="Garamond" w:cs="Futura"/>
          <w:sz w:val="24"/>
        </w:rPr>
        <w:t>c</w:t>
      </w:r>
      <w:r w:rsidR="0019792D">
        <w:rPr>
          <w:rFonts w:ascii="Garamond" w:hAnsi="Garamond" w:cs="Futura"/>
          <w:sz w:val="24"/>
        </w:rPr>
        <w:t xml:space="preserve">hangeable treaty requirements </w:t>
      </w:r>
      <w:r w:rsidR="00085127">
        <w:rPr>
          <w:rFonts w:ascii="Garamond" w:hAnsi="Garamond" w:cs="Futura"/>
          <w:sz w:val="24"/>
        </w:rPr>
        <w:t>may be treated as an</w:t>
      </w:r>
      <w:r w:rsidR="0019792D">
        <w:rPr>
          <w:rFonts w:ascii="Garamond" w:hAnsi="Garamond" w:cs="Futura"/>
          <w:sz w:val="24"/>
        </w:rPr>
        <w:t xml:space="preserve"> important </w:t>
      </w:r>
      <w:r w:rsidR="008E7D39">
        <w:rPr>
          <w:rFonts w:ascii="Garamond" w:hAnsi="Garamond" w:cs="Futura"/>
          <w:sz w:val="24"/>
        </w:rPr>
        <w:t>aspect</w:t>
      </w:r>
      <w:r w:rsidR="0019792D">
        <w:rPr>
          <w:rFonts w:ascii="Garamond" w:hAnsi="Garamond" w:cs="Futura"/>
          <w:sz w:val="24"/>
        </w:rPr>
        <w:t xml:space="preserve"> of EU law’</w:t>
      </w:r>
      <w:r w:rsidR="00E81745">
        <w:rPr>
          <w:rFonts w:ascii="Garamond" w:hAnsi="Garamond" w:cs="Futura"/>
          <w:sz w:val="24"/>
        </w:rPr>
        <w:t>s dynamism.</w:t>
      </w:r>
    </w:p>
    <w:p w14:paraId="530FBC97" w14:textId="77777777" w:rsidR="00BC30E9" w:rsidRDefault="006055F5" w:rsidP="00490FA9">
      <w:pPr>
        <w:ind w:firstLine="624"/>
        <w:contextualSpacing/>
        <w:rPr>
          <w:rFonts w:ascii="Garamond" w:hAnsi="Garamond" w:cs="Futura"/>
          <w:sz w:val="24"/>
        </w:rPr>
      </w:pPr>
      <w:r>
        <w:rPr>
          <w:rFonts w:ascii="Garamond" w:hAnsi="Garamond" w:cs="Futura"/>
          <w:sz w:val="24"/>
        </w:rPr>
        <w:t>All international treaties are potentially dynamic in this latter sense</w:t>
      </w:r>
      <w:r w:rsidR="00D82404">
        <w:rPr>
          <w:rFonts w:ascii="Garamond" w:hAnsi="Garamond" w:cs="Futura"/>
          <w:sz w:val="24"/>
        </w:rPr>
        <w:t xml:space="preserve"> (including e.g. the UK-Russia double taxation treaty)</w:t>
      </w:r>
      <w:r>
        <w:rPr>
          <w:rFonts w:ascii="Garamond" w:hAnsi="Garamond" w:cs="Futura"/>
          <w:sz w:val="24"/>
        </w:rPr>
        <w:t xml:space="preserve">. </w:t>
      </w:r>
      <w:r w:rsidR="00E81745">
        <w:rPr>
          <w:rFonts w:ascii="Garamond" w:hAnsi="Garamond" w:cs="Futura"/>
          <w:sz w:val="24"/>
        </w:rPr>
        <w:t xml:space="preserve">Some treaties are avowedly dynamic. For example, in </w:t>
      </w:r>
      <w:r w:rsidR="00E81745" w:rsidRPr="001A5B8D">
        <w:rPr>
          <w:rFonts w:ascii="Garamond" w:hAnsi="Garamond" w:cs="Futura"/>
          <w:i/>
          <w:sz w:val="24"/>
        </w:rPr>
        <w:t>Tyrer v United Kingdom</w:t>
      </w:r>
      <w:r w:rsidR="00E81745">
        <w:rPr>
          <w:rFonts w:ascii="Garamond" w:hAnsi="Garamond" w:cs="Futura"/>
          <w:sz w:val="24"/>
        </w:rPr>
        <w:t xml:space="preserve"> the ECtHR described the ECHR as “a living instrument which … </w:t>
      </w:r>
      <w:r w:rsidR="00E81745" w:rsidRPr="001A5B8D">
        <w:rPr>
          <w:rFonts w:ascii="Garamond" w:hAnsi="Garamond" w:cs="Futura"/>
          <w:sz w:val="24"/>
        </w:rPr>
        <w:t>must be interpreted in the light of present-day conditions</w:t>
      </w:r>
      <w:r w:rsidR="00E81745">
        <w:rPr>
          <w:rFonts w:ascii="Garamond" w:hAnsi="Garamond" w:cs="Futura"/>
          <w:sz w:val="24"/>
        </w:rPr>
        <w:t>”.</w:t>
      </w:r>
      <w:r w:rsidR="00E81745">
        <w:rPr>
          <w:rStyle w:val="FootnoteReference"/>
          <w:rFonts w:ascii="Garamond" w:hAnsi="Garamond" w:cs="Futura"/>
          <w:sz w:val="24"/>
        </w:rPr>
        <w:footnoteReference w:id="67"/>
      </w:r>
      <w:r w:rsidR="00E81745">
        <w:rPr>
          <w:rFonts w:ascii="Garamond" w:hAnsi="Garamond" w:cs="Futura"/>
          <w:sz w:val="24"/>
        </w:rPr>
        <w:t xml:space="preserve"> </w:t>
      </w:r>
      <w:r w:rsidR="0047279E">
        <w:rPr>
          <w:rFonts w:ascii="Garamond" w:hAnsi="Garamond" w:cs="Futura"/>
          <w:sz w:val="24"/>
        </w:rPr>
        <w:t>Even where</w:t>
      </w:r>
      <w:r>
        <w:rPr>
          <w:rFonts w:ascii="Garamond" w:hAnsi="Garamond" w:cs="Futura"/>
          <w:sz w:val="24"/>
        </w:rPr>
        <w:t xml:space="preserve"> a treaty </w:t>
      </w:r>
      <w:r w:rsidR="007C0A44">
        <w:rPr>
          <w:rFonts w:ascii="Garamond" w:hAnsi="Garamond" w:cs="Futura"/>
          <w:sz w:val="24"/>
        </w:rPr>
        <w:t xml:space="preserve">does not establish a court (or </w:t>
      </w:r>
      <w:r w:rsidR="00962A54">
        <w:rPr>
          <w:rFonts w:ascii="Garamond" w:hAnsi="Garamond" w:cs="Futura"/>
          <w:sz w:val="24"/>
        </w:rPr>
        <w:t>any</w:t>
      </w:r>
      <w:r>
        <w:rPr>
          <w:rFonts w:ascii="Garamond" w:hAnsi="Garamond" w:cs="Futura"/>
          <w:sz w:val="24"/>
        </w:rPr>
        <w:t xml:space="preserve"> </w:t>
      </w:r>
      <w:r w:rsidR="007C0A44">
        <w:rPr>
          <w:rFonts w:ascii="Garamond" w:hAnsi="Garamond" w:cs="Futura"/>
          <w:sz w:val="24"/>
        </w:rPr>
        <w:t xml:space="preserve">sort of </w:t>
      </w:r>
      <w:r>
        <w:rPr>
          <w:rFonts w:ascii="Garamond" w:hAnsi="Garamond" w:cs="Futura"/>
          <w:sz w:val="24"/>
        </w:rPr>
        <w:t>institutional apparatus</w:t>
      </w:r>
      <w:r w:rsidR="007C0A44">
        <w:rPr>
          <w:rFonts w:ascii="Garamond" w:hAnsi="Garamond" w:cs="Futura"/>
          <w:sz w:val="24"/>
        </w:rPr>
        <w:t>)</w:t>
      </w:r>
      <w:r w:rsidR="00730625">
        <w:rPr>
          <w:rFonts w:ascii="Garamond" w:hAnsi="Garamond" w:cs="Futura"/>
          <w:sz w:val="24"/>
        </w:rPr>
        <w:t>,</w:t>
      </w:r>
      <w:r>
        <w:rPr>
          <w:rFonts w:ascii="Garamond" w:hAnsi="Garamond" w:cs="Futura"/>
          <w:sz w:val="24"/>
        </w:rPr>
        <w:t xml:space="preserve"> </w:t>
      </w:r>
      <w:r w:rsidR="00F51C56">
        <w:rPr>
          <w:rFonts w:ascii="Garamond" w:hAnsi="Garamond" w:cs="Futura"/>
          <w:sz w:val="24"/>
        </w:rPr>
        <w:t>treaty</w:t>
      </w:r>
      <w:r>
        <w:rPr>
          <w:rFonts w:ascii="Garamond" w:hAnsi="Garamond" w:cs="Futura"/>
          <w:sz w:val="24"/>
        </w:rPr>
        <w:t xml:space="preserve"> requirements may </w:t>
      </w:r>
      <w:r w:rsidR="00E81745">
        <w:rPr>
          <w:rFonts w:ascii="Garamond" w:hAnsi="Garamond" w:cs="Futura"/>
          <w:sz w:val="24"/>
        </w:rPr>
        <w:t>change</w:t>
      </w:r>
      <w:r>
        <w:rPr>
          <w:rFonts w:ascii="Garamond" w:hAnsi="Garamond" w:cs="Futura"/>
          <w:sz w:val="24"/>
        </w:rPr>
        <w:t xml:space="preserve"> under the influence of </w:t>
      </w:r>
      <w:r w:rsidR="007C0A44">
        <w:rPr>
          <w:rFonts w:ascii="Garamond" w:hAnsi="Garamond" w:cs="Futura"/>
          <w:sz w:val="24"/>
        </w:rPr>
        <w:t xml:space="preserve">the </w:t>
      </w:r>
      <w:r>
        <w:rPr>
          <w:rFonts w:ascii="Garamond" w:hAnsi="Garamond" w:cs="Futura"/>
          <w:sz w:val="24"/>
        </w:rPr>
        <w:t>treaty parties</w:t>
      </w:r>
      <w:r w:rsidR="00CA6C09">
        <w:rPr>
          <w:rFonts w:ascii="Garamond" w:hAnsi="Garamond" w:cs="Futura"/>
          <w:sz w:val="24"/>
        </w:rPr>
        <w:t xml:space="preserve"> – e.g. </w:t>
      </w:r>
      <w:r w:rsidR="00D32A0F">
        <w:rPr>
          <w:rFonts w:ascii="Garamond" w:hAnsi="Garamond" w:cs="Futura"/>
          <w:sz w:val="24"/>
        </w:rPr>
        <w:t xml:space="preserve">according to </w:t>
      </w:r>
      <w:r w:rsidR="00E81745">
        <w:rPr>
          <w:rFonts w:ascii="Garamond" w:hAnsi="Garamond" w:cs="Futura"/>
          <w:sz w:val="24"/>
        </w:rPr>
        <w:t>Article 31</w:t>
      </w:r>
      <w:r w:rsidR="005F102B">
        <w:rPr>
          <w:rFonts w:ascii="Garamond" w:hAnsi="Garamond" w:cs="Futura"/>
          <w:sz w:val="24"/>
        </w:rPr>
        <w:t>(3)</w:t>
      </w:r>
      <w:r w:rsidR="00E81745">
        <w:rPr>
          <w:rFonts w:ascii="Garamond" w:hAnsi="Garamond" w:cs="Futura"/>
          <w:sz w:val="24"/>
        </w:rPr>
        <w:t xml:space="preserve"> of the 1969 Vienna Convention on the Law of Treaties</w:t>
      </w:r>
      <w:r w:rsidR="00D32A0F">
        <w:rPr>
          <w:rFonts w:ascii="Garamond" w:hAnsi="Garamond" w:cs="Futura"/>
          <w:sz w:val="24"/>
        </w:rPr>
        <w:t xml:space="preserve"> </w:t>
      </w:r>
      <w:r w:rsidR="005F102B">
        <w:rPr>
          <w:rFonts w:ascii="Garamond" w:hAnsi="Garamond" w:cs="Futura"/>
          <w:sz w:val="24"/>
        </w:rPr>
        <w:t xml:space="preserve">“[t]here shall be taken into account … </w:t>
      </w:r>
      <w:r w:rsidR="00D32A0F" w:rsidRPr="00D32A0F">
        <w:rPr>
          <w:rFonts w:ascii="Garamond" w:hAnsi="Garamond" w:cs="Futura"/>
          <w:sz w:val="24"/>
        </w:rPr>
        <w:t xml:space="preserve">any subsequent practice in the application of the treaty </w:t>
      </w:r>
      <w:r w:rsidR="00D32A0F" w:rsidRPr="00D32A0F">
        <w:rPr>
          <w:rFonts w:ascii="Garamond" w:hAnsi="Garamond" w:cs="Futura"/>
          <w:sz w:val="24"/>
        </w:rPr>
        <w:lastRenderedPageBreak/>
        <w:t>which establishes the agreement of the parties regarding its interpretation</w:t>
      </w:r>
      <w:r w:rsidR="00D13F6D">
        <w:rPr>
          <w:rFonts w:ascii="Garamond" w:hAnsi="Garamond" w:cs="Futura"/>
          <w:sz w:val="24"/>
        </w:rPr>
        <w:t>”</w:t>
      </w:r>
      <w:r w:rsidR="00E81745">
        <w:rPr>
          <w:rFonts w:ascii="Garamond" w:hAnsi="Garamond" w:cs="Futura"/>
          <w:sz w:val="24"/>
        </w:rPr>
        <w:t>.</w:t>
      </w:r>
    </w:p>
    <w:p w14:paraId="08EE7E53" w14:textId="76BC064E" w:rsidR="001B02FA" w:rsidRDefault="00A611C5" w:rsidP="00490FA9">
      <w:pPr>
        <w:ind w:firstLine="624"/>
        <w:contextualSpacing/>
        <w:rPr>
          <w:rFonts w:ascii="Garamond" w:hAnsi="Garamond" w:cs="Futura"/>
          <w:sz w:val="24"/>
        </w:rPr>
      </w:pPr>
      <w:r>
        <w:rPr>
          <w:rFonts w:ascii="Garamond" w:hAnsi="Garamond" w:cs="Futura"/>
          <w:sz w:val="24"/>
        </w:rPr>
        <w:t>So</w:t>
      </w:r>
      <w:r w:rsidR="00765A82">
        <w:rPr>
          <w:rFonts w:ascii="Garamond" w:hAnsi="Garamond" w:cs="Futura"/>
          <w:sz w:val="24"/>
        </w:rPr>
        <w:t xml:space="preserve"> when it comes to treaty-based sources,</w:t>
      </w:r>
      <w:r>
        <w:rPr>
          <w:rFonts w:ascii="Garamond" w:hAnsi="Garamond" w:cs="Futura"/>
          <w:sz w:val="24"/>
        </w:rPr>
        <w:t xml:space="preserve"> </w:t>
      </w:r>
      <w:r w:rsidR="00CD73CF">
        <w:rPr>
          <w:rFonts w:ascii="Garamond" w:hAnsi="Garamond" w:cs="Futura"/>
          <w:sz w:val="24"/>
        </w:rPr>
        <w:t>how</w:t>
      </w:r>
      <w:r w:rsidR="00085127">
        <w:rPr>
          <w:rFonts w:ascii="Garamond" w:hAnsi="Garamond" w:cs="Futura"/>
          <w:sz w:val="24"/>
        </w:rPr>
        <w:t xml:space="preserve"> should</w:t>
      </w:r>
      <w:r w:rsidR="00BC30E9">
        <w:rPr>
          <w:rFonts w:ascii="Garamond" w:hAnsi="Garamond" w:cs="Futura"/>
          <w:sz w:val="24"/>
        </w:rPr>
        <w:t xml:space="preserve"> “dynamic” in </w:t>
      </w:r>
      <w:r w:rsidR="00BC30E9" w:rsidRPr="00085127">
        <w:rPr>
          <w:rFonts w:ascii="Garamond" w:hAnsi="Garamond" w:cs="Futura"/>
          <w:i/>
          <w:sz w:val="24"/>
        </w:rPr>
        <w:t>Miller</w:t>
      </w:r>
      <w:r w:rsidR="00BC30E9">
        <w:rPr>
          <w:rFonts w:ascii="Garamond" w:hAnsi="Garamond" w:cs="Futura"/>
          <w:sz w:val="24"/>
        </w:rPr>
        <w:t xml:space="preserve"> be understood</w:t>
      </w:r>
      <w:r w:rsidR="00085127">
        <w:rPr>
          <w:rFonts w:ascii="Garamond" w:hAnsi="Garamond" w:cs="Futura"/>
          <w:sz w:val="24"/>
        </w:rPr>
        <w:t>?</w:t>
      </w:r>
      <w:r w:rsidR="001B2283">
        <w:rPr>
          <w:rFonts w:ascii="Garamond" w:hAnsi="Garamond" w:cs="Futura"/>
          <w:sz w:val="24"/>
        </w:rPr>
        <w:t xml:space="preserve"> </w:t>
      </w:r>
      <w:r>
        <w:rPr>
          <w:rFonts w:ascii="Garamond" w:hAnsi="Garamond" w:cs="Futura"/>
          <w:sz w:val="24"/>
        </w:rPr>
        <w:t>The problem is that d</w:t>
      </w:r>
      <w:r w:rsidR="00962A54">
        <w:rPr>
          <w:rFonts w:ascii="Garamond" w:hAnsi="Garamond" w:cs="Futura"/>
          <w:sz w:val="24"/>
        </w:rPr>
        <w:t xml:space="preserve">ynamism is </w:t>
      </w:r>
      <w:r>
        <w:rPr>
          <w:rFonts w:ascii="Garamond" w:hAnsi="Garamond" w:cs="Futura"/>
          <w:sz w:val="24"/>
        </w:rPr>
        <w:t xml:space="preserve">a </w:t>
      </w:r>
      <w:r w:rsidR="00962A54">
        <w:rPr>
          <w:rFonts w:ascii="Garamond" w:hAnsi="Garamond" w:cs="Futura"/>
          <w:sz w:val="24"/>
        </w:rPr>
        <w:t>scalar</w:t>
      </w:r>
      <w:r>
        <w:rPr>
          <w:rFonts w:ascii="Garamond" w:hAnsi="Garamond" w:cs="Futura"/>
          <w:sz w:val="24"/>
        </w:rPr>
        <w:t xml:space="preserve"> property</w:t>
      </w:r>
      <w:r w:rsidR="00765A82">
        <w:rPr>
          <w:rFonts w:ascii="Garamond" w:hAnsi="Garamond" w:cs="Futura"/>
          <w:sz w:val="24"/>
        </w:rPr>
        <w:t>. Would</w:t>
      </w:r>
      <w:r w:rsidR="00E02CD4">
        <w:rPr>
          <w:rFonts w:ascii="Garamond" w:hAnsi="Garamond" w:cs="Futura"/>
          <w:sz w:val="24"/>
        </w:rPr>
        <w:t xml:space="preserve"> </w:t>
      </w:r>
      <w:r w:rsidR="0059385F">
        <w:rPr>
          <w:rFonts w:ascii="Garamond" w:hAnsi="Garamond" w:cs="Futura"/>
          <w:sz w:val="24"/>
        </w:rPr>
        <w:t xml:space="preserve">treaty requirements that change </w:t>
      </w:r>
      <w:r w:rsidR="00765A82">
        <w:rPr>
          <w:rFonts w:ascii="Garamond" w:hAnsi="Garamond" w:cs="Futura"/>
          <w:sz w:val="24"/>
        </w:rPr>
        <w:t>simply on the basis of ev</w:t>
      </w:r>
      <w:r w:rsidR="00E02CD4">
        <w:rPr>
          <w:rFonts w:ascii="Garamond" w:hAnsi="Garamond" w:cs="Futura"/>
          <w:sz w:val="24"/>
        </w:rPr>
        <w:t xml:space="preserve">olving state </w:t>
      </w:r>
      <w:r w:rsidR="0059385F">
        <w:rPr>
          <w:rFonts w:ascii="Garamond" w:hAnsi="Garamond" w:cs="Futura"/>
          <w:sz w:val="24"/>
        </w:rPr>
        <w:t>practice</w:t>
      </w:r>
      <w:r w:rsidR="00E02CD4">
        <w:rPr>
          <w:rFonts w:ascii="Garamond" w:hAnsi="Garamond" w:cs="Futura"/>
          <w:sz w:val="24"/>
        </w:rPr>
        <w:t xml:space="preserve"> count as</w:t>
      </w:r>
      <w:r w:rsidR="0059385F">
        <w:rPr>
          <w:rFonts w:ascii="Garamond" w:hAnsi="Garamond" w:cs="Futura"/>
          <w:sz w:val="24"/>
        </w:rPr>
        <w:t xml:space="preserve"> sufficiently</w:t>
      </w:r>
      <w:r w:rsidR="00E02CD4">
        <w:rPr>
          <w:rFonts w:ascii="Garamond" w:hAnsi="Garamond" w:cs="Futura"/>
          <w:sz w:val="24"/>
        </w:rPr>
        <w:t xml:space="preserve"> “dynamic” for </w:t>
      </w:r>
      <w:r w:rsidR="00E02CD4" w:rsidRPr="00E02CD4">
        <w:rPr>
          <w:rFonts w:ascii="Garamond" w:hAnsi="Garamond" w:cs="Futura"/>
          <w:i/>
          <w:sz w:val="24"/>
        </w:rPr>
        <w:t>Miller</w:t>
      </w:r>
      <w:r w:rsidR="00E02CD4">
        <w:rPr>
          <w:rFonts w:ascii="Garamond" w:hAnsi="Garamond" w:cs="Futura"/>
          <w:sz w:val="24"/>
        </w:rPr>
        <w:t xml:space="preserve"> purposes</w:t>
      </w:r>
      <w:r w:rsidR="00765A82">
        <w:rPr>
          <w:rFonts w:ascii="Garamond" w:hAnsi="Garamond" w:cs="Futura"/>
          <w:sz w:val="24"/>
        </w:rPr>
        <w:t>?</w:t>
      </w:r>
      <w:r w:rsidR="00E02CD4">
        <w:rPr>
          <w:rFonts w:ascii="Garamond" w:hAnsi="Garamond" w:cs="Futura"/>
          <w:sz w:val="24"/>
        </w:rPr>
        <w:t xml:space="preserve"> Or </w:t>
      </w:r>
      <w:r w:rsidR="00326CF9">
        <w:rPr>
          <w:rFonts w:ascii="Garamond" w:hAnsi="Garamond" w:cs="Futura"/>
          <w:sz w:val="24"/>
        </w:rPr>
        <w:t xml:space="preserve">must a treaty establish an institutional apparatus that regularly produces legislative acts, perhaps to the same extent as the EU, to be “dynamic”? </w:t>
      </w:r>
      <w:r w:rsidR="007A4962" w:rsidRPr="007A4962">
        <w:rPr>
          <w:rFonts w:ascii="Garamond" w:hAnsi="Garamond" w:cs="Futura"/>
          <w:i/>
          <w:sz w:val="24"/>
        </w:rPr>
        <w:t>Miller</w:t>
      </w:r>
      <w:r w:rsidR="007A4962">
        <w:rPr>
          <w:rFonts w:ascii="Garamond" w:hAnsi="Garamond" w:cs="Futura"/>
          <w:sz w:val="24"/>
        </w:rPr>
        <w:t xml:space="preserve"> leaves us</w:t>
      </w:r>
      <w:r w:rsidR="00326CF9">
        <w:rPr>
          <w:rFonts w:ascii="Garamond" w:hAnsi="Garamond" w:cs="Futura"/>
          <w:sz w:val="24"/>
        </w:rPr>
        <w:t xml:space="preserve"> somewhat</w:t>
      </w:r>
      <w:r w:rsidR="007A4962">
        <w:rPr>
          <w:rFonts w:ascii="Garamond" w:hAnsi="Garamond" w:cs="Futura"/>
          <w:sz w:val="24"/>
        </w:rPr>
        <w:t xml:space="preserve"> in</w:t>
      </w:r>
      <w:r w:rsidR="00CA42C0">
        <w:rPr>
          <w:rFonts w:ascii="Garamond" w:hAnsi="Garamond" w:cs="Futura"/>
          <w:sz w:val="24"/>
        </w:rPr>
        <w:t xml:space="preserve"> </w:t>
      </w:r>
      <w:r w:rsidR="00EA03F1">
        <w:rPr>
          <w:rFonts w:ascii="Garamond" w:hAnsi="Garamond" w:cs="Futura"/>
          <w:sz w:val="24"/>
        </w:rPr>
        <w:t xml:space="preserve">the dark about exactly </w:t>
      </w:r>
      <w:r w:rsidR="000E70F3">
        <w:rPr>
          <w:rFonts w:ascii="Garamond" w:hAnsi="Garamond" w:cs="Futura"/>
          <w:sz w:val="24"/>
        </w:rPr>
        <w:t>where to draw the line</w:t>
      </w:r>
      <w:r w:rsidR="00EA03F1">
        <w:rPr>
          <w:rFonts w:ascii="Garamond" w:hAnsi="Garamond" w:cs="Futura"/>
          <w:sz w:val="24"/>
        </w:rPr>
        <w:t xml:space="preserve">. </w:t>
      </w:r>
      <w:r w:rsidR="009678CE">
        <w:rPr>
          <w:rFonts w:ascii="Garamond" w:hAnsi="Garamond" w:cs="Futura"/>
          <w:sz w:val="24"/>
        </w:rPr>
        <w:t xml:space="preserve">There are further </w:t>
      </w:r>
      <w:r w:rsidR="009C4321">
        <w:rPr>
          <w:rFonts w:ascii="Garamond" w:hAnsi="Garamond" w:cs="Futura"/>
          <w:sz w:val="24"/>
        </w:rPr>
        <w:t>complications</w:t>
      </w:r>
      <w:r w:rsidR="005D111E">
        <w:rPr>
          <w:rFonts w:ascii="Garamond" w:hAnsi="Garamond" w:cs="Futura"/>
          <w:sz w:val="24"/>
        </w:rPr>
        <w:t xml:space="preserve"> </w:t>
      </w:r>
      <w:r w:rsidR="009D7782">
        <w:rPr>
          <w:rFonts w:ascii="Garamond" w:hAnsi="Garamond" w:cs="Futura"/>
          <w:sz w:val="24"/>
        </w:rPr>
        <w:t>as well – e.g. d</w:t>
      </w:r>
      <w:r w:rsidR="005D111E">
        <w:rPr>
          <w:rFonts w:ascii="Garamond" w:hAnsi="Garamond" w:cs="Futura"/>
          <w:sz w:val="24"/>
        </w:rPr>
        <w:t xml:space="preserve">ynamism, as a property of the source, can </w:t>
      </w:r>
      <w:r w:rsidR="004C027E" w:rsidRPr="004C027E">
        <w:rPr>
          <w:rFonts w:ascii="Garamond" w:hAnsi="Garamond" w:cs="Futura"/>
          <w:i/>
          <w:sz w:val="24"/>
        </w:rPr>
        <w:t>itself</w:t>
      </w:r>
      <w:r w:rsidR="004C027E">
        <w:rPr>
          <w:rFonts w:ascii="Garamond" w:hAnsi="Garamond" w:cs="Futura"/>
          <w:sz w:val="24"/>
        </w:rPr>
        <w:t xml:space="preserve"> </w:t>
      </w:r>
      <w:r w:rsidR="00493E7C">
        <w:rPr>
          <w:rFonts w:ascii="Garamond" w:hAnsi="Garamond" w:cs="Futura"/>
          <w:sz w:val="24"/>
        </w:rPr>
        <w:t>vary</w:t>
      </w:r>
      <w:r w:rsidR="0059385F">
        <w:rPr>
          <w:rFonts w:ascii="Garamond" w:hAnsi="Garamond" w:cs="Futura"/>
          <w:sz w:val="24"/>
        </w:rPr>
        <w:t xml:space="preserve"> over time.</w:t>
      </w:r>
      <w:r w:rsidR="00326CF9">
        <w:rPr>
          <w:rFonts w:ascii="Garamond" w:hAnsi="Garamond" w:cs="Futura"/>
          <w:sz w:val="24"/>
        </w:rPr>
        <w:t xml:space="preserve"> </w:t>
      </w:r>
      <w:r w:rsidR="00BD4541">
        <w:rPr>
          <w:rFonts w:ascii="Garamond" w:hAnsi="Garamond" w:cs="Futura"/>
          <w:sz w:val="24"/>
        </w:rPr>
        <w:t>EU institutions</w:t>
      </w:r>
      <w:r w:rsidR="005D111E">
        <w:rPr>
          <w:rFonts w:ascii="Garamond" w:hAnsi="Garamond" w:cs="Futura"/>
          <w:sz w:val="24"/>
        </w:rPr>
        <w:t xml:space="preserve"> faced </w:t>
      </w:r>
      <w:r w:rsidR="00BD4541">
        <w:rPr>
          <w:rFonts w:ascii="Garamond" w:hAnsi="Garamond" w:cs="Futura"/>
          <w:sz w:val="24"/>
        </w:rPr>
        <w:t>significant</w:t>
      </w:r>
      <w:r w:rsidR="005D111E">
        <w:rPr>
          <w:rFonts w:ascii="Garamond" w:hAnsi="Garamond" w:cs="Futura"/>
          <w:sz w:val="24"/>
        </w:rPr>
        <w:t xml:space="preserve"> </w:t>
      </w:r>
      <w:r w:rsidR="000463B9">
        <w:rPr>
          <w:rFonts w:ascii="Garamond" w:hAnsi="Garamond" w:cs="Futura"/>
          <w:sz w:val="24"/>
        </w:rPr>
        <w:t xml:space="preserve">legislative </w:t>
      </w:r>
      <w:r w:rsidR="005D111E">
        <w:rPr>
          <w:rFonts w:ascii="Garamond" w:hAnsi="Garamond" w:cs="Futura"/>
          <w:sz w:val="24"/>
        </w:rPr>
        <w:t xml:space="preserve">gridlock before the adoption of the Single European Act which </w:t>
      </w:r>
      <w:r w:rsidR="005D111E" w:rsidRPr="003738FB">
        <w:rPr>
          <w:rFonts w:ascii="Garamond" w:hAnsi="Garamond" w:cs="Futura"/>
          <w:i/>
          <w:sz w:val="24"/>
        </w:rPr>
        <w:t>inter alia</w:t>
      </w:r>
      <w:r w:rsidR="005D111E">
        <w:rPr>
          <w:rFonts w:ascii="Garamond" w:hAnsi="Garamond" w:cs="Futura"/>
          <w:sz w:val="24"/>
        </w:rPr>
        <w:t xml:space="preserve"> provided for the more widespread use of qualified majority voting in the Council.</w:t>
      </w:r>
      <w:r w:rsidR="005D111E">
        <w:rPr>
          <w:rStyle w:val="FootnoteReference"/>
          <w:rFonts w:ascii="Garamond" w:hAnsi="Garamond" w:cs="Futura"/>
          <w:sz w:val="24"/>
        </w:rPr>
        <w:footnoteReference w:id="68"/>
      </w:r>
    </w:p>
    <w:p w14:paraId="58664EB2" w14:textId="3FEC1700" w:rsidR="001B02FA" w:rsidRPr="00920303" w:rsidRDefault="00490FA9" w:rsidP="001B02FA">
      <w:pPr>
        <w:contextualSpacing/>
        <w:rPr>
          <w:rFonts w:ascii="Garamond" w:hAnsi="Garamond" w:cs="Futura"/>
          <w:sz w:val="24"/>
          <w:szCs w:val="24"/>
        </w:rPr>
      </w:pPr>
      <w:r>
        <w:rPr>
          <w:rFonts w:ascii="Garamond" w:hAnsi="Garamond" w:cs="Futura"/>
          <w:sz w:val="24"/>
        </w:rPr>
        <w:tab/>
      </w:r>
      <w:r w:rsidR="006350C3">
        <w:rPr>
          <w:rFonts w:ascii="Garamond" w:hAnsi="Garamond" w:cs="Futura"/>
          <w:sz w:val="24"/>
        </w:rPr>
        <w:t>Although</w:t>
      </w:r>
      <w:r w:rsidR="00121A2D">
        <w:rPr>
          <w:rFonts w:ascii="Garamond" w:hAnsi="Garamond" w:cs="Futura"/>
          <w:sz w:val="24"/>
        </w:rPr>
        <w:t xml:space="preserve"> </w:t>
      </w:r>
      <w:r w:rsidR="006350C3">
        <w:rPr>
          <w:rFonts w:ascii="Garamond" w:hAnsi="Garamond" w:cs="Futura"/>
          <w:sz w:val="24"/>
        </w:rPr>
        <w:t xml:space="preserve">it is difficult to delineate </w:t>
      </w:r>
      <w:r w:rsidR="00121A2D">
        <w:rPr>
          <w:rFonts w:ascii="Garamond" w:hAnsi="Garamond" w:cs="Futura"/>
          <w:sz w:val="24"/>
        </w:rPr>
        <w:t>the</w:t>
      </w:r>
      <w:r w:rsidR="00016F9E">
        <w:rPr>
          <w:rFonts w:ascii="Garamond" w:hAnsi="Garamond" w:cs="Futura"/>
          <w:sz w:val="24"/>
        </w:rPr>
        <w:t xml:space="preserve"> precise implications of </w:t>
      </w:r>
      <w:r w:rsidR="00AF259D" w:rsidRPr="00AF259D">
        <w:rPr>
          <w:rFonts w:ascii="Garamond" w:hAnsi="Garamond" w:cs="Futura"/>
          <w:i/>
          <w:sz w:val="24"/>
        </w:rPr>
        <w:t>Miller</w:t>
      </w:r>
      <w:r w:rsidR="006350C3">
        <w:rPr>
          <w:rFonts w:ascii="Garamond" w:hAnsi="Garamond" w:cs="Futura"/>
          <w:sz w:val="24"/>
        </w:rPr>
        <w:t xml:space="preserve"> here,</w:t>
      </w:r>
      <w:r w:rsidR="00121A2D">
        <w:rPr>
          <w:rFonts w:ascii="Garamond" w:hAnsi="Garamond" w:cs="Futura"/>
          <w:sz w:val="24"/>
        </w:rPr>
        <w:t xml:space="preserve"> </w:t>
      </w:r>
      <w:r w:rsidR="000E70F3">
        <w:rPr>
          <w:rFonts w:ascii="Garamond" w:hAnsi="Garamond" w:cs="Futura"/>
          <w:sz w:val="24"/>
        </w:rPr>
        <w:t xml:space="preserve">it is </w:t>
      </w:r>
      <w:r w:rsidR="006350C3">
        <w:rPr>
          <w:rFonts w:ascii="Garamond" w:hAnsi="Garamond" w:cs="Futura"/>
          <w:sz w:val="24"/>
        </w:rPr>
        <w:t xml:space="preserve">also </w:t>
      </w:r>
      <w:r w:rsidR="00D70F99">
        <w:rPr>
          <w:rFonts w:ascii="Garamond" w:hAnsi="Garamond" w:cs="Futura"/>
          <w:sz w:val="24"/>
        </w:rPr>
        <w:t>not un</w:t>
      </w:r>
      <w:r w:rsidR="000E70F3">
        <w:rPr>
          <w:rFonts w:ascii="Garamond" w:hAnsi="Garamond" w:cs="Futura"/>
          <w:sz w:val="24"/>
        </w:rPr>
        <w:t>reasonable</w:t>
      </w:r>
      <w:r w:rsidR="00D23678">
        <w:rPr>
          <w:rFonts w:ascii="Garamond" w:hAnsi="Garamond" w:cs="Futura"/>
          <w:sz w:val="24"/>
        </w:rPr>
        <w:t xml:space="preserve"> to think </w:t>
      </w:r>
      <w:r w:rsidR="00531AFC">
        <w:rPr>
          <w:rFonts w:ascii="Garamond" w:hAnsi="Garamond" w:cs="Futura"/>
          <w:sz w:val="24"/>
        </w:rPr>
        <w:t xml:space="preserve">that COTIF </w:t>
      </w:r>
      <w:r w:rsidR="00525CD7">
        <w:rPr>
          <w:rFonts w:ascii="Garamond" w:hAnsi="Garamond" w:cs="Futura"/>
          <w:sz w:val="24"/>
        </w:rPr>
        <w:t xml:space="preserve">would </w:t>
      </w:r>
      <w:r w:rsidR="00531AFC">
        <w:rPr>
          <w:rFonts w:ascii="Garamond" w:hAnsi="Garamond" w:cs="Futura"/>
          <w:sz w:val="24"/>
        </w:rPr>
        <w:t>count</w:t>
      </w:r>
      <w:r w:rsidR="00525CD7">
        <w:rPr>
          <w:rFonts w:ascii="Garamond" w:hAnsi="Garamond" w:cs="Futura"/>
          <w:sz w:val="24"/>
        </w:rPr>
        <w:t xml:space="preserve"> as “dynamic”</w:t>
      </w:r>
      <w:r w:rsidR="00531AFC">
        <w:rPr>
          <w:rFonts w:ascii="Garamond" w:hAnsi="Garamond" w:cs="Futura"/>
          <w:sz w:val="24"/>
        </w:rPr>
        <w:t xml:space="preserve">. </w:t>
      </w:r>
      <w:r w:rsidR="00D70F99">
        <w:rPr>
          <w:rFonts w:ascii="Garamond" w:hAnsi="Garamond" w:cs="Futura"/>
          <w:sz w:val="24"/>
        </w:rPr>
        <w:t>A sophisticated</w:t>
      </w:r>
      <w:r>
        <w:rPr>
          <w:rFonts w:ascii="Garamond" w:hAnsi="Garamond" w:cs="Futura"/>
          <w:sz w:val="24"/>
        </w:rPr>
        <w:t xml:space="preserve"> </w:t>
      </w:r>
      <w:r w:rsidRPr="00920303">
        <w:rPr>
          <w:rFonts w:ascii="Garamond" w:hAnsi="Garamond" w:cs="Futura"/>
          <w:sz w:val="24"/>
          <w:szCs w:val="24"/>
        </w:rPr>
        <w:t>institutional apparatus</w:t>
      </w:r>
      <w:r w:rsidR="0048686A" w:rsidRPr="00920303">
        <w:rPr>
          <w:rFonts w:ascii="Garamond" w:hAnsi="Garamond" w:cs="Futura"/>
          <w:sz w:val="24"/>
          <w:szCs w:val="24"/>
        </w:rPr>
        <w:t xml:space="preserve"> </w:t>
      </w:r>
      <w:r w:rsidR="00EF0B5B" w:rsidRPr="00920303">
        <w:rPr>
          <w:rFonts w:ascii="Garamond" w:hAnsi="Garamond" w:cs="Futura"/>
          <w:sz w:val="24"/>
          <w:szCs w:val="24"/>
        </w:rPr>
        <w:t>is established under Article 13</w:t>
      </w:r>
      <w:r w:rsidR="006350C3">
        <w:rPr>
          <w:rFonts w:ascii="Garamond" w:hAnsi="Garamond" w:cs="Futura"/>
          <w:sz w:val="24"/>
          <w:szCs w:val="24"/>
        </w:rPr>
        <w:t xml:space="preserve"> of that treaty</w:t>
      </w:r>
      <w:r w:rsidR="00EF0B5B" w:rsidRPr="00920303">
        <w:rPr>
          <w:rFonts w:ascii="Garamond" w:hAnsi="Garamond" w:cs="Futura"/>
          <w:sz w:val="24"/>
          <w:szCs w:val="24"/>
        </w:rPr>
        <w:t xml:space="preserve">, and </w:t>
      </w:r>
      <w:r w:rsidR="0048686A" w:rsidRPr="00920303">
        <w:rPr>
          <w:rFonts w:ascii="Garamond" w:hAnsi="Garamond" w:cs="Futura"/>
          <w:sz w:val="24"/>
          <w:szCs w:val="24"/>
        </w:rPr>
        <w:t xml:space="preserve">various organs are tasked with reviewing and amending </w:t>
      </w:r>
      <w:r w:rsidR="00AC0A58" w:rsidRPr="00920303">
        <w:rPr>
          <w:rFonts w:ascii="Garamond" w:hAnsi="Garamond" w:cs="Futura"/>
          <w:sz w:val="24"/>
          <w:szCs w:val="24"/>
        </w:rPr>
        <w:t xml:space="preserve">COTIF obligations. </w:t>
      </w:r>
      <w:r w:rsidR="00920303">
        <w:rPr>
          <w:rFonts w:ascii="Garamond" w:hAnsi="Garamond" w:cs="Futura"/>
          <w:sz w:val="24"/>
          <w:szCs w:val="24"/>
        </w:rPr>
        <w:t>Earlier we</w:t>
      </w:r>
      <w:r w:rsidR="00EF0B5B" w:rsidRPr="00920303">
        <w:rPr>
          <w:rFonts w:ascii="Garamond" w:hAnsi="Garamond" w:cs="Futura"/>
          <w:sz w:val="24"/>
          <w:szCs w:val="24"/>
        </w:rPr>
        <w:t xml:space="preserve"> noted</w:t>
      </w:r>
      <w:r w:rsidR="0048686A" w:rsidRPr="00920303">
        <w:rPr>
          <w:rFonts w:ascii="Garamond" w:hAnsi="Garamond" w:cs="Futura"/>
          <w:sz w:val="24"/>
          <w:szCs w:val="24"/>
        </w:rPr>
        <w:t xml:space="preserve"> the Explanatory Memorandum to the 2005 Regulations</w:t>
      </w:r>
      <w:r w:rsidR="00EF0B5B" w:rsidRPr="00920303">
        <w:rPr>
          <w:rFonts w:ascii="Garamond" w:hAnsi="Garamond" w:cs="Futura"/>
          <w:sz w:val="24"/>
          <w:szCs w:val="24"/>
        </w:rPr>
        <w:t xml:space="preserve">, </w:t>
      </w:r>
      <w:r w:rsidR="00920303">
        <w:rPr>
          <w:rFonts w:ascii="Garamond" w:hAnsi="Garamond" w:cs="Futura"/>
          <w:sz w:val="24"/>
          <w:szCs w:val="24"/>
        </w:rPr>
        <w:t>according to which</w:t>
      </w:r>
      <w:r w:rsidR="008F5895" w:rsidRPr="00920303">
        <w:rPr>
          <w:rFonts w:ascii="Garamond" w:hAnsi="Garamond" w:cs="Futura"/>
          <w:sz w:val="24"/>
          <w:szCs w:val="24"/>
        </w:rPr>
        <w:t xml:space="preserve"> “</w:t>
      </w:r>
      <w:r w:rsidR="0048686A" w:rsidRPr="00920303">
        <w:rPr>
          <w:rFonts w:ascii="Garamond" w:hAnsi="Garamond" w:cs="Futura"/>
          <w:sz w:val="24"/>
          <w:szCs w:val="24"/>
        </w:rPr>
        <w:t>COTIF 1999 is intended to be more of a living document undergoing frequent minor change through committee processes, for example to amend particular detailed technical standards</w:t>
      </w:r>
      <w:r w:rsidR="00920303" w:rsidRPr="00920303">
        <w:rPr>
          <w:rFonts w:ascii="Garamond" w:hAnsi="Garamond" w:cs="Futura"/>
          <w:sz w:val="24"/>
          <w:szCs w:val="24"/>
        </w:rPr>
        <w:t>”.</w:t>
      </w:r>
      <w:r w:rsidR="0048686A" w:rsidRPr="00920303">
        <w:rPr>
          <w:rStyle w:val="FootnoteReference"/>
          <w:rFonts w:ascii="Garamond" w:hAnsi="Garamond" w:cs="Futura"/>
          <w:sz w:val="24"/>
          <w:szCs w:val="24"/>
        </w:rPr>
        <w:footnoteReference w:id="69"/>
      </w:r>
      <w:r w:rsidR="00920303">
        <w:rPr>
          <w:rFonts w:ascii="Garamond" w:hAnsi="Garamond" w:cs="Futura"/>
          <w:sz w:val="24"/>
          <w:szCs w:val="24"/>
        </w:rPr>
        <w:t xml:space="preserve"> </w:t>
      </w:r>
      <w:r w:rsidR="00FA6EB3">
        <w:rPr>
          <w:rFonts w:ascii="Garamond" w:hAnsi="Garamond" w:cs="Futura"/>
          <w:sz w:val="24"/>
          <w:szCs w:val="24"/>
        </w:rPr>
        <w:t>Hence</w:t>
      </w:r>
      <w:r w:rsidR="00920303">
        <w:rPr>
          <w:rFonts w:ascii="Garamond" w:hAnsi="Garamond" w:cs="Futura"/>
          <w:sz w:val="24"/>
          <w:szCs w:val="24"/>
        </w:rPr>
        <w:t xml:space="preserve"> </w:t>
      </w:r>
      <w:r w:rsidR="0048686A">
        <w:rPr>
          <w:rFonts w:ascii="Garamond" w:hAnsi="Garamond" w:cs="Futura"/>
          <w:sz w:val="24"/>
        </w:rPr>
        <w:t>para</w:t>
      </w:r>
      <w:r w:rsidR="001B02FA">
        <w:rPr>
          <w:rFonts w:ascii="Garamond" w:hAnsi="Garamond" w:cs="Futura"/>
          <w:sz w:val="24"/>
        </w:rPr>
        <w:t>.2</w:t>
      </w:r>
      <w:r w:rsidR="0048686A">
        <w:rPr>
          <w:rFonts w:ascii="Garamond" w:hAnsi="Garamond" w:cs="Futura"/>
          <w:sz w:val="24"/>
        </w:rPr>
        <w:t>(2)</w:t>
      </w:r>
      <w:r w:rsidR="001B02FA">
        <w:rPr>
          <w:rFonts w:ascii="Garamond" w:hAnsi="Garamond" w:cs="Futura"/>
          <w:sz w:val="24"/>
        </w:rPr>
        <w:t xml:space="preserve"> of the 2005 Regulations</w:t>
      </w:r>
      <w:r w:rsidR="00920303">
        <w:rPr>
          <w:rFonts w:ascii="Garamond" w:hAnsi="Garamond" w:cs="Futura"/>
          <w:sz w:val="24"/>
        </w:rPr>
        <w:t xml:space="preserve"> </w:t>
      </w:r>
      <w:r w:rsidR="00D70F99">
        <w:rPr>
          <w:rFonts w:ascii="Garamond" w:hAnsi="Garamond" w:cs="Futura"/>
          <w:sz w:val="24"/>
        </w:rPr>
        <w:t>provides</w:t>
      </w:r>
      <w:r w:rsidR="001B02FA">
        <w:rPr>
          <w:rFonts w:ascii="Garamond" w:hAnsi="Garamond" w:cs="Futura"/>
          <w:sz w:val="24"/>
        </w:rPr>
        <w:t>:</w:t>
      </w:r>
    </w:p>
    <w:p w14:paraId="67E5EF9C" w14:textId="77777777" w:rsidR="001B02FA" w:rsidRPr="00C26230" w:rsidRDefault="001B02FA" w:rsidP="001B02FA">
      <w:pPr>
        <w:rPr>
          <w:rFonts w:ascii="Garamond" w:hAnsi="Garamond" w:cs="Futura"/>
          <w:sz w:val="20"/>
          <w:szCs w:val="20"/>
        </w:rPr>
      </w:pPr>
    </w:p>
    <w:p w14:paraId="7E7C6546" w14:textId="12426758" w:rsidR="001B02FA" w:rsidRPr="00C26230" w:rsidRDefault="001B02FA" w:rsidP="00E04418">
      <w:pPr>
        <w:contextualSpacing/>
        <w:rPr>
          <w:rFonts w:ascii="Garamond" w:hAnsi="Garamond" w:cs="Futura"/>
          <w:sz w:val="20"/>
          <w:szCs w:val="20"/>
        </w:rPr>
      </w:pPr>
      <w:r>
        <w:rPr>
          <w:rFonts w:ascii="Garamond" w:hAnsi="Garamond" w:cs="Futura"/>
          <w:sz w:val="20"/>
          <w:szCs w:val="20"/>
        </w:rPr>
        <w:t xml:space="preserve">… </w:t>
      </w:r>
      <w:r w:rsidRPr="00C26230">
        <w:rPr>
          <w:rFonts w:ascii="Garamond" w:hAnsi="Garamond" w:cs="Futura"/>
          <w:sz w:val="20"/>
          <w:szCs w:val="20"/>
        </w:rPr>
        <w:t xml:space="preserve">“the Convention” means the version of the “Convention concerning International Carriage by Rail (COTIF(4)) of 9th May 1980” </w:t>
      </w:r>
      <w:r>
        <w:rPr>
          <w:rFonts w:ascii="Garamond" w:hAnsi="Garamond" w:cs="Futura"/>
          <w:sz w:val="20"/>
          <w:szCs w:val="20"/>
        </w:rPr>
        <w:t xml:space="preserve">… </w:t>
      </w:r>
      <w:r w:rsidRPr="00C26230">
        <w:rPr>
          <w:rFonts w:ascii="Garamond" w:hAnsi="Garamond" w:cs="Futura"/>
          <w:sz w:val="20"/>
          <w:szCs w:val="20"/>
        </w:rPr>
        <w:t>as modified in accordance with its provisions from time to time by a decision of one of the committees under paragraph 4, 5 or 6 of Article 33</w:t>
      </w:r>
      <w:r w:rsidR="00920303">
        <w:rPr>
          <w:rFonts w:ascii="Garamond" w:hAnsi="Garamond" w:cs="Futura"/>
          <w:sz w:val="20"/>
          <w:szCs w:val="20"/>
        </w:rPr>
        <w:t xml:space="preserve"> [i.e. COTIF’s amendment procedures]</w:t>
      </w:r>
      <w:r w:rsidRPr="00C26230">
        <w:rPr>
          <w:rFonts w:ascii="Garamond" w:hAnsi="Garamond" w:cs="Futura"/>
          <w:sz w:val="20"/>
          <w:szCs w:val="20"/>
        </w:rPr>
        <w:t>, as the case may be, whether such modification occurs before or after the coming into force of these Regulations</w:t>
      </w:r>
      <w:r>
        <w:rPr>
          <w:rFonts w:ascii="Garamond" w:hAnsi="Garamond" w:cs="Futura"/>
          <w:sz w:val="20"/>
          <w:szCs w:val="20"/>
        </w:rPr>
        <w:t xml:space="preserve"> …</w:t>
      </w:r>
      <w:r>
        <w:rPr>
          <w:rStyle w:val="FootnoteReference"/>
          <w:rFonts w:ascii="Garamond" w:hAnsi="Garamond" w:cs="Futura"/>
          <w:sz w:val="20"/>
          <w:szCs w:val="20"/>
        </w:rPr>
        <w:footnoteReference w:id="70"/>
      </w:r>
    </w:p>
    <w:p w14:paraId="581D9BA2" w14:textId="0C9CAC24" w:rsidR="00490FA9" w:rsidRDefault="00490FA9" w:rsidP="001B02FA">
      <w:pPr>
        <w:rPr>
          <w:rFonts w:ascii="Garamond" w:hAnsi="Garamond" w:cs="Futura"/>
          <w:sz w:val="24"/>
        </w:rPr>
      </w:pPr>
    </w:p>
    <w:p w14:paraId="3D1EE5F7" w14:textId="75AC8073" w:rsidR="008F7902" w:rsidRDefault="004013D1" w:rsidP="00D129A3">
      <w:pPr>
        <w:rPr>
          <w:rFonts w:ascii="Garamond" w:hAnsi="Garamond" w:cs="Futura"/>
          <w:sz w:val="24"/>
        </w:rPr>
      </w:pPr>
      <w:r>
        <w:rPr>
          <w:rFonts w:ascii="Garamond" w:hAnsi="Garamond" w:cs="Futura"/>
          <w:sz w:val="24"/>
        </w:rPr>
        <w:lastRenderedPageBreak/>
        <w:t xml:space="preserve">Overall, </w:t>
      </w:r>
      <w:r w:rsidR="00FA6EB3">
        <w:rPr>
          <w:rFonts w:ascii="Garamond" w:hAnsi="Garamond" w:cs="Futura"/>
          <w:sz w:val="24"/>
        </w:rPr>
        <w:t>we have</w:t>
      </w:r>
      <w:r>
        <w:rPr>
          <w:rFonts w:ascii="Garamond" w:hAnsi="Garamond" w:cs="Futura"/>
          <w:sz w:val="24"/>
        </w:rPr>
        <w:t xml:space="preserve"> reason to think that</w:t>
      </w:r>
      <w:r w:rsidR="00E4039F">
        <w:rPr>
          <w:rFonts w:ascii="Garamond" w:hAnsi="Garamond" w:cs="Futura"/>
          <w:sz w:val="24"/>
        </w:rPr>
        <w:t xml:space="preserve"> </w:t>
      </w:r>
      <w:r w:rsidR="00F12CF4">
        <w:rPr>
          <w:rFonts w:ascii="Garamond" w:hAnsi="Garamond" w:cs="Futura"/>
          <w:sz w:val="24"/>
        </w:rPr>
        <w:t xml:space="preserve">other treaty-based sources such as </w:t>
      </w:r>
      <w:r w:rsidR="00E4039F">
        <w:rPr>
          <w:rFonts w:ascii="Garamond" w:hAnsi="Garamond" w:cs="Futura"/>
          <w:sz w:val="24"/>
        </w:rPr>
        <w:t xml:space="preserve">COTIF </w:t>
      </w:r>
      <w:r>
        <w:rPr>
          <w:rFonts w:ascii="Garamond" w:hAnsi="Garamond" w:cs="Futura"/>
          <w:sz w:val="24"/>
        </w:rPr>
        <w:t>qualify as</w:t>
      </w:r>
      <w:r w:rsidR="00E4039F">
        <w:rPr>
          <w:rFonts w:ascii="Garamond" w:hAnsi="Garamond" w:cs="Futura"/>
          <w:sz w:val="24"/>
        </w:rPr>
        <w:t xml:space="preserve"> </w:t>
      </w:r>
      <w:r w:rsidR="00F12CF4">
        <w:rPr>
          <w:rFonts w:ascii="Garamond" w:hAnsi="Garamond" w:cs="Futura"/>
          <w:sz w:val="24"/>
        </w:rPr>
        <w:t>“</w:t>
      </w:r>
      <w:r w:rsidR="00E4039F">
        <w:rPr>
          <w:rFonts w:ascii="Garamond" w:hAnsi="Garamond" w:cs="Futura"/>
          <w:sz w:val="24"/>
        </w:rPr>
        <w:t>dynamic</w:t>
      </w:r>
      <w:r w:rsidR="00F12CF4">
        <w:rPr>
          <w:rFonts w:ascii="Garamond" w:hAnsi="Garamond" w:cs="Futura"/>
          <w:sz w:val="24"/>
        </w:rPr>
        <w:t>”</w:t>
      </w:r>
      <w:r w:rsidR="00E4039F">
        <w:rPr>
          <w:rFonts w:ascii="Garamond" w:hAnsi="Garamond" w:cs="Futura"/>
          <w:sz w:val="24"/>
        </w:rPr>
        <w:t xml:space="preserve"> in light of </w:t>
      </w:r>
      <w:r w:rsidR="00E4039F" w:rsidRPr="00E4039F">
        <w:rPr>
          <w:rFonts w:ascii="Garamond" w:hAnsi="Garamond" w:cs="Futura"/>
          <w:i/>
          <w:sz w:val="24"/>
        </w:rPr>
        <w:t>Miller</w:t>
      </w:r>
      <w:r>
        <w:rPr>
          <w:rFonts w:ascii="Garamond" w:hAnsi="Garamond" w:cs="Futura"/>
          <w:sz w:val="24"/>
        </w:rPr>
        <w:t xml:space="preserve">. But </w:t>
      </w:r>
      <w:r w:rsidR="002F0A6F">
        <w:rPr>
          <w:rFonts w:ascii="Garamond" w:hAnsi="Garamond" w:cs="Futura"/>
          <w:sz w:val="24"/>
        </w:rPr>
        <w:t xml:space="preserve">some questions </w:t>
      </w:r>
      <w:r w:rsidR="00540EAB">
        <w:rPr>
          <w:rFonts w:ascii="Garamond" w:hAnsi="Garamond" w:cs="Futura"/>
          <w:sz w:val="24"/>
        </w:rPr>
        <w:t>remain</w:t>
      </w:r>
      <w:r w:rsidR="000951F5">
        <w:rPr>
          <w:rFonts w:ascii="Garamond" w:hAnsi="Garamond" w:cs="Futura"/>
          <w:sz w:val="24"/>
        </w:rPr>
        <w:t xml:space="preserve"> </w:t>
      </w:r>
      <w:r>
        <w:rPr>
          <w:rFonts w:ascii="Garamond" w:hAnsi="Garamond" w:cs="Futura"/>
          <w:sz w:val="24"/>
        </w:rPr>
        <w:t>and f</w:t>
      </w:r>
      <w:r w:rsidR="00E4039F">
        <w:rPr>
          <w:rFonts w:ascii="Garamond" w:hAnsi="Garamond" w:cs="Futura"/>
          <w:sz w:val="24"/>
        </w:rPr>
        <w:t xml:space="preserve">urther guidance </w:t>
      </w:r>
      <w:r w:rsidR="00A7781B">
        <w:rPr>
          <w:rFonts w:ascii="Garamond" w:hAnsi="Garamond" w:cs="Futura"/>
          <w:sz w:val="24"/>
        </w:rPr>
        <w:t>is</w:t>
      </w:r>
      <w:r>
        <w:rPr>
          <w:rFonts w:ascii="Garamond" w:hAnsi="Garamond" w:cs="Futura"/>
          <w:sz w:val="24"/>
        </w:rPr>
        <w:t xml:space="preserve"> needed</w:t>
      </w:r>
      <w:r w:rsidR="00E4039F">
        <w:rPr>
          <w:rFonts w:ascii="Garamond" w:hAnsi="Garamond" w:cs="Futura"/>
          <w:sz w:val="24"/>
        </w:rPr>
        <w:t>.</w:t>
      </w:r>
    </w:p>
    <w:p w14:paraId="6B703B32" w14:textId="77777777" w:rsidR="00E4039F" w:rsidRDefault="00E4039F" w:rsidP="00D129A3">
      <w:pPr>
        <w:rPr>
          <w:rFonts w:ascii="Garamond" w:hAnsi="Garamond" w:cs="Futura"/>
          <w:sz w:val="24"/>
        </w:rPr>
      </w:pPr>
    </w:p>
    <w:p w14:paraId="0F0DAC9F" w14:textId="383B5A38" w:rsidR="008E7422" w:rsidRPr="008E7422" w:rsidRDefault="008E7422" w:rsidP="008E7422">
      <w:pPr>
        <w:contextualSpacing/>
        <w:jc w:val="center"/>
        <w:rPr>
          <w:rFonts w:ascii="Garamond" w:hAnsi="Garamond" w:cs="Futura"/>
          <w:b/>
          <w:i/>
          <w:sz w:val="24"/>
        </w:rPr>
      </w:pPr>
      <w:r w:rsidRPr="008E7422">
        <w:rPr>
          <w:rFonts w:ascii="Garamond" w:hAnsi="Garamond" w:cs="Futura"/>
          <w:b/>
          <w:i/>
          <w:sz w:val="24"/>
        </w:rPr>
        <w:t>“Independent”</w:t>
      </w:r>
    </w:p>
    <w:p w14:paraId="5BE22C68" w14:textId="77777777" w:rsidR="008E7422" w:rsidRDefault="008E7422" w:rsidP="008E7422">
      <w:pPr>
        <w:contextualSpacing/>
        <w:rPr>
          <w:rFonts w:ascii="Garamond" w:hAnsi="Garamond" w:cs="Futura"/>
          <w:sz w:val="24"/>
        </w:rPr>
      </w:pPr>
    </w:p>
    <w:p w14:paraId="583B6DE2" w14:textId="73C4F16D" w:rsidR="000D5D12" w:rsidRDefault="00603CD2" w:rsidP="007F5831">
      <w:pPr>
        <w:contextualSpacing/>
        <w:rPr>
          <w:rFonts w:ascii="Garamond" w:hAnsi="Garamond" w:cs="Futura"/>
          <w:sz w:val="24"/>
        </w:rPr>
      </w:pPr>
      <w:r>
        <w:rPr>
          <w:rFonts w:ascii="Garamond" w:hAnsi="Garamond" w:cs="Futura"/>
          <w:sz w:val="24"/>
        </w:rPr>
        <w:t xml:space="preserve">What about “independent”? </w:t>
      </w:r>
      <w:r w:rsidR="002F4426">
        <w:rPr>
          <w:rFonts w:ascii="Garamond" w:hAnsi="Garamond" w:cs="Futura"/>
          <w:sz w:val="24"/>
        </w:rPr>
        <w:t xml:space="preserve">The majority in </w:t>
      </w:r>
      <w:r w:rsidR="002F4426" w:rsidRPr="002F4426">
        <w:rPr>
          <w:rFonts w:ascii="Garamond" w:hAnsi="Garamond" w:cs="Futura"/>
          <w:i/>
          <w:sz w:val="24"/>
        </w:rPr>
        <w:t>Miller</w:t>
      </w:r>
      <w:r w:rsidR="002F4426">
        <w:rPr>
          <w:rFonts w:ascii="Garamond" w:hAnsi="Garamond" w:cs="Futura"/>
          <w:sz w:val="24"/>
        </w:rPr>
        <w:t xml:space="preserve"> provoked disagreement by describing </w:t>
      </w:r>
      <w:r w:rsidR="0080118A">
        <w:rPr>
          <w:rFonts w:ascii="Garamond" w:hAnsi="Garamond" w:cs="Futura"/>
          <w:sz w:val="24"/>
        </w:rPr>
        <w:t xml:space="preserve">EU law </w:t>
      </w:r>
      <w:r w:rsidR="002F4426">
        <w:rPr>
          <w:rFonts w:ascii="Garamond" w:hAnsi="Garamond" w:cs="Futura"/>
          <w:sz w:val="24"/>
        </w:rPr>
        <w:t>as an “independent” source of law</w:t>
      </w:r>
      <w:r w:rsidR="00D3379D">
        <w:rPr>
          <w:rFonts w:ascii="Garamond" w:hAnsi="Garamond" w:cs="Futura"/>
          <w:sz w:val="24"/>
        </w:rPr>
        <w:t>.</w:t>
      </w:r>
      <w:r w:rsidR="00D3379D">
        <w:rPr>
          <w:rStyle w:val="FootnoteReference"/>
          <w:rFonts w:ascii="Garamond" w:hAnsi="Garamond" w:cs="Futura"/>
          <w:sz w:val="24"/>
        </w:rPr>
        <w:footnoteReference w:id="71"/>
      </w:r>
      <w:r w:rsidR="00D3379D">
        <w:rPr>
          <w:rFonts w:ascii="Garamond" w:hAnsi="Garamond" w:cs="Futura"/>
          <w:sz w:val="24"/>
        </w:rPr>
        <w:t xml:space="preserve"> I</w:t>
      </w:r>
      <w:r w:rsidR="00DE2261">
        <w:rPr>
          <w:rFonts w:ascii="Garamond" w:hAnsi="Garamond" w:cs="Futura"/>
          <w:sz w:val="24"/>
        </w:rPr>
        <w:t xml:space="preserve">n his dissenting opinion Lord Reed stated that </w:t>
      </w:r>
      <w:r w:rsidR="009B2DCA">
        <w:rPr>
          <w:rFonts w:ascii="Garamond" w:hAnsi="Garamond" w:cs="Futura"/>
          <w:sz w:val="24"/>
        </w:rPr>
        <w:t>“</w:t>
      </w:r>
      <w:r w:rsidR="009B2DCA" w:rsidRPr="009B2DCA">
        <w:rPr>
          <w:rFonts w:ascii="Garamond" w:hAnsi="Garamond" w:cs="Futura"/>
          <w:sz w:val="24"/>
        </w:rPr>
        <w:t>EU law is not itself an independent source of domestic law, but depends for its effect in domestic law on the 1972 Act</w:t>
      </w:r>
      <w:r w:rsidR="009B2DCA">
        <w:rPr>
          <w:rFonts w:ascii="Garamond" w:hAnsi="Garamond" w:cs="Futura"/>
          <w:sz w:val="24"/>
        </w:rPr>
        <w:t>”.</w:t>
      </w:r>
      <w:r w:rsidR="00964B37">
        <w:rPr>
          <w:rStyle w:val="FootnoteReference"/>
          <w:rFonts w:ascii="Garamond" w:hAnsi="Garamond" w:cs="Futura"/>
          <w:sz w:val="24"/>
        </w:rPr>
        <w:footnoteReference w:id="72"/>
      </w:r>
      <w:r w:rsidR="00861AB4">
        <w:rPr>
          <w:rFonts w:ascii="Garamond" w:hAnsi="Garamond" w:cs="Futura"/>
          <w:sz w:val="24"/>
        </w:rPr>
        <w:t xml:space="preserve"> </w:t>
      </w:r>
      <w:r w:rsidR="002F4426">
        <w:rPr>
          <w:rFonts w:ascii="Garamond" w:hAnsi="Garamond" w:cs="Futura"/>
          <w:sz w:val="24"/>
        </w:rPr>
        <w:t>Arguably,</w:t>
      </w:r>
      <w:r w:rsidR="00861AB4">
        <w:rPr>
          <w:rFonts w:ascii="Garamond" w:hAnsi="Garamond" w:cs="Futura"/>
          <w:sz w:val="24"/>
        </w:rPr>
        <w:t xml:space="preserve"> </w:t>
      </w:r>
      <w:r w:rsidR="00597231">
        <w:rPr>
          <w:rFonts w:ascii="Garamond" w:hAnsi="Garamond" w:cs="Futura"/>
          <w:sz w:val="24"/>
        </w:rPr>
        <w:t xml:space="preserve">however, </w:t>
      </w:r>
      <w:r w:rsidR="002F4426">
        <w:rPr>
          <w:rFonts w:ascii="Garamond" w:hAnsi="Garamond" w:cs="Futura"/>
          <w:sz w:val="24"/>
        </w:rPr>
        <w:t xml:space="preserve">Lord Reed and the majority were </w:t>
      </w:r>
      <w:r w:rsidR="00861AB4">
        <w:rPr>
          <w:rFonts w:ascii="Garamond" w:hAnsi="Garamond" w:cs="Futura"/>
          <w:sz w:val="24"/>
        </w:rPr>
        <w:t>talki</w:t>
      </w:r>
      <w:r w:rsidR="00597231">
        <w:rPr>
          <w:rFonts w:ascii="Garamond" w:hAnsi="Garamond" w:cs="Futura"/>
          <w:sz w:val="24"/>
        </w:rPr>
        <w:t xml:space="preserve">ng past each other. </w:t>
      </w:r>
      <w:r w:rsidR="00597C37">
        <w:rPr>
          <w:rFonts w:ascii="Garamond" w:hAnsi="Garamond" w:cs="Futura"/>
          <w:sz w:val="24"/>
        </w:rPr>
        <w:t xml:space="preserve">The majority did not deny that </w:t>
      </w:r>
      <w:r w:rsidR="00B40571">
        <w:rPr>
          <w:rFonts w:ascii="Garamond" w:hAnsi="Garamond" w:cs="Futura"/>
          <w:sz w:val="24"/>
        </w:rPr>
        <w:t xml:space="preserve">the </w:t>
      </w:r>
      <w:r w:rsidR="001873AE">
        <w:rPr>
          <w:rFonts w:ascii="Garamond" w:hAnsi="Garamond" w:cs="Futura"/>
          <w:sz w:val="24"/>
        </w:rPr>
        <w:t>ECA</w:t>
      </w:r>
      <w:r w:rsidR="00B40571">
        <w:rPr>
          <w:rFonts w:ascii="Garamond" w:hAnsi="Garamond" w:cs="Futura"/>
          <w:sz w:val="24"/>
        </w:rPr>
        <w:t xml:space="preserve"> gives effect to </w:t>
      </w:r>
      <w:r w:rsidR="00597C37">
        <w:rPr>
          <w:rFonts w:ascii="Garamond" w:hAnsi="Garamond" w:cs="Futura"/>
          <w:sz w:val="24"/>
        </w:rPr>
        <w:t xml:space="preserve">EU law </w:t>
      </w:r>
      <w:r w:rsidR="00B40571">
        <w:rPr>
          <w:rFonts w:ascii="Garamond" w:hAnsi="Garamond" w:cs="Futura"/>
          <w:sz w:val="24"/>
        </w:rPr>
        <w:t>domestically</w:t>
      </w:r>
      <w:r w:rsidR="000D5D12">
        <w:rPr>
          <w:rFonts w:ascii="Garamond" w:hAnsi="Garamond" w:cs="Futura"/>
          <w:sz w:val="24"/>
        </w:rPr>
        <w:t xml:space="preserve">. It meant something else by independence. </w:t>
      </w:r>
      <w:r w:rsidR="00861AB4">
        <w:rPr>
          <w:rFonts w:ascii="Garamond" w:hAnsi="Garamond" w:cs="Futura"/>
          <w:sz w:val="24"/>
        </w:rPr>
        <w:t>The gist</w:t>
      </w:r>
      <w:r w:rsidR="000D5D12">
        <w:rPr>
          <w:rFonts w:ascii="Garamond" w:hAnsi="Garamond" w:cs="Futura"/>
          <w:sz w:val="24"/>
        </w:rPr>
        <w:t>, it seems,</w:t>
      </w:r>
      <w:r w:rsidR="00861AB4">
        <w:rPr>
          <w:rFonts w:ascii="Garamond" w:hAnsi="Garamond" w:cs="Futura"/>
          <w:sz w:val="24"/>
        </w:rPr>
        <w:t xml:space="preserve"> is the identity of </w:t>
      </w:r>
      <w:r w:rsidR="00597231">
        <w:rPr>
          <w:rFonts w:ascii="Garamond" w:hAnsi="Garamond" w:cs="Futura"/>
          <w:sz w:val="24"/>
        </w:rPr>
        <w:t xml:space="preserve">the </w:t>
      </w:r>
      <w:r w:rsidR="00861AB4">
        <w:rPr>
          <w:rFonts w:ascii="Garamond" w:hAnsi="Garamond" w:cs="Futura"/>
          <w:sz w:val="24"/>
        </w:rPr>
        <w:t xml:space="preserve">law-making agent. </w:t>
      </w:r>
      <w:r w:rsidR="00597231">
        <w:rPr>
          <w:rFonts w:ascii="Garamond" w:hAnsi="Garamond" w:cs="Futura"/>
          <w:sz w:val="24"/>
        </w:rPr>
        <w:t>Consider EU legislation</w:t>
      </w:r>
      <w:r w:rsidR="00737BC3">
        <w:rPr>
          <w:rFonts w:ascii="Garamond" w:hAnsi="Garamond" w:cs="Futura"/>
          <w:sz w:val="24"/>
        </w:rPr>
        <w:t xml:space="preserve"> which is made by the EU legislator</w:t>
      </w:r>
      <w:r w:rsidR="00597231">
        <w:rPr>
          <w:rFonts w:ascii="Garamond" w:hAnsi="Garamond" w:cs="Futura"/>
          <w:sz w:val="24"/>
        </w:rPr>
        <w:t xml:space="preserve">. The thought seems to be that “it is the EU </w:t>
      </w:r>
      <w:r w:rsidR="00861AB4">
        <w:rPr>
          <w:rFonts w:ascii="Garamond" w:hAnsi="Garamond" w:cs="Futura"/>
          <w:sz w:val="24"/>
        </w:rPr>
        <w:t>institutions, not Parliament, that make and change EU law”.</w:t>
      </w:r>
      <w:r w:rsidR="00861AB4">
        <w:rPr>
          <w:rStyle w:val="FootnoteReference"/>
          <w:rFonts w:ascii="Garamond" w:hAnsi="Garamond" w:cs="Futura"/>
          <w:sz w:val="24"/>
        </w:rPr>
        <w:footnoteReference w:id="73"/>
      </w:r>
      <w:r w:rsidR="00B54649">
        <w:rPr>
          <w:rFonts w:ascii="Garamond" w:hAnsi="Garamond" w:cs="Futura"/>
          <w:sz w:val="24"/>
        </w:rPr>
        <w:t xml:space="preserve"> </w:t>
      </w:r>
      <w:r w:rsidR="00861AB4">
        <w:rPr>
          <w:rFonts w:ascii="Garamond" w:hAnsi="Garamond" w:cs="Futura"/>
          <w:sz w:val="24"/>
        </w:rPr>
        <w:t xml:space="preserve">Of course, UK institutions </w:t>
      </w:r>
      <w:r w:rsidR="00861AB4" w:rsidRPr="009772C0">
        <w:rPr>
          <w:rFonts w:ascii="Garamond" w:hAnsi="Garamond" w:cs="Futura"/>
          <w:sz w:val="24"/>
        </w:rPr>
        <w:t>participate</w:t>
      </w:r>
      <w:r w:rsidR="00861AB4">
        <w:rPr>
          <w:rFonts w:ascii="Garamond" w:hAnsi="Garamond" w:cs="Futura"/>
          <w:sz w:val="24"/>
        </w:rPr>
        <w:t xml:space="preserve"> in </w:t>
      </w:r>
      <w:r w:rsidR="00597231">
        <w:rPr>
          <w:rFonts w:ascii="Garamond" w:hAnsi="Garamond" w:cs="Futura"/>
          <w:sz w:val="24"/>
        </w:rPr>
        <w:t>EU legislating</w:t>
      </w:r>
      <w:r w:rsidR="00B54649">
        <w:rPr>
          <w:rFonts w:ascii="Garamond" w:hAnsi="Garamond" w:cs="Futura"/>
          <w:sz w:val="24"/>
        </w:rPr>
        <w:t>. F</w:t>
      </w:r>
      <w:r w:rsidR="00861AB4">
        <w:rPr>
          <w:rFonts w:ascii="Garamond" w:hAnsi="Garamond" w:cs="Futura"/>
          <w:sz w:val="24"/>
        </w:rPr>
        <w:t xml:space="preserve">or example, Government ministers </w:t>
      </w:r>
      <w:r w:rsidR="00297AE2">
        <w:rPr>
          <w:rFonts w:ascii="Garamond" w:hAnsi="Garamond" w:cs="Futura"/>
          <w:sz w:val="24"/>
        </w:rPr>
        <w:t>are represented on the Council</w:t>
      </w:r>
      <w:r w:rsidR="00861AB4">
        <w:rPr>
          <w:rFonts w:ascii="Garamond" w:hAnsi="Garamond" w:cs="Futura"/>
          <w:sz w:val="24"/>
        </w:rPr>
        <w:t xml:space="preserve"> </w:t>
      </w:r>
      <w:r w:rsidR="002132DB">
        <w:rPr>
          <w:rFonts w:ascii="Garamond" w:hAnsi="Garamond" w:cs="Futura"/>
          <w:sz w:val="24"/>
        </w:rPr>
        <w:t>(</w:t>
      </w:r>
      <w:r w:rsidR="00861AB4">
        <w:rPr>
          <w:rFonts w:ascii="Garamond" w:hAnsi="Garamond" w:cs="Futura"/>
          <w:sz w:val="24"/>
        </w:rPr>
        <w:t>Article 16 TEU)</w:t>
      </w:r>
      <w:r w:rsidR="00297AE2">
        <w:rPr>
          <w:rFonts w:ascii="Garamond" w:hAnsi="Garamond" w:cs="Futura"/>
          <w:sz w:val="24"/>
        </w:rPr>
        <w:t>, and</w:t>
      </w:r>
      <w:r w:rsidR="00861AB4">
        <w:rPr>
          <w:rFonts w:ascii="Garamond" w:hAnsi="Garamond" w:cs="Futura"/>
          <w:sz w:val="24"/>
        </w:rPr>
        <w:t xml:space="preserve"> Parliament </w:t>
      </w:r>
      <w:r w:rsidR="00297AE2">
        <w:rPr>
          <w:rFonts w:ascii="Garamond" w:hAnsi="Garamond" w:cs="Futura"/>
          <w:sz w:val="24"/>
        </w:rPr>
        <w:t xml:space="preserve">may </w:t>
      </w:r>
      <w:r w:rsidR="002132DB">
        <w:rPr>
          <w:rFonts w:ascii="Garamond" w:hAnsi="Garamond" w:cs="Futura"/>
          <w:sz w:val="24"/>
        </w:rPr>
        <w:t>participate</w:t>
      </w:r>
      <w:r w:rsidR="00297AE2">
        <w:rPr>
          <w:rFonts w:ascii="Garamond" w:hAnsi="Garamond" w:cs="Futura"/>
          <w:sz w:val="24"/>
        </w:rPr>
        <w:t xml:space="preserve"> </w:t>
      </w:r>
      <w:r w:rsidR="002132DB">
        <w:rPr>
          <w:rFonts w:ascii="Garamond" w:hAnsi="Garamond" w:cs="Futura"/>
          <w:sz w:val="24"/>
        </w:rPr>
        <w:t xml:space="preserve">by issuing reasoned opinions on draft EU legislative acts (Articles 6 and 7 of Protocol No. 2 on the Application of </w:t>
      </w:r>
      <w:r w:rsidR="00597231">
        <w:rPr>
          <w:rFonts w:ascii="Garamond" w:hAnsi="Garamond" w:cs="Futura"/>
          <w:sz w:val="24"/>
        </w:rPr>
        <w:t>the Principles of Subsidiarity</w:t>
      </w:r>
      <w:r w:rsidR="00B54649">
        <w:rPr>
          <w:rFonts w:ascii="Garamond" w:hAnsi="Garamond" w:cs="Futura"/>
          <w:sz w:val="24"/>
        </w:rPr>
        <w:t>). But this remains</w:t>
      </w:r>
      <w:r w:rsidR="00597231">
        <w:rPr>
          <w:rFonts w:ascii="Garamond" w:hAnsi="Garamond" w:cs="Futura"/>
          <w:sz w:val="24"/>
        </w:rPr>
        <w:t xml:space="preserve"> participation</w:t>
      </w:r>
      <w:r w:rsidR="009772C0">
        <w:rPr>
          <w:rFonts w:ascii="Garamond" w:hAnsi="Garamond" w:cs="Futura"/>
          <w:sz w:val="24"/>
        </w:rPr>
        <w:t xml:space="preserve"> only</w:t>
      </w:r>
      <w:r w:rsidR="00597231">
        <w:rPr>
          <w:rFonts w:ascii="Garamond" w:hAnsi="Garamond" w:cs="Futura"/>
          <w:sz w:val="24"/>
        </w:rPr>
        <w:t xml:space="preserve">; EU legislation is made by the </w:t>
      </w:r>
      <w:r w:rsidR="00597231" w:rsidRPr="00B54649">
        <w:rPr>
          <w:rFonts w:ascii="Garamond" w:hAnsi="Garamond" w:cs="Futura"/>
          <w:sz w:val="24"/>
        </w:rPr>
        <w:t>EU legislator</w:t>
      </w:r>
      <w:r w:rsidR="00597231">
        <w:rPr>
          <w:rFonts w:ascii="Garamond" w:hAnsi="Garamond" w:cs="Futura"/>
          <w:sz w:val="24"/>
        </w:rPr>
        <w:t xml:space="preserve">, not by the </w:t>
      </w:r>
      <w:r w:rsidR="00B54649">
        <w:rPr>
          <w:rFonts w:ascii="Garamond" w:hAnsi="Garamond" w:cs="Futura"/>
          <w:sz w:val="24"/>
        </w:rPr>
        <w:t xml:space="preserve">UK </w:t>
      </w:r>
      <w:r w:rsidR="00597231">
        <w:rPr>
          <w:rFonts w:ascii="Garamond" w:hAnsi="Garamond" w:cs="Futura"/>
          <w:sz w:val="24"/>
        </w:rPr>
        <w:t>Government or Parliament.</w:t>
      </w:r>
      <w:r w:rsidR="009772C0">
        <w:rPr>
          <w:rFonts w:ascii="Garamond" w:hAnsi="Garamond" w:cs="Futura"/>
          <w:sz w:val="24"/>
        </w:rPr>
        <w:t xml:space="preserve"> This is what the majority meant by “independent” in </w:t>
      </w:r>
      <w:r w:rsidR="009772C0" w:rsidRPr="009772C0">
        <w:rPr>
          <w:rFonts w:ascii="Garamond" w:hAnsi="Garamond" w:cs="Futura"/>
          <w:i/>
          <w:sz w:val="24"/>
        </w:rPr>
        <w:t>Miller</w:t>
      </w:r>
      <w:r w:rsidR="009772C0">
        <w:rPr>
          <w:rFonts w:ascii="Garamond" w:hAnsi="Garamond" w:cs="Futura"/>
          <w:sz w:val="24"/>
        </w:rPr>
        <w:t>.</w:t>
      </w:r>
      <w:r>
        <w:rPr>
          <w:rFonts w:ascii="Garamond" w:hAnsi="Garamond" w:cs="Futura"/>
          <w:sz w:val="24"/>
        </w:rPr>
        <w:t xml:space="preserve"> It is not a</w:t>
      </w:r>
      <w:r w:rsidR="004E698C">
        <w:rPr>
          <w:rFonts w:ascii="Garamond" w:hAnsi="Garamond" w:cs="Futura"/>
          <w:sz w:val="24"/>
        </w:rPr>
        <w:t xml:space="preserve"> property with meaningful distinguishing power, however, since </w:t>
      </w:r>
      <w:r w:rsidR="002D444C">
        <w:rPr>
          <w:rFonts w:ascii="Garamond" w:hAnsi="Garamond" w:cs="Futura"/>
          <w:sz w:val="24"/>
        </w:rPr>
        <w:t>by definition</w:t>
      </w:r>
      <w:r w:rsidR="000B6D80">
        <w:rPr>
          <w:rFonts w:ascii="Garamond" w:hAnsi="Garamond" w:cs="Futura"/>
          <w:sz w:val="24"/>
        </w:rPr>
        <w:t xml:space="preserve"> it will</w:t>
      </w:r>
      <w:r w:rsidR="002D444C">
        <w:rPr>
          <w:rFonts w:ascii="Garamond" w:hAnsi="Garamond" w:cs="Futura"/>
          <w:sz w:val="24"/>
        </w:rPr>
        <w:t xml:space="preserve"> be exhibited by </w:t>
      </w:r>
      <w:r w:rsidR="000B6D80">
        <w:rPr>
          <w:rFonts w:ascii="Garamond" w:hAnsi="Garamond" w:cs="Futura"/>
          <w:sz w:val="24"/>
        </w:rPr>
        <w:t xml:space="preserve">foreign </w:t>
      </w:r>
      <w:r w:rsidR="004E698C">
        <w:rPr>
          <w:rFonts w:ascii="Garamond" w:hAnsi="Garamond" w:cs="Futura"/>
          <w:sz w:val="24"/>
        </w:rPr>
        <w:t xml:space="preserve">treaty-based sources </w:t>
      </w:r>
      <w:r w:rsidR="007F5831">
        <w:rPr>
          <w:rFonts w:ascii="Garamond" w:hAnsi="Garamond" w:cs="Futura"/>
          <w:sz w:val="24"/>
        </w:rPr>
        <w:t>including COTIF.</w:t>
      </w:r>
    </w:p>
    <w:p w14:paraId="2FE99199" w14:textId="37C7B6C9" w:rsidR="000873EA" w:rsidRDefault="000873EA" w:rsidP="000873EA">
      <w:pPr>
        <w:contextualSpacing/>
        <w:rPr>
          <w:rFonts w:ascii="Garamond" w:hAnsi="Garamond" w:cs="Futura"/>
          <w:sz w:val="24"/>
        </w:rPr>
      </w:pPr>
    </w:p>
    <w:p w14:paraId="2E835507" w14:textId="77777777" w:rsidR="000873EA" w:rsidRPr="004200D5" w:rsidRDefault="000873EA" w:rsidP="000873EA">
      <w:pPr>
        <w:contextualSpacing/>
        <w:jc w:val="center"/>
        <w:rPr>
          <w:rFonts w:ascii="Garamond" w:hAnsi="Garamond" w:cs="Futura"/>
          <w:b/>
          <w:i/>
          <w:sz w:val="24"/>
        </w:rPr>
      </w:pPr>
      <w:r w:rsidRPr="004200D5">
        <w:rPr>
          <w:rFonts w:ascii="Garamond" w:hAnsi="Garamond" w:cs="Futura"/>
          <w:b/>
          <w:i/>
          <w:sz w:val="24"/>
        </w:rPr>
        <w:t>“Overriding”</w:t>
      </w:r>
    </w:p>
    <w:p w14:paraId="50258560" w14:textId="77777777" w:rsidR="00AB58A1" w:rsidRDefault="00AB58A1" w:rsidP="00AB58A1">
      <w:pPr>
        <w:contextualSpacing/>
        <w:rPr>
          <w:rFonts w:ascii="Garamond" w:hAnsi="Garamond" w:cs="Futura"/>
          <w:sz w:val="24"/>
        </w:rPr>
      </w:pPr>
    </w:p>
    <w:p w14:paraId="767CB697" w14:textId="7D222301" w:rsidR="00126914" w:rsidRDefault="00AB58A1" w:rsidP="00AB58A1">
      <w:pPr>
        <w:contextualSpacing/>
        <w:rPr>
          <w:rFonts w:ascii="Garamond" w:hAnsi="Garamond" w:cs="Futura"/>
          <w:sz w:val="24"/>
          <w:szCs w:val="24"/>
        </w:rPr>
      </w:pPr>
      <w:r>
        <w:rPr>
          <w:rFonts w:ascii="Garamond" w:hAnsi="Garamond" w:cs="Futura"/>
          <w:sz w:val="24"/>
          <w:szCs w:val="24"/>
        </w:rPr>
        <w:t>Lastly, the majority states that</w:t>
      </w:r>
      <w:r w:rsidR="00C95103">
        <w:rPr>
          <w:rFonts w:ascii="Garamond" w:hAnsi="Garamond" w:cs="Futura"/>
          <w:sz w:val="24"/>
          <w:szCs w:val="24"/>
        </w:rPr>
        <w:t>,</w:t>
      </w:r>
      <w:r>
        <w:rPr>
          <w:rFonts w:ascii="Garamond" w:hAnsi="Garamond" w:cs="Futura"/>
          <w:sz w:val="24"/>
          <w:szCs w:val="24"/>
        </w:rPr>
        <w:t xml:space="preserve"> under the ECA</w:t>
      </w:r>
      <w:r w:rsidR="00C95103">
        <w:rPr>
          <w:rFonts w:ascii="Garamond" w:hAnsi="Garamond" w:cs="Futura"/>
          <w:sz w:val="24"/>
          <w:szCs w:val="24"/>
        </w:rPr>
        <w:t>,</w:t>
      </w:r>
      <w:r>
        <w:rPr>
          <w:rFonts w:ascii="Garamond" w:hAnsi="Garamond" w:cs="Futura"/>
          <w:sz w:val="24"/>
          <w:szCs w:val="24"/>
        </w:rPr>
        <w:t xml:space="preserve"> EU law is “overriding” given the reception of the EU doctrine of supremacy, according to which EU law takes priority over conflicting domestic law. This property is described as “unprecedented”.</w:t>
      </w:r>
      <w:r>
        <w:rPr>
          <w:rStyle w:val="FootnoteReference"/>
          <w:rFonts w:ascii="Garamond" w:hAnsi="Garamond" w:cs="Futura"/>
          <w:sz w:val="24"/>
          <w:szCs w:val="24"/>
        </w:rPr>
        <w:footnoteReference w:id="74"/>
      </w:r>
      <w:r>
        <w:rPr>
          <w:rFonts w:ascii="Garamond" w:hAnsi="Garamond" w:cs="Futura"/>
          <w:sz w:val="24"/>
          <w:szCs w:val="24"/>
        </w:rPr>
        <w:t xml:space="preserve"> </w:t>
      </w:r>
      <w:r w:rsidR="00E74B1C">
        <w:rPr>
          <w:rFonts w:ascii="Garamond" w:hAnsi="Garamond" w:cs="Futura"/>
          <w:sz w:val="24"/>
          <w:szCs w:val="24"/>
        </w:rPr>
        <w:t>At first blush</w:t>
      </w:r>
      <w:r w:rsidR="00143B46">
        <w:rPr>
          <w:rFonts w:ascii="Garamond" w:hAnsi="Garamond" w:cs="Futura"/>
          <w:sz w:val="24"/>
          <w:szCs w:val="24"/>
        </w:rPr>
        <w:t xml:space="preserve"> </w:t>
      </w:r>
      <w:r w:rsidR="00126914">
        <w:rPr>
          <w:rFonts w:ascii="Garamond" w:hAnsi="Garamond" w:cs="Futura"/>
          <w:sz w:val="24"/>
          <w:szCs w:val="24"/>
        </w:rPr>
        <w:lastRenderedPageBreak/>
        <w:t xml:space="preserve">it </w:t>
      </w:r>
      <w:r w:rsidR="000377F9">
        <w:rPr>
          <w:rFonts w:ascii="Garamond" w:hAnsi="Garamond" w:cs="Futura"/>
          <w:sz w:val="24"/>
          <w:szCs w:val="24"/>
        </w:rPr>
        <w:t>is</w:t>
      </w:r>
      <w:r w:rsidR="00126914">
        <w:rPr>
          <w:rFonts w:ascii="Garamond" w:hAnsi="Garamond" w:cs="Futura"/>
          <w:sz w:val="24"/>
          <w:szCs w:val="24"/>
        </w:rPr>
        <w:t xml:space="preserve"> </w:t>
      </w:r>
      <w:r w:rsidR="000377F9">
        <w:rPr>
          <w:rFonts w:ascii="Garamond" w:hAnsi="Garamond" w:cs="Futura"/>
          <w:sz w:val="24"/>
          <w:szCs w:val="24"/>
        </w:rPr>
        <w:t>hard</w:t>
      </w:r>
      <w:r w:rsidR="00095F7D">
        <w:rPr>
          <w:rFonts w:ascii="Garamond" w:hAnsi="Garamond" w:cs="Futura"/>
          <w:sz w:val="24"/>
          <w:szCs w:val="24"/>
        </w:rPr>
        <w:t xml:space="preserve"> to disagree. O</w:t>
      </w:r>
      <w:r>
        <w:rPr>
          <w:rFonts w:ascii="Garamond" w:hAnsi="Garamond" w:cs="Futura"/>
          <w:sz w:val="24"/>
          <w:szCs w:val="24"/>
        </w:rPr>
        <w:t>ther comparable example</w:t>
      </w:r>
      <w:r w:rsidR="00126914">
        <w:rPr>
          <w:rFonts w:ascii="Garamond" w:hAnsi="Garamond" w:cs="Futura"/>
          <w:sz w:val="24"/>
          <w:szCs w:val="24"/>
        </w:rPr>
        <w:t>s</w:t>
      </w:r>
      <w:r>
        <w:rPr>
          <w:rFonts w:ascii="Garamond" w:hAnsi="Garamond" w:cs="Futura"/>
          <w:sz w:val="24"/>
          <w:szCs w:val="24"/>
        </w:rPr>
        <w:t xml:space="preserve"> </w:t>
      </w:r>
      <w:r w:rsidR="00126914">
        <w:rPr>
          <w:rFonts w:ascii="Garamond" w:hAnsi="Garamond" w:cs="Futura"/>
          <w:sz w:val="24"/>
          <w:szCs w:val="24"/>
        </w:rPr>
        <w:t>do</w:t>
      </w:r>
      <w:r>
        <w:rPr>
          <w:rFonts w:ascii="Garamond" w:hAnsi="Garamond" w:cs="Futura"/>
          <w:sz w:val="24"/>
          <w:szCs w:val="24"/>
        </w:rPr>
        <w:t xml:space="preserve"> not </w:t>
      </w:r>
      <w:r w:rsidR="00126914">
        <w:rPr>
          <w:rFonts w:ascii="Garamond" w:hAnsi="Garamond" w:cs="Futura"/>
          <w:sz w:val="24"/>
          <w:szCs w:val="24"/>
        </w:rPr>
        <w:t xml:space="preserve">seem </w:t>
      </w:r>
      <w:r w:rsidR="000377F9">
        <w:rPr>
          <w:rFonts w:ascii="Garamond" w:hAnsi="Garamond" w:cs="Futura"/>
          <w:sz w:val="24"/>
          <w:szCs w:val="24"/>
        </w:rPr>
        <w:t xml:space="preserve">to be </w:t>
      </w:r>
      <w:r w:rsidR="00EF05B2">
        <w:rPr>
          <w:rFonts w:ascii="Garamond" w:hAnsi="Garamond" w:cs="Futura"/>
          <w:sz w:val="24"/>
          <w:szCs w:val="24"/>
        </w:rPr>
        <w:t>forthcoming</w:t>
      </w:r>
      <w:r w:rsidR="00143B46">
        <w:rPr>
          <w:rFonts w:ascii="Garamond" w:hAnsi="Garamond" w:cs="Futura"/>
          <w:sz w:val="24"/>
          <w:szCs w:val="24"/>
        </w:rPr>
        <w:t xml:space="preserve">; our case study, </w:t>
      </w:r>
      <w:r w:rsidR="00E74B1C">
        <w:rPr>
          <w:rFonts w:ascii="Garamond" w:hAnsi="Garamond" w:cs="Futura"/>
          <w:sz w:val="24"/>
          <w:szCs w:val="24"/>
        </w:rPr>
        <w:t>COTI</w:t>
      </w:r>
      <w:r w:rsidR="00143B46">
        <w:rPr>
          <w:rFonts w:ascii="Garamond" w:hAnsi="Garamond" w:cs="Futura"/>
          <w:sz w:val="24"/>
          <w:szCs w:val="24"/>
        </w:rPr>
        <w:t>F, would not seem to qualify as</w:t>
      </w:r>
      <w:r w:rsidR="00E74B1C">
        <w:rPr>
          <w:rFonts w:ascii="Garamond" w:hAnsi="Garamond" w:cs="Futura"/>
          <w:sz w:val="24"/>
          <w:szCs w:val="24"/>
        </w:rPr>
        <w:t xml:space="preserve"> </w:t>
      </w:r>
      <w:r w:rsidR="00967B6C">
        <w:rPr>
          <w:rFonts w:ascii="Garamond" w:hAnsi="Garamond" w:cs="Futura"/>
          <w:sz w:val="24"/>
          <w:szCs w:val="24"/>
        </w:rPr>
        <w:t xml:space="preserve">an </w:t>
      </w:r>
      <w:r w:rsidR="00E74B1C">
        <w:rPr>
          <w:rFonts w:ascii="Garamond" w:hAnsi="Garamond" w:cs="Futura"/>
          <w:sz w:val="24"/>
          <w:szCs w:val="24"/>
        </w:rPr>
        <w:t>“overriding”</w:t>
      </w:r>
      <w:r w:rsidR="00967B6C">
        <w:rPr>
          <w:rFonts w:ascii="Garamond" w:hAnsi="Garamond" w:cs="Futura"/>
          <w:sz w:val="24"/>
          <w:szCs w:val="24"/>
        </w:rPr>
        <w:t xml:space="preserve"> treaty-based source.</w:t>
      </w:r>
    </w:p>
    <w:p w14:paraId="1651C582" w14:textId="2CF731DC" w:rsidR="00F94A07" w:rsidRDefault="00EF05B2" w:rsidP="00F94A07">
      <w:pPr>
        <w:contextualSpacing/>
        <w:rPr>
          <w:rFonts w:ascii="Garamond" w:hAnsi="Garamond" w:cs="Futura"/>
          <w:sz w:val="24"/>
          <w:szCs w:val="24"/>
        </w:rPr>
      </w:pPr>
      <w:r>
        <w:rPr>
          <w:rFonts w:ascii="Garamond" w:hAnsi="Garamond" w:cs="Futura"/>
          <w:sz w:val="24"/>
          <w:szCs w:val="24"/>
        </w:rPr>
        <w:tab/>
      </w:r>
      <w:r w:rsidR="00967B6C">
        <w:rPr>
          <w:rFonts w:ascii="Garamond" w:hAnsi="Garamond" w:cs="Futura"/>
          <w:sz w:val="24"/>
          <w:szCs w:val="24"/>
        </w:rPr>
        <w:t xml:space="preserve">On closer inspection, however, </w:t>
      </w:r>
      <w:r w:rsidR="000D62D2">
        <w:rPr>
          <w:rFonts w:ascii="Garamond" w:hAnsi="Garamond" w:cs="Futura"/>
          <w:sz w:val="24"/>
          <w:szCs w:val="24"/>
        </w:rPr>
        <w:t xml:space="preserve">EU law’s </w:t>
      </w:r>
      <w:r w:rsidR="00213C6E">
        <w:rPr>
          <w:rFonts w:ascii="Garamond" w:hAnsi="Garamond" w:cs="Futura"/>
          <w:sz w:val="24"/>
          <w:szCs w:val="24"/>
        </w:rPr>
        <w:t xml:space="preserve">“overriding” </w:t>
      </w:r>
      <w:r w:rsidR="000D62D2">
        <w:rPr>
          <w:rFonts w:ascii="Garamond" w:hAnsi="Garamond" w:cs="Futura"/>
          <w:sz w:val="24"/>
          <w:szCs w:val="24"/>
        </w:rPr>
        <w:t xml:space="preserve">status </w:t>
      </w:r>
      <w:r w:rsidR="004445E9">
        <w:rPr>
          <w:rFonts w:ascii="Garamond" w:hAnsi="Garamond" w:cs="Futura"/>
          <w:sz w:val="24"/>
          <w:szCs w:val="24"/>
        </w:rPr>
        <w:t>is</w:t>
      </w:r>
      <w:r w:rsidR="00330967">
        <w:rPr>
          <w:rFonts w:ascii="Garamond" w:hAnsi="Garamond" w:cs="Futura"/>
          <w:sz w:val="24"/>
          <w:szCs w:val="24"/>
        </w:rPr>
        <w:t xml:space="preserve"> rather</w:t>
      </w:r>
      <w:r w:rsidR="00802E82">
        <w:rPr>
          <w:rFonts w:ascii="Garamond" w:hAnsi="Garamond" w:cs="Futura"/>
          <w:sz w:val="24"/>
          <w:szCs w:val="24"/>
        </w:rPr>
        <w:t xml:space="preserve"> less straightforward.</w:t>
      </w:r>
      <w:r w:rsidR="00E90A60">
        <w:rPr>
          <w:rFonts w:ascii="Garamond" w:hAnsi="Garamond" w:cs="Futura"/>
          <w:sz w:val="24"/>
          <w:szCs w:val="24"/>
        </w:rPr>
        <w:t xml:space="preserve"> </w:t>
      </w:r>
      <w:r w:rsidR="00410704">
        <w:rPr>
          <w:rFonts w:ascii="Garamond" w:hAnsi="Garamond" w:cs="Futura"/>
          <w:sz w:val="24"/>
          <w:szCs w:val="24"/>
        </w:rPr>
        <w:t>Once a</w:t>
      </w:r>
      <w:r w:rsidR="00802E82">
        <w:rPr>
          <w:rFonts w:ascii="Garamond" w:hAnsi="Garamond" w:cs="Futura"/>
          <w:sz w:val="24"/>
          <w:szCs w:val="24"/>
        </w:rPr>
        <w:t xml:space="preserve">gain, </w:t>
      </w:r>
      <w:r w:rsidR="000D62D2">
        <w:rPr>
          <w:rFonts w:ascii="Garamond" w:hAnsi="Garamond" w:cs="Futura"/>
          <w:sz w:val="24"/>
          <w:szCs w:val="24"/>
        </w:rPr>
        <w:t xml:space="preserve">we should </w:t>
      </w:r>
      <w:r w:rsidR="00213C6E">
        <w:rPr>
          <w:rFonts w:ascii="Garamond" w:hAnsi="Garamond" w:cs="Futura"/>
          <w:sz w:val="24"/>
          <w:szCs w:val="24"/>
        </w:rPr>
        <w:t xml:space="preserve">begin by </w:t>
      </w:r>
      <w:r w:rsidR="006B38AD">
        <w:rPr>
          <w:rFonts w:ascii="Garamond" w:hAnsi="Garamond" w:cs="Futura"/>
          <w:sz w:val="24"/>
          <w:szCs w:val="24"/>
        </w:rPr>
        <w:t>inspecting</w:t>
      </w:r>
      <w:r w:rsidR="000D62D2">
        <w:rPr>
          <w:rFonts w:ascii="Garamond" w:hAnsi="Garamond" w:cs="Futura"/>
          <w:sz w:val="24"/>
          <w:szCs w:val="24"/>
        </w:rPr>
        <w:t xml:space="preserve"> </w:t>
      </w:r>
      <w:r w:rsidR="006007B8">
        <w:rPr>
          <w:rFonts w:ascii="Garamond" w:hAnsi="Garamond" w:cs="Futura"/>
          <w:sz w:val="24"/>
          <w:szCs w:val="24"/>
        </w:rPr>
        <w:t>EU law</w:t>
      </w:r>
      <w:r w:rsidR="006B38AD">
        <w:rPr>
          <w:rFonts w:ascii="Garamond" w:hAnsi="Garamond" w:cs="Futura"/>
          <w:sz w:val="24"/>
          <w:szCs w:val="24"/>
        </w:rPr>
        <w:t xml:space="preserve"> and its domestic implementation</w:t>
      </w:r>
      <w:r w:rsidR="000D62D2">
        <w:rPr>
          <w:rFonts w:ascii="Garamond" w:hAnsi="Garamond" w:cs="Futura"/>
          <w:sz w:val="24"/>
          <w:szCs w:val="24"/>
        </w:rPr>
        <w:t xml:space="preserve"> </w:t>
      </w:r>
      <w:r w:rsidR="00213C6E">
        <w:rPr>
          <w:rFonts w:ascii="Garamond" w:hAnsi="Garamond" w:cs="Futura"/>
          <w:sz w:val="24"/>
          <w:szCs w:val="24"/>
        </w:rPr>
        <w:t xml:space="preserve">more </w:t>
      </w:r>
      <w:r w:rsidR="000D62D2">
        <w:rPr>
          <w:rFonts w:ascii="Garamond" w:hAnsi="Garamond" w:cs="Futura"/>
          <w:sz w:val="24"/>
          <w:szCs w:val="24"/>
        </w:rPr>
        <w:t>closely</w:t>
      </w:r>
      <w:r w:rsidR="00802E82">
        <w:rPr>
          <w:rFonts w:ascii="Garamond" w:hAnsi="Garamond" w:cs="Futura"/>
          <w:sz w:val="24"/>
          <w:szCs w:val="24"/>
        </w:rPr>
        <w:t>. Certainly,</w:t>
      </w:r>
      <w:r w:rsidR="00AB58A1">
        <w:rPr>
          <w:rFonts w:ascii="Garamond" w:hAnsi="Garamond" w:cs="Futura"/>
          <w:sz w:val="24"/>
          <w:szCs w:val="24"/>
        </w:rPr>
        <w:t xml:space="preserve"> </w:t>
      </w:r>
      <w:r w:rsidR="00802E82">
        <w:rPr>
          <w:rFonts w:ascii="Garamond" w:hAnsi="Garamond" w:cs="Futura"/>
          <w:sz w:val="24"/>
          <w:szCs w:val="24"/>
        </w:rPr>
        <w:t>t</w:t>
      </w:r>
      <w:r w:rsidR="00B6044A">
        <w:rPr>
          <w:rFonts w:ascii="Garamond" w:hAnsi="Garamond" w:cs="Futura"/>
          <w:sz w:val="24"/>
          <w:szCs w:val="24"/>
        </w:rPr>
        <w:t>he</w:t>
      </w:r>
      <w:r>
        <w:rPr>
          <w:rFonts w:ascii="Garamond" w:hAnsi="Garamond" w:cs="Futura"/>
          <w:sz w:val="24"/>
          <w:szCs w:val="24"/>
        </w:rPr>
        <w:t xml:space="preserve"> EU</w:t>
      </w:r>
      <w:r w:rsidR="00636313">
        <w:rPr>
          <w:rFonts w:ascii="Garamond" w:hAnsi="Garamond" w:cs="Futura"/>
          <w:sz w:val="24"/>
          <w:szCs w:val="24"/>
        </w:rPr>
        <w:t>’s</w:t>
      </w:r>
      <w:r w:rsidR="00AB58A1">
        <w:rPr>
          <w:rFonts w:ascii="Garamond" w:hAnsi="Garamond" w:cs="Futura"/>
          <w:sz w:val="24"/>
          <w:szCs w:val="24"/>
        </w:rPr>
        <w:t xml:space="preserve"> position on supremacy is uncompromising</w:t>
      </w:r>
      <w:r w:rsidR="00802E82">
        <w:rPr>
          <w:rFonts w:ascii="Garamond" w:hAnsi="Garamond" w:cs="Futura"/>
          <w:sz w:val="24"/>
          <w:szCs w:val="24"/>
        </w:rPr>
        <w:t>.</w:t>
      </w:r>
      <w:r w:rsidR="00AB58A1">
        <w:rPr>
          <w:rStyle w:val="FootnoteReference"/>
          <w:rFonts w:ascii="Garamond" w:hAnsi="Garamond" w:cs="Futura"/>
          <w:sz w:val="24"/>
          <w:szCs w:val="24"/>
        </w:rPr>
        <w:footnoteReference w:id="75"/>
      </w:r>
      <w:r w:rsidR="00802E82">
        <w:rPr>
          <w:rFonts w:ascii="Garamond" w:hAnsi="Garamond" w:cs="Futura"/>
          <w:sz w:val="24"/>
          <w:szCs w:val="24"/>
        </w:rPr>
        <w:t xml:space="preserve"> But t</w:t>
      </w:r>
      <w:r w:rsidR="00AB58A1">
        <w:rPr>
          <w:rFonts w:ascii="Garamond" w:hAnsi="Garamond" w:cs="Futura"/>
          <w:sz w:val="24"/>
          <w:szCs w:val="24"/>
        </w:rPr>
        <w:t xml:space="preserve">he domestic reception </w:t>
      </w:r>
      <w:r w:rsidR="00410704">
        <w:rPr>
          <w:rFonts w:ascii="Garamond" w:hAnsi="Garamond" w:cs="Futura"/>
          <w:sz w:val="24"/>
          <w:szCs w:val="24"/>
        </w:rPr>
        <w:t xml:space="preserve">is </w:t>
      </w:r>
      <w:r w:rsidR="006D1EAB">
        <w:rPr>
          <w:rFonts w:ascii="Garamond" w:hAnsi="Garamond" w:cs="Futura"/>
          <w:sz w:val="24"/>
          <w:szCs w:val="24"/>
        </w:rPr>
        <w:t xml:space="preserve">more </w:t>
      </w:r>
      <w:r w:rsidR="00AB58A1">
        <w:rPr>
          <w:rFonts w:ascii="Garamond" w:hAnsi="Garamond" w:cs="Futura"/>
          <w:sz w:val="24"/>
          <w:szCs w:val="24"/>
        </w:rPr>
        <w:t>mixed.</w:t>
      </w:r>
      <w:r w:rsidR="00AB58A1">
        <w:rPr>
          <w:rStyle w:val="FootnoteReference"/>
          <w:rFonts w:ascii="Garamond" w:hAnsi="Garamond" w:cs="Futura"/>
          <w:sz w:val="24"/>
          <w:szCs w:val="24"/>
        </w:rPr>
        <w:footnoteReference w:id="76"/>
      </w:r>
      <w:r w:rsidR="00AB58A1">
        <w:rPr>
          <w:rFonts w:ascii="Garamond" w:hAnsi="Garamond" w:cs="Futura"/>
          <w:sz w:val="24"/>
          <w:szCs w:val="24"/>
        </w:rPr>
        <w:t xml:space="preserve"> Lord Denning MR was describing a common view when he noted in </w:t>
      </w:r>
      <w:r w:rsidR="00AB58A1" w:rsidRPr="00C26EFB">
        <w:rPr>
          <w:rFonts w:ascii="Garamond" w:hAnsi="Garamond" w:cs="Futura"/>
          <w:i/>
          <w:sz w:val="24"/>
          <w:szCs w:val="24"/>
        </w:rPr>
        <w:t>Macarthys v Smith</w:t>
      </w:r>
      <w:r w:rsidR="00AB58A1">
        <w:rPr>
          <w:rFonts w:ascii="Garamond" w:hAnsi="Garamond" w:cs="Futura"/>
          <w:sz w:val="24"/>
          <w:szCs w:val="24"/>
        </w:rPr>
        <w:t xml:space="preserve"> that “[i]</w:t>
      </w:r>
      <w:r w:rsidR="00AB58A1" w:rsidRPr="00167FD8">
        <w:rPr>
          <w:rFonts w:ascii="Garamond" w:hAnsi="Garamond" w:cs="Futura"/>
          <w:sz w:val="24"/>
          <w:szCs w:val="24"/>
        </w:rPr>
        <w:t xml:space="preserve">f the time should come when our Parliament deliberately passes an Act — with the intention of </w:t>
      </w:r>
      <w:r w:rsidR="00AB58A1">
        <w:rPr>
          <w:rFonts w:ascii="Garamond" w:hAnsi="Garamond" w:cs="Futura"/>
          <w:sz w:val="24"/>
          <w:szCs w:val="24"/>
        </w:rPr>
        <w:t>…</w:t>
      </w:r>
      <w:r w:rsidR="00AB58A1" w:rsidRPr="00167FD8">
        <w:rPr>
          <w:rFonts w:ascii="Garamond" w:hAnsi="Garamond" w:cs="Futura"/>
          <w:sz w:val="24"/>
          <w:szCs w:val="24"/>
        </w:rPr>
        <w:t xml:space="preserve"> acting inconsistently with </w:t>
      </w:r>
      <w:r w:rsidR="00AB58A1">
        <w:rPr>
          <w:rFonts w:ascii="Garamond" w:hAnsi="Garamond" w:cs="Futura"/>
          <w:sz w:val="24"/>
          <w:szCs w:val="24"/>
        </w:rPr>
        <w:t>[the EU Treaties]</w:t>
      </w:r>
      <w:r w:rsidR="00AB58A1" w:rsidRPr="00167FD8">
        <w:rPr>
          <w:rFonts w:ascii="Garamond" w:hAnsi="Garamond" w:cs="Futura"/>
          <w:sz w:val="24"/>
          <w:szCs w:val="24"/>
        </w:rPr>
        <w:t xml:space="preserve"> — and says so in express terms — then I should have thought that it would be the duty of our courts to follow the statute of our Parliament</w:t>
      </w:r>
      <w:r w:rsidR="00AB58A1">
        <w:rPr>
          <w:rFonts w:ascii="Garamond" w:hAnsi="Garamond" w:cs="Futura"/>
          <w:sz w:val="24"/>
          <w:szCs w:val="24"/>
        </w:rPr>
        <w:t>”</w:t>
      </w:r>
      <w:r w:rsidR="00AB58A1" w:rsidRPr="00167FD8">
        <w:rPr>
          <w:rFonts w:ascii="Garamond" w:hAnsi="Garamond" w:cs="Futura"/>
          <w:sz w:val="24"/>
          <w:szCs w:val="24"/>
        </w:rPr>
        <w:t>.</w:t>
      </w:r>
      <w:r w:rsidR="00AB58A1">
        <w:rPr>
          <w:rStyle w:val="FootnoteReference"/>
          <w:rFonts w:ascii="Garamond" w:hAnsi="Garamond" w:cs="Futura"/>
          <w:sz w:val="24"/>
          <w:szCs w:val="24"/>
        </w:rPr>
        <w:footnoteReference w:id="77"/>
      </w:r>
      <w:r w:rsidR="00AB58A1">
        <w:rPr>
          <w:rFonts w:ascii="Garamond" w:hAnsi="Garamond" w:cs="Futura"/>
          <w:sz w:val="24"/>
          <w:szCs w:val="24"/>
        </w:rPr>
        <w:t xml:space="preserve"> </w:t>
      </w:r>
      <w:r w:rsidR="008F2548">
        <w:rPr>
          <w:rFonts w:ascii="Garamond" w:hAnsi="Garamond" w:cs="Futura"/>
          <w:sz w:val="24"/>
          <w:szCs w:val="24"/>
        </w:rPr>
        <w:t>Put another way, EU law has overriding effect “</w:t>
      </w:r>
      <w:r w:rsidR="00246E91">
        <w:rPr>
          <w:rFonts w:ascii="Garamond" w:hAnsi="Garamond" w:cs="Futura"/>
          <w:sz w:val="24"/>
          <w:szCs w:val="24"/>
        </w:rPr>
        <w:t>to the extent that subsequent Acts take for granted and thus maintain this rule of priority”.</w:t>
      </w:r>
      <w:r w:rsidR="00246E91">
        <w:rPr>
          <w:rStyle w:val="FootnoteReference"/>
          <w:rFonts w:ascii="Garamond" w:hAnsi="Garamond" w:cs="Futura"/>
          <w:sz w:val="24"/>
          <w:szCs w:val="24"/>
        </w:rPr>
        <w:footnoteReference w:id="78"/>
      </w:r>
      <w:r w:rsidR="00F94A07">
        <w:rPr>
          <w:rFonts w:ascii="Garamond" w:hAnsi="Garamond" w:cs="Futura"/>
          <w:sz w:val="24"/>
          <w:szCs w:val="24"/>
        </w:rPr>
        <w:t xml:space="preserve"> </w:t>
      </w:r>
      <w:r w:rsidR="00246E91">
        <w:rPr>
          <w:rFonts w:ascii="Garamond" w:hAnsi="Garamond" w:cs="Futura"/>
          <w:sz w:val="24"/>
          <w:szCs w:val="24"/>
        </w:rPr>
        <w:t>Moreover,</w:t>
      </w:r>
      <w:r w:rsidR="00C2221B">
        <w:rPr>
          <w:rFonts w:ascii="Garamond" w:hAnsi="Garamond" w:cs="Futura"/>
          <w:sz w:val="24"/>
          <w:szCs w:val="24"/>
        </w:rPr>
        <w:t xml:space="preserve"> </w:t>
      </w:r>
      <w:r w:rsidR="00246E91">
        <w:rPr>
          <w:rFonts w:ascii="Garamond" w:hAnsi="Garamond" w:cs="Futura"/>
          <w:sz w:val="24"/>
          <w:szCs w:val="24"/>
        </w:rPr>
        <w:t>as suggested by the judgment in</w:t>
      </w:r>
      <w:r w:rsidR="00823476">
        <w:rPr>
          <w:rFonts w:ascii="Garamond" w:hAnsi="Garamond" w:cs="Futura"/>
          <w:sz w:val="24"/>
          <w:szCs w:val="24"/>
        </w:rPr>
        <w:t xml:space="preserve"> </w:t>
      </w:r>
      <w:r w:rsidR="00AB58A1" w:rsidRPr="00081516">
        <w:rPr>
          <w:rFonts w:ascii="Garamond" w:hAnsi="Garamond" w:cs="Futura"/>
          <w:i/>
          <w:sz w:val="24"/>
          <w:szCs w:val="24"/>
        </w:rPr>
        <w:t>HS2</w:t>
      </w:r>
      <w:r w:rsidR="00823476">
        <w:rPr>
          <w:rFonts w:ascii="Garamond" w:hAnsi="Garamond" w:cs="Futura"/>
          <w:sz w:val="24"/>
          <w:szCs w:val="24"/>
        </w:rPr>
        <w:t>,</w:t>
      </w:r>
      <w:r w:rsidR="00AB58A1">
        <w:rPr>
          <w:rFonts w:ascii="Garamond" w:hAnsi="Garamond" w:cs="Futura"/>
          <w:sz w:val="24"/>
          <w:szCs w:val="24"/>
        </w:rPr>
        <w:t xml:space="preserve"> </w:t>
      </w:r>
      <w:r w:rsidR="00246E91">
        <w:rPr>
          <w:rFonts w:ascii="Garamond" w:hAnsi="Garamond" w:cs="Futura"/>
          <w:sz w:val="24"/>
          <w:szCs w:val="24"/>
        </w:rPr>
        <w:t>where</w:t>
      </w:r>
      <w:r w:rsidR="00AB58A1">
        <w:rPr>
          <w:rFonts w:ascii="Garamond" w:hAnsi="Garamond" w:cs="Futura"/>
          <w:sz w:val="24"/>
          <w:szCs w:val="24"/>
        </w:rPr>
        <w:t xml:space="preserve"> the requirements of constitutional statutes such as the Bill of Rights 1689 a</w:t>
      </w:r>
      <w:r w:rsidR="00823476">
        <w:rPr>
          <w:rFonts w:ascii="Garamond" w:hAnsi="Garamond" w:cs="Futura"/>
          <w:sz w:val="24"/>
          <w:szCs w:val="24"/>
        </w:rPr>
        <w:t>nd the ECA are conflicting</w:t>
      </w:r>
      <w:r w:rsidR="00AB58A1">
        <w:rPr>
          <w:rFonts w:ascii="Garamond" w:hAnsi="Garamond" w:cs="Futura"/>
          <w:sz w:val="24"/>
          <w:szCs w:val="24"/>
        </w:rPr>
        <w:t xml:space="preserve"> it is not necessarily the case that the ECA – and thus EU law – would take priority.</w:t>
      </w:r>
      <w:r w:rsidR="00AB58A1">
        <w:rPr>
          <w:rStyle w:val="FootnoteReference"/>
          <w:rFonts w:ascii="Garamond" w:hAnsi="Garamond" w:cs="Futura"/>
          <w:sz w:val="24"/>
          <w:szCs w:val="24"/>
        </w:rPr>
        <w:footnoteReference w:id="79"/>
      </w:r>
      <w:r w:rsidR="00AB58A1">
        <w:rPr>
          <w:rFonts w:ascii="Garamond" w:hAnsi="Garamond" w:cs="Futura"/>
          <w:sz w:val="24"/>
          <w:szCs w:val="24"/>
        </w:rPr>
        <w:t xml:space="preserve"> Rather, it is possible that the courts </w:t>
      </w:r>
      <w:r w:rsidR="00A40B71">
        <w:rPr>
          <w:rFonts w:ascii="Garamond" w:hAnsi="Garamond" w:cs="Futura"/>
          <w:sz w:val="24"/>
          <w:szCs w:val="24"/>
        </w:rPr>
        <w:t xml:space="preserve">would </w:t>
      </w:r>
      <w:r w:rsidR="0043035C">
        <w:rPr>
          <w:rFonts w:ascii="Garamond" w:hAnsi="Garamond" w:cs="Futura"/>
          <w:sz w:val="24"/>
          <w:szCs w:val="24"/>
        </w:rPr>
        <w:t>recognise the priority of principles</w:t>
      </w:r>
      <w:r w:rsidR="00AB58A1">
        <w:rPr>
          <w:rFonts w:ascii="Garamond" w:hAnsi="Garamond" w:cs="Futura"/>
          <w:sz w:val="24"/>
          <w:szCs w:val="24"/>
        </w:rPr>
        <w:t xml:space="preserve"> “</w:t>
      </w:r>
      <w:r w:rsidR="00AB58A1" w:rsidRPr="00ED7B18">
        <w:rPr>
          <w:rFonts w:ascii="Garamond" w:hAnsi="Garamond" w:cs="Futura"/>
          <w:sz w:val="24"/>
          <w:szCs w:val="24"/>
        </w:rPr>
        <w:t>hitherto also regarded as fundamental and enshrined in the Bill of Rights</w:t>
      </w:r>
      <w:r w:rsidR="00AB58A1">
        <w:rPr>
          <w:rFonts w:ascii="Garamond" w:hAnsi="Garamond" w:cs="Futura"/>
          <w:sz w:val="24"/>
          <w:szCs w:val="24"/>
        </w:rPr>
        <w:t>”.</w:t>
      </w:r>
      <w:r w:rsidR="00AB58A1">
        <w:rPr>
          <w:rStyle w:val="FootnoteReference"/>
          <w:rFonts w:ascii="Garamond" w:hAnsi="Garamond" w:cs="Futura"/>
          <w:sz w:val="24"/>
          <w:szCs w:val="24"/>
        </w:rPr>
        <w:footnoteReference w:id="80"/>
      </w:r>
      <w:r w:rsidR="00026AEC">
        <w:rPr>
          <w:rFonts w:ascii="Garamond" w:hAnsi="Garamond" w:cs="Futura"/>
          <w:sz w:val="24"/>
          <w:szCs w:val="24"/>
        </w:rPr>
        <w:t xml:space="preserve"> </w:t>
      </w:r>
    </w:p>
    <w:p w14:paraId="5728720D" w14:textId="0253C45E" w:rsidR="002916AE" w:rsidRDefault="00F94A07" w:rsidP="008D30F6">
      <w:pPr>
        <w:ind w:firstLine="624"/>
        <w:contextualSpacing/>
        <w:rPr>
          <w:rFonts w:ascii="Garamond" w:hAnsi="Garamond" w:cs="Futura"/>
          <w:sz w:val="24"/>
          <w:szCs w:val="24"/>
        </w:rPr>
      </w:pPr>
      <w:r>
        <w:rPr>
          <w:rFonts w:ascii="Garamond" w:hAnsi="Garamond" w:cs="Futura"/>
          <w:sz w:val="24"/>
          <w:szCs w:val="24"/>
        </w:rPr>
        <w:t>Thus, at the domestic level,</w:t>
      </w:r>
      <w:r w:rsidR="00AB58A1">
        <w:rPr>
          <w:rFonts w:ascii="Garamond" w:hAnsi="Garamond" w:cs="Futura"/>
          <w:sz w:val="24"/>
          <w:szCs w:val="24"/>
        </w:rPr>
        <w:t xml:space="preserve"> </w:t>
      </w:r>
      <w:r w:rsidR="00026AEC">
        <w:rPr>
          <w:rFonts w:ascii="Garamond" w:hAnsi="Garamond" w:cs="Futura"/>
          <w:sz w:val="24"/>
          <w:szCs w:val="24"/>
        </w:rPr>
        <w:t>EU law’s overriding quality is qualified</w:t>
      </w:r>
      <w:r w:rsidR="00AB58A1">
        <w:rPr>
          <w:rFonts w:ascii="Garamond" w:hAnsi="Garamond" w:cs="Futura"/>
          <w:sz w:val="24"/>
          <w:szCs w:val="24"/>
        </w:rPr>
        <w:t xml:space="preserve">. This </w:t>
      </w:r>
      <w:r w:rsidR="00134362">
        <w:rPr>
          <w:rFonts w:ascii="Garamond" w:hAnsi="Garamond" w:cs="Futura"/>
          <w:sz w:val="24"/>
          <w:szCs w:val="24"/>
        </w:rPr>
        <w:t>muddies</w:t>
      </w:r>
      <w:r w:rsidR="00026AEC">
        <w:rPr>
          <w:rFonts w:ascii="Garamond" w:hAnsi="Garamond" w:cs="Futura"/>
          <w:sz w:val="24"/>
          <w:szCs w:val="24"/>
        </w:rPr>
        <w:t xml:space="preserve"> the waters</w:t>
      </w:r>
      <w:r w:rsidR="004D704C">
        <w:rPr>
          <w:rFonts w:ascii="Garamond" w:hAnsi="Garamond" w:cs="Futura"/>
          <w:sz w:val="24"/>
          <w:szCs w:val="24"/>
        </w:rPr>
        <w:t xml:space="preserve"> a little</w:t>
      </w:r>
      <w:r w:rsidR="00026AEC">
        <w:rPr>
          <w:rFonts w:ascii="Garamond" w:hAnsi="Garamond" w:cs="Futura"/>
          <w:sz w:val="24"/>
          <w:szCs w:val="24"/>
        </w:rPr>
        <w:t>. I</w:t>
      </w:r>
      <w:r w:rsidR="00AB58A1">
        <w:rPr>
          <w:rFonts w:ascii="Garamond" w:hAnsi="Garamond" w:cs="Futura"/>
          <w:sz w:val="24"/>
          <w:szCs w:val="24"/>
        </w:rPr>
        <w:t xml:space="preserve">t </w:t>
      </w:r>
      <w:r w:rsidR="00134362">
        <w:rPr>
          <w:rFonts w:ascii="Garamond" w:hAnsi="Garamond" w:cs="Futura"/>
          <w:sz w:val="24"/>
          <w:szCs w:val="24"/>
        </w:rPr>
        <w:t>prompts</w:t>
      </w:r>
      <w:r w:rsidR="00AB58A1">
        <w:rPr>
          <w:rFonts w:ascii="Garamond" w:hAnsi="Garamond" w:cs="Futura"/>
          <w:sz w:val="24"/>
          <w:szCs w:val="24"/>
        </w:rPr>
        <w:t xml:space="preserve"> the question whether, in light of </w:t>
      </w:r>
      <w:r w:rsidR="00AB58A1" w:rsidRPr="009D684D">
        <w:rPr>
          <w:rFonts w:ascii="Garamond" w:hAnsi="Garamond" w:cs="Futura"/>
          <w:i/>
          <w:sz w:val="24"/>
          <w:szCs w:val="24"/>
        </w:rPr>
        <w:t>Miller</w:t>
      </w:r>
      <w:r w:rsidR="00AB58A1">
        <w:rPr>
          <w:rFonts w:ascii="Garamond" w:hAnsi="Garamond" w:cs="Futura"/>
          <w:sz w:val="24"/>
          <w:szCs w:val="24"/>
        </w:rPr>
        <w:t xml:space="preserve">, the courts </w:t>
      </w:r>
      <w:r w:rsidR="004B7239">
        <w:rPr>
          <w:rFonts w:ascii="Garamond" w:hAnsi="Garamond" w:cs="Futura"/>
          <w:sz w:val="24"/>
          <w:szCs w:val="24"/>
        </w:rPr>
        <w:t>might be willing to</w:t>
      </w:r>
      <w:r w:rsidR="00AB58A1">
        <w:rPr>
          <w:rFonts w:ascii="Garamond" w:hAnsi="Garamond" w:cs="Futura"/>
          <w:sz w:val="24"/>
          <w:szCs w:val="24"/>
        </w:rPr>
        <w:t xml:space="preserve"> protect another treat</w:t>
      </w:r>
      <w:r w:rsidR="00026AEC">
        <w:rPr>
          <w:rFonts w:ascii="Garamond" w:hAnsi="Garamond" w:cs="Futura"/>
          <w:sz w:val="24"/>
          <w:szCs w:val="24"/>
        </w:rPr>
        <w:t xml:space="preserve">y-based source that frequently </w:t>
      </w:r>
      <w:r w:rsidR="00AB58A1">
        <w:rPr>
          <w:rFonts w:ascii="Garamond" w:hAnsi="Garamond" w:cs="Futura"/>
          <w:sz w:val="24"/>
          <w:szCs w:val="24"/>
        </w:rPr>
        <w:t>but not a</w:t>
      </w:r>
      <w:r w:rsidR="00026AEC">
        <w:rPr>
          <w:rFonts w:ascii="Garamond" w:hAnsi="Garamond" w:cs="Futura"/>
          <w:sz w:val="24"/>
          <w:szCs w:val="24"/>
        </w:rPr>
        <w:t>lways</w:t>
      </w:r>
      <w:r w:rsidR="00AB58A1">
        <w:rPr>
          <w:rFonts w:ascii="Garamond" w:hAnsi="Garamond" w:cs="Futura"/>
          <w:sz w:val="24"/>
          <w:szCs w:val="24"/>
        </w:rPr>
        <w:t xml:space="preserve"> takes prior</w:t>
      </w:r>
      <w:r w:rsidR="00134362">
        <w:rPr>
          <w:rFonts w:ascii="Garamond" w:hAnsi="Garamond" w:cs="Futura"/>
          <w:sz w:val="24"/>
          <w:szCs w:val="24"/>
        </w:rPr>
        <w:t xml:space="preserve">ity over other </w:t>
      </w:r>
      <w:r w:rsidR="00053A95">
        <w:rPr>
          <w:rFonts w:ascii="Garamond" w:hAnsi="Garamond" w:cs="Futura"/>
          <w:sz w:val="24"/>
          <w:szCs w:val="24"/>
        </w:rPr>
        <w:t xml:space="preserve">conflicting </w:t>
      </w:r>
      <w:r w:rsidR="00134362">
        <w:rPr>
          <w:rFonts w:ascii="Garamond" w:hAnsi="Garamond" w:cs="Futura"/>
          <w:sz w:val="24"/>
          <w:szCs w:val="24"/>
        </w:rPr>
        <w:t>domestic rules.</w:t>
      </w:r>
      <w:r w:rsidR="00040F5F">
        <w:rPr>
          <w:rFonts w:ascii="Garamond" w:hAnsi="Garamond" w:cs="Futura"/>
          <w:sz w:val="24"/>
          <w:szCs w:val="24"/>
        </w:rPr>
        <w:t xml:space="preserve"> Indeed, </w:t>
      </w:r>
      <w:r w:rsidR="00A22AF1">
        <w:rPr>
          <w:rFonts w:ascii="Garamond" w:hAnsi="Garamond" w:cs="Futura"/>
          <w:sz w:val="24"/>
          <w:szCs w:val="24"/>
        </w:rPr>
        <w:t xml:space="preserve">in </w:t>
      </w:r>
      <w:r w:rsidR="00A22AF1" w:rsidRPr="00A22AF1">
        <w:rPr>
          <w:rFonts w:ascii="Garamond" w:hAnsi="Garamond" w:cs="Futura"/>
          <w:i/>
          <w:sz w:val="24"/>
          <w:szCs w:val="24"/>
        </w:rPr>
        <w:t>Miller</w:t>
      </w:r>
      <w:r w:rsidR="00A22AF1">
        <w:rPr>
          <w:rFonts w:ascii="Garamond" w:hAnsi="Garamond" w:cs="Futura"/>
          <w:sz w:val="24"/>
          <w:szCs w:val="24"/>
        </w:rPr>
        <w:t xml:space="preserve"> </w:t>
      </w:r>
      <w:r w:rsidR="00040F5F">
        <w:rPr>
          <w:rFonts w:ascii="Garamond" w:hAnsi="Garamond" w:cs="Futura"/>
          <w:sz w:val="24"/>
          <w:szCs w:val="24"/>
        </w:rPr>
        <w:t>t</w:t>
      </w:r>
      <w:r w:rsidR="008A352C">
        <w:rPr>
          <w:rFonts w:ascii="Garamond" w:hAnsi="Garamond" w:cs="Futura"/>
          <w:sz w:val="24"/>
          <w:szCs w:val="24"/>
        </w:rPr>
        <w:t xml:space="preserve">he majority </w:t>
      </w:r>
      <w:r w:rsidR="00040F5F">
        <w:rPr>
          <w:rFonts w:ascii="Garamond" w:hAnsi="Garamond" w:cs="Futura"/>
          <w:sz w:val="24"/>
          <w:szCs w:val="24"/>
        </w:rPr>
        <w:t xml:space="preserve">itself drew attention to how EU law’s primacy was </w:t>
      </w:r>
      <w:r w:rsidR="00A22AF1">
        <w:rPr>
          <w:rFonts w:ascii="Garamond" w:hAnsi="Garamond" w:cs="Futura"/>
          <w:sz w:val="24"/>
          <w:szCs w:val="24"/>
        </w:rPr>
        <w:t xml:space="preserve">only </w:t>
      </w:r>
      <w:r w:rsidR="00040F5F">
        <w:rPr>
          <w:rFonts w:ascii="Garamond" w:hAnsi="Garamond" w:cs="Futura"/>
          <w:sz w:val="24"/>
          <w:szCs w:val="24"/>
        </w:rPr>
        <w:t>the “normal rule”</w:t>
      </w:r>
      <w:r w:rsidR="00A22AF1">
        <w:rPr>
          <w:rFonts w:ascii="Garamond" w:hAnsi="Garamond" w:cs="Futura"/>
          <w:sz w:val="24"/>
          <w:szCs w:val="24"/>
        </w:rPr>
        <w:t xml:space="preserve"> and described circumstances where legislation “will have domestic effect even if it infringes EU law</w:t>
      </w:r>
      <w:r w:rsidR="000D5D9F">
        <w:rPr>
          <w:rFonts w:ascii="Garamond" w:hAnsi="Garamond" w:cs="Futura"/>
          <w:sz w:val="24"/>
          <w:szCs w:val="24"/>
        </w:rPr>
        <w:t xml:space="preserve"> … because of the principle of Parliamentary sovereignty</w:t>
      </w:r>
      <w:r w:rsidR="00A22AF1">
        <w:rPr>
          <w:rFonts w:ascii="Garamond" w:hAnsi="Garamond" w:cs="Futura"/>
          <w:sz w:val="24"/>
          <w:szCs w:val="24"/>
        </w:rPr>
        <w:t>”</w:t>
      </w:r>
      <w:r w:rsidR="00246E91">
        <w:rPr>
          <w:rFonts w:ascii="Garamond" w:hAnsi="Garamond" w:cs="Futura"/>
          <w:sz w:val="24"/>
          <w:szCs w:val="24"/>
        </w:rPr>
        <w:t>.</w:t>
      </w:r>
      <w:r w:rsidR="00246E91">
        <w:rPr>
          <w:rStyle w:val="FootnoteReference"/>
          <w:rFonts w:ascii="Garamond" w:hAnsi="Garamond" w:cs="Futura"/>
          <w:sz w:val="24"/>
          <w:szCs w:val="24"/>
        </w:rPr>
        <w:footnoteReference w:id="81"/>
      </w:r>
    </w:p>
    <w:p w14:paraId="794AFB25" w14:textId="6F48CE8A" w:rsidR="000873EA" w:rsidRPr="008D30F6" w:rsidRDefault="00EF7951" w:rsidP="008D30F6">
      <w:pPr>
        <w:ind w:firstLine="624"/>
        <w:contextualSpacing/>
        <w:rPr>
          <w:rFonts w:ascii="Garamond" w:hAnsi="Garamond" w:cs="Futura"/>
          <w:sz w:val="24"/>
        </w:rPr>
      </w:pPr>
      <w:r>
        <w:rPr>
          <w:rFonts w:ascii="Garamond" w:hAnsi="Garamond" w:cs="Futura"/>
          <w:sz w:val="24"/>
          <w:szCs w:val="24"/>
        </w:rPr>
        <w:lastRenderedPageBreak/>
        <w:t xml:space="preserve">Finally, </w:t>
      </w:r>
      <w:r w:rsidR="00C60457">
        <w:rPr>
          <w:rFonts w:ascii="Garamond" w:hAnsi="Garamond" w:cs="Futura"/>
          <w:sz w:val="24"/>
          <w:szCs w:val="24"/>
        </w:rPr>
        <w:t>returning to</w:t>
      </w:r>
      <w:r>
        <w:rPr>
          <w:rFonts w:ascii="Garamond" w:hAnsi="Garamond" w:cs="Futura"/>
          <w:sz w:val="24"/>
          <w:szCs w:val="24"/>
        </w:rPr>
        <w:t xml:space="preserve"> COTIF</w:t>
      </w:r>
      <w:r w:rsidR="00C60457">
        <w:rPr>
          <w:rFonts w:ascii="Garamond" w:hAnsi="Garamond" w:cs="Futura"/>
          <w:sz w:val="24"/>
          <w:szCs w:val="24"/>
        </w:rPr>
        <w:t xml:space="preserve">, </w:t>
      </w:r>
      <w:r w:rsidR="008D30F6">
        <w:rPr>
          <w:rFonts w:ascii="Garamond" w:hAnsi="Garamond" w:cs="Futura"/>
          <w:sz w:val="24"/>
          <w:szCs w:val="24"/>
        </w:rPr>
        <w:t xml:space="preserve">it is worth </w:t>
      </w:r>
      <w:r w:rsidR="0024627F">
        <w:rPr>
          <w:rFonts w:ascii="Garamond" w:hAnsi="Garamond" w:cs="Futura"/>
          <w:sz w:val="24"/>
          <w:szCs w:val="24"/>
        </w:rPr>
        <w:t>mentioning</w:t>
      </w:r>
      <w:r w:rsidR="008D30F6">
        <w:rPr>
          <w:rFonts w:ascii="Garamond" w:hAnsi="Garamond" w:cs="Futura"/>
          <w:sz w:val="24"/>
          <w:szCs w:val="24"/>
        </w:rPr>
        <w:t xml:space="preserve"> that </w:t>
      </w:r>
      <w:r w:rsidR="000873EA">
        <w:rPr>
          <w:rFonts w:ascii="Garamond" w:hAnsi="Garamond" w:cs="Futura"/>
          <w:sz w:val="24"/>
        </w:rPr>
        <w:t xml:space="preserve">Sch.6 para.2 of the </w:t>
      </w:r>
      <w:r w:rsidR="000873EA" w:rsidRPr="00820CE3">
        <w:rPr>
          <w:rFonts w:ascii="Garamond" w:hAnsi="Garamond" w:cs="Futura"/>
          <w:sz w:val="24"/>
        </w:rPr>
        <w:t>Railways and Transport Safety Act 2003</w:t>
      </w:r>
      <w:r w:rsidR="00DF1915">
        <w:rPr>
          <w:rFonts w:ascii="Garamond" w:hAnsi="Garamond" w:cs="Futura"/>
          <w:sz w:val="24"/>
        </w:rPr>
        <w:t xml:space="preserve"> provides:</w:t>
      </w:r>
    </w:p>
    <w:p w14:paraId="4C91B267" w14:textId="77777777" w:rsidR="000873EA" w:rsidRDefault="000873EA" w:rsidP="000873EA">
      <w:pPr>
        <w:contextualSpacing/>
        <w:rPr>
          <w:rFonts w:ascii="Garamond" w:hAnsi="Garamond" w:cs="Futura"/>
          <w:sz w:val="24"/>
        </w:rPr>
      </w:pPr>
    </w:p>
    <w:p w14:paraId="0C75EBEB" w14:textId="77777777" w:rsidR="000873EA" w:rsidRPr="001C6B14" w:rsidRDefault="000873EA" w:rsidP="000873EA">
      <w:pPr>
        <w:contextualSpacing/>
        <w:rPr>
          <w:rFonts w:ascii="Garamond" w:hAnsi="Garamond" w:cs="Futura"/>
          <w:sz w:val="20"/>
          <w:szCs w:val="20"/>
        </w:rPr>
      </w:pPr>
      <w:r w:rsidRPr="001C6B14">
        <w:rPr>
          <w:rFonts w:ascii="Garamond" w:hAnsi="Garamond" w:cs="Futura"/>
          <w:sz w:val="20"/>
          <w:szCs w:val="20"/>
        </w:rPr>
        <w:t>Regulations may—</w:t>
      </w:r>
    </w:p>
    <w:p w14:paraId="22E84953" w14:textId="77777777" w:rsidR="000873EA" w:rsidRPr="001C6B14" w:rsidRDefault="000873EA" w:rsidP="000873EA">
      <w:pPr>
        <w:contextualSpacing/>
        <w:rPr>
          <w:rFonts w:ascii="Garamond" w:hAnsi="Garamond" w:cs="Futura"/>
          <w:sz w:val="20"/>
          <w:szCs w:val="20"/>
        </w:rPr>
      </w:pPr>
    </w:p>
    <w:p w14:paraId="66E90446" w14:textId="6A8E2BB1" w:rsidR="000873EA" w:rsidRPr="001C6B14" w:rsidRDefault="00CB1039" w:rsidP="000873EA">
      <w:pPr>
        <w:contextualSpacing/>
        <w:rPr>
          <w:rFonts w:ascii="Garamond" w:hAnsi="Garamond" w:cs="Futura"/>
          <w:sz w:val="20"/>
          <w:szCs w:val="20"/>
        </w:rPr>
      </w:pPr>
      <w:r>
        <w:rPr>
          <w:rFonts w:ascii="Garamond" w:hAnsi="Garamond" w:cs="Futura"/>
          <w:sz w:val="20"/>
          <w:szCs w:val="20"/>
        </w:rPr>
        <w:t xml:space="preserve">… </w:t>
      </w:r>
      <w:r w:rsidR="000873EA" w:rsidRPr="001C6B14">
        <w:rPr>
          <w:rFonts w:ascii="Garamond" w:hAnsi="Garamond" w:cs="Futura"/>
          <w:sz w:val="20"/>
          <w:szCs w:val="20"/>
        </w:rPr>
        <w:t>(e)</w:t>
      </w:r>
      <w:r w:rsidR="000873EA">
        <w:rPr>
          <w:rFonts w:ascii="Garamond" w:hAnsi="Garamond" w:cs="Futura"/>
          <w:sz w:val="20"/>
          <w:szCs w:val="20"/>
        </w:rPr>
        <w:t xml:space="preserve"> </w:t>
      </w:r>
      <w:r w:rsidR="000873EA" w:rsidRPr="001C6B14">
        <w:rPr>
          <w:rFonts w:ascii="Garamond" w:hAnsi="Garamond" w:cs="Futura"/>
          <w:sz w:val="20"/>
          <w:szCs w:val="20"/>
        </w:rPr>
        <w:t>apply, disapply or modify the effect of an enactment …</w:t>
      </w:r>
    </w:p>
    <w:p w14:paraId="1455DA8F" w14:textId="77777777" w:rsidR="000873EA" w:rsidRDefault="000873EA" w:rsidP="000873EA">
      <w:pPr>
        <w:contextualSpacing/>
        <w:rPr>
          <w:rFonts w:ascii="Garamond" w:hAnsi="Garamond" w:cs="Futura"/>
          <w:sz w:val="24"/>
        </w:rPr>
      </w:pPr>
    </w:p>
    <w:p w14:paraId="4ABAD482" w14:textId="5019446A" w:rsidR="00E3733F" w:rsidRDefault="00085D07" w:rsidP="000873EA">
      <w:pPr>
        <w:contextualSpacing/>
        <w:rPr>
          <w:rFonts w:ascii="Garamond" w:hAnsi="Garamond" w:cs="Futura"/>
          <w:sz w:val="24"/>
        </w:rPr>
      </w:pPr>
      <w:r>
        <w:rPr>
          <w:rFonts w:ascii="Garamond" w:hAnsi="Garamond" w:cs="Futura"/>
          <w:sz w:val="24"/>
        </w:rPr>
        <w:t>While t</w:t>
      </w:r>
      <w:r w:rsidR="00B12067">
        <w:rPr>
          <w:rFonts w:ascii="Garamond" w:hAnsi="Garamond" w:cs="Futura"/>
          <w:sz w:val="24"/>
        </w:rPr>
        <w:t xml:space="preserve">his </w:t>
      </w:r>
      <w:r w:rsidR="00AD4ACF">
        <w:rPr>
          <w:rFonts w:ascii="Garamond" w:hAnsi="Garamond" w:cs="Futura"/>
          <w:sz w:val="24"/>
        </w:rPr>
        <w:t xml:space="preserve">sort of provision </w:t>
      </w:r>
      <w:r w:rsidR="00B12067">
        <w:rPr>
          <w:rFonts w:ascii="Garamond" w:hAnsi="Garamond" w:cs="Futura"/>
          <w:sz w:val="24"/>
        </w:rPr>
        <w:t xml:space="preserve">is </w:t>
      </w:r>
      <w:r w:rsidR="0026776F">
        <w:rPr>
          <w:rFonts w:ascii="Garamond" w:hAnsi="Garamond" w:cs="Futura"/>
          <w:sz w:val="24"/>
        </w:rPr>
        <w:t>hardly</w:t>
      </w:r>
      <w:r w:rsidR="0075333B">
        <w:rPr>
          <w:rFonts w:ascii="Garamond" w:hAnsi="Garamond" w:cs="Futura"/>
          <w:sz w:val="24"/>
        </w:rPr>
        <w:t xml:space="preserve"> unique in UK legislation and should not be exaggerated, </w:t>
      </w:r>
      <w:r w:rsidR="00DB1C73">
        <w:rPr>
          <w:rFonts w:ascii="Garamond" w:hAnsi="Garamond" w:cs="Futura"/>
          <w:sz w:val="24"/>
        </w:rPr>
        <w:t>it</w:t>
      </w:r>
      <w:r w:rsidR="00786D31">
        <w:rPr>
          <w:rFonts w:ascii="Garamond" w:hAnsi="Garamond" w:cs="Futura"/>
          <w:sz w:val="24"/>
        </w:rPr>
        <w:t xml:space="preserve"> </w:t>
      </w:r>
      <w:r w:rsidR="00AA56F8">
        <w:rPr>
          <w:rFonts w:ascii="Garamond" w:hAnsi="Garamond" w:cs="Futura"/>
          <w:sz w:val="24"/>
        </w:rPr>
        <w:t xml:space="preserve">provides a healthy reminder of </w:t>
      </w:r>
      <w:r w:rsidR="008F02DA">
        <w:rPr>
          <w:rFonts w:ascii="Garamond" w:hAnsi="Garamond" w:cs="Futura"/>
          <w:sz w:val="24"/>
        </w:rPr>
        <w:t>how</w:t>
      </w:r>
      <w:r w:rsidR="00EA2AA5">
        <w:rPr>
          <w:rFonts w:ascii="Garamond" w:hAnsi="Garamond" w:cs="Futura"/>
          <w:sz w:val="24"/>
        </w:rPr>
        <w:t xml:space="preserve"> </w:t>
      </w:r>
      <w:r w:rsidR="00045013">
        <w:rPr>
          <w:rFonts w:ascii="Garamond" w:hAnsi="Garamond" w:cs="Futura"/>
          <w:sz w:val="24"/>
        </w:rPr>
        <w:t xml:space="preserve">domestic </w:t>
      </w:r>
      <w:r w:rsidR="00EA2AA5">
        <w:rPr>
          <w:rFonts w:ascii="Garamond" w:hAnsi="Garamond" w:cs="Futura"/>
          <w:sz w:val="24"/>
        </w:rPr>
        <w:t>legislation</w:t>
      </w:r>
      <w:r w:rsidR="00053A95">
        <w:rPr>
          <w:rFonts w:ascii="Garamond" w:hAnsi="Garamond" w:cs="Futura"/>
          <w:sz w:val="24"/>
        </w:rPr>
        <w:t xml:space="preserve"> can</w:t>
      </w:r>
      <w:r w:rsidR="00045013">
        <w:rPr>
          <w:rFonts w:ascii="Garamond" w:hAnsi="Garamond" w:cs="Futura"/>
          <w:sz w:val="24"/>
        </w:rPr>
        <w:t xml:space="preserve"> </w:t>
      </w:r>
      <w:r w:rsidR="00053A95">
        <w:rPr>
          <w:rFonts w:ascii="Garamond" w:hAnsi="Garamond" w:cs="Futura"/>
          <w:sz w:val="24"/>
        </w:rPr>
        <w:t>strive</w:t>
      </w:r>
      <w:r w:rsidR="00045013">
        <w:rPr>
          <w:rFonts w:ascii="Garamond" w:hAnsi="Garamond" w:cs="Futura"/>
          <w:sz w:val="24"/>
        </w:rPr>
        <w:t xml:space="preserve"> to </w:t>
      </w:r>
      <w:r w:rsidR="00D91CBB">
        <w:rPr>
          <w:rFonts w:ascii="Garamond" w:hAnsi="Garamond" w:cs="Futura"/>
          <w:sz w:val="24"/>
        </w:rPr>
        <w:t>prioritise</w:t>
      </w:r>
      <w:r w:rsidR="00045013">
        <w:rPr>
          <w:rFonts w:ascii="Garamond" w:hAnsi="Garamond" w:cs="Futura"/>
          <w:sz w:val="24"/>
        </w:rPr>
        <w:t xml:space="preserve"> </w:t>
      </w:r>
      <w:r w:rsidR="00EA2AA5">
        <w:rPr>
          <w:rFonts w:ascii="Garamond" w:hAnsi="Garamond" w:cs="Futura"/>
          <w:sz w:val="24"/>
        </w:rPr>
        <w:t>UK treaty obligations</w:t>
      </w:r>
      <w:r w:rsidR="0031332A">
        <w:rPr>
          <w:rFonts w:ascii="Garamond" w:hAnsi="Garamond" w:cs="Futura"/>
          <w:sz w:val="24"/>
        </w:rPr>
        <w:t xml:space="preserve"> in areas other than EU law</w:t>
      </w:r>
      <w:r w:rsidR="00C57C91">
        <w:rPr>
          <w:rFonts w:ascii="Garamond" w:hAnsi="Garamond" w:cs="Futura"/>
          <w:sz w:val="24"/>
        </w:rPr>
        <w:t>.</w:t>
      </w:r>
      <w:r w:rsidR="00045013">
        <w:rPr>
          <w:rFonts w:ascii="Garamond" w:hAnsi="Garamond" w:cs="Futura"/>
          <w:sz w:val="24"/>
        </w:rPr>
        <w:t xml:space="preserve"> </w:t>
      </w:r>
      <w:r w:rsidR="0031332A">
        <w:rPr>
          <w:rFonts w:ascii="Garamond" w:hAnsi="Garamond" w:cs="Futura"/>
          <w:sz w:val="24"/>
        </w:rPr>
        <w:t>In</w:t>
      </w:r>
      <w:r w:rsidR="007C6694">
        <w:rPr>
          <w:rFonts w:ascii="Garamond" w:hAnsi="Garamond" w:cs="Futura"/>
          <w:sz w:val="24"/>
        </w:rPr>
        <w:t xml:space="preserve"> the </w:t>
      </w:r>
      <w:r w:rsidR="003B5A41">
        <w:rPr>
          <w:rFonts w:ascii="Garamond" w:hAnsi="Garamond" w:cs="Futura"/>
          <w:sz w:val="24"/>
        </w:rPr>
        <w:t>committee stage</w:t>
      </w:r>
      <w:r w:rsidR="001729B2">
        <w:rPr>
          <w:rFonts w:ascii="Garamond" w:hAnsi="Garamond" w:cs="Futura"/>
          <w:sz w:val="24"/>
        </w:rPr>
        <w:t xml:space="preserve"> </w:t>
      </w:r>
      <w:r w:rsidR="003B5A41">
        <w:rPr>
          <w:rFonts w:ascii="Garamond" w:hAnsi="Garamond" w:cs="Futura"/>
          <w:sz w:val="24"/>
        </w:rPr>
        <w:t>of (what was then) the</w:t>
      </w:r>
      <w:r w:rsidR="00EA2AA5">
        <w:rPr>
          <w:rFonts w:ascii="Garamond" w:hAnsi="Garamond" w:cs="Futura"/>
          <w:sz w:val="24"/>
        </w:rPr>
        <w:t xml:space="preserve"> </w:t>
      </w:r>
      <w:r w:rsidR="001729B2">
        <w:rPr>
          <w:rFonts w:ascii="Garamond" w:hAnsi="Garamond" w:cs="Futura"/>
          <w:sz w:val="24"/>
        </w:rPr>
        <w:t>Railways and Transport Safety Bill</w:t>
      </w:r>
      <w:r w:rsidR="008A0EAC">
        <w:rPr>
          <w:rFonts w:ascii="Garamond" w:hAnsi="Garamond" w:cs="Futura"/>
          <w:sz w:val="24"/>
        </w:rPr>
        <w:t xml:space="preserve"> in the House of Commons</w:t>
      </w:r>
      <w:r w:rsidR="001729B2">
        <w:rPr>
          <w:rFonts w:ascii="Garamond" w:hAnsi="Garamond" w:cs="Futura"/>
          <w:sz w:val="24"/>
        </w:rPr>
        <w:t xml:space="preserve">, the </w:t>
      </w:r>
      <w:r w:rsidR="00FF4992">
        <w:rPr>
          <w:rFonts w:ascii="Garamond" w:hAnsi="Garamond" w:cs="Futura"/>
          <w:sz w:val="24"/>
        </w:rPr>
        <w:t>Minister explained that</w:t>
      </w:r>
      <w:r w:rsidR="00E3733F">
        <w:rPr>
          <w:rFonts w:ascii="Garamond" w:hAnsi="Garamond" w:cs="Futura"/>
          <w:sz w:val="24"/>
        </w:rPr>
        <w:t>:</w:t>
      </w:r>
    </w:p>
    <w:p w14:paraId="0BFC57B1" w14:textId="6ABCE542" w:rsidR="00E3733F" w:rsidRDefault="00E3733F" w:rsidP="000873EA">
      <w:pPr>
        <w:contextualSpacing/>
        <w:rPr>
          <w:rFonts w:ascii="Garamond" w:hAnsi="Garamond" w:cs="Futura"/>
          <w:sz w:val="24"/>
        </w:rPr>
      </w:pPr>
    </w:p>
    <w:p w14:paraId="45891A3B" w14:textId="0F51CCB3" w:rsidR="00BE60FD" w:rsidRPr="00BE60FD" w:rsidRDefault="00E3733F" w:rsidP="00F16FB0">
      <w:pPr>
        <w:contextualSpacing/>
        <w:rPr>
          <w:rFonts w:ascii="Garamond" w:hAnsi="Garamond" w:cs="Futura"/>
          <w:sz w:val="20"/>
          <w:szCs w:val="20"/>
        </w:rPr>
      </w:pPr>
      <w:r w:rsidRPr="00E3733F">
        <w:rPr>
          <w:rFonts w:ascii="Garamond" w:hAnsi="Garamond" w:cs="Futura"/>
          <w:sz w:val="20"/>
          <w:szCs w:val="20"/>
        </w:rPr>
        <w:t>The power in paragraph 2(e) would enable the United Kingdom to give effect to aspects of the convention</w:t>
      </w:r>
      <w:r>
        <w:rPr>
          <w:rFonts w:ascii="Garamond" w:hAnsi="Garamond" w:cs="Futura"/>
          <w:sz w:val="20"/>
          <w:szCs w:val="20"/>
        </w:rPr>
        <w:t xml:space="preserve"> [i.e. COTIF]</w:t>
      </w:r>
      <w:r w:rsidRPr="00E3733F">
        <w:rPr>
          <w:rFonts w:ascii="Garamond" w:hAnsi="Garamond" w:cs="Futura"/>
          <w:sz w:val="20"/>
          <w:szCs w:val="20"/>
        </w:rPr>
        <w:t xml:space="preserve"> by the most expedient means. That could be by modifying existing statutory provisions or by applying them in the context of the convention. In some cases that will be far more efficient than drafting completely new provisions that largely repeat existing legislation.</w:t>
      </w:r>
      <w:r>
        <w:rPr>
          <w:rStyle w:val="FootnoteReference"/>
          <w:rFonts w:ascii="Garamond" w:hAnsi="Garamond" w:cs="Futura"/>
          <w:sz w:val="20"/>
          <w:szCs w:val="20"/>
        </w:rPr>
        <w:footnoteReference w:id="82"/>
      </w:r>
    </w:p>
    <w:p w14:paraId="4D71E5D0" w14:textId="77777777" w:rsidR="00BE60FD" w:rsidRDefault="00BE60FD" w:rsidP="00F16FB0">
      <w:pPr>
        <w:contextualSpacing/>
        <w:rPr>
          <w:rFonts w:ascii="Garamond" w:hAnsi="Garamond" w:cs="Futura"/>
          <w:sz w:val="24"/>
        </w:rPr>
      </w:pPr>
    </w:p>
    <w:p w14:paraId="04B340F5" w14:textId="6ACB31E6" w:rsidR="00282950" w:rsidRPr="00F461C5" w:rsidRDefault="00D5177A" w:rsidP="00282950">
      <w:pPr>
        <w:contextualSpacing/>
        <w:jc w:val="center"/>
        <w:rPr>
          <w:rFonts w:ascii="Garamond" w:hAnsi="Garamond" w:cs="Futura"/>
          <w:b/>
          <w:i/>
          <w:sz w:val="24"/>
        </w:rPr>
      </w:pPr>
      <w:r w:rsidRPr="00F461C5">
        <w:rPr>
          <w:rFonts w:ascii="Garamond" w:hAnsi="Garamond" w:cs="Futura"/>
          <w:b/>
          <w:i/>
          <w:sz w:val="24"/>
        </w:rPr>
        <w:t>Summary</w:t>
      </w:r>
    </w:p>
    <w:p w14:paraId="1B8C42AC" w14:textId="77777777" w:rsidR="00282950" w:rsidRDefault="00282950" w:rsidP="00F16FB0">
      <w:pPr>
        <w:contextualSpacing/>
        <w:rPr>
          <w:rFonts w:ascii="Garamond" w:hAnsi="Garamond" w:cs="Futura"/>
          <w:sz w:val="24"/>
        </w:rPr>
      </w:pPr>
    </w:p>
    <w:p w14:paraId="6E321949" w14:textId="4C254150" w:rsidR="00B46CAE" w:rsidRDefault="00F32BF2" w:rsidP="00132845">
      <w:pPr>
        <w:contextualSpacing/>
        <w:rPr>
          <w:rFonts w:ascii="Garamond" w:hAnsi="Garamond" w:cs="Futura"/>
          <w:sz w:val="24"/>
        </w:rPr>
      </w:pPr>
      <w:r>
        <w:rPr>
          <w:rFonts w:ascii="Garamond" w:hAnsi="Garamond" w:cs="Futura"/>
          <w:sz w:val="24"/>
        </w:rPr>
        <w:t>Now that</w:t>
      </w:r>
      <w:r w:rsidR="003D2DF2">
        <w:rPr>
          <w:rFonts w:ascii="Garamond" w:hAnsi="Garamond" w:cs="Futura"/>
          <w:sz w:val="24"/>
        </w:rPr>
        <w:t xml:space="preserve"> </w:t>
      </w:r>
      <w:r w:rsidR="002D7ADD" w:rsidRPr="002D7ADD">
        <w:rPr>
          <w:rFonts w:ascii="Garamond" w:hAnsi="Garamond" w:cs="Futura"/>
          <w:i/>
          <w:sz w:val="24"/>
        </w:rPr>
        <w:t>Miller</w:t>
      </w:r>
      <w:r w:rsidR="006357FC">
        <w:rPr>
          <w:rFonts w:ascii="Garamond" w:hAnsi="Garamond" w:cs="Futura"/>
          <w:sz w:val="24"/>
        </w:rPr>
        <w:t xml:space="preserve"> has been laid down, </w:t>
      </w:r>
      <w:r w:rsidR="00871A32">
        <w:rPr>
          <w:rFonts w:ascii="Garamond" w:hAnsi="Garamond" w:cs="Futura"/>
          <w:sz w:val="24"/>
        </w:rPr>
        <w:t xml:space="preserve">we should reflect on </w:t>
      </w:r>
      <w:r>
        <w:rPr>
          <w:rFonts w:ascii="Garamond" w:hAnsi="Garamond" w:cs="Futura"/>
          <w:sz w:val="24"/>
        </w:rPr>
        <w:t>whether other</w:t>
      </w:r>
      <w:r w:rsidR="0062713A">
        <w:rPr>
          <w:rFonts w:ascii="Garamond" w:hAnsi="Garamond" w:cs="Futura"/>
          <w:sz w:val="24"/>
        </w:rPr>
        <w:t xml:space="preserve"> </w:t>
      </w:r>
      <w:r w:rsidR="003B0925" w:rsidRPr="004E501D">
        <w:rPr>
          <w:rFonts w:ascii="Garamond" w:hAnsi="Garamond" w:cs="Futura"/>
          <w:sz w:val="24"/>
        </w:rPr>
        <w:t xml:space="preserve">treaty-based </w:t>
      </w:r>
      <w:r w:rsidR="003B0925">
        <w:rPr>
          <w:rFonts w:ascii="Garamond" w:hAnsi="Garamond" w:cs="Futura"/>
          <w:sz w:val="24"/>
        </w:rPr>
        <w:t>sources</w:t>
      </w:r>
      <w:r w:rsidR="00A014DC">
        <w:rPr>
          <w:rFonts w:ascii="Garamond" w:hAnsi="Garamond" w:cs="Futura"/>
          <w:sz w:val="24"/>
        </w:rPr>
        <w:t xml:space="preserve"> </w:t>
      </w:r>
      <w:r w:rsidR="006357FC">
        <w:rPr>
          <w:rFonts w:ascii="Garamond" w:hAnsi="Garamond" w:cs="Futura"/>
          <w:sz w:val="24"/>
        </w:rPr>
        <w:t>might</w:t>
      </w:r>
      <w:r>
        <w:rPr>
          <w:rFonts w:ascii="Garamond" w:hAnsi="Garamond" w:cs="Futura"/>
          <w:sz w:val="24"/>
        </w:rPr>
        <w:t xml:space="preserve"> </w:t>
      </w:r>
      <w:r w:rsidR="0062713A">
        <w:rPr>
          <w:rFonts w:ascii="Garamond" w:hAnsi="Garamond" w:cs="Futura"/>
          <w:sz w:val="24"/>
        </w:rPr>
        <w:t>warrant</w:t>
      </w:r>
      <w:r w:rsidR="00871A32">
        <w:rPr>
          <w:rFonts w:ascii="Garamond" w:hAnsi="Garamond" w:cs="Futura"/>
          <w:sz w:val="24"/>
        </w:rPr>
        <w:t xml:space="preserve"> </w:t>
      </w:r>
      <w:r w:rsidR="0062713A">
        <w:rPr>
          <w:rFonts w:ascii="Garamond" w:hAnsi="Garamond" w:cs="Futura"/>
          <w:sz w:val="24"/>
        </w:rPr>
        <w:t xml:space="preserve">protection from being extinguished via prerogative action on the international plane. </w:t>
      </w:r>
      <w:r w:rsidR="001015B8">
        <w:rPr>
          <w:rFonts w:ascii="Garamond" w:hAnsi="Garamond" w:cs="Futura"/>
          <w:sz w:val="24"/>
        </w:rPr>
        <w:t xml:space="preserve">This will depend on </w:t>
      </w:r>
      <w:r w:rsidR="00871A32">
        <w:rPr>
          <w:rFonts w:ascii="Garamond" w:hAnsi="Garamond" w:cs="Futura"/>
          <w:sz w:val="24"/>
        </w:rPr>
        <w:t>how the</w:t>
      </w:r>
      <w:r w:rsidR="00582D69">
        <w:rPr>
          <w:rFonts w:ascii="Garamond" w:hAnsi="Garamond" w:cs="Futura"/>
          <w:sz w:val="24"/>
        </w:rPr>
        <w:t xml:space="preserve"> </w:t>
      </w:r>
      <w:r>
        <w:rPr>
          <w:rFonts w:ascii="Garamond" w:hAnsi="Garamond" w:cs="Futura"/>
          <w:sz w:val="24"/>
        </w:rPr>
        <w:t>domestic</w:t>
      </w:r>
      <w:r w:rsidR="001015B8">
        <w:rPr>
          <w:rFonts w:ascii="Garamond" w:hAnsi="Garamond" w:cs="Futura"/>
          <w:sz w:val="24"/>
        </w:rPr>
        <w:t xml:space="preserve"> </w:t>
      </w:r>
      <w:r w:rsidR="0065780A">
        <w:rPr>
          <w:rFonts w:ascii="Garamond" w:hAnsi="Garamond" w:cs="Futura"/>
          <w:sz w:val="24"/>
        </w:rPr>
        <w:t>legislation</w:t>
      </w:r>
      <w:r>
        <w:rPr>
          <w:rFonts w:ascii="Garamond" w:hAnsi="Garamond" w:cs="Futura"/>
          <w:sz w:val="24"/>
        </w:rPr>
        <w:t xml:space="preserve"> giving effect to the treaty</w:t>
      </w:r>
      <w:r w:rsidR="00871A32">
        <w:rPr>
          <w:rFonts w:ascii="Garamond" w:hAnsi="Garamond" w:cs="Futura"/>
          <w:sz w:val="24"/>
        </w:rPr>
        <w:t xml:space="preserve"> is construed</w:t>
      </w:r>
      <w:r w:rsidR="00C55532">
        <w:rPr>
          <w:rFonts w:ascii="Garamond" w:hAnsi="Garamond" w:cs="Futura"/>
          <w:sz w:val="24"/>
        </w:rPr>
        <w:t>. Here,</w:t>
      </w:r>
      <w:r w:rsidR="001344EB">
        <w:rPr>
          <w:rFonts w:ascii="Garamond" w:hAnsi="Garamond" w:cs="Futura"/>
          <w:sz w:val="24"/>
        </w:rPr>
        <w:t xml:space="preserve"> t</w:t>
      </w:r>
      <w:r w:rsidR="00D54509">
        <w:rPr>
          <w:rFonts w:ascii="Garamond" w:hAnsi="Garamond" w:cs="Futura"/>
          <w:sz w:val="24"/>
        </w:rPr>
        <w:t xml:space="preserve">he </w:t>
      </w:r>
      <w:r w:rsidR="0065780A">
        <w:rPr>
          <w:rFonts w:ascii="Garamond" w:hAnsi="Garamond" w:cs="Futura"/>
          <w:sz w:val="24"/>
        </w:rPr>
        <w:t xml:space="preserve">threshold </w:t>
      </w:r>
      <w:r w:rsidR="009F595B">
        <w:rPr>
          <w:rFonts w:ascii="Garamond" w:hAnsi="Garamond" w:cs="Futura"/>
          <w:sz w:val="24"/>
        </w:rPr>
        <w:t xml:space="preserve">requirement </w:t>
      </w:r>
      <w:r w:rsidR="0065780A">
        <w:rPr>
          <w:rFonts w:ascii="Garamond" w:hAnsi="Garamond" w:cs="Futura"/>
          <w:sz w:val="24"/>
        </w:rPr>
        <w:t xml:space="preserve">of source extinction </w:t>
      </w:r>
      <w:r w:rsidR="00D54509">
        <w:rPr>
          <w:rFonts w:ascii="Garamond" w:hAnsi="Garamond" w:cs="Futura"/>
          <w:sz w:val="24"/>
        </w:rPr>
        <w:t>restricts</w:t>
      </w:r>
      <w:r w:rsidR="0065780A">
        <w:rPr>
          <w:rFonts w:ascii="Garamond" w:hAnsi="Garamond" w:cs="Futura"/>
          <w:sz w:val="24"/>
        </w:rPr>
        <w:t xml:space="preserve"> </w:t>
      </w:r>
      <w:r w:rsidR="0065780A" w:rsidRPr="0065780A">
        <w:rPr>
          <w:rFonts w:ascii="Garamond" w:hAnsi="Garamond" w:cs="Futura"/>
          <w:i/>
          <w:sz w:val="24"/>
        </w:rPr>
        <w:t>Miller</w:t>
      </w:r>
      <w:r w:rsidR="0065780A">
        <w:rPr>
          <w:rFonts w:ascii="Garamond" w:hAnsi="Garamond" w:cs="Futura"/>
          <w:sz w:val="24"/>
        </w:rPr>
        <w:t>’</w:t>
      </w:r>
      <w:r w:rsidR="00D54509">
        <w:rPr>
          <w:rFonts w:ascii="Garamond" w:hAnsi="Garamond" w:cs="Futura"/>
          <w:sz w:val="24"/>
        </w:rPr>
        <w:t>s influence</w:t>
      </w:r>
      <w:r w:rsidR="00C55532">
        <w:rPr>
          <w:rFonts w:ascii="Garamond" w:hAnsi="Garamond" w:cs="Futura"/>
          <w:sz w:val="24"/>
        </w:rPr>
        <w:t xml:space="preserve">. </w:t>
      </w:r>
      <w:r w:rsidR="001344EB">
        <w:rPr>
          <w:rFonts w:ascii="Garamond" w:hAnsi="Garamond" w:cs="Futura"/>
          <w:sz w:val="24"/>
        </w:rPr>
        <w:t>O</w:t>
      </w:r>
      <w:r w:rsidR="003E3E23">
        <w:rPr>
          <w:rFonts w:ascii="Garamond" w:hAnsi="Garamond" w:cs="Futura"/>
          <w:sz w:val="24"/>
        </w:rPr>
        <w:t xml:space="preserve">n </w:t>
      </w:r>
      <w:r w:rsidR="00B46CAE">
        <w:rPr>
          <w:rFonts w:ascii="Garamond" w:hAnsi="Garamond" w:cs="Futura"/>
          <w:sz w:val="24"/>
        </w:rPr>
        <w:t xml:space="preserve">a proper construction of many </w:t>
      </w:r>
      <w:r w:rsidR="0065780A">
        <w:rPr>
          <w:rFonts w:ascii="Garamond" w:hAnsi="Garamond" w:cs="Futura"/>
          <w:sz w:val="24"/>
        </w:rPr>
        <w:t>legislative schemes</w:t>
      </w:r>
      <w:r w:rsidR="00B46CAE">
        <w:rPr>
          <w:rFonts w:ascii="Garamond" w:hAnsi="Garamond" w:cs="Futura"/>
          <w:sz w:val="24"/>
        </w:rPr>
        <w:t xml:space="preserve">, source extinction </w:t>
      </w:r>
      <w:r w:rsidR="003E3E23">
        <w:rPr>
          <w:rFonts w:ascii="Garamond" w:hAnsi="Garamond" w:cs="Futura"/>
          <w:sz w:val="24"/>
        </w:rPr>
        <w:t>would</w:t>
      </w:r>
      <w:r w:rsidR="00B46CAE">
        <w:rPr>
          <w:rFonts w:ascii="Garamond" w:hAnsi="Garamond" w:cs="Futura"/>
          <w:sz w:val="24"/>
        </w:rPr>
        <w:t xml:space="preserve"> n</w:t>
      </w:r>
      <w:r w:rsidR="00666073">
        <w:rPr>
          <w:rFonts w:ascii="Garamond" w:hAnsi="Garamond" w:cs="Futura"/>
          <w:sz w:val="24"/>
        </w:rPr>
        <w:t>ot follow UK treaty withdrawal.</w:t>
      </w:r>
    </w:p>
    <w:p w14:paraId="05A52A3B" w14:textId="1BF662F3" w:rsidR="0048323E" w:rsidRDefault="002A2DAB" w:rsidP="00B46CAE">
      <w:pPr>
        <w:ind w:firstLine="624"/>
        <w:contextualSpacing/>
        <w:rPr>
          <w:rFonts w:ascii="Garamond" w:hAnsi="Garamond" w:cs="Futura"/>
          <w:sz w:val="24"/>
        </w:rPr>
      </w:pPr>
      <w:r>
        <w:rPr>
          <w:rFonts w:ascii="Garamond" w:hAnsi="Garamond" w:cs="Futura"/>
          <w:sz w:val="24"/>
        </w:rPr>
        <w:t>Assuming that the threshold is met,</w:t>
      </w:r>
      <w:r w:rsidR="00C55532">
        <w:rPr>
          <w:rFonts w:ascii="Garamond" w:hAnsi="Garamond" w:cs="Futura"/>
          <w:sz w:val="24"/>
        </w:rPr>
        <w:t xml:space="preserve"> however, the majority’s reasoning in</w:t>
      </w:r>
      <w:r>
        <w:rPr>
          <w:rFonts w:ascii="Garamond" w:hAnsi="Garamond" w:cs="Futura"/>
          <w:sz w:val="24"/>
        </w:rPr>
        <w:t xml:space="preserve"> </w:t>
      </w:r>
      <w:r w:rsidRPr="002A2DAB">
        <w:rPr>
          <w:rFonts w:ascii="Garamond" w:hAnsi="Garamond" w:cs="Futura"/>
          <w:i/>
          <w:sz w:val="24"/>
        </w:rPr>
        <w:t>Miller</w:t>
      </w:r>
      <w:r>
        <w:rPr>
          <w:rFonts w:ascii="Garamond" w:hAnsi="Garamond" w:cs="Futura"/>
          <w:sz w:val="24"/>
        </w:rPr>
        <w:t xml:space="preserve"> </w:t>
      </w:r>
      <w:r w:rsidR="00131FF0">
        <w:rPr>
          <w:rFonts w:ascii="Garamond" w:hAnsi="Garamond" w:cs="Futura"/>
          <w:sz w:val="24"/>
        </w:rPr>
        <w:t>may be signalling that</w:t>
      </w:r>
      <w:r>
        <w:rPr>
          <w:rFonts w:ascii="Garamond" w:hAnsi="Garamond" w:cs="Futura"/>
          <w:sz w:val="24"/>
        </w:rPr>
        <w:t xml:space="preserve"> protection </w:t>
      </w:r>
      <w:r w:rsidR="00871A32">
        <w:rPr>
          <w:rFonts w:ascii="Garamond" w:hAnsi="Garamond" w:cs="Futura"/>
          <w:sz w:val="24"/>
        </w:rPr>
        <w:t>is</w:t>
      </w:r>
      <w:r>
        <w:rPr>
          <w:rFonts w:ascii="Garamond" w:hAnsi="Garamond" w:cs="Futura"/>
          <w:sz w:val="24"/>
        </w:rPr>
        <w:t xml:space="preserve"> </w:t>
      </w:r>
      <w:r w:rsidR="009D5BE5">
        <w:rPr>
          <w:rFonts w:ascii="Garamond" w:hAnsi="Garamond" w:cs="Futura"/>
          <w:sz w:val="24"/>
        </w:rPr>
        <w:t>available to</w:t>
      </w:r>
      <w:r>
        <w:rPr>
          <w:rFonts w:ascii="Garamond" w:hAnsi="Garamond" w:cs="Futura"/>
          <w:sz w:val="24"/>
        </w:rPr>
        <w:t xml:space="preserve"> a </w:t>
      </w:r>
      <w:r w:rsidR="001344EB">
        <w:rPr>
          <w:rFonts w:ascii="Garamond" w:hAnsi="Garamond" w:cs="Futura"/>
          <w:sz w:val="24"/>
        </w:rPr>
        <w:t xml:space="preserve">treaty-based </w:t>
      </w:r>
      <w:r>
        <w:rPr>
          <w:rFonts w:ascii="Garamond" w:hAnsi="Garamond" w:cs="Futura"/>
          <w:sz w:val="24"/>
        </w:rPr>
        <w:t>source exhibiting certain significant properties</w:t>
      </w:r>
      <w:r w:rsidR="006D1CCB">
        <w:rPr>
          <w:rFonts w:ascii="Garamond" w:hAnsi="Garamond" w:cs="Futura"/>
          <w:sz w:val="24"/>
        </w:rPr>
        <w:t>.</w:t>
      </w:r>
      <w:r w:rsidR="00512A04">
        <w:rPr>
          <w:rFonts w:ascii="Garamond" w:hAnsi="Garamond" w:cs="Futura"/>
          <w:sz w:val="24"/>
        </w:rPr>
        <w:t xml:space="preserve"> </w:t>
      </w:r>
      <w:r w:rsidR="000A2233">
        <w:rPr>
          <w:rFonts w:ascii="Garamond" w:hAnsi="Garamond" w:cs="Futura"/>
          <w:sz w:val="24"/>
        </w:rPr>
        <w:t xml:space="preserve">On </w:t>
      </w:r>
      <w:r w:rsidR="00ED43A8">
        <w:rPr>
          <w:rFonts w:ascii="Garamond" w:hAnsi="Garamond" w:cs="Futura"/>
          <w:sz w:val="24"/>
        </w:rPr>
        <w:t xml:space="preserve">this </w:t>
      </w:r>
      <w:r w:rsidR="00660213">
        <w:rPr>
          <w:rFonts w:ascii="Garamond" w:hAnsi="Garamond" w:cs="Futura"/>
          <w:sz w:val="24"/>
        </w:rPr>
        <w:t>view</w:t>
      </w:r>
      <w:r w:rsidR="00ED43A8">
        <w:rPr>
          <w:rFonts w:ascii="Garamond" w:hAnsi="Garamond" w:cs="Futura"/>
          <w:sz w:val="24"/>
        </w:rPr>
        <w:t xml:space="preserve"> it </w:t>
      </w:r>
      <w:r w:rsidR="00871A32">
        <w:rPr>
          <w:rFonts w:ascii="Garamond" w:hAnsi="Garamond" w:cs="Futura"/>
          <w:sz w:val="24"/>
        </w:rPr>
        <w:t>is</w:t>
      </w:r>
      <w:r w:rsidR="00660213">
        <w:rPr>
          <w:rFonts w:ascii="Garamond" w:hAnsi="Garamond" w:cs="Futura"/>
          <w:sz w:val="24"/>
        </w:rPr>
        <w:t xml:space="preserve"> </w:t>
      </w:r>
      <w:r w:rsidR="00A24D7D">
        <w:rPr>
          <w:rFonts w:ascii="Garamond" w:hAnsi="Garamond" w:cs="Futura"/>
          <w:sz w:val="24"/>
        </w:rPr>
        <w:t>mistaken</w:t>
      </w:r>
      <w:r w:rsidR="00BD1507">
        <w:rPr>
          <w:rFonts w:ascii="Garamond" w:hAnsi="Garamond" w:cs="Futura"/>
          <w:sz w:val="24"/>
        </w:rPr>
        <w:t xml:space="preserve"> </w:t>
      </w:r>
      <w:r w:rsidR="00871A32">
        <w:rPr>
          <w:rFonts w:ascii="Garamond" w:hAnsi="Garamond" w:cs="Futura"/>
          <w:sz w:val="24"/>
        </w:rPr>
        <w:t xml:space="preserve">simply </w:t>
      </w:r>
      <w:r w:rsidR="00ED43A8">
        <w:rPr>
          <w:rFonts w:ascii="Garamond" w:hAnsi="Garamond" w:cs="Futura"/>
          <w:sz w:val="24"/>
        </w:rPr>
        <w:t>to</w:t>
      </w:r>
      <w:r w:rsidR="00DB61E4">
        <w:rPr>
          <w:rFonts w:ascii="Garamond" w:hAnsi="Garamond" w:cs="Futura"/>
          <w:sz w:val="24"/>
        </w:rPr>
        <w:t xml:space="preserve"> </w:t>
      </w:r>
      <w:r w:rsidR="00323966">
        <w:rPr>
          <w:rFonts w:ascii="Garamond" w:hAnsi="Garamond" w:cs="Futura"/>
          <w:sz w:val="24"/>
        </w:rPr>
        <w:t>view</w:t>
      </w:r>
      <w:r w:rsidR="00DB61E4">
        <w:rPr>
          <w:rFonts w:ascii="Garamond" w:hAnsi="Garamond" w:cs="Futura"/>
          <w:sz w:val="24"/>
        </w:rPr>
        <w:t xml:space="preserve"> </w:t>
      </w:r>
      <w:r w:rsidR="009D5BE5" w:rsidRPr="009D5BE5">
        <w:rPr>
          <w:rFonts w:ascii="Garamond" w:hAnsi="Garamond" w:cs="Futura"/>
          <w:i/>
          <w:sz w:val="24"/>
        </w:rPr>
        <w:t>Miller</w:t>
      </w:r>
      <w:r w:rsidR="009D5BE5">
        <w:rPr>
          <w:rFonts w:ascii="Garamond" w:hAnsi="Garamond" w:cs="Futura"/>
          <w:sz w:val="24"/>
        </w:rPr>
        <w:t xml:space="preserve"> as a </w:t>
      </w:r>
      <w:r w:rsidR="00A24D7D">
        <w:rPr>
          <w:rFonts w:ascii="Garamond" w:hAnsi="Garamond" w:cs="Futura"/>
          <w:sz w:val="24"/>
        </w:rPr>
        <w:t xml:space="preserve">constitutional </w:t>
      </w:r>
      <w:r w:rsidR="009D5BE5">
        <w:rPr>
          <w:rFonts w:ascii="Garamond" w:hAnsi="Garamond" w:cs="Futura"/>
          <w:sz w:val="24"/>
        </w:rPr>
        <w:t xml:space="preserve">one-off. Rather, we </w:t>
      </w:r>
      <w:r w:rsidR="000A2233">
        <w:rPr>
          <w:rFonts w:ascii="Garamond" w:hAnsi="Garamond" w:cs="Futura"/>
          <w:sz w:val="24"/>
        </w:rPr>
        <w:t xml:space="preserve">should unpack </w:t>
      </w:r>
      <w:r w:rsidR="00323966">
        <w:rPr>
          <w:rFonts w:ascii="Garamond" w:hAnsi="Garamond" w:cs="Futura"/>
          <w:sz w:val="24"/>
        </w:rPr>
        <w:t xml:space="preserve">the properties </w:t>
      </w:r>
      <w:r w:rsidR="00A24D7D">
        <w:rPr>
          <w:rFonts w:ascii="Garamond" w:hAnsi="Garamond" w:cs="Futura"/>
          <w:sz w:val="24"/>
        </w:rPr>
        <w:t xml:space="preserve">advanced in the majority’s </w:t>
      </w:r>
      <w:r w:rsidR="00A24D7D">
        <w:rPr>
          <w:rFonts w:ascii="Garamond" w:hAnsi="Garamond" w:cs="Futura"/>
          <w:sz w:val="24"/>
        </w:rPr>
        <w:lastRenderedPageBreak/>
        <w:t xml:space="preserve">reasoning in order </w:t>
      </w:r>
      <w:r w:rsidR="00323966">
        <w:rPr>
          <w:rFonts w:ascii="Garamond" w:hAnsi="Garamond" w:cs="Futura"/>
          <w:sz w:val="24"/>
        </w:rPr>
        <w:t>to understand</w:t>
      </w:r>
      <w:r w:rsidR="00871A32">
        <w:rPr>
          <w:rFonts w:ascii="Garamond" w:hAnsi="Garamond" w:cs="Futura"/>
          <w:sz w:val="24"/>
        </w:rPr>
        <w:t xml:space="preserve"> its </w:t>
      </w:r>
      <w:r w:rsidR="000A2233">
        <w:rPr>
          <w:rFonts w:ascii="Garamond" w:hAnsi="Garamond" w:cs="Futura"/>
          <w:sz w:val="24"/>
        </w:rPr>
        <w:t xml:space="preserve">potential </w:t>
      </w:r>
      <w:r w:rsidR="00323966">
        <w:rPr>
          <w:rFonts w:ascii="Garamond" w:hAnsi="Garamond" w:cs="Futura"/>
          <w:sz w:val="24"/>
        </w:rPr>
        <w:t>precedential implications.</w:t>
      </w:r>
    </w:p>
    <w:p w14:paraId="7E7A86F2" w14:textId="5CD431B7" w:rsidR="006C3522" w:rsidRPr="00323966" w:rsidRDefault="000A2233" w:rsidP="00323966">
      <w:pPr>
        <w:ind w:firstLine="624"/>
        <w:contextualSpacing/>
        <w:rPr>
          <w:rFonts w:ascii="Garamond" w:hAnsi="Garamond" w:cs="Futura"/>
          <w:sz w:val="24"/>
        </w:rPr>
      </w:pPr>
      <w:r>
        <w:rPr>
          <w:rFonts w:ascii="Garamond" w:hAnsi="Garamond" w:cs="Futura"/>
          <w:sz w:val="24"/>
        </w:rPr>
        <w:t xml:space="preserve">How </w:t>
      </w:r>
      <w:r w:rsidR="00A24D7D">
        <w:rPr>
          <w:rFonts w:ascii="Garamond" w:hAnsi="Garamond" w:cs="Futura"/>
          <w:sz w:val="24"/>
        </w:rPr>
        <w:t xml:space="preserve">much progress </w:t>
      </w:r>
      <w:r w:rsidR="001C1027">
        <w:rPr>
          <w:rFonts w:ascii="Garamond" w:hAnsi="Garamond" w:cs="Futura"/>
          <w:sz w:val="24"/>
        </w:rPr>
        <w:t>has been made</w:t>
      </w:r>
      <w:r>
        <w:rPr>
          <w:rFonts w:ascii="Garamond" w:hAnsi="Garamond" w:cs="Futura"/>
          <w:sz w:val="24"/>
        </w:rPr>
        <w:t>?</w:t>
      </w:r>
      <w:r w:rsidR="000F3726">
        <w:rPr>
          <w:rFonts w:ascii="Garamond" w:hAnsi="Garamond" w:cs="Futura"/>
          <w:sz w:val="24"/>
        </w:rPr>
        <w:t xml:space="preserve"> </w:t>
      </w:r>
      <w:r w:rsidR="001A6A5D">
        <w:rPr>
          <w:rFonts w:ascii="Garamond" w:hAnsi="Garamond" w:cs="Futura"/>
          <w:sz w:val="24"/>
          <w:szCs w:val="24"/>
        </w:rPr>
        <w:t>We have</w:t>
      </w:r>
      <w:r w:rsidR="00C20EDA">
        <w:rPr>
          <w:rFonts w:ascii="Garamond" w:hAnsi="Garamond" w:cs="Futura"/>
          <w:sz w:val="24"/>
          <w:szCs w:val="24"/>
        </w:rPr>
        <w:t xml:space="preserve"> used a case study – COTIF and </w:t>
      </w:r>
      <w:r w:rsidR="00637D9A">
        <w:rPr>
          <w:rFonts w:ascii="Garamond" w:hAnsi="Garamond" w:cs="Futura"/>
          <w:sz w:val="24"/>
          <w:szCs w:val="24"/>
        </w:rPr>
        <w:t>its</w:t>
      </w:r>
      <w:r w:rsidR="00C20EDA">
        <w:rPr>
          <w:rFonts w:ascii="Garamond" w:hAnsi="Garamond" w:cs="Futura"/>
          <w:sz w:val="24"/>
          <w:szCs w:val="24"/>
        </w:rPr>
        <w:t xml:space="preserve"> domestic</w:t>
      </w:r>
      <w:r w:rsidR="00637D9A">
        <w:rPr>
          <w:rFonts w:ascii="Garamond" w:hAnsi="Garamond" w:cs="Futura"/>
          <w:sz w:val="24"/>
          <w:szCs w:val="24"/>
        </w:rPr>
        <w:t xml:space="preserve"> implementing</w:t>
      </w:r>
      <w:r w:rsidR="00C20EDA">
        <w:rPr>
          <w:rFonts w:ascii="Garamond" w:hAnsi="Garamond" w:cs="Futura"/>
          <w:sz w:val="24"/>
          <w:szCs w:val="24"/>
        </w:rPr>
        <w:t xml:space="preserve"> legislation – to </w:t>
      </w:r>
      <w:r w:rsidR="007D5A6D">
        <w:rPr>
          <w:rFonts w:ascii="Garamond" w:hAnsi="Garamond" w:cs="Futura"/>
          <w:sz w:val="24"/>
          <w:szCs w:val="24"/>
        </w:rPr>
        <w:t>anchor</w:t>
      </w:r>
      <w:r w:rsidR="00C20EDA">
        <w:rPr>
          <w:rFonts w:ascii="Garamond" w:hAnsi="Garamond" w:cs="Futura"/>
          <w:sz w:val="24"/>
          <w:szCs w:val="24"/>
        </w:rPr>
        <w:t xml:space="preserve"> the analysis. </w:t>
      </w:r>
      <w:r w:rsidR="00637D9A">
        <w:rPr>
          <w:rFonts w:ascii="Garamond" w:hAnsi="Garamond" w:cs="Futura"/>
          <w:sz w:val="24"/>
          <w:szCs w:val="24"/>
        </w:rPr>
        <w:t>This</w:t>
      </w:r>
      <w:r w:rsidR="001328E6">
        <w:rPr>
          <w:rFonts w:ascii="Garamond" w:hAnsi="Garamond" w:cs="Futura"/>
          <w:sz w:val="24"/>
          <w:szCs w:val="24"/>
        </w:rPr>
        <w:t xml:space="preserve"> is</w:t>
      </w:r>
      <w:r w:rsidR="00892E92">
        <w:rPr>
          <w:rFonts w:ascii="Garamond" w:hAnsi="Garamond" w:cs="Futura"/>
          <w:sz w:val="24"/>
          <w:szCs w:val="24"/>
        </w:rPr>
        <w:t xml:space="preserve"> in some ways</w:t>
      </w:r>
      <w:r w:rsidR="000D12F8">
        <w:rPr>
          <w:rFonts w:ascii="Garamond" w:hAnsi="Garamond" w:cs="Futura"/>
          <w:sz w:val="24"/>
          <w:szCs w:val="24"/>
        </w:rPr>
        <w:t xml:space="preserve"> similar</w:t>
      </w:r>
      <w:r w:rsidR="00892E92">
        <w:rPr>
          <w:rFonts w:ascii="Garamond" w:hAnsi="Garamond" w:cs="Futura"/>
          <w:sz w:val="24"/>
          <w:szCs w:val="24"/>
        </w:rPr>
        <w:t xml:space="preserve"> to </w:t>
      </w:r>
      <w:r w:rsidR="00C20EDA">
        <w:rPr>
          <w:rFonts w:ascii="Garamond" w:hAnsi="Garamond" w:cs="Futura"/>
          <w:sz w:val="24"/>
          <w:szCs w:val="24"/>
        </w:rPr>
        <w:t>EU law and the ECA</w:t>
      </w:r>
      <w:r w:rsidR="00892E92">
        <w:rPr>
          <w:rFonts w:ascii="Garamond" w:hAnsi="Garamond" w:cs="Futura"/>
          <w:sz w:val="24"/>
          <w:szCs w:val="24"/>
        </w:rPr>
        <w:t xml:space="preserve"> regime, and </w:t>
      </w:r>
      <w:r w:rsidR="000D12F8">
        <w:rPr>
          <w:rFonts w:ascii="Garamond" w:hAnsi="Garamond" w:cs="Futura"/>
          <w:sz w:val="24"/>
          <w:szCs w:val="24"/>
        </w:rPr>
        <w:t xml:space="preserve">in some ways </w:t>
      </w:r>
      <w:r w:rsidR="00892E92">
        <w:rPr>
          <w:rFonts w:ascii="Garamond" w:hAnsi="Garamond" w:cs="Futura"/>
          <w:sz w:val="24"/>
          <w:szCs w:val="24"/>
        </w:rPr>
        <w:t>different</w:t>
      </w:r>
      <w:r w:rsidR="00C20EDA">
        <w:rPr>
          <w:rFonts w:ascii="Garamond" w:hAnsi="Garamond" w:cs="Futura"/>
          <w:sz w:val="24"/>
          <w:szCs w:val="24"/>
        </w:rPr>
        <w:t xml:space="preserve">. </w:t>
      </w:r>
      <w:r w:rsidR="00DA76B0">
        <w:rPr>
          <w:rFonts w:ascii="Garamond" w:hAnsi="Garamond" w:cs="Futura"/>
          <w:sz w:val="24"/>
          <w:szCs w:val="24"/>
        </w:rPr>
        <w:t>It is a challenge to d</w:t>
      </w:r>
      <w:r w:rsidR="00D343EE">
        <w:rPr>
          <w:rFonts w:ascii="Garamond" w:hAnsi="Garamond" w:cs="Futura"/>
          <w:sz w:val="24"/>
          <w:szCs w:val="24"/>
        </w:rPr>
        <w:t>raw</w:t>
      </w:r>
      <w:r w:rsidR="00DA76B0">
        <w:rPr>
          <w:rFonts w:ascii="Garamond" w:hAnsi="Garamond" w:cs="Futura"/>
          <w:sz w:val="24"/>
          <w:szCs w:val="24"/>
        </w:rPr>
        <w:t xml:space="preserve"> </w:t>
      </w:r>
      <w:r w:rsidR="005E0D89">
        <w:rPr>
          <w:rFonts w:ascii="Garamond" w:hAnsi="Garamond" w:cs="Futura"/>
          <w:sz w:val="24"/>
          <w:szCs w:val="24"/>
        </w:rPr>
        <w:t>f</w:t>
      </w:r>
      <w:r w:rsidR="005F5CDA">
        <w:rPr>
          <w:rFonts w:ascii="Garamond" w:hAnsi="Garamond" w:cs="Futura"/>
          <w:sz w:val="24"/>
          <w:szCs w:val="24"/>
        </w:rPr>
        <w:t xml:space="preserve">irm conclusions about </w:t>
      </w:r>
      <w:r w:rsidR="005F5CDA" w:rsidRPr="005F5CDA">
        <w:rPr>
          <w:rFonts w:ascii="Garamond" w:hAnsi="Garamond" w:cs="Futura"/>
          <w:i/>
          <w:sz w:val="24"/>
          <w:szCs w:val="24"/>
        </w:rPr>
        <w:t>Miller</w:t>
      </w:r>
      <w:r w:rsidR="005F5CDA">
        <w:rPr>
          <w:rFonts w:ascii="Garamond" w:hAnsi="Garamond" w:cs="Futura"/>
          <w:sz w:val="24"/>
          <w:szCs w:val="24"/>
        </w:rPr>
        <w:t>’s applicability</w:t>
      </w:r>
      <w:r w:rsidR="005E0D89">
        <w:rPr>
          <w:rFonts w:ascii="Garamond" w:hAnsi="Garamond" w:cs="Futura"/>
          <w:sz w:val="24"/>
          <w:szCs w:val="24"/>
        </w:rPr>
        <w:t xml:space="preserve"> </w:t>
      </w:r>
      <w:r w:rsidR="000D12F8">
        <w:rPr>
          <w:rFonts w:ascii="Garamond" w:hAnsi="Garamond" w:cs="Futura"/>
          <w:sz w:val="24"/>
          <w:szCs w:val="24"/>
        </w:rPr>
        <w:t>to COTIF</w:t>
      </w:r>
      <w:r w:rsidR="005F5CDA">
        <w:rPr>
          <w:rFonts w:ascii="Garamond" w:hAnsi="Garamond" w:cs="Futura"/>
          <w:sz w:val="24"/>
          <w:szCs w:val="24"/>
        </w:rPr>
        <w:t>.</w:t>
      </w:r>
      <w:r w:rsidR="001328E6">
        <w:rPr>
          <w:rFonts w:ascii="Garamond" w:hAnsi="Garamond" w:cs="Futura"/>
          <w:sz w:val="24"/>
          <w:szCs w:val="24"/>
        </w:rPr>
        <w:t xml:space="preserve"> </w:t>
      </w:r>
      <w:r w:rsidR="00DA76B0">
        <w:rPr>
          <w:rFonts w:ascii="Garamond" w:hAnsi="Garamond" w:cs="Futura"/>
          <w:sz w:val="24"/>
          <w:szCs w:val="24"/>
        </w:rPr>
        <w:t>Nonetheless,</w:t>
      </w:r>
      <w:r w:rsidR="005E0D89">
        <w:rPr>
          <w:rFonts w:ascii="Garamond" w:hAnsi="Garamond" w:cs="Futura"/>
          <w:sz w:val="24"/>
          <w:szCs w:val="24"/>
        </w:rPr>
        <w:t xml:space="preserve"> </w:t>
      </w:r>
      <w:r w:rsidR="00134DC6">
        <w:rPr>
          <w:rFonts w:ascii="Garamond" w:hAnsi="Garamond" w:cs="Futura"/>
          <w:sz w:val="24"/>
          <w:szCs w:val="24"/>
        </w:rPr>
        <w:t>it has</w:t>
      </w:r>
      <w:r w:rsidR="00735E25">
        <w:rPr>
          <w:rFonts w:ascii="Garamond" w:hAnsi="Garamond" w:cs="Futura"/>
          <w:sz w:val="24"/>
          <w:szCs w:val="24"/>
        </w:rPr>
        <w:t xml:space="preserve"> </w:t>
      </w:r>
      <w:r w:rsidR="00134DC6">
        <w:rPr>
          <w:rFonts w:ascii="Garamond" w:hAnsi="Garamond" w:cs="Futura"/>
          <w:sz w:val="24"/>
          <w:szCs w:val="24"/>
        </w:rPr>
        <w:t>allowed us to</w:t>
      </w:r>
      <w:r w:rsidR="00735E25">
        <w:rPr>
          <w:rFonts w:ascii="Garamond" w:hAnsi="Garamond" w:cs="Futura"/>
          <w:sz w:val="24"/>
          <w:szCs w:val="24"/>
        </w:rPr>
        <w:t xml:space="preserve"> test</w:t>
      </w:r>
      <w:r w:rsidR="0032018B">
        <w:rPr>
          <w:rFonts w:ascii="Garamond" w:hAnsi="Garamond" w:cs="Futura"/>
          <w:sz w:val="24"/>
          <w:szCs w:val="24"/>
        </w:rPr>
        <w:t xml:space="preserve"> </w:t>
      </w:r>
      <w:r w:rsidR="00484EC6">
        <w:rPr>
          <w:rFonts w:ascii="Garamond" w:hAnsi="Garamond" w:cs="Futura"/>
          <w:sz w:val="24"/>
          <w:szCs w:val="24"/>
        </w:rPr>
        <w:t>the implications of the majority’s reasoning, including by revealing</w:t>
      </w:r>
      <w:r w:rsidR="00104ADC">
        <w:rPr>
          <w:rFonts w:ascii="Garamond" w:hAnsi="Garamond" w:cs="Futura"/>
          <w:sz w:val="24"/>
          <w:szCs w:val="24"/>
        </w:rPr>
        <w:t xml:space="preserve"> </w:t>
      </w:r>
      <w:r w:rsidR="00D343EE">
        <w:rPr>
          <w:rFonts w:ascii="Garamond" w:hAnsi="Garamond" w:cs="Futura"/>
          <w:sz w:val="24"/>
          <w:szCs w:val="24"/>
        </w:rPr>
        <w:t>important</w:t>
      </w:r>
      <w:r w:rsidR="00104ADC">
        <w:rPr>
          <w:rFonts w:ascii="Garamond" w:hAnsi="Garamond" w:cs="Futura"/>
          <w:sz w:val="24"/>
          <w:szCs w:val="24"/>
        </w:rPr>
        <w:t xml:space="preserve"> limitations </w:t>
      </w:r>
      <w:r w:rsidR="00484EC6">
        <w:rPr>
          <w:rFonts w:ascii="Garamond" w:hAnsi="Garamond" w:cs="Futura"/>
          <w:sz w:val="24"/>
          <w:szCs w:val="24"/>
        </w:rPr>
        <w:t xml:space="preserve">in </w:t>
      </w:r>
      <w:r w:rsidR="00735E25">
        <w:rPr>
          <w:rFonts w:ascii="Garamond" w:hAnsi="Garamond" w:cs="Futura"/>
          <w:sz w:val="24"/>
          <w:szCs w:val="24"/>
        </w:rPr>
        <w:t xml:space="preserve">the guidance that </w:t>
      </w:r>
      <w:r w:rsidR="00735E25" w:rsidRPr="00735E25">
        <w:rPr>
          <w:rFonts w:ascii="Garamond" w:hAnsi="Garamond" w:cs="Futura"/>
          <w:i/>
          <w:sz w:val="24"/>
          <w:szCs w:val="24"/>
        </w:rPr>
        <w:t>Miller</w:t>
      </w:r>
      <w:r w:rsidR="00735E25">
        <w:rPr>
          <w:rFonts w:ascii="Garamond" w:hAnsi="Garamond" w:cs="Futura"/>
          <w:sz w:val="24"/>
          <w:szCs w:val="24"/>
        </w:rPr>
        <w:t xml:space="preserve"> provides</w:t>
      </w:r>
      <w:r w:rsidR="00134DC6">
        <w:rPr>
          <w:rFonts w:ascii="Garamond" w:hAnsi="Garamond" w:cs="Futura"/>
          <w:sz w:val="24"/>
          <w:szCs w:val="24"/>
        </w:rPr>
        <w:t xml:space="preserve"> as we look ahead</w:t>
      </w:r>
      <w:r w:rsidR="00C55DB8">
        <w:rPr>
          <w:rFonts w:ascii="Garamond" w:hAnsi="Garamond" w:cs="Futura"/>
          <w:sz w:val="24"/>
          <w:szCs w:val="24"/>
        </w:rPr>
        <w:t>.</w:t>
      </w:r>
      <w:r w:rsidR="005E0D89">
        <w:rPr>
          <w:rFonts w:ascii="Garamond" w:hAnsi="Garamond" w:cs="Futura"/>
          <w:sz w:val="24"/>
          <w:szCs w:val="24"/>
        </w:rPr>
        <w:t xml:space="preserve"> </w:t>
      </w:r>
      <w:r w:rsidR="00134DC6">
        <w:rPr>
          <w:rFonts w:ascii="Garamond" w:hAnsi="Garamond" w:cs="Futura"/>
          <w:sz w:val="24"/>
        </w:rPr>
        <w:t xml:space="preserve">For example, </w:t>
      </w:r>
      <w:r w:rsidR="00A73961">
        <w:rPr>
          <w:rFonts w:ascii="Garamond" w:hAnsi="Garamond" w:cs="Futura"/>
          <w:sz w:val="24"/>
        </w:rPr>
        <w:t xml:space="preserve">we have </w:t>
      </w:r>
      <w:r w:rsidR="00134DC6">
        <w:rPr>
          <w:rFonts w:ascii="Garamond" w:hAnsi="Garamond" w:cs="Futura"/>
          <w:sz w:val="24"/>
        </w:rPr>
        <w:t>found</w:t>
      </w:r>
      <w:r w:rsidR="00735E25">
        <w:rPr>
          <w:rFonts w:ascii="Garamond" w:hAnsi="Garamond" w:cs="Futura"/>
          <w:sz w:val="24"/>
          <w:szCs w:val="24"/>
        </w:rPr>
        <w:t xml:space="preserve"> a lack of</w:t>
      </w:r>
      <w:r w:rsidR="00A24D7D">
        <w:rPr>
          <w:rFonts w:ascii="Garamond" w:hAnsi="Garamond" w:cs="Futura"/>
          <w:sz w:val="24"/>
          <w:szCs w:val="24"/>
        </w:rPr>
        <w:t xml:space="preserve"> c</w:t>
      </w:r>
      <w:r w:rsidR="00323966">
        <w:rPr>
          <w:rFonts w:ascii="Garamond" w:hAnsi="Garamond" w:cs="Futura"/>
          <w:sz w:val="24"/>
          <w:szCs w:val="24"/>
        </w:rPr>
        <w:t xml:space="preserve">larity </w:t>
      </w:r>
      <w:r w:rsidR="00735E25">
        <w:rPr>
          <w:rFonts w:ascii="Garamond" w:hAnsi="Garamond" w:cs="Futura"/>
          <w:sz w:val="24"/>
          <w:szCs w:val="24"/>
        </w:rPr>
        <w:t xml:space="preserve">about </w:t>
      </w:r>
      <w:r w:rsidR="00134DC6">
        <w:rPr>
          <w:rFonts w:ascii="Garamond" w:hAnsi="Garamond" w:cs="Futura"/>
          <w:sz w:val="24"/>
          <w:szCs w:val="24"/>
        </w:rPr>
        <w:t xml:space="preserve">exactly what the properties of </w:t>
      </w:r>
      <w:r w:rsidR="00323966">
        <w:rPr>
          <w:rFonts w:ascii="Garamond" w:hAnsi="Garamond" w:cs="Futura"/>
          <w:sz w:val="24"/>
          <w:szCs w:val="24"/>
        </w:rPr>
        <w:t>“direct”,</w:t>
      </w:r>
      <w:r w:rsidR="00750A31">
        <w:rPr>
          <w:rFonts w:ascii="Garamond" w:hAnsi="Garamond" w:cs="Futura"/>
          <w:sz w:val="24"/>
          <w:szCs w:val="24"/>
        </w:rPr>
        <w:t xml:space="preserve"> “dynamic”, and “overriding”</w:t>
      </w:r>
      <w:r w:rsidR="00134DC6">
        <w:rPr>
          <w:rFonts w:ascii="Garamond" w:hAnsi="Garamond" w:cs="Futura"/>
          <w:sz w:val="24"/>
          <w:szCs w:val="24"/>
        </w:rPr>
        <w:t xml:space="preserve"> mean</w:t>
      </w:r>
      <w:r w:rsidR="00B3277E">
        <w:rPr>
          <w:rFonts w:ascii="Garamond" w:hAnsi="Garamond" w:cs="Futura"/>
          <w:sz w:val="24"/>
          <w:szCs w:val="24"/>
        </w:rPr>
        <w:t xml:space="preserve">. </w:t>
      </w:r>
      <w:r w:rsidR="009D7ABB">
        <w:rPr>
          <w:rFonts w:ascii="Garamond" w:hAnsi="Garamond" w:cs="Futura"/>
          <w:sz w:val="24"/>
          <w:szCs w:val="24"/>
        </w:rPr>
        <w:t>A related problem is that it is unclear</w:t>
      </w:r>
      <w:r w:rsidR="0011743E">
        <w:rPr>
          <w:rFonts w:ascii="Garamond" w:hAnsi="Garamond" w:cs="Futura"/>
          <w:sz w:val="24"/>
          <w:szCs w:val="24"/>
        </w:rPr>
        <w:t xml:space="preserve"> how </w:t>
      </w:r>
      <w:r w:rsidR="00A20BB7">
        <w:rPr>
          <w:rFonts w:ascii="Garamond" w:hAnsi="Garamond" w:cs="Futura"/>
          <w:sz w:val="24"/>
          <w:szCs w:val="24"/>
        </w:rPr>
        <w:t>the</w:t>
      </w:r>
      <w:r w:rsidR="0011743E">
        <w:rPr>
          <w:rFonts w:ascii="Garamond" w:hAnsi="Garamond" w:cs="Futura"/>
          <w:sz w:val="24"/>
          <w:szCs w:val="24"/>
        </w:rPr>
        <w:t xml:space="preserve"> </w:t>
      </w:r>
      <w:r w:rsidR="00134DC6">
        <w:rPr>
          <w:rFonts w:ascii="Garamond" w:hAnsi="Garamond" w:cs="Futura"/>
          <w:sz w:val="24"/>
          <w:szCs w:val="24"/>
        </w:rPr>
        <w:t xml:space="preserve">various </w:t>
      </w:r>
      <w:r w:rsidR="0011743E">
        <w:rPr>
          <w:rFonts w:ascii="Garamond" w:hAnsi="Garamond" w:cs="Futura"/>
          <w:sz w:val="24"/>
          <w:szCs w:val="24"/>
        </w:rPr>
        <w:t>properties</w:t>
      </w:r>
      <w:r w:rsidR="002A5926">
        <w:rPr>
          <w:rFonts w:ascii="Garamond" w:hAnsi="Garamond" w:cs="Futura"/>
          <w:sz w:val="24"/>
          <w:szCs w:val="24"/>
        </w:rPr>
        <w:t xml:space="preserve"> work together.</w:t>
      </w:r>
      <w:r w:rsidR="003E3066">
        <w:rPr>
          <w:rFonts w:ascii="Garamond" w:hAnsi="Garamond" w:cs="Futura"/>
          <w:sz w:val="24"/>
          <w:szCs w:val="24"/>
        </w:rPr>
        <w:t xml:space="preserve"> </w:t>
      </w:r>
      <w:r w:rsidR="0031561B">
        <w:rPr>
          <w:rFonts w:ascii="Garamond" w:hAnsi="Garamond" w:cs="Futura"/>
          <w:sz w:val="24"/>
          <w:szCs w:val="24"/>
        </w:rPr>
        <w:t>Consider</w:t>
      </w:r>
      <w:r w:rsidR="006C3522">
        <w:rPr>
          <w:rFonts w:ascii="Garamond" w:hAnsi="Garamond" w:cs="Futura"/>
          <w:sz w:val="24"/>
          <w:szCs w:val="24"/>
        </w:rPr>
        <w:t xml:space="preserve"> “overriding”. If a </w:t>
      </w:r>
      <w:r w:rsidR="00306E23">
        <w:rPr>
          <w:rFonts w:ascii="Garamond" w:hAnsi="Garamond" w:cs="Futura"/>
          <w:sz w:val="24"/>
          <w:szCs w:val="24"/>
        </w:rPr>
        <w:t xml:space="preserve">treaty-based </w:t>
      </w:r>
      <w:r w:rsidR="00A24D7D">
        <w:rPr>
          <w:rFonts w:ascii="Garamond" w:hAnsi="Garamond" w:cs="Futura"/>
          <w:sz w:val="24"/>
          <w:szCs w:val="24"/>
        </w:rPr>
        <w:t xml:space="preserve">source must be “overriding” in </w:t>
      </w:r>
      <w:r w:rsidR="008F6597">
        <w:rPr>
          <w:rFonts w:ascii="Garamond" w:hAnsi="Garamond" w:cs="Futura"/>
          <w:sz w:val="24"/>
          <w:szCs w:val="24"/>
        </w:rPr>
        <w:t xml:space="preserve">just </w:t>
      </w:r>
      <w:r w:rsidR="00A73961">
        <w:rPr>
          <w:rFonts w:ascii="Garamond" w:hAnsi="Garamond" w:cs="Futura"/>
          <w:sz w:val="24"/>
          <w:szCs w:val="24"/>
        </w:rPr>
        <w:t>the same way as</w:t>
      </w:r>
      <w:r w:rsidR="006C3522">
        <w:rPr>
          <w:rFonts w:ascii="Garamond" w:hAnsi="Garamond" w:cs="Futura"/>
          <w:sz w:val="24"/>
          <w:szCs w:val="24"/>
        </w:rPr>
        <w:t xml:space="preserve"> EU law,</w:t>
      </w:r>
      <w:r w:rsidR="00F10D07">
        <w:rPr>
          <w:rStyle w:val="FootnoteReference"/>
          <w:rFonts w:ascii="Garamond" w:hAnsi="Garamond" w:cs="Futura"/>
          <w:sz w:val="24"/>
          <w:szCs w:val="24"/>
        </w:rPr>
        <w:footnoteReference w:id="83"/>
      </w:r>
      <w:r w:rsidR="006C3522">
        <w:rPr>
          <w:rFonts w:ascii="Garamond" w:hAnsi="Garamond" w:cs="Futura"/>
          <w:sz w:val="24"/>
          <w:szCs w:val="24"/>
        </w:rPr>
        <w:t xml:space="preserve"> </w:t>
      </w:r>
      <w:r w:rsidR="006C3522" w:rsidRPr="006C3522">
        <w:rPr>
          <w:rFonts w:ascii="Garamond" w:hAnsi="Garamond" w:cs="Futura"/>
          <w:i/>
          <w:sz w:val="24"/>
          <w:szCs w:val="24"/>
        </w:rPr>
        <w:t>Miller</w:t>
      </w:r>
      <w:r w:rsidR="006C3522">
        <w:rPr>
          <w:rFonts w:ascii="Garamond" w:hAnsi="Garamond" w:cs="Futura"/>
          <w:sz w:val="24"/>
          <w:szCs w:val="24"/>
        </w:rPr>
        <w:t xml:space="preserve"> </w:t>
      </w:r>
      <w:r w:rsidR="008F6597">
        <w:rPr>
          <w:rFonts w:ascii="Garamond" w:hAnsi="Garamond" w:cs="Futura"/>
          <w:sz w:val="24"/>
          <w:szCs w:val="24"/>
        </w:rPr>
        <w:t>may</w:t>
      </w:r>
      <w:r w:rsidR="009742A2">
        <w:rPr>
          <w:rFonts w:ascii="Garamond" w:hAnsi="Garamond" w:cs="Futura"/>
          <w:sz w:val="24"/>
          <w:szCs w:val="24"/>
        </w:rPr>
        <w:t xml:space="preserve"> be</w:t>
      </w:r>
      <w:r w:rsidR="006C3522">
        <w:rPr>
          <w:rFonts w:ascii="Garamond" w:hAnsi="Garamond" w:cs="Futura"/>
          <w:sz w:val="24"/>
          <w:szCs w:val="24"/>
        </w:rPr>
        <w:t xml:space="preserve"> </w:t>
      </w:r>
      <w:r w:rsidR="0054129C">
        <w:rPr>
          <w:rFonts w:ascii="Garamond" w:hAnsi="Garamond" w:cs="Futura"/>
          <w:sz w:val="24"/>
          <w:szCs w:val="24"/>
        </w:rPr>
        <w:t>highly</w:t>
      </w:r>
      <w:r w:rsidR="00306E23">
        <w:rPr>
          <w:rFonts w:ascii="Garamond" w:hAnsi="Garamond" w:cs="Futura"/>
          <w:sz w:val="24"/>
          <w:szCs w:val="24"/>
        </w:rPr>
        <w:t xml:space="preserve"> confined as to the</w:t>
      </w:r>
      <w:r w:rsidR="0054129C">
        <w:rPr>
          <w:rFonts w:ascii="Garamond" w:hAnsi="Garamond" w:cs="Futura"/>
          <w:sz w:val="24"/>
          <w:szCs w:val="24"/>
        </w:rPr>
        <w:t xml:space="preserve"> </w:t>
      </w:r>
      <w:r w:rsidR="00B712E7">
        <w:rPr>
          <w:rFonts w:ascii="Garamond" w:hAnsi="Garamond" w:cs="Futura"/>
          <w:sz w:val="24"/>
          <w:szCs w:val="24"/>
        </w:rPr>
        <w:t>sources that fall under its protection</w:t>
      </w:r>
      <w:r w:rsidR="006C3522">
        <w:rPr>
          <w:rFonts w:ascii="Garamond" w:hAnsi="Garamond" w:cs="Futura"/>
          <w:sz w:val="24"/>
          <w:szCs w:val="24"/>
        </w:rPr>
        <w:t>.</w:t>
      </w:r>
      <w:r w:rsidR="00382F22">
        <w:rPr>
          <w:rFonts w:ascii="Garamond" w:hAnsi="Garamond" w:cs="Futura"/>
          <w:sz w:val="24"/>
          <w:szCs w:val="24"/>
        </w:rPr>
        <w:t xml:space="preserve"> P</w:t>
      </w:r>
      <w:r w:rsidR="00B712E7">
        <w:rPr>
          <w:rFonts w:ascii="Garamond" w:hAnsi="Garamond" w:cs="Futura"/>
          <w:sz w:val="24"/>
          <w:szCs w:val="24"/>
        </w:rPr>
        <w:t>erhaps</w:t>
      </w:r>
      <w:r w:rsidR="00621015">
        <w:rPr>
          <w:rFonts w:ascii="Garamond" w:hAnsi="Garamond" w:cs="Futura"/>
          <w:sz w:val="24"/>
          <w:szCs w:val="24"/>
        </w:rPr>
        <w:t>, at present,</w:t>
      </w:r>
      <w:r w:rsidR="00B712E7">
        <w:rPr>
          <w:rFonts w:ascii="Garamond" w:hAnsi="Garamond" w:cs="Futura"/>
          <w:sz w:val="24"/>
          <w:szCs w:val="24"/>
        </w:rPr>
        <w:t xml:space="preserve"> only EU law</w:t>
      </w:r>
      <w:r w:rsidR="00DA7B86">
        <w:rPr>
          <w:rFonts w:ascii="Garamond" w:hAnsi="Garamond" w:cs="Futura"/>
          <w:sz w:val="24"/>
          <w:szCs w:val="24"/>
        </w:rPr>
        <w:t xml:space="preserve"> </w:t>
      </w:r>
      <w:r w:rsidR="008F6597">
        <w:rPr>
          <w:rFonts w:ascii="Garamond" w:hAnsi="Garamond" w:cs="Futura"/>
          <w:sz w:val="24"/>
          <w:szCs w:val="24"/>
        </w:rPr>
        <w:t>qualifies</w:t>
      </w:r>
      <w:r w:rsidR="00382F22">
        <w:rPr>
          <w:rFonts w:ascii="Garamond" w:hAnsi="Garamond" w:cs="Futura"/>
          <w:sz w:val="24"/>
          <w:szCs w:val="24"/>
        </w:rPr>
        <w:t xml:space="preserve">. </w:t>
      </w:r>
      <w:r w:rsidR="00A402C1">
        <w:rPr>
          <w:rFonts w:ascii="Garamond" w:hAnsi="Garamond" w:cs="Futura"/>
          <w:sz w:val="24"/>
          <w:szCs w:val="24"/>
        </w:rPr>
        <w:t>On another</w:t>
      </w:r>
      <w:r w:rsidR="006C3522">
        <w:rPr>
          <w:rFonts w:ascii="Garamond" w:hAnsi="Garamond" w:cs="Futura"/>
          <w:sz w:val="24"/>
          <w:szCs w:val="24"/>
        </w:rPr>
        <w:t xml:space="preserve"> </w:t>
      </w:r>
      <w:r w:rsidR="00A402C1">
        <w:rPr>
          <w:rFonts w:ascii="Garamond" w:hAnsi="Garamond" w:cs="Futura"/>
          <w:sz w:val="24"/>
          <w:szCs w:val="24"/>
        </w:rPr>
        <w:t xml:space="preserve">reading, </w:t>
      </w:r>
      <w:r w:rsidR="006C3522">
        <w:rPr>
          <w:rFonts w:ascii="Garamond" w:hAnsi="Garamond" w:cs="Futura"/>
          <w:sz w:val="24"/>
          <w:szCs w:val="24"/>
        </w:rPr>
        <w:t xml:space="preserve">we need not </w:t>
      </w:r>
      <w:r w:rsidR="00A402C1">
        <w:rPr>
          <w:rFonts w:ascii="Garamond" w:hAnsi="Garamond" w:cs="Futura"/>
          <w:sz w:val="24"/>
          <w:szCs w:val="24"/>
        </w:rPr>
        <w:t>understand</w:t>
      </w:r>
      <w:r w:rsidR="006C3522">
        <w:rPr>
          <w:rFonts w:ascii="Garamond" w:hAnsi="Garamond" w:cs="Futura"/>
          <w:sz w:val="24"/>
          <w:szCs w:val="24"/>
        </w:rPr>
        <w:t xml:space="preserve"> “overriding” in </w:t>
      </w:r>
      <w:r w:rsidR="00B712E7">
        <w:rPr>
          <w:rFonts w:ascii="Garamond" w:hAnsi="Garamond" w:cs="Futura"/>
          <w:sz w:val="24"/>
          <w:szCs w:val="24"/>
        </w:rPr>
        <w:t xml:space="preserve">exactly </w:t>
      </w:r>
      <w:r w:rsidR="006C3522">
        <w:rPr>
          <w:rFonts w:ascii="Garamond" w:hAnsi="Garamond" w:cs="Futura"/>
          <w:sz w:val="24"/>
          <w:szCs w:val="24"/>
        </w:rPr>
        <w:t>th</w:t>
      </w:r>
      <w:r w:rsidR="00B712E7">
        <w:rPr>
          <w:rFonts w:ascii="Garamond" w:hAnsi="Garamond" w:cs="Futura"/>
          <w:sz w:val="24"/>
          <w:szCs w:val="24"/>
        </w:rPr>
        <w:t>at</w:t>
      </w:r>
      <w:r w:rsidR="006C3522">
        <w:rPr>
          <w:rFonts w:ascii="Garamond" w:hAnsi="Garamond" w:cs="Futura"/>
          <w:sz w:val="24"/>
          <w:szCs w:val="24"/>
        </w:rPr>
        <w:t xml:space="preserve"> way, or place quite so much weight on it, </w:t>
      </w:r>
      <w:r w:rsidR="009D7ABB">
        <w:rPr>
          <w:rFonts w:ascii="Garamond" w:hAnsi="Garamond" w:cs="Futura"/>
          <w:sz w:val="24"/>
          <w:szCs w:val="24"/>
        </w:rPr>
        <w:t xml:space="preserve">partly because </w:t>
      </w:r>
      <w:r w:rsidR="006C3522">
        <w:rPr>
          <w:rFonts w:ascii="Garamond" w:hAnsi="Garamond" w:cs="Futura"/>
          <w:sz w:val="24"/>
          <w:szCs w:val="24"/>
        </w:rPr>
        <w:t xml:space="preserve">it renders the majority’s discussion of the </w:t>
      </w:r>
      <w:r w:rsidR="006C3522" w:rsidRPr="00306E23">
        <w:rPr>
          <w:rFonts w:ascii="Garamond" w:hAnsi="Garamond" w:cs="Futura"/>
          <w:i/>
          <w:sz w:val="24"/>
          <w:szCs w:val="24"/>
        </w:rPr>
        <w:t>other</w:t>
      </w:r>
      <w:r w:rsidR="006C3522">
        <w:rPr>
          <w:rFonts w:ascii="Garamond" w:hAnsi="Garamond" w:cs="Futura"/>
          <w:sz w:val="24"/>
          <w:szCs w:val="24"/>
        </w:rPr>
        <w:t xml:space="preserve"> properties superfluous</w:t>
      </w:r>
      <w:r w:rsidR="00B712E7">
        <w:rPr>
          <w:rFonts w:ascii="Garamond" w:hAnsi="Garamond" w:cs="Futura"/>
          <w:sz w:val="24"/>
          <w:szCs w:val="24"/>
        </w:rPr>
        <w:t xml:space="preserve"> – and </w:t>
      </w:r>
      <w:r w:rsidR="008E3CD1">
        <w:rPr>
          <w:rFonts w:ascii="Garamond" w:hAnsi="Garamond" w:cs="Futura"/>
          <w:sz w:val="24"/>
          <w:szCs w:val="24"/>
        </w:rPr>
        <w:t xml:space="preserve">because </w:t>
      </w:r>
      <w:r w:rsidR="00B712E7">
        <w:rPr>
          <w:rFonts w:ascii="Garamond" w:hAnsi="Garamond" w:cs="Futura"/>
          <w:sz w:val="24"/>
          <w:szCs w:val="24"/>
        </w:rPr>
        <w:t xml:space="preserve">a </w:t>
      </w:r>
      <w:r w:rsidR="006C3522">
        <w:rPr>
          <w:rFonts w:ascii="Garamond" w:hAnsi="Garamond" w:cs="Futura"/>
          <w:sz w:val="24"/>
          <w:szCs w:val="24"/>
        </w:rPr>
        <w:t>more attractive reading</w:t>
      </w:r>
      <w:r w:rsidR="002871E9">
        <w:rPr>
          <w:rFonts w:ascii="Garamond" w:hAnsi="Garamond" w:cs="Futura"/>
          <w:sz w:val="24"/>
          <w:szCs w:val="24"/>
        </w:rPr>
        <w:t xml:space="preserve"> can bring</w:t>
      </w:r>
      <w:r w:rsidR="006C3522">
        <w:rPr>
          <w:rFonts w:ascii="Garamond" w:hAnsi="Garamond" w:cs="Futura"/>
          <w:sz w:val="24"/>
          <w:szCs w:val="24"/>
        </w:rPr>
        <w:t xml:space="preserve"> </w:t>
      </w:r>
      <w:r w:rsidR="00B712E7">
        <w:rPr>
          <w:rFonts w:ascii="Garamond" w:hAnsi="Garamond" w:cs="Futura"/>
          <w:sz w:val="24"/>
          <w:szCs w:val="24"/>
        </w:rPr>
        <w:t xml:space="preserve">more of those other properties </w:t>
      </w:r>
      <w:r w:rsidR="006C3522">
        <w:rPr>
          <w:rFonts w:ascii="Garamond" w:hAnsi="Garamond" w:cs="Futura"/>
          <w:sz w:val="24"/>
          <w:szCs w:val="24"/>
        </w:rPr>
        <w:t xml:space="preserve">into the mix. </w:t>
      </w:r>
      <w:r w:rsidR="0065052E">
        <w:rPr>
          <w:rFonts w:ascii="Garamond" w:hAnsi="Garamond" w:cs="Futura"/>
          <w:sz w:val="24"/>
          <w:szCs w:val="24"/>
        </w:rPr>
        <w:t xml:space="preserve">Thus, a fuller understanding of each property may hinge on its relation to </w:t>
      </w:r>
      <w:r w:rsidR="0065052E" w:rsidRPr="0065052E">
        <w:rPr>
          <w:rFonts w:ascii="Garamond" w:hAnsi="Garamond" w:cs="Futura"/>
          <w:i/>
          <w:sz w:val="24"/>
          <w:szCs w:val="24"/>
        </w:rPr>
        <w:t>other</w:t>
      </w:r>
      <w:r w:rsidR="0065052E">
        <w:rPr>
          <w:rFonts w:ascii="Garamond" w:hAnsi="Garamond" w:cs="Futura"/>
          <w:sz w:val="24"/>
          <w:szCs w:val="24"/>
        </w:rPr>
        <w:t xml:space="preserve"> properties. </w:t>
      </w:r>
      <w:r w:rsidR="0074496C">
        <w:rPr>
          <w:rFonts w:ascii="Garamond" w:hAnsi="Garamond" w:cs="Futura"/>
          <w:sz w:val="24"/>
          <w:szCs w:val="24"/>
        </w:rPr>
        <w:t xml:space="preserve">Indeed, </w:t>
      </w:r>
      <w:r w:rsidR="00866CBA">
        <w:rPr>
          <w:rFonts w:ascii="Garamond" w:hAnsi="Garamond" w:cs="Futura"/>
          <w:sz w:val="24"/>
          <w:szCs w:val="24"/>
        </w:rPr>
        <w:t xml:space="preserve">there may be </w:t>
      </w:r>
      <w:r w:rsidR="0065052E">
        <w:rPr>
          <w:rFonts w:ascii="Garamond" w:hAnsi="Garamond" w:cs="Futura"/>
          <w:sz w:val="24"/>
          <w:szCs w:val="24"/>
        </w:rPr>
        <w:t>yet further</w:t>
      </w:r>
      <w:r w:rsidR="0074496C">
        <w:rPr>
          <w:rFonts w:ascii="Garamond" w:hAnsi="Garamond" w:cs="Futura"/>
          <w:sz w:val="24"/>
          <w:szCs w:val="24"/>
        </w:rPr>
        <w:t xml:space="preserve"> </w:t>
      </w:r>
      <w:r w:rsidR="00E25F9C">
        <w:rPr>
          <w:rFonts w:ascii="Garamond" w:hAnsi="Garamond" w:cs="Futura"/>
          <w:sz w:val="24"/>
          <w:szCs w:val="24"/>
        </w:rPr>
        <w:t>important</w:t>
      </w:r>
      <w:r w:rsidR="0074496C">
        <w:rPr>
          <w:rFonts w:ascii="Garamond" w:hAnsi="Garamond" w:cs="Futura"/>
          <w:sz w:val="24"/>
          <w:szCs w:val="24"/>
        </w:rPr>
        <w:t xml:space="preserve"> properties</w:t>
      </w:r>
      <w:r w:rsidR="00B37EE5">
        <w:rPr>
          <w:rFonts w:ascii="Garamond" w:hAnsi="Garamond" w:cs="Futura"/>
          <w:sz w:val="24"/>
          <w:szCs w:val="24"/>
        </w:rPr>
        <w:t xml:space="preserve"> </w:t>
      </w:r>
      <w:r w:rsidR="0065052E">
        <w:rPr>
          <w:rFonts w:ascii="Garamond" w:hAnsi="Garamond" w:cs="Futura"/>
          <w:sz w:val="24"/>
          <w:szCs w:val="24"/>
        </w:rPr>
        <w:t>that have not been</w:t>
      </w:r>
      <w:r w:rsidR="00B37EE5">
        <w:rPr>
          <w:rFonts w:ascii="Garamond" w:hAnsi="Garamond" w:cs="Futura"/>
          <w:sz w:val="24"/>
          <w:szCs w:val="24"/>
        </w:rPr>
        <w:t xml:space="preserve"> pinpointed. T</w:t>
      </w:r>
      <w:r w:rsidR="00866CBA">
        <w:rPr>
          <w:rFonts w:ascii="Garamond" w:hAnsi="Garamond" w:cs="Futura"/>
          <w:sz w:val="24"/>
          <w:szCs w:val="24"/>
        </w:rPr>
        <w:t>he</w:t>
      </w:r>
      <w:r w:rsidR="00E25F9C">
        <w:rPr>
          <w:rFonts w:ascii="Garamond" w:hAnsi="Garamond" w:cs="Futura"/>
          <w:sz w:val="24"/>
          <w:szCs w:val="24"/>
        </w:rPr>
        <w:t>se</w:t>
      </w:r>
      <w:r w:rsidR="00866CBA">
        <w:rPr>
          <w:rFonts w:ascii="Garamond" w:hAnsi="Garamond" w:cs="Futura"/>
          <w:sz w:val="24"/>
          <w:szCs w:val="24"/>
        </w:rPr>
        <w:t xml:space="preserve"> may be implicit in the majority’s reasoning, or they </w:t>
      </w:r>
      <w:r w:rsidR="00B37EE5">
        <w:rPr>
          <w:rFonts w:ascii="Garamond" w:hAnsi="Garamond" w:cs="Futura"/>
          <w:sz w:val="24"/>
          <w:szCs w:val="24"/>
        </w:rPr>
        <w:t>may have been</w:t>
      </w:r>
      <w:r w:rsidR="00866CBA">
        <w:rPr>
          <w:rFonts w:ascii="Garamond" w:hAnsi="Garamond" w:cs="Futura"/>
          <w:sz w:val="24"/>
          <w:szCs w:val="24"/>
        </w:rPr>
        <w:t xml:space="preserve"> overlooked.</w:t>
      </w:r>
    </w:p>
    <w:p w14:paraId="150207E5" w14:textId="3AF1B40C" w:rsidR="00854761" w:rsidRDefault="00356983" w:rsidP="00A73961">
      <w:pPr>
        <w:ind w:firstLine="624"/>
        <w:contextualSpacing/>
        <w:rPr>
          <w:rFonts w:ascii="Garamond" w:hAnsi="Garamond" w:cs="Futura"/>
          <w:sz w:val="24"/>
          <w:szCs w:val="24"/>
        </w:rPr>
      </w:pPr>
      <w:r>
        <w:rPr>
          <w:rFonts w:ascii="Garamond" w:hAnsi="Garamond" w:cs="Futura"/>
          <w:sz w:val="24"/>
          <w:szCs w:val="24"/>
        </w:rPr>
        <w:t xml:space="preserve">Key to all this is better understanding </w:t>
      </w:r>
      <w:r w:rsidRPr="00356983">
        <w:rPr>
          <w:rFonts w:ascii="Garamond" w:hAnsi="Garamond" w:cs="Futura"/>
          <w:i/>
          <w:sz w:val="24"/>
          <w:szCs w:val="24"/>
        </w:rPr>
        <w:t>why</w:t>
      </w:r>
      <w:r>
        <w:rPr>
          <w:rFonts w:ascii="Garamond" w:hAnsi="Garamond" w:cs="Futura"/>
          <w:sz w:val="24"/>
          <w:szCs w:val="24"/>
        </w:rPr>
        <w:t xml:space="preserve"> a </w:t>
      </w:r>
      <w:r w:rsidR="00687668">
        <w:rPr>
          <w:rFonts w:ascii="Garamond" w:hAnsi="Garamond" w:cs="Futura"/>
          <w:sz w:val="24"/>
          <w:szCs w:val="24"/>
        </w:rPr>
        <w:t xml:space="preserve">treaty-based </w:t>
      </w:r>
      <w:r>
        <w:rPr>
          <w:rFonts w:ascii="Garamond" w:hAnsi="Garamond" w:cs="Futura"/>
          <w:sz w:val="24"/>
          <w:szCs w:val="24"/>
        </w:rPr>
        <w:t xml:space="preserve">source </w:t>
      </w:r>
      <w:r w:rsidR="005056D3">
        <w:rPr>
          <w:rFonts w:ascii="Garamond" w:hAnsi="Garamond" w:cs="Futura"/>
          <w:sz w:val="24"/>
          <w:szCs w:val="24"/>
        </w:rPr>
        <w:t>exhibiting</w:t>
      </w:r>
      <w:r>
        <w:rPr>
          <w:rFonts w:ascii="Garamond" w:hAnsi="Garamond" w:cs="Futura"/>
          <w:sz w:val="24"/>
          <w:szCs w:val="24"/>
        </w:rPr>
        <w:t xml:space="preserve"> such properties as being “</w:t>
      </w:r>
      <w:r w:rsidR="00425AFE">
        <w:rPr>
          <w:rFonts w:ascii="Garamond" w:hAnsi="Garamond" w:cs="Futura"/>
          <w:sz w:val="24"/>
          <w:szCs w:val="24"/>
        </w:rPr>
        <w:t>dynamic</w:t>
      </w:r>
      <w:r>
        <w:rPr>
          <w:rFonts w:ascii="Garamond" w:hAnsi="Garamond" w:cs="Futura"/>
          <w:sz w:val="24"/>
          <w:szCs w:val="24"/>
        </w:rPr>
        <w:t>” or “overriding” warrants</w:t>
      </w:r>
      <w:r w:rsidR="005056D3">
        <w:rPr>
          <w:rFonts w:ascii="Garamond" w:hAnsi="Garamond" w:cs="Futura"/>
          <w:sz w:val="24"/>
          <w:szCs w:val="24"/>
        </w:rPr>
        <w:t xml:space="preserve"> protection. </w:t>
      </w:r>
      <w:r w:rsidR="002F4D01">
        <w:rPr>
          <w:rFonts w:ascii="Garamond" w:hAnsi="Garamond" w:cs="Futura"/>
          <w:sz w:val="24"/>
          <w:szCs w:val="24"/>
        </w:rPr>
        <w:t>Although the</w:t>
      </w:r>
      <w:r w:rsidR="005056D3">
        <w:rPr>
          <w:rFonts w:ascii="Garamond" w:hAnsi="Garamond" w:cs="Futura"/>
          <w:sz w:val="24"/>
          <w:szCs w:val="24"/>
        </w:rPr>
        <w:t xml:space="preserve"> burden </w:t>
      </w:r>
      <w:r w:rsidR="002F4D01">
        <w:rPr>
          <w:rFonts w:ascii="Garamond" w:hAnsi="Garamond" w:cs="Futura"/>
          <w:sz w:val="24"/>
          <w:szCs w:val="24"/>
        </w:rPr>
        <w:t xml:space="preserve">of </w:t>
      </w:r>
      <w:r w:rsidR="00E2394A">
        <w:rPr>
          <w:rFonts w:ascii="Garamond" w:hAnsi="Garamond" w:cs="Futura"/>
          <w:sz w:val="24"/>
          <w:szCs w:val="24"/>
        </w:rPr>
        <w:t>explanation</w:t>
      </w:r>
      <w:r w:rsidR="002F4D01">
        <w:rPr>
          <w:rFonts w:ascii="Garamond" w:hAnsi="Garamond" w:cs="Futura"/>
          <w:sz w:val="24"/>
          <w:szCs w:val="24"/>
        </w:rPr>
        <w:t xml:space="preserve"> falls on the majority, </w:t>
      </w:r>
      <w:r w:rsidR="005056D3">
        <w:rPr>
          <w:rFonts w:ascii="Garamond" w:hAnsi="Garamond" w:cs="Futura"/>
          <w:sz w:val="24"/>
          <w:szCs w:val="24"/>
        </w:rPr>
        <w:t xml:space="preserve">it </w:t>
      </w:r>
      <w:r w:rsidR="00C3241D">
        <w:rPr>
          <w:rFonts w:ascii="Garamond" w:hAnsi="Garamond" w:cs="Futura"/>
          <w:sz w:val="24"/>
          <w:szCs w:val="24"/>
        </w:rPr>
        <w:t>is not</w:t>
      </w:r>
      <w:r w:rsidR="008E1C00">
        <w:rPr>
          <w:rFonts w:ascii="Garamond" w:hAnsi="Garamond" w:cs="Futura"/>
          <w:sz w:val="24"/>
          <w:szCs w:val="24"/>
        </w:rPr>
        <w:t xml:space="preserve"> </w:t>
      </w:r>
      <w:r w:rsidR="005056D3">
        <w:rPr>
          <w:rFonts w:ascii="Garamond" w:hAnsi="Garamond" w:cs="Futura"/>
          <w:sz w:val="24"/>
          <w:szCs w:val="24"/>
        </w:rPr>
        <w:t>discharged</w:t>
      </w:r>
      <w:r w:rsidR="008C398F">
        <w:rPr>
          <w:rFonts w:ascii="Garamond" w:hAnsi="Garamond" w:cs="Futura"/>
          <w:sz w:val="24"/>
          <w:szCs w:val="24"/>
        </w:rPr>
        <w:t xml:space="preserve"> in </w:t>
      </w:r>
      <w:r w:rsidR="008C398F" w:rsidRPr="008C398F">
        <w:rPr>
          <w:rFonts w:ascii="Garamond" w:hAnsi="Garamond" w:cs="Futura"/>
          <w:i/>
          <w:sz w:val="24"/>
          <w:szCs w:val="24"/>
        </w:rPr>
        <w:t>Miller</w:t>
      </w:r>
      <w:r w:rsidR="005056D3">
        <w:rPr>
          <w:rFonts w:ascii="Garamond" w:hAnsi="Garamond" w:cs="Futura"/>
          <w:sz w:val="24"/>
          <w:szCs w:val="24"/>
        </w:rPr>
        <w:t xml:space="preserve">. </w:t>
      </w:r>
      <w:r w:rsidR="002F4D01">
        <w:rPr>
          <w:rFonts w:ascii="Garamond" w:hAnsi="Garamond" w:cs="Futura"/>
          <w:sz w:val="24"/>
          <w:szCs w:val="24"/>
        </w:rPr>
        <w:t xml:space="preserve">Nonetheless, </w:t>
      </w:r>
      <w:r w:rsidR="003E3066">
        <w:rPr>
          <w:rFonts w:ascii="Garamond" w:hAnsi="Garamond" w:cs="Futura"/>
          <w:sz w:val="24"/>
          <w:szCs w:val="24"/>
        </w:rPr>
        <w:t xml:space="preserve">I do not think that we should be </w:t>
      </w:r>
      <w:r w:rsidR="003E3066" w:rsidRPr="005056D3">
        <w:rPr>
          <w:rFonts w:ascii="Garamond" w:hAnsi="Garamond" w:cs="Futura"/>
          <w:sz w:val="24"/>
          <w:szCs w:val="24"/>
        </w:rPr>
        <w:t>too</w:t>
      </w:r>
      <w:r w:rsidR="003E3066">
        <w:rPr>
          <w:rFonts w:ascii="Garamond" w:hAnsi="Garamond" w:cs="Futura"/>
          <w:sz w:val="24"/>
          <w:szCs w:val="24"/>
        </w:rPr>
        <w:t xml:space="preserve"> tough. </w:t>
      </w:r>
      <w:r w:rsidR="002F4D01">
        <w:rPr>
          <w:rFonts w:ascii="Garamond" w:hAnsi="Garamond" w:cs="Futura"/>
          <w:sz w:val="24"/>
          <w:szCs w:val="24"/>
        </w:rPr>
        <w:t>The majority</w:t>
      </w:r>
      <w:r w:rsidR="003E3066">
        <w:rPr>
          <w:rFonts w:ascii="Garamond" w:hAnsi="Garamond" w:cs="Futura"/>
          <w:sz w:val="24"/>
          <w:szCs w:val="24"/>
        </w:rPr>
        <w:t xml:space="preserve"> was asked to address a specific question concerning the </w:t>
      </w:r>
      <w:r w:rsidR="00A17710">
        <w:rPr>
          <w:rFonts w:ascii="Garamond" w:hAnsi="Garamond" w:cs="Futura"/>
          <w:sz w:val="24"/>
          <w:szCs w:val="24"/>
        </w:rPr>
        <w:t>ECA</w:t>
      </w:r>
      <w:r w:rsidR="003E3066">
        <w:rPr>
          <w:rFonts w:ascii="Garamond" w:hAnsi="Garamond" w:cs="Futura"/>
          <w:sz w:val="24"/>
          <w:szCs w:val="24"/>
        </w:rPr>
        <w:t xml:space="preserve"> and</w:t>
      </w:r>
      <w:r w:rsidR="0031590E">
        <w:rPr>
          <w:rFonts w:ascii="Garamond" w:hAnsi="Garamond" w:cs="Futura"/>
          <w:sz w:val="24"/>
          <w:szCs w:val="24"/>
        </w:rPr>
        <w:t xml:space="preserve"> the foreign affairs prerogative</w:t>
      </w:r>
      <w:r w:rsidR="005A491D">
        <w:rPr>
          <w:rFonts w:ascii="Garamond" w:hAnsi="Garamond" w:cs="Futura"/>
          <w:sz w:val="24"/>
          <w:szCs w:val="24"/>
        </w:rPr>
        <w:t>,</w:t>
      </w:r>
      <w:r w:rsidR="0031590E">
        <w:rPr>
          <w:rFonts w:ascii="Garamond" w:hAnsi="Garamond" w:cs="Futura"/>
          <w:sz w:val="24"/>
          <w:szCs w:val="24"/>
        </w:rPr>
        <w:t xml:space="preserve"> </w:t>
      </w:r>
      <w:r w:rsidR="003E3066">
        <w:rPr>
          <w:rFonts w:ascii="Garamond" w:hAnsi="Garamond" w:cs="Futura"/>
          <w:sz w:val="24"/>
          <w:szCs w:val="24"/>
        </w:rPr>
        <w:t xml:space="preserve">and </w:t>
      </w:r>
      <w:r w:rsidR="00BB2C29">
        <w:rPr>
          <w:rFonts w:ascii="Garamond" w:hAnsi="Garamond" w:cs="Futura"/>
          <w:sz w:val="24"/>
          <w:szCs w:val="24"/>
        </w:rPr>
        <w:t xml:space="preserve">could not reasonably </w:t>
      </w:r>
      <w:r w:rsidR="003E3066">
        <w:rPr>
          <w:rFonts w:ascii="Garamond" w:hAnsi="Garamond" w:cs="Futura"/>
          <w:sz w:val="24"/>
          <w:szCs w:val="24"/>
        </w:rPr>
        <w:t xml:space="preserve">pursue a </w:t>
      </w:r>
      <w:r w:rsidR="008E1C00">
        <w:rPr>
          <w:rFonts w:ascii="Garamond" w:hAnsi="Garamond" w:cs="Futura"/>
          <w:sz w:val="24"/>
          <w:szCs w:val="24"/>
        </w:rPr>
        <w:t xml:space="preserve">more </w:t>
      </w:r>
      <w:r w:rsidR="003E3066">
        <w:rPr>
          <w:rFonts w:ascii="Garamond" w:hAnsi="Garamond" w:cs="Futura"/>
          <w:sz w:val="24"/>
          <w:szCs w:val="24"/>
        </w:rPr>
        <w:t xml:space="preserve">wide-ranging analysis </w:t>
      </w:r>
      <w:r w:rsidR="008D612E">
        <w:rPr>
          <w:rFonts w:ascii="Garamond" w:hAnsi="Garamond" w:cs="Futura"/>
          <w:sz w:val="24"/>
          <w:szCs w:val="24"/>
        </w:rPr>
        <w:t>of the sort that acade</w:t>
      </w:r>
      <w:r w:rsidR="00150027">
        <w:rPr>
          <w:rFonts w:ascii="Garamond" w:hAnsi="Garamond" w:cs="Futura"/>
          <w:sz w:val="24"/>
          <w:szCs w:val="24"/>
        </w:rPr>
        <w:t xml:space="preserve">mic writers </w:t>
      </w:r>
      <w:r w:rsidR="00AF6F5F">
        <w:rPr>
          <w:rFonts w:ascii="Garamond" w:hAnsi="Garamond" w:cs="Futura"/>
          <w:sz w:val="24"/>
          <w:szCs w:val="24"/>
        </w:rPr>
        <w:t xml:space="preserve">typically </w:t>
      </w:r>
      <w:r w:rsidR="00150027">
        <w:rPr>
          <w:rFonts w:ascii="Garamond" w:hAnsi="Garamond" w:cs="Futura"/>
          <w:sz w:val="24"/>
          <w:szCs w:val="24"/>
        </w:rPr>
        <w:t>favour</w:t>
      </w:r>
      <w:r w:rsidR="003E3066">
        <w:rPr>
          <w:rFonts w:ascii="Garamond" w:hAnsi="Garamond" w:cs="Futura"/>
          <w:sz w:val="24"/>
          <w:szCs w:val="24"/>
        </w:rPr>
        <w:t>.</w:t>
      </w:r>
    </w:p>
    <w:p w14:paraId="367E73C9" w14:textId="51D84D2E" w:rsidR="00E970EB" w:rsidRDefault="00622448" w:rsidP="001730DD">
      <w:pPr>
        <w:contextualSpacing/>
        <w:rPr>
          <w:rFonts w:ascii="Garamond" w:hAnsi="Garamond" w:cs="Futura"/>
          <w:sz w:val="24"/>
          <w:szCs w:val="24"/>
        </w:rPr>
      </w:pPr>
      <w:r>
        <w:rPr>
          <w:rFonts w:ascii="Garamond" w:hAnsi="Garamond" w:cs="Futura"/>
          <w:sz w:val="24"/>
          <w:szCs w:val="24"/>
        </w:rPr>
        <w:tab/>
      </w:r>
      <w:r w:rsidR="00EF06A8">
        <w:rPr>
          <w:rFonts w:ascii="Garamond" w:hAnsi="Garamond" w:cs="Futura"/>
          <w:sz w:val="24"/>
          <w:szCs w:val="24"/>
        </w:rPr>
        <w:t>Before moving on</w:t>
      </w:r>
      <w:r w:rsidR="00A33BE6">
        <w:rPr>
          <w:rFonts w:ascii="Garamond" w:hAnsi="Garamond" w:cs="Futura"/>
          <w:sz w:val="24"/>
          <w:szCs w:val="24"/>
        </w:rPr>
        <w:t xml:space="preserve"> </w:t>
      </w:r>
      <w:r w:rsidR="008C398F">
        <w:rPr>
          <w:rFonts w:ascii="Garamond" w:hAnsi="Garamond" w:cs="Futura"/>
          <w:sz w:val="24"/>
          <w:szCs w:val="24"/>
        </w:rPr>
        <w:t xml:space="preserve">I </w:t>
      </w:r>
      <w:r w:rsidR="00EF06A8">
        <w:rPr>
          <w:rFonts w:ascii="Garamond" w:hAnsi="Garamond" w:cs="Futura"/>
          <w:sz w:val="24"/>
          <w:szCs w:val="24"/>
        </w:rPr>
        <w:t>should</w:t>
      </w:r>
      <w:r w:rsidR="008C398F">
        <w:rPr>
          <w:rFonts w:ascii="Garamond" w:hAnsi="Garamond" w:cs="Futura"/>
          <w:sz w:val="24"/>
          <w:szCs w:val="24"/>
        </w:rPr>
        <w:t xml:space="preserve"> say something about the “major change” argument in </w:t>
      </w:r>
      <w:r w:rsidR="008C398F" w:rsidRPr="008C398F">
        <w:rPr>
          <w:rFonts w:ascii="Garamond" w:hAnsi="Garamond" w:cs="Futura"/>
          <w:i/>
          <w:sz w:val="24"/>
          <w:szCs w:val="24"/>
        </w:rPr>
        <w:t>Miller</w:t>
      </w:r>
      <w:r w:rsidR="008C398F">
        <w:rPr>
          <w:rFonts w:ascii="Garamond" w:hAnsi="Garamond" w:cs="Futura"/>
          <w:sz w:val="24"/>
          <w:szCs w:val="24"/>
        </w:rPr>
        <w:t xml:space="preserve"> – i.e. the </w:t>
      </w:r>
      <w:r w:rsidR="0063309F">
        <w:rPr>
          <w:rFonts w:ascii="Garamond" w:hAnsi="Garamond" w:cs="Futura"/>
          <w:sz w:val="24"/>
          <w:szCs w:val="24"/>
        </w:rPr>
        <w:t xml:space="preserve">majority’s </w:t>
      </w:r>
      <w:r w:rsidR="008C398F">
        <w:rPr>
          <w:rFonts w:ascii="Garamond" w:hAnsi="Garamond" w:cs="Futura"/>
          <w:sz w:val="24"/>
          <w:szCs w:val="24"/>
        </w:rPr>
        <w:t xml:space="preserve">various </w:t>
      </w:r>
      <w:r w:rsidR="0063309F">
        <w:rPr>
          <w:rFonts w:ascii="Garamond" w:hAnsi="Garamond" w:cs="Futura"/>
          <w:sz w:val="24"/>
          <w:szCs w:val="24"/>
        </w:rPr>
        <w:t xml:space="preserve">statements that the prerogative cannot be used in a way that “effects a </w:t>
      </w:r>
      <w:r w:rsidR="0063309F" w:rsidRPr="0063309F">
        <w:rPr>
          <w:rFonts w:ascii="Garamond" w:hAnsi="Garamond" w:cs="Futura"/>
          <w:i/>
          <w:sz w:val="24"/>
          <w:szCs w:val="24"/>
        </w:rPr>
        <w:t>fundamental change</w:t>
      </w:r>
      <w:r w:rsidR="0063309F">
        <w:rPr>
          <w:rFonts w:ascii="Garamond" w:hAnsi="Garamond" w:cs="Futura"/>
          <w:sz w:val="24"/>
          <w:szCs w:val="24"/>
        </w:rPr>
        <w:t xml:space="preserve"> in the constitutional arrangements of the United </w:t>
      </w:r>
      <w:r w:rsidR="0063309F">
        <w:rPr>
          <w:rFonts w:ascii="Garamond" w:hAnsi="Garamond" w:cs="Futura"/>
          <w:sz w:val="24"/>
          <w:szCs w:val="24"/>
        </w:rPr>
        <w:lastRenderedPageBreak/>
        <w:t>Kingdom”,</w:t>
      </w:r>
      <w:r w:rsidR="0063309F">
        <w:rPr>
          <w:rStyle w:val="FootnoteReference"/>
          <w:rFonts w:ascii="Garamond" w:hAnsi="Garamond" w:cs="Futura"/>
          <w:sz w:val="24"/>
          <w:szCs w:val="24"/>
        </w:rPr>
        <w:footnoteReference w:id="84"/>
      </w:r>
      <w:r w:rsidR="0063309F">
        <w:rPr>
          <w:rFonts w:ascii="Garamond" w:hAnsi="Garamond" w:cs="Futura"/>
          <w:sz w:val="24"/>
          <w:szCs w:val="24"/>
        </w:rPr>
        <w:t xml:space="preserve"> that its use “would be inconsistent with long-standing and fundamental principle [that] such a </w:t>
      </w:r>
      <w:r w:rsidR="0063309F" w:rsidRPr="0074496C">
        <w:rPr>
          <w:rFonts w:ascii="Garamond" w:hAnsi="Garamond" w:cs="Futura"/>
          <w:i/>
          <w:sz w:val="24"/>
          <w:szCs w:val="24"/>
        </w:rPr>
        <w:t>far-reaching change</w:t>
      </w:r>
      <w:r w:rsidR="0063309F">
        <w:rPr>
          <w:rFonts w:ascii="Garamond" w:hAnsi="Garamond" w:cs="Futura"/>
          <w:sz w:val="24"/>
          <w:szCs w:val="24"/>
        </w:rPr>
        <w:t xml:space="preserve"> to the UK constitutional arrangements [cannot] be brought about ministerial … action alone”,</w:t>
      </w:r>
      <w:r w:rsidR="0063309F">
        <w:rPr>
          <w:rStyle w:val="FootnoteReference"/>
          <w:rFonts w:ascii="Garamond" w:hAnsi="Garamond" w:cs="Futura"/>
          <w:sz w:val="24"/>
          <w:szCs w:val="24"/>
        </w:rPr>
        <w:footnoteReference w:id="85"/>
      </w:r>
      <w:r w:rsidR="0063309F">
        <w:rPr>
          <w:rFonts w:ascii="Garamond" w:hAnsi="Garamond" w:cs="Futura"/>
          <w:sz w:val="24"/>
          <w:szCs w:val="24"/>
        </w:rPr>
        <w:t xml:space="preserve"> </w:t>
      </w:r>
      <w:r w:rsidR="0074496C">
        <w:rPr>
          <w:rFonts w:ascii="Garamond" w:hAnsi="Garamond" w:cs="Futura"/>
          <w:sz w:val="24"/>
          <w:szCs w:val="24"/>
        </w:rPr>
        <w:t>and that the majority “</w:t>
      </w:r>
      <w:r w:rsidR="0074496C" w:rsidRPr="0074496C">
        <w:rPr>
          <w:rFonts w:ascii="Garamond" w:hAnsi="Garamond" w:cs="Futura"/>
          <w:sz w:val="24"/>
          <w:szCs w:val="24"/>
        </w:rPr>
        <w:t xml:space="preserve">cannot accept that a </w:t>
      </w:r>
      <w:r w:rsidR="0074496C" w:rsidRPr="0074496C">
        <w:rPr>
          <w:rFonts w:ascii="Garamond" w:hAnsi="Garamond" w:cs="Futura"/>
          <w:i/>
          <w:sz w:val="24"/>
          <w:szCs w:val="24"/>
        </w:rPr>
        <w:t>major change</w:t>
      </w:r>
      <w:r w:rsidR="0074496C" w:rsidRPr="0074496C">
        <w:rPr>
          <w:rFonts w:ascii="Garamond" w:hAnsi="Garamond" w:cs="Futura"/>
          <w:sz w:val="24"/>
          <w:szCs w:val="24"/>
        </w:rPr>
        <w:t xml:space="preserve"> to UK constitutional arrangements can be achieved by ministers alone</w:t>
      </w:r>
      <w:r w:rsidR="0074496C">
        <w:rPr>
          <w:rFonts w:ascii="Garamond" w:hAnsi="Garamond" w:cs="Futura"/>
          <w:sz w:val="24"/>
          <w:szCs w:val="24"/>
        </w:rPr>
        <w:t>”.</w:t>
      </w:r>
      <w:r w:rsidR="0074496C">
        <w:rPr>
          <w:rStyle w:val="FootnoteReference"/>
          <w:rFonts w:ascii="Garamond" w:hAnsi="Garamond" w:cs="Futura"/>
          <w:sz w:val="24"/>
          <w:szCs w:val="24"/>
        </w:rPr>
        <w:footnoteReference w:id="86"/>
      </w:r>
      <w:r w:rsidR="008C398F">
        <w:rPr>
          <w:rFonts w:ascii="Garamond" w:hAnsi="Garamond" w:cs="Futura"/>
          <w:sz w:val="24"/>
          <w:szCs w:val="24"/>
        </w:rPr>
        <w:t xml:space="preserve"> Some writers have treated the major change </w:t>
      </w:r>
      <w:r w:rsidR="0071304A">
        <w:rPr>
          <w:rFonts w:ascii="Garamond" w:hAnsi="Garamond" w:cs="Futura"/>
          <w:sz w:val="24"/>
          <w:szCs w:val="24"/>
        </w:rPr>
        <w:t>argument</w:t>
      </w:r>
      <w:r w:rsidR="00D266FC">
        <w:rPr>
          <w:rFonts w:ascii="Garamond" w:hAnsi="Garamond" w:cs="Futura"/>
          <w:sz w:val="24"/>
          <w:szCs w:val="24"/>
        </w:rPr>
        <w:t xml:space="preserve"> </w:t>
      </w:r>
      <w:r w:rsidR="0071304A">
        <w:rPr>
          <w:rFonts w:ascii="Garamond" w:hAnsi="Garamond" w:cs="Futura"/>
          <w:sz w:val="24"/>
          <w:szCs w:val="24"/>
        </w:rPr>
        <w:t>as</w:t>
      </w:r>
      <w:r w:rsidR="007D168B">
        <w:rPr>
          <w:rFonts w:ascii="Garamond" w:hAnsi="Garamond" w:cs="Futura"/>
          <w:sz w:val="24"/>
          <w:szCs w:val="24"/>
        </w:rPr>
        <w:t xml:space="preserve"> </w:t>
      </w:r>
      <w:r w:rsidR="00D266FC">
        <w:rPr>
          <w:rFonts w:ascii="Garamond" w:hAnsi="Garamond" w:cs="Futura"/>
          <w:sz w:val="24"/>
          <w:szCs w:val="24"/>
        </w:rPr>
        <w:t>separable</w:t>
      </w:r>
      <w:r w:rsidR="007D168B">
        <w:rPr>
          <w:rFonts w:ascii="Garamond" w:hAnsi="Garamond" w:cs="Futura"/>
          <w:sz w:val="24"/>
          <w:szCs w:val="24"/>
        </w:rPr>
        <w:t xml:space="preserve"> </w:t>
      </w:r>
      <w:r w:rsidR="0071304A">
        <w:rPr>
          <w:rFonts w:ascii="Garamond" w:hAnsi="Garamond" w:cs="Futura"/>
          <w:sz w:val="24"/>
          <w:szCs w:val="24"/>
        </w:rPr>
        <w:t>from the argument</w:t>
      </w:r>
      <w:r w:rsidR="007D168B">
        <w:rPr>
          <w:rFonts w:ascii="Garamond" w:hAnsi="Garamond" w:cs="Futura"/>
          <w:sz w:val="24"/>
          <w:szCs w:val="24"/>
        </w:rPr>
        <w:t xml:space="preserve"> </w:t>
      </w:r>
      <w:r w:rsidR="008C398F">
        <w:rPr>
          <w:rFonts w:ascii="Garamond" w:hAnsi="Garamond" w:cs="Futura"/>
          <w:sz w:val="24"/>
          <w:szCs w:val="24"/>
        </w:rPr>
        <w:t>about</w:t>
      </w:r>
      <w:r w:rsidR="007D168B">
        <w:rPr>
          <w:rFonts w:ascii="Garamond" w:hAnsi="Garamond" w:cs="Futura"/>
          <w:sz w:val="24"/>
          <w:szCs w:val="24"/>
        </w:rPr>
        <w:t xml:space="preserve"> sources.</w:t>
      </w:r>
      <w:r w:rsidR="00D266FC">
        <w:rPr>
          <w:rStyle w:val="FootnoteReference"/>
          <w:rFonts w:ascii="Garamond" w:hAnsi="Garamond" w:cs="Futura"/>
          <w:sz w:val="24"/>
          <w:szCs w:val="24"/>
        </w:rPr>
        <w:footnoteReference w:id="87"/>
      </w:r>
      <w:r w:rsidR="00D266FC">
        <w:rPr>
          <w:rFonts w:ascii="Garamond" w:hAnsi="Garamond" w:cs="Futura"/>
          <w:sz w:val="24"/>
          <w:szCs w:val="24"/>
        </w:rPr>
        <w:t xml:space="preserve"> </w:t>
      </w:r>
      <w:r w:rsidR="008C398F">
        <w:rPr>
          <w:rFonts w:ascii="Garamond" w:hAnsi="Garamond" w:cs="Futura"/>
          <w:sz w:val="24"/>
          <w:szCs w:val="24"/>
        </w:rPr>
        <w:t>This, in turn,</w:t>
      </w:r>
      <w:r w:rsidR="00D266FC">
        <w:rPr>
          <w:rFonts w:ascii="Garamond" w:hAnsi="Garamond" w:cs="Futura"/>
          <w:sz w:val="24"/>
          <w:szCs w:val="24"/>
        </w:rPr>
        <w:t xml:space="preserve"> has led to trenchant criticism</w:t>
      </w:r>
      <w:r w:rsidR="008C398F">
        <w:rPr>
          <w:rFonts w:ascii="Garamond" w:hAnsi="Garamond" w:cs="Futura"/>
          <w:sz w:val="24"/>
          <w:szCs w:val="24"/>
        </w:rPr>
        <w:t xml:space="preserve"> that the major change argument</w:t>
      </w:r>
      <w:r w:rsidR="00160525">
        <w:rPr>
          <w:rFonts w:ascii="Garamond" w:hAnsi="Garamond" w:cs="Futura"/>
          <w:sz w:val="24"/>
          <w:szCs w:val="24"/>
        </w:rPr>
        <w:t xml:space="preserve"> </w:t>
      </w:r>
      <w:r w:rsidR="001F2A4B">
        <w:rPr>
          <w:rFonts w:ascii="Garamond" w:hAnsi="Garamond" w:cs="Futura"/>
          <w:sz w:val="24"/>
          <w:szCs w:val="24"/>
        </w:rPr>
        <w:t>itself</w:t>
      </w:r>
      <w:r w:rsidR="008C398F">
        <w:rPr>
          <w:rFonts w:ascii="Garamond" w:hAnsi="Garamond" w:cs="Futura"/>
          <w:sz w:val="24"/>
          <w:szCs w:val="24"/>
        </w:rPr>
        <w:t xml:space="preserve"> </w:t>
      </w:r>
      <w:r w:rsidR="00D266FC">
        <w:rPr>
          <w:rFonts w:ascii="Garamond" w:hAnsi="Garamond" w:cs="Futura"/>
          <w:sz w:val="24"/>
          <w:szCs w:val="24"/>
        </w:rPr>
        <w:t>“offers little by way of guidance”</w:t>
      </w:r>
      <w:r w:rsidR="00E970EB">
        <w:rPr>
          <w:rFonts w:ascii="Garamond" w:hAnsi="Garamond" w:cs="Futura"/>
          <w:sz w:val="24"/>
          <w:szCs w:val="24"/>
        </w:rPr>
        <w:t>.</w:t>
      </w:r>
      <w:r w:rsidR="00D266FC">
        <w:rPr>
          <w:rStyle w:val="FootnoteReference"/>
          <w:rFonts w:ascii="Garamond" w:hAnsi="Garamond" w:cs="Futura"/>
          <w:sz w:val="24"/>
          <w:szCs w:val="24"/>
        </w:rPr>
        <w:footnoteReference w:id="88"/>
      </w:r>
      <w:r w:rsidR="00D266FC">
        <w:rPr>
          <w:rFonts w:ascii="Garamond" w:hAnsi="Garamond" w:cs="Futura"/>
          <w:sz w:val="24"/>
          <w:szCs w:val="24"/>
        </w:rPr>
        <w:t xml:space="preserve"> </w:t>
      </w:r>
      <w:r w:rsidR="007957A4">
        <w:rPr>
          <w:rFonts w:ascii="Garamond" w:hAnsi="Garamond" w:cs="Futura"/>
          <w:sz w:val="24"/>
          <w:szCs w:val="24"/>
        </w:rPr>
        <w:t>For instance, c</w:t>
      </w:r>
      <w:r w:rsidR="001F2A4B">
        <w:rPr>
          <w:rFonts w:ascii="Garamond" w:hAnsi="Garamond" w:cs="Futura"/>
          <w:sz w:val="24"/>
          <w:szCs w:val="24"/>
        </w:rPr>
        <w:t>ould the risk of</w:t>
      </w:r>
      <w:r w:rsidR="00E970EB">
        <w:rPr>
          <w:rFonts w:ascii="Garamond" w:hAnsi="Garamond" w:cs="Futura"/>
          <w:sz w:val="24"/>
          <w:szCs w:val="24"/>
        </w:rPr>
        <w:t xml:space="preserve"> major changes </w:t>
      </w:r>
      <w:r w:rsidR="001F2A4B">
        <w:rPr>
          <w:rFonts w:ascii="Garamond" w:hAnsi="Garamond" w:cs="Futura"/>
          <w:sz w:val="24"/>
          <w:szCs w:val="24"/>
        </w:rPr>
        <w:t xml:space="preserve">to the constitution </w:t>
      </w:r>
      <w:r w:rsidR="007957A4">
        <w:rPr>
          <w:rFonts w:ascii="Garamond" w:hAnsi="Garamond" w:cs="Futura"/>
          <w:sz w:val="24"/>
          <w:szCs w:val="24"/>
        </w:rPr>
        <w:t xml:space="preserve">block the use of </w:t>
      </w:r>
      <w:r w:rsidR="000427E7">
        <w:rPr>
          <w:rFonts w:ascii="Garamond" w:hAnsi="Garamond" w:cs="Futura"/>
          <w:sz w:val="24"/>
          <w:szCs w:val="24"/>
        </w:rPr>
        <w:t>the foreign affairs prerogative</w:t>
      </w:r>
      <w:r w:rsidR="001F2A4B">
        <w:rPr>
          <w:rFonts w:ascii="Garamond" w:hAnsi="Garamond" w:cs="Futura"/>
          <w:sz w:val="24"/>
          <w:szCs w:val="24"/>
        </w:rPr>
        <w:t xml:space="preserve"> even if this has</w:t>
      </w:r>
      <w:r w:rsidR="00E970EB">
        <w:rPr>
          <w:rFonts w:ascii="Garamond" w:hAnsi="Garamond" w:cs="Futura"/>
          <w:sz w:val="24"/>
          <w:szCs w:val="24"/>
        </w:rPr>
        <w:t xml:space="preserve"> nothing to do with </w:t>
      </w:r>
      <w:r w:rsidR="001F2A4B">
        <w:rPr>
          <w:rFonts w:ascii="Garamond" w:hAnsi="Garamond" w:cs="Futura"/>
          <w:sz w:val="24"/>
          <w:szCs w:val="24"/>
        </w:rPr>
        <w:t xml:space="preserve">the </w:t>
      </w:r>
      <w:r w:rsidR="00E970EB">
        <w:rPr>
          <w:rFonts w:ascii="Garamond" w:hAnsi="Garamond" w:cs="Futura"/>
          <w:sz w:val="24"/>
          <w:szCs w:val="24"/>
        </w:rPr>
        <w:t xml:space="preserve">extinction of </w:t>
      </w:r>
      <w:r w:rsidR="00871534">
        <w:rPr>
          <w:rFonts w:ascii="Garamond" w:hAnsi="Garamond" w:cs="Futura"/>
          <w:sz w:val="24"/>
          <w:szCs w:val="24"/>
        </w:rPr>
        <w:t xml:space="preserve">treaty-based </w:t>
      </w:r>
      <w:r w:rsidR="00E970EB">
        <w:rPr>
          <w:rFonts w:ascii="Garamond" w:hAnsi="Garamond" w:cs="Futura"/>
          <w:sz w:val="24"/>
          <w:szCs w:val="24"/>
        </w:rPr>
        <w:t>sources</w:t>
      </w:r>
      <w:r w:rsidR="008C398F">
        <w:rPr>
          <w:rFonts w:ascii="Garamond" w:hAnsi="Garamond" w:cs="Futura"/>
          <w:sz w:val="24"/>
          <w:szCs w:val="24"/>
        </w:rPr>
        <w:t>?</w:t>
      </w:r>
      <w:r w:rsidR="00E970EB">
        <w:rPr>
          <w:rFonts w:ascii="Garamond" w:hAnsi="Garamond" w:cs="Futura"/>
          <w:sz w:val="24"/>
          <w:szCs w:val="24"/>
        </w:rPr>
        <w:t xml:space="preserve"> </w:t>
      </w:r>
      <w:r w:rsidR="008C398F">
        <w:rPr>
          <w:rFonts w:ascii="Garamond" w:hAnsi="Garamond" w:cs="Futura"/>
          <w:sz w:val="24"/>
          <w:szCs w:val="24"/>
        </w:rPr>
        <w:t>The matter is all the more concerning,</w:t>
      </w:r>
      <w:r w:rsidR="00E970EB">
        <w:rPr>
          <w:rFonts w:ascii="Garamond" w:hAnsi="Garamond" w:cs="Futura"/>
          <w:sz w:val="24"/>
          <w:szCs w:val="24"/>
        </w:rPr>
        <w:t xml:space="preserve"> the criticism runs, </w:t>
      </w:r>
      <w:r w:rsidR="008C398F">
        <w:rPr>
          <w:rFonts w:ascii="Garamond" w:hAnsi="Garamond" w:cs="Futura"/>
          <w:sz w:val="24"/>
          <w:szCs w:val="24"/>
        </w:rPr>
        <w:t xml:space="preserve">because </w:t>
      </w:r>
      <w:r w:rsidR="00E970EB">
        <w:rPr>
          <w:rFonts w:ascii="Garamond" w:hAnsi="Garamond" w:cs="Futura"/>
          <w:sz w:val="24"/>
          <w:szCs w:val="24"/>
        </w:rPr>
        <w:t xml:space="preserve">we have precious little understanding of what </w:t>
      </w:r>
      <w:r w:rsidR="001F2A4B">
        <w:rPr>
          <w:rFonts w:ascii="Garamond" w:hAnsi="Garamond" w:cs="Futura"/>
          <w:sz w:val="24"/>
          <w:szCs w:val="24"/>
        </w:rPr>
        <w:t xml:space="preserve">counts as </w:t>
      </w:r>
      <w:r w:rsidR="00E970EB">
        <w:rPr>
          <w:rFonts w:ascii="Garamond" w:hAnsi="Garamond" w:cs="Futura"/>
          <w:sz w:val="24"/>
          <w:szCs w:val="24"/>
        </w:rPr>
        <w:t>major change.</w:t>
      </w:r>
    </w:p>
    <w:p w14:paraId="777E479A" w14:textId="7732EFD9" w:rsidR="00531B57" w:rsidRPr="003E1813" w:rsidRDefault="00E970EB" w:rsidP="003E1813">
      <w:pPr>
        <w:ind w:firstLine="624"/>
        <w:contextualSpacing/>
        <w:rPr>
          <w:rFonts w:ascii="Garamond" w:hAnsi="Garamond" w:cs="Futura"/>
          <w:sz w:val="24"/>
          <w:szCs w:val="24"/>
        </w:rPr>
      </w:pPr>
      <w:r>
        <w:rPr>
          <w:rFonts w:ascii="Garamond" w:hAnsi="Garamond" w:cs="Futura"/>
          <w:sz w:val="24"/>
          <w:szCs w:val="24"/>
        </w:rPr>
        <w:t xml:space="preserve">Again, in keeping with the spirit of this paper, I think that </w:t>
      </w:r>
      <w:r w:rsidR="007957A4">
        <w:rPr>
          <w:rFonts w:ascii="Garamond" w:hAnsi="Garamond" w:cs="Futura"/>
          <w:sz w:val="24"/>
          <w:szCs w:val="24"/>
        </w:rPr>
        <w:t>a more sympathetic reading is possible</w:t>
      </w:r>
      <w:r>
        <w:rPr>
          <w:rFonts w:ascii="Garamond" w:hAnsi="Garamond" w:cs="Futura"/>
          <w:sz w:val="24"/>
          <w:szCs w:val="24"/>
        </w:rPr>
        <w:t>.</w:t>
      </w:r>
      <w:r w:rsidR="001730DD">
        <w:rPr>
          <w:rFonts w:ascii="Garamond" w:hAnsi="Garamond" w:cs="Futura"/>
          <w:sz w:val="24"/>
          <w:szCs w:val="24"/>
        </w:rPr>
        <w:t xml:space="preserve"> If we take the </w:t>
      </w:r>
      <w:r>
        <w:rPr>
          <w:rFonts w:ascii="Garamond" w:hAnsi="Garamond" w:cs="Futura"/>
          <w:sz w:val="24"/>
          <w:szCs w:val="24"/>
        </w:rPr>
        <w:t>major change</w:t>
      </w:r>
      <w:r w:rsidR="001730DD">
        <w:rPr>
          <w:rFonts w:ascii="Garamond" w:hAnsi="Garamond" w:cs="Futura"/>
          <w:sz w:val="24"/>
          <w:szCs w:val="24"/>
        </w:rPr>
        <w:t xml:space="preserve"> </w:t>
      </w:r>
      <w:r w:rsidR="00DA201B">
        <w:rPr>
          <w:rFonts w:ascii="Garamond" w:hAnsi="Garamond" w:cs="Futura"/>
          <w:sz w:val="24"/>
          <w:szCs w:val="24"/>
        </w:rPr>
        <w:t>argument as a separate argument – that is, an independent ground for the majority’s decision –</w:t>
      </w:r>
      <w:r w:rsidR="001730DD">
        <w:rPr>
          <w:rFonts w:ascii="Garamond" w:hAnsi="Garamond" w:cs="Futura"/>
          <w:sz w:val="24"/>
          <w:szCs w:val="24"/>
        </w:rPr>
        <w:t xml:space="preserve"> we are </w:t>
      </w:r>
      <w:r w:rsidR="00D266FC">
        <w:rPr>
          <w:rFonts w:ascii="Garamond" w:hAnsi="Garamond" w:cs="Futura"/>
          <w:sz w:val="24"/>
          <w:szCs w:val="24"/>
        </w:rPr>
        <w:t xml:space="preserve">indeed </w:t>
      </w:r>
      <w:r w:rsidR="001730DD">
        <w:rPr>
          <w:rFonts w:ascii="Garamond" w:hAnsi="Garamond" w:cs="Futura"/>
          <w:sz w:val="24"/>
          <w:szCs w:val="24"/>
        </w:rPr>
        <w:t xml:space="preserve">grasping for what </w:t>
      </w:r>
      <w:r>
        <w:rPr>
          <w:rFonts w:ascii="Garamond" w:hAnsi="Garamond" w:cs="Futura"/>
          <w:sz w:val="24"/>
          <w:szCs w:val="24"/>
        </w:rPr>
        <w:t>it</w:t>
      </w:r>
      <w:r w:rsidR="001730DD">
        <w:rPr>
          <w:rFonts w:ascii="Garamond" w:hAnsi="Garamond" w:cs="Futura"/>
          <w:sz w:val="24"/>
          <w:szCs w:val="24"/>
        </w:rPr>
        <w:t xml:space="preserve"> means. </w:t>
      </w:r>
      <w:r>
        <w:rPr>
          <w:rFonts w:ascii="Garamond" w:hAnsi="Garamond" w:cs="Futura"/>
          <w:sz w:val="24"/>
          <w:szCs w:val="24"/>
        </w:rPr>
        <w:t xml:space="preserve">But a different reading is available. </w:t>
      </w:r>
      <w:r w:rsidR="003E1813">
        <w:rPr>
          <w:rFonts w:ascii="Garamond" w:hAnsi="Garamond" w:cs="Futura"/>
          <w:sz w:val="24"/>
          <w:szCs w:val="24"/>
        </w:rPr>
        <w:t>We have seen that</w:t>
      </w:r>
      <w:r w:rsidR="00FA0AC6">
        <w:rPr>
          <w:rFonts w:ascii="Garamond" w:hAnsi="Garamond" w:cs="Futura"/>
          <w:sz w:val="24"/>
          <w:szCs w:val="24"/>
        </w:rPr>
        <w:t xml:space="preserve"> s</w:t>
      </w:r>
      <w:r w:rsidR="001730DD">
        <w:rPr>
          <w:rFonts w:ascii="Garamond" w:hAnsi="Garamond" w:cs="Futura"/>
          <w:sz w:val="24"/>
          <w:szCs w:val="24"/>
        </w:rPr>
        <w:t xml:space="preserve">o much </w:t>
      </w:r>
      <w:r w:rsidR="009C7427">
        <w:rPr>
          <w:rFonts w:ascii="Garamond" w:hAnsi="Garamond" w:cs="Futura"/>
          <w:sz w:val="24"/>
          <w:szCs w:val="24"/>
        </w:rPr>
        <w:t>in</w:t>
      </w:r>
      <w:r w:rsidR="001730DD">
        <w:rPr>
          <w:rFonts w:ascii="Garamond" w:hAnsi="Garamond" w:cs="Futura"/>
          <w:sz w:val="24"/>
          <w:szCs w:val="24"/>
        </w:rPr>
        <w:t xml:space="preserve"> </w:t>
      </w:r>
      <w:r w:rsidR="00873396">
        <w:rPr>
          <w:rFonts w:ascii="Garamond" w:hAnsi="Garamond" w:cs="Futura"/>
          <w:sz w:val="24"/>
          <w:szCs w:val="24"/>
        </w:rPr>
        <w:t>the majority’s</w:t>
      </w:r>
      <w:r w:rsidR="00FA0AC6">
        <w:rPr>
          <w:rFonts w:ascii="Garamond" w:hAnsi="Garamond" w:cs="Futura"/>
          <w:sz w:val="24"/>
          <w:szCs w:val="24"/>
        </w:rPr>
        <w:t xml:space="preserve"> judgment</w:t>
      </w:r>
      <w:r w:rsidR="001730DD">
        <w:rPr>
          <w:rFonts w:ascii="Garamond" w:hAnsi="Garamond" w:cs="Futura"/>
          <w:sz w:val="24"/>
          <w:szCs w:val="24"/>
        </w:rPr>
        <w:t xml:space="preserve"> </w:t>
      </w:r>
      <w:r w:rsidR="009C7427">
        <w:rPr>
          <w:rFonts w:ascii="Garamond" w:hAnsi="Garamond" w:cs="Futura"/>
          <w:sz w:val="24"/>
          <w:szCs w:val="24"/>
        </w:rPr>
        <w:t>is about</w:t>
      </w:r>
      <w:r w:rsidR="00FA0AC6">
        <w:rPr>
          <w:rFonts w:ascii="Garamond" w:hAnsi="Garamond" w:cs="Futura"/>
          <w:sz w:val="24"/>
          <w:szCs w:val="24"/>
        </w:rPr>
        <w:t xml:space="preserve"> sources</w:t>
      </w:r>
      <w:r w:rsidR="009C7427">
        <w:rPr>
          <w:rFonts w:ascii="Garamond" w:hAnsi="Garamond" w:cs="Futura"/>
          <w:sz w:val="24"/>
          <w:szCs w:val="24"/>
        </w:rPr>
        <w:t xml:space="preserve">. </w:t>
      </w:r>
      <w:r w:rsidR="00A73961">
        <w:rPr>
          <w:rFonts w:ascii="Garamond" w:hAnsi="Garamond" w:cs="Futura"/>
          <w:sz w:val="24"/>
          <w:szCs w:val="24"/>
        </w:rPr>
        <w:t>As one writer puts it, the</w:t>
      </w:r>
      <w:r w:rsidR="00A73961">
        <w:rPr>
          <w:rFonts w:ascii="Garamond" w:hAnsi="Garamond" w:cs="Futura"/>
          <w:sz w:val="24"/>
        </w:rPr>
        <w:t xml:space="preserve"> “status [that] EU law had as a source of law … became a </w:t>
      </w:r>
      <w:r w:rsidR="00A73961" w:rsidRPr="00A1414D">
        <w:rPr>
          <w:rFonts w:ascii="Garamond" w:hAnsi="Garamond" w:cs="Futura"/>
          <w:i/>
          <w:sz w:val="24"/>
        </w:rPr>
        <w:t>leitmotif</w:t>
      </w:r>
      <w:r w:rsidR="00A73961">
        <w:rPr>
          <w:rFonts w:ascii="Garamond" w:hAnsi="Garamond" w:cs="Futura"/>
          <w:sz w:val="24"/>
        </w:rPr>
        <w:t xml:space="preserve"> of the judgment”.</w:t>
      </w:r>
      <w:r w:rsidR="00A73961">
        <w:rPr>
          <w:rStyle w:val="FootnoteReference"/>
          <w:rFonts w:ascii="Garamond" w:hAnsi="Garamond" w:cs="Futura"/>
          <w:sz w:val="24"/>
        </w:rPr>
        <w:footnoteReference w:id="89"/>
      </w:r>
      <w:r w:rsidR="003E1813">
        <w:rPr>
          <w:rFonts w:ascii="Garamond" w:hAnsi="Garamond" w:cs="Futura"/>
          <w:sz w:val="24"/>
          <w:szCs w:val="24"/>
        </w:rPr>
        <w:t xml:space="preserve"> Where</w:t>
      </w:r>
      <w:r w:rsidR="009C7427">
        <w:rPr>
          <w:rFonts w:ascii="Garamond" w:hAnsi="Garamond" w:cs="Futura"/>
          <w:sz w:val="24"/>
          <w:szCs w:val="24"/>
        </w:rPr>
        <w:t xml:space="preserve"> </w:t>
      </w:r>
      <w:r w:rsidR="00FA0AC6">
        <w:rPr>
          <w:rFonts w:ascii="Garamond" w:hAnsi="Garamond" w:cs="Futura"/>
          <w:sz w:val="24"/>
          <w:szCs w:val="24"/>
        </w:rPr>
        <w:t>the</w:t>
      </w:r>
      <w:r w:rsidR="00EF06A8">
        <w:rPr>
          <w:rFonts w:ascii="Garamond" w:hAnsi="Garamond" w:cs="Futura"/>
          <w:sz w:val="24"/>
          <w:szCs w:val="24"/>
        </w:rPr>
        <w:t>re is reference to major change</w:t>
      </w:r>
      <w:r w:rsidR="003E1813">
        <w:rPr>
          <w:rFonts w:ascii="Garamond" w:hAnsi="Garamond" w:cs="Futura"/>
          <w:sz w:val="24"/>
          <w:szCs w:val="24"/>
        </w:rPr>
        <w:t>,</w:t>
      </w:r>
      <w:r w:rsidR="00FA0AC6">
        <w:rPr>
          <w:rFonts w:ascii="Garamond" w:hAnsi="Garamond" w:cs="Futura"/>
          <w:sz w:val="24"/>
          <w:szCs w:val="24"/>
        </w:rPr>
        <w:t xml:space="preserve"> this is often bound up in the question of sources</w:t>
      </w:r>
      <w:r w:rsidR="009C7427">
        <w:rPr>
          <w:rFonts w:ascii="Garamond" w:hAnsi="Garamond" w:cs="Futura"/>
          <w:sz w:val="24"/>
          <w:szCs w:val="24"/>
        </w:rPr>
        <w:t xml:space="preserve"> – e.g. </w:t>
      </w:r>
      <w:r w:rsidR="00DA201B">
        <w:rPr>
          <w:rFonts w:ascii="Garamond" w:hAnsi="Garamond" w:cs="Futura"/>
          <w:sz w:val="24"/>
          <w:szCs w:val="24"/>
        </w:rPr>
        <w:t xml:space="preserve">when </w:t>
      </w:r>
      <w:r w:rsidR="003E1813">
        <w:rPr>
          <w:rFonts w:ascii="Garamond" w:hAnsi="Garamond" w:cs="Futura"/>
          <w:sz w:val="24"/>
          <w:szCs w:val="24"/>
        </w:rPr>
        <w:t>summing up</w:t>
      </w:r>
      <w:r w:rsidR="009C7427">
        <w:rPr>
          <w:rFonts w:ascii="Garamond" w:hAnsi="Garamond" w:cs="Futura"/>
          <w:sz w:val="24"/>
          <w:szCs w:val="24"/>
        </w:rPr>
        <w:t xml:space="preserve"> </w:t>
      </w:r>
      <w:r w:rsidR="00873396">
        <w:rPr>
          <w:rFonts w:ascii="Garamond" w:hAnsi="Garamond" w:cs="Futura"/>
          <w:sz w:val="24"/>
          <w:szCs w:val="24"/>
        </w:rPr>
        <w:t xml:space="preserve">the majority </w:t>
      </w:r>
      <w:r w:rsidR="009C7427">
        <w:rPr>
          <w:rFonts w:ascii="Garamond" w:hAnsi="Garamond" w:cs="Futura"/>
          <w:sz w:val="24"/>
          <w:szCs w:val="24"/>
        </w:rPr>
        <w:t>explains that “the consequential loss of a source of law is a fundamental legal change”.</w:t>
      </w:r>
      <w:r w:rsidR="009C7427">
        <w:rPr>
          <w:rStyle w:val="FootnoteReference"/>
          <w:rFonts w:ascii="Garamond" w:hAnsi="Garamond" w:cs="Futura"/>
          <w:sz w:val="24"/>
          <w:szCs w:val="24"/>
        </w:rPr>
        <w:footnoteReference w:id="90"/>
      </w:r>
      <w:r w:rsidR="009C7427">
        <w:rPr>
          <w:rFonts w:ascii="Garamond" w:hAnsi="Garamond" w:cs="Futura"/>
          <w:sz w:val="24"/>
          <w:szCs w:val="24"/>
        </w:rPr>
        <w:t xml:space="preserve"> </w:t>
      </w:r>
      <w:r w:rsidR="00A5656F">
        <w:rPr>
          <w:rFonts w:ascii="Garamond" w:hAnsi="Garamond" w:cs="Futura"/>
          <w:sz w:val="24"/>
          <w:szCs w:val="24"/>
        </w:rPr>
        <w:t xml:space="preserve">This </w:t>
      </w:r>
      <w:r w:rsidR="00826181">
        <w:rPr>
          <w:rFonts w:ascii="Garamond" w:hAnsi="Garamond" w:cs="Futura"/>
          <w:sz w:val="24"/>
          <w:szCs w:val="24"/>
        </w:rPr>
        <w:t>shows not just how</w:t>
      </w:r>
      <w:r w:rsidR="00A5656F">
        <w:rPr>
          <w:rFonts w:ascii="Garamond" w:hAnsi="Garamond" w:cs="Futura"/>
          <w:sz w:val="24"/>
          <w:szCs w:val="24"/>
        </w:rPr>
        <w:t xml:space="preserve"> the</w:t>
      </w:r>
      <w:r w:rsidR="009C7427">
        <w:rPr>
          <w:rFonts w:ascii="Garamond" w:hAnsi="Garamond" w:cs="Futura"/>
          <w:sz w:val="24"/>
        </w:rPr>
        <w:t xml:space="preserve"> majority’s</w:t>
      </w:r>
      <w:r w:rsidR="003B398D">
        <w:rPr>
          <w:rFonts w:ascii="Garamond" w:hAnsi="Garamond" w:cs="Futura"/>
          <w:sz w:val="24"/>
        </w:rPr>
        <w:t xml:space="preserve"> </w:t>
      </w:r>
      <w:r w:rsidR="00873396">
        <w:rPr>
          <w:rFonts w:ascii="Garamond" w:hAnsi="Garamond" w:cs="Futura"/>
          <w:sz w:val="24"/>
        </w:rPr>
        <w:t>remarks</w:t>
      </w:r>
      <w:r w:rsidR="003B398D">
        <w:rPr>
          <w:rFonts w:ascii="Garamond" w:hAnsi="Garamond" w:cs="Futura"/>
          <w:sz w:val="24"/>
        </w:rPr>
        <w:t xml:space="preserve"> </w:t>
      </w:r>
      <w:r w:rsidR="009C7427">
        <w:rPr>
          <w:rFonts w:ascii="Garamond" w:hAnsi="Garamond" w:cs="Futura"/>
          <w:sz w:val="24"/>
        </w:rPr>
        <w:t xml:space="preserve">about major change </w:t>
      </w:r>
      <w:r w:rsidR="003B398D">
        <w:rPr>
          <w:rFonts w:ascii="Garamond" w:hAnsi="Garamond" w:cs="Futura"/>
          <w:sz w:val="24"/>
        </w:rPr>
        <w:t xml:space="preserve">are embedded in </w:t>
      </w:r>
      <w:r w:rsidR="00873396">
        <w:rPr>
          <w:rFonts w:ascii="Garamond" w:hAnsi="Garamond" w:cs="Futura"/>
          <w:sz w:val="24"/>
        </w:rPr>
        <w:t>the</w:t>
      </w:r>
      <w:r w:rsidR="003B398D">
        <w:rPr>
          <w:rFonts w:ascii="Garamond" w:hAnsi="Garamond" w:cs="Futura"/>
          <w:sz w:val="24"/>
        </w:rPr>
        <w:t xml:space="preserve"> discussion of source</w:t>
      </w:r>
      <w:r w:rsidR="00873396">
        <w:rPr>
          <w:rFonts w:ascii="Garamond" w:hAnsi="Garamond" w:cs="Futura"/>
          <w:sz w:val="24"/>
        </w:rPr>
        <w:t>s</w:t>
      </w:r>
      <w:r w:rsidR="003B398D">
        <w:rPr>
          <w:rFonts w:ascii="Garamond" w:hAnsi="Garamond" w:cs="Futura"/>
          <w:sz w:val="24"/>
        </w:rPr>
        <w:t xml:space="preserve">, </w:t>
      </w:r>
      <w:r w:rsidR="00A5656F">
        <w:rPr>
          <w:rFonts w:ascii="Garamond" w:hAnsi="Garamond" w:cs="Futura"/>
          <w:sz w:val="24"/>
        </w:rPr>
        <w:t xml:space="preserve">but also that it is in the </w:t>
      </w:r>
      <w:r w:rsidR="00873396">
        <w:rPr>
          <w:rFonts w:ascii="Garamond" w:hAnsi="Garamond" w:cs="Futura"/>
          <w:sz w:val="24"/>
        </w:rPr>
        <w:t>discussion</w:t>
      </w:r>
      <w:r w:rsidR="00A5656F">
        <w:rPr>
          <w:rFonts w:ascii="Garamond" w:hAnsi="Garamond" w:cs="Futura"/>
          <w:sz w:val="24"/>
        </w:rPr>
        <w:t xml:space="preserve"> of sources that the majority is doing the heavy lifting – </w:t>
      </w:r>
      <w:r w:rsidR="00826181">
        <w:rPr>
          <w:rFonts w:ascii="Garamond" w:hAnsi="Garamond" w:cs="Futura"/>
          <w:sz w:val="24"/>
        </w:rPr>
        <w:t xml:space="preserve">before going on to </w:t>
      </w:r>
      <w:r w:rsidR="00DA201B" w:rsidRPr="00DA201B">
        <w:rPr>
          <w:rFonts w:ascii="Garamond" w:hAnsi="Garamond" w:cs="Futura"/>
          <w:i/>
          <w:sz w:val="24"/>
        </w:rPr>
        <w:t>present</w:t>
      </w:r>
      <w:r w:rsidR="00DA201B">
        <w:rPr>
          <w:rFonts w:ascii="Garamond" w:hAnsi="Garamond" w:cs="Futura"/>
          <w:sz w:val="24"/>
        </w:rPr>
        <w:t xml:space="preserve"> or summarise</w:t>
      </w:r>
      <w:r w:rsidR="00826181">
        <w:rPr>
          <w:rFonts w:ascii="Garamond" w:hAnsi="Garamond" w:cs="Futura"/>
          <w:sz w:val="24"/>
        </w:rPr>
        <w:t xml:space="preserve"> the implications in </w:t>
      </w:r>
      <w:r w:rsidR="000D59BB">
        <w:rPr>
          <w:rFonts w:ascii="Garamond" w:hAnsi="Garamond" w:cs="Futura"/>
          <w:sz w:val="24"/>
        </w:rPr>
        <w:t>the language of</w:t>
      </w:r>
      <w:r w:rsidR="00826181">
        <w:rPr>
          <w:rFonts w:ascii="Garamond" w:hAnsi="Garamond" w:cs="Futura"/>
          <w:sz w:val="24"/>
        </w:rPr>
        <w:t xml:space="preserve"> major</w:t>
      </w:r>
      <w:r w:rsidR="000D59BB">
        <w:rPr>
          <w:rFonts w:ascii="Garamond" w:hAnsi="Garamond" w:cs="Futura"/>
          <w:sz w:val="24"/>
        </w:rPr>
        <w:t>, fundamental or far-reaching</w:t>
      </w:r>
      <w:r w:rsidR="00826181">
        <w:rPr>
          <w:rFonts w:ascii="Garamond" w:hAnsi="Garamond" w:cs="Futura"/>
          <w:sz w:val="24"/>
        </w:rPr>
        <w:t xml:space="preserve"> change.</w:t>
      </w:r>
      <w:r w:rsidR="000D59BB">
        <w:rPr>
          <w:rStyle w:val="FootnoteReference"/>
          <w:rFonts w:ascii="Garamond" w:hAnsi="Garamond" w:cs="Futura"/>
          <w:sz w:val="24"/>
        </w:rPr>
        <w:footnoteReference w:id="91"/>
      </w:r>
      <w:r w:rsidR="00826181">
        <w:rPr>
          <w:rFonts w:ascii="Garamond" w:hAnsi="Garamond" w:cs="Futura"/>
          <w:sz w:val="24"/>
        </w:rPr>
        <w:t xml:space="preserve"> </w:t>
      </w:r>
      <w:r w:rsidR="00A5656F">
        <w:rPr>
          <w:rFonts w:ascii="Garamond" w:hAnsi="Garamond" w:cs="Futura"/>
          <w:sz w:val="24"/>
        </w:rPr>
        <w:t xml:space="preserve">This </w:t>
      </w:r>
      <w:r w:rsidR="00826181">
        <w:rPr>
          <w:rFonts w:ascii="Garamond" w:hAnsi="Garamond" w:cs="Futura"/>
          <w:sz w:val="24"/>
        </w:rPr>
        <w:t xml:space="preserve">is one permissible </w:t>
      </w:r>
      <w:r w:rsidR="003B398D">
        <w:rPr>
          <w:rFonts w:ascii="Garamond" w:hAnsi="Garamond" w:cs="Futura"/>
          <w:sz w:val="24"/>
        </w:rPr>
        <w:lastRenderedPageBreak/>
        <w:t>reading</w:t>
      </w:r>
      <w:r w:rsidR="00826181">
        <w:rPr>
          <w:rFonts w:ascii="Garamond" w:hAnsi="Garamond" w:cs="Futura"/>
          <w:sz w:val="24"/>
        </w:rPr>
        <w:t>, at least, and it</w:t>
      </w:r>
      <w:r w:rsidR="003B398D">
        <w:rPr>
          <w:rFonts w:ascii="Garamond" w:hAnsi="Garamond" w:cs="Futura"/>
          <w:sz w:val="24"/>
        </w:rPr>
        <w:t xml:space="preserve"> confines the majority’s grander statements to </w:t>
      </w:r>
      <w:r w:rsidR="00826181">
        <w:rPr>
          <w:rFonts w:ascii="Garamond" w:hAnsi="Garamond" w:cs="Futura"/>
          <w:sz w:val="24"/>
        </w:rPr>
        <w:t>the</w:t>
      </w:r>
      <w:r w:rsidR="003B398D">
        <w:rPr>
          <w:rFonts w:ascii="Garamond" w:hAnsi="Garamond" w:cs="Futura"/>
          <w:sz w:val="24"/>
        </w:rPr>
        <w:t xml:space="preserve"> particular context.</w:t>
      </w:r>
      <w:r w:rsidR="009C7427">
        <w:rPr>
          <w:rFonts w:ascii="Garamond" w:hAnsi="Garamond" w:cs="Futura"/>
          <w:sz w:val="24"/>
        </w:rPr>
        <w:t xml:space="preserve"> </w:t>
      </w:r>
      <w:r w:rsidR="00826181">
        <w:rPr>
          <w:rFonts w:ascii="Garamond" w:hAnsi="Garamond" w:cs="Futura"/>
          <w:sz w:val="24"/>
        </w:rPr>
        <w:t xml:space="preserve">Although </w:t>
      </w:r>
      <w:r w:rsidR="00205343">
        <w:rPr>
          <w:rFonts w:ascii="Garamond" w:hAnsi="Garamond" w:cs="Futura"/>
          <w:sz w:val="24"/>
        </w:rPr>
        <w:t>th</w:t>
      </w:r>
      <w:r w:rsidR="00873396">
        <w:rPr>
          <w:rFonts w:ascii="Garamond" w:hAnsi="Garamond" w:cs="Futura"/>
          <w:sz w:val="24"/>
        </w:rPr>
        <w:t>ose remarks</w:t>
      </w:r>
      <w:r w:rsidR="00826181">
        <w:rPr>
          <w:rFonts w:ascii="Garamond" w:hAnsi="Garamond" w:cs="Futura"/>
          <w:sz w:val="24"/>
        </w:rPr>
        <w:t xml:space="preserve"> are attention-grabbing, </w:t>
      </w:r>
      <w:r w:rsidR="000D59BB">
        <w:rPr>
          <w:rFonts w:ascii="Garamond" w:hAnsi="Garamond" w:cs="Futura"/>
          <w:sz w:val="24"/>
        </w:rPr>
        <w:t xml:space="preserve">this reading suggests that </w:t>
      </w:r>
      <w:r w:rsidR="00205343">
        <w:rPr>
          <w:rFonts w:ascii="Garamond" w:hAnsi="Garamond" w:cs="Futura"/>
          <w:sz w:val="24"/>
        </w:rPr>
        <w:t>they</w:t>
      </w:r>
      <w:r w:rsidR="002538D7">
        <w:rPr>
          <w:rFonts w:ascii="Garamond" w:hAnsi="Garamond" w:cs="Futura"/>
          <w:sz w:val="24"/>
        </w:rPr>
        <w:t xml:space="preserve"> </w:t>
      </w:r>
      <w:r w:rsidR="00826181">
        <w:rPr>
          <w:rFonts w:ascii="Garamond" w:hAnsi="Garamond" w:cs="Futura"/>
          <w:sz w:val="24"/>
        </w:rPr>
        <w:t xml:space="preserve">should not </w:t>
      </w:r>
      <w:r w:rsidR="002538D7">
        <w:rPr>
          <w:rFonts w:ascii="Garamond" w:hAnsi="Garamond" w:cs="Futura"/>
          <w:sz w:val="24"/>
        </w:rPr>
        <w:t>be</w:t>
      </w:r>
      <w:r w:rsidR="00826181">
        <w:rPr>
          <w:rFonts w:ascii="Garamond" w:hAnsi="Garamond" w:cs="Futura"/>
          <w:sz w:val="24"/>
        </w:rPr>
        <w:t xml:space="preserve"> </w:t>
      </w:r>
      <w:r w:rsidR="000D59BB">
        <w:rPr>
          <w:rFonts w:ascii="Garamond" w:hAnsi="Garamond" w:cs="Futura"/>
          <w:sz w:val="24"/>
        </w:rPr>
        <w:t>exaggerated</w:t>
      </w:r>
      <w:r w:rsidR="00826181">
        <w:rPr>
          <w:rFonts w:ascii="Garamond" w:hAnsi="Garamond" w:cs="Futura"/>
          <w:sz w:val="24"/>
        </w:rPr>
        <w:t>.</w:t>
      </w:r>
    </w:p>
    <w:p w14:paraId="39C4BA2B" w14:textId="133DC6D9" w:rsidR="00323966" w:rsidRDefault="00F30677" w:rsidP="00C74E33">
      <w:pPr>
        <w:ind w:firstLine="624"/>
        <w:contextualSpacing/>
        <w:rPr>
          <w:rFonts w:ascii="Garamond" w:hAnsi="Garamond" w:cs="Futura"/>
          <w:sz w:val="24"/>
          <w:szCs w:val="24"/>
        </w:rPr>
      </w:pPr>
      <w:r>
        <w:rPr>
          <w:rFonts w:ascii="Garamond" w:hAnsi="Garamond" w:cs="Futura"/>
          <w:sz w:val="24"/>
        </w:rPr>
        <w:t xml:space="preserve">Another reason not to </w:t>
      </w:r>
      <w:r w:rsidR="00357B4A">
        <w:rPr>
          <w:rFonts w:ascii="Garamond" w:hAnsi="Garamond" w:cs="Futura"/>
          <w:sz w:val="24"/>
        </w:rPr>
        <w:t>make too much</w:t>
      </w:r>
      <w:r w:rsidR="005B422D">
        <w:rPr>
          <w:rFonts w:ascii="Garamond" w:hAnsi="Garamond" w:cs="Futura"/>
          <w:sz w:val="24"/>
        </w:rPr>
        <w:t xml:space="preserve"> </w:t>
      </w:r>
      <w:r w:rsidR="00205343">
        <w:rPr>
          <w:rFonts w:ascii="Garamond" w:hAnsi="Garamond" w:cs="Futura"/>
          <w:sz w:val="24"/>
        </w:rPr>
        <w:t>of</w:t>
      </w:r>
      <w:r w:rsidR="005B422D">
        <w:rPr>
          <w:rFonts w:ascii="Garamond" w:hAnsi="Garamond" w:cs="Futura"/>
          <w:sz w:val="24"/>
        </w:rPr>
        <w:t xml:space="preserve"> </w:t>
      </w:r>
      <w:r w:rsidR="00205343">
        <w:rPr>
          <w:rFonts w:ascii="Garamond" w:hAnsi="Garamond" w:cs="Futura"/>
          <w:sz w:val="24"/>
        </w:rPr>
        <w:t>the majority’s</w:t>
      </w:r>
      <w:r w:rsidR="005B422D">
        <w:rPr>
          <w:rFonts w:ascii="Garamond" w:hAnsi="Garamond" w:cs="Futura"/>
          <w:sz w:val="24"/>
        </w:rPr>
        <w:t xml:space="preserve"> remarks about major change is that </w:t>
      </w:r>
      <w:r w:rsidR="008C3327">
        <w:rPr>
          <w:rFonts w:ascii="Garamond" w:hAnsi="Garamond" w:cs="Futura"/>
          <w:sz w:val="24"/>
        </w:rPr>
        <w:t xml:space="preserve">it would </w:t>
      </w:r>
      <w:r w:rsidR="00357B4A">
        <w:rPr>
          <w:rFonts w:ascii="Garamond" w:hAnsi="Garamond" w:cs="Futura"/>
          <w:sz w:val="24"/>
        </w:rPr>
        <w:t>risk</w:t>
      </w:r>
      <w:r w:rsidR="00DA201B">
        <w:rPr>
          <w:rFonts w:ascii="Garamond" w:hAnsi="Garamond" w:cs="Futura"/>
          <w:sz w:val="24"/>
        </w:rPr>
        <w:t xml:space="preserve"> reproduc</w:t>
      </w:r>
      <w:r w:rsidR="00357B4A">
        <w:rPr>
          <w:rFonts w:ascii="Garamond" w:hAnsi="Garamond" w:cs="Futura"/>
          <w:sz w:val="24"/>
        </w:rPr>
        <w:t>ing</w:t>
      </w:r>
      <w:r w:rsidR="008C3327">
        <w:rPr>
          <w:rFonts w:ascii="Garamond" w:hAnsi="Garamond" w:cs="Futura"/>
          <w:sz w:val="24"/>
        </w:rPr>
        <w:t xml:space="preserve"> </w:t>
      </w:r>
      <w:r w:rsidR="00205343">
        <w:rPr>
          <w:rFonts w:ascii="Garamond" w:hAnsi="Garamond" w:cs="Futura"/>
          <w:sz w:val="24"/>
        </w:rPr>
        <w:t>a theoretical mistake that w</w:t>
      </w:r>
      <w:r w:rsidR="00873396">
        <w:rPr>
          <w:rFonts w:ascii="Garamond" w:hAnsi="Garamond" w:cs="Futura"/>
          <w:sz w:val="24"/>
        </w:rPr>
        <w:t>as</w:t>
      </w:r>
      <w:r w:rsidR="00205343">
        <w:rPr>
          <w:rFonts w:ascii="Garamond" w:hAnsi="Garamond" w:cs="Futura"/>
          <w:sz w:val="24"/>
        </w:rPr>
        <w:t xml:space="preserve"> </w:t>
      </w:r>
      <w:r w:rsidR="00873396">
        <w:rPr>
          <w:rFonts w:ascii="Garamond" w:hAnsi="Garamond" w:cs="Futura"/>
          <w:sz w:val="24"/>
        </w:rPr>
        <w:t>considered</w:t>
      </w:r>
      <w:r w:rsidR="00205343">
        <w:rPr>
          <w:rFonts w:ascii="Garamond" w:hAnsi="Garamond" w:cs="Futura"/>
          <w:sz w:val="24"/>
        </w:rPr>
        <w:t xml:space="preserve"> earlier</w:t>
      </w:r>
      <w:r w:rsidR="008C3327">
        <w:rPr>
          <w:rFonts w:ascii="Garamond" w:hAnsi="Garamond" w:cs="Futura"/>
          <w:sz w:val="24"/>
        </w:rPr>
        <w:t>.</w:t>
      </w:r>
      <w:r w:rsidR="00DA201B">
        <w:rPr>
          <w:rFonts w:ascii="Garamond" w:hAnsi="Garamond" w:cs="Futura"/>
          <w:sz w:val="24"/>
        </w:rPr>
        <w:t xml:space="preserve"> </w:t>
      </w:r>
      <w:r w:rsidR="00873396">
        <w:rPr>
          <w:rFonts w:ascii="Garamond" w:hAnsi="Garamond" w:cs="Futura"/>
          <w:sz w:val="24"/>
        </w:rPr>
        <w:t>As we know, it</w:t>
      </w:r>
      <w:r w:rsidR="00357B4A">
        <w:rPr>
          <w:rFonts w:ascii="Garamond" w:hAnsi="Garamond" w:cs="Futura"/>
          <w:sz w:val="24"/>
        </w:rPr>
        <w:t xml:space="preserve"> is possible </w:t>
      </w:r>
      <w:r w:rsidR="00773117">
        <w:rPr>
          <w:rFonts w:ascii="Garamond" w:hAnsi="Garamond" w:cs="Futura"/>
          <w:sz w:val="24"/>
          <w:szCs w:val="24"/>
        </w:rPr>
        <w:t xml:space="preserve">that prerogative action on the international plane could be a </w:t>
      </w:r>
      <w:r w:rsidR="00773117" w:rsidRPr="00AB2C6C">
        <w:rPr>
          <w:rFonts w:ascii="Garamond" w:hAnsi="Garamond" w:cs="Futura"/>
          <w:i/>
          <w:sz w:val="24"/>
          <w:szCs w:val="24"/>
        </w:rPr>
        <w:t>cause</w:t>
      </w:r>
      <w:r w:rsidR="00773117">
        <w:rPr>
          <w:rFonts w:ascii="Garamond" w:hAnsi="Garamond" w:cs="Futura"/>
          <w:sz w:val="24"/>
          <w:szCs w:val="24"/>
        </w:rPr>
        <w:t xml:space="preserve"> of changes in the UK legal system at the level of the (ultimate) rule of recognition</w:t>
      </w:r>
      <w:r w:rsidR="00AB2C6C">
        <w:rPr>
          <w:rFonts w:ascii="Garamond" w:hAnsi="Garamond" w:cs="Futura"/>
          <w:sz w:val="24"/>
          <w:szCs w:val="24"/>
        </w:rPr>
        <w:t xml:space="preserve">, in the sense that it could cause or trigger eventual changes in the </w:t>
      </w:r>
      <w:r w:rsidR="00C56C0B">
        <w:rPr>
          <w:rFonts w:ascii="Garamond" w:hAnsi="Garamond" w:cs="Futura"/>
          <w:sz w:val="24"/>
          <w:szCs w:val="24"/>
        </w:rPr>
        <w:t>official custom on which the (ultimate) rule of recognition depends</w:t>
      </w:r>
      <w:r w:rsidR="00773117">
        <w:rPr>
          <w:rFonts w:ascii="Garamond" w:hAnsi="Garamond" w:cs="Futura"/>
          <w:sz w:val="24"/>
          <w:szCs w:val="24"/>
        </w:rPr>
        <w:t xml:space="preserve">. </w:t>
      </w:r>
      <w:r w:rsidR="00357B4A">
        <w:rPr>
          <w:rFonts w:ascii="Garamond" w:hAnsi="Garamond" w:cs="Futura"/>
          <w:sz w:val="24"/>
          <w:szCs w:val="24"/>
        </w:rPr>
        <w:t>This would,</w:t>
      </w:r>
      <w:r w:rsidR="00873396">
        <w:rPr>
          <w:rFonts w:ascii="Garamond" w:hAnsi="Garamond" w:cs="Futura"/>
          <w:sz w:val="24"/>
          <w:szCs w:val="24"/>
        </w:rPr>
        <w:t xml:space="preserve"> in a sense, be to bring about </w:t>
      </w:r>
      <w:r w:rsidR="00357B4A">
        <w:rPr>
          <w:rFonts w:ascii="Garamond" w:hAnsi="Garamond" w:cs="Futura"/>
          <w:sz w:val="24"/>
          <w:szCs w:val="24"/>
        </w:rPr>
        <w:t xml:space="preserve">a </w:t>
      </w:r>
      <w:r w:rsidR="00873396">
        <w:rPr>
          <w:rFonts w:ascii="Garamond" w:hAnsi="Garamond" w:cs="Futura"/>
          <w:sz w:val="24"/>
          <w:szCs w:val="24"/>
        </w:rPr>
        <w:t>“</w:t>
      </w:r>
      <w:r w:rsidR="00357B4A" w:rsidRPr="00873396">
        <w:rPr>
          <w:rFonts w:ascii="Garamond" w:hAnsi="Garamond" w:cs="Futura"/>
          <w:sz w:val="24"/>
          <w:szCs w:val="24"/>
        </w:rPr>
        <w:t>fundamental change</w:t>
      </w:r>
      <w:r w:rsidR="00873396">
        <w:rPr>
          <w:rFonts w:ascii="Garamond" w:hAnsi="Garamond" w:cs="Futura"/>
          <w:sz w:val="24"/>
          <w:szCs w:val="24"/>
        </w:rPr>
        <w:t>”</w:t>
      </w:r>
      <w:r w:rsidR="00357B4A">
        <w:rPr>
          <w:rFonts w:ascii="Garamond" w:hAnsi="Garamond" w:cs="Futura"/>
          <w:sz w:val="24"/>
          <w:szCs w:val="24"/>
        </w:rPr>
        <w:t xml:space="preserve"> </w:t>
      </w:r>
      <w:r w:rsidR="00FE68E3">
        <w:rPr>
          <w:rFonts w:ascii="Garamond" w:hAnsi="Garamond" w:cs="Futura"/>
          <w:sz w:val="24"/>
          <w:szCs w:val="24"/>
        </w:rPr>
        <w:t>to</w:t>
      </w:r>
      <w:r w:rsidR="00873396">
        <w:rPr>
          <w:rFonts w:ascii="Garamond" w:hAnsi="Garamond" w:cs="Futura"/>
          <w:sz w:val="24"/>
          <w:szCs w:val="24"/>
        </w:rPr>
        <w:t xml:space="preserve"> the legal system</w:t>
      </w:r>
      <w:r w:rsidR="00357B4A">
        <w:rPr>
          <w:rFonts w:ascii="Garamond" w:hAnsi="Garamond" w:cs="Futura"/>
          <w:sz w:val="24"/>
          <w:szCs w:val="24"/>
        </w:rPr>
        <w:t>.</w:t>
      </w:r>
      <w:r w:rsidR="00357B4A">
        <w:rPr>
          <w:rStyle w:val="FootnoteReference"/>
          <w:rFonts w:ascii="Garamond" w:hAnsi="Garamond" w:cs="Futura"/>
          <w:sz w:val="24"/>
          <w:szCs w:val="24"/>
        </w:rPr>
        <w:footnoteReference w:id="92"/>
      </w:r>
      <w:r w:rsidR="00C56C0B">
        <w:rPr>
          <w:rFonts w:ascii="Garamond" w:hAnsi="Garamond" w:cs="Futura"/>
          <w:sz w:val="24"/>
          <w:szCs w:val="24"/>
        </w:rPr>
        <w:t xml:space="preserve"> </w:t>
      </w:r>
      <w:r w:rsidR="00714B94">
        <w:rPr>
          <w:rFonts w:ascii="Garamond" w:hAnsi="Garamond" w:cs="Futura"/>
          <w:sz w:val="24"/>
          <w:szCs w:val="24"/>
        </w:rPr>
        <w:t>But i</w:t>
      </w:r>
      <w:r w:rsidR="00873396">
        <w:rPr>
          <w:rFonts w:ascii="Garamond" w:hAnsi="Garamond" w:cs="Futura"/>
          <w:sz w:val="24"/>
          <w:szCs w:val="24"/>
        </w:rPr>
        <w:t>t</w:t>
      </w:r>
      <w:r w:rsidR="00C56C0B">
        <w:rPr>
          <w:rFonts w:ascii="Garamond" w:hAnsi="Garamond" w:cs="Futura"/>
          <w:sz w:val="24"/>
          <w:szCs w:val="24"/>
        </w:rPr>
        <w:t xml:space="preserve"> would be </w:t>
      </w:r>
      <w:r w:rsidR="00873396">
        <w:rPr>
          <w:rFonts w:ascii="Garamond" w:hAnsi="Garamond" w:cs="Futura"/>
          <w:sz w:val="24"/>
          <w:szCs w:val="24"/>
        </w:rPr>
        <w:t>unreasonable</w:t>
      </w:r>
      <w:r w:rsidR="00C56C0B">
        <w:rPr>
          <w:rFonts w:ascii="Garamond" w:hAnsi="Garamond" w:cs="Futura"/>
          <w:sz w:val="24"/>
          <w:szCs w:val="24"/>
        </w:rPr>
        <w:t xml:space="preserve"> </w:t>
      </w:r>
      <w:r w:rsidR="00873396">
        <w:rPr>
          <w:rFonts w:ascii="Garamond" w:hAnsi="Garamond" w:cs="Futura"/>
          <w:sz w:val="24"/>
          <w:szCs w:val="24"/>
        </w:rPr>
        <w:t xml:space="preserve">to </w:t>
      </w:r>
      <w:r w:rsidR="00714B94">
        <w:rPr>
          <w:rFonts w:ascii="Garamond" w:hAnsi="Garamond" w:cs="Futura"/>
          <w:sz w:val="24"/>
          <w:szCs w:val="24"/>
        </w:rPr>
        <w:t xml:space="preserve">take </w:t>
      </w:r>
      <w:r w:rsidR="005C1F9E">
        <w:rPr>
          <w:rFonts w:ascii="Garamond" w:hAnsi="Garamond" w:cs="Futura"/>
          <w:sz w:val="24"/>
          <w:szCs w:val="24"/>
        </w:rPr>
        <w:t>the majority’s</w:t>
      </w:r>
      <w:r w:rsidR="00205343">
        <w:rPr>
          <w:rFonts w:ascii="Garamond" w:hAnsi="Garamond" w:cs="Futura"/>
          <w:sz w:val="24"/>
          <w:szCs w:val="24"/>
        </w:rPr>
        <w:t xml:space="preserve"> </w:t>
      </w:r>
      <w:r w:rsidR="00C56C0B">
        <w:rPr>
          <w:rFonts w:ascii="Garamond" w:hAnsi="Garamond" w:cs="Futura"/>
          <w:sz w:val="24"/>
          <w:szCs w:val="24"/>
        </w:rPr>
        <w:t>statement</w:t>
      </w:r>
      <w:r w:rsidR="00873396">
        <w:rPr>
          <w:rFonts w:ascii="Garamond" w:hAnsi="Garamond" w:cs="Futura"/>
          <w:sz w:val="24"/>
          <w:szCs w:val="24"/>
        </w:rPr>
        <w:t>s</w:t>
      </w:r>
      <w:r w:rsidR="00C56C0B">
        <w:rPr>
          <w:rFonts w:ascii="Garamond" w:hAnsi="Garamond" w:cs="Futura"/>
          <w:sz w:val="24"/>
          <w:szCs w:val="24"/>
        </w:rPr>
        <w:t xml:space="preserve"> as </w:t>
      </w:r>
      <w:r w:rsidR="00873396">
        <w:rPr>
          <w:rFonts w:ascii="Garamond" w:hAnsi="Garamond" w:cs="Futura"/>
          <w:sz w:val="24"/>
          <w:szCs w:val="24"/>
        </w:rPr>
        <w:t xml:space="preserve">setting out </w:t>
      </w:r>
      <w:r w:rsidR="00C56C0B">
        <w:rPr>
          <w:rFonts w:ascii="Garamond" w:hAnsi="Garamond" w:cs="Futura"/>
          <w:sz w:val="24"/>
          <w:szCs w:val="24"/>
        </w:rPr>
        <w:t xml:space="preserve">an independent </w:t>
      </w:r>
      <w:r w:rsidR="00873396">
        <w:rPr>
          <w:rFonts w:ascii="Garamond" w:hAnsi="Garamond" w:cs="Futura"/>
          <w:sz w:val="24"/>
          <w:szCs w:val="24"/>
        </w:rPr>
        <w:t>ground</w:t>
      </w:r>
      <w:r w:rsidR="00C56C0B">
        <w:rPr>
          <w:rFonts w:ascii="Garamond" w:hAnsi="Garamond" w:cs="Futura"/>
          <w:sz w:val="24"/>
          <w:szCs w:val="24"/>
        </w:rPr>
        <w:t xml:space="preserve"> as to </w:t>
      </w:r>
      <w:r w:rsidR="00873396">
        <w:rPr>
          <w:rFonts w:ascii="Garamond" w:hAnsi="Garamond" w:cs="Futura"/>
          <w:sz w:val="24"/>
          <w:szCs w:val="24"/>
        </w:rPr>
        <w:t>when</w:t>
      </w:r>
      <w:r w:rsidR="00C56C0B">
        <w:rPr>
          <w:rFonts w:ascii="Garamond" w:hAnsi="Garamond" w:cs="Futura"/>
          <w:sz w:val="24"/>
          <w:szCs w:val="24"/>
        </w:rPr>
        <w:t xml:space="preserve"> prerogative action is impermissible</w:t>
      </w:r>
      <w:r w:rsidR="00873396">
        <w:rPr>
          <w:rFonts w:ascii="Garamond" w:hAnsi="Garamond" w:cs="Futura"/>
          <w:sz w:val="24"/>
          <w:szCs w:val="24"/>
        </w:rPr>
        <w:t>. For s</w:t>
      </w:r>
      <w:r w:rsidR="00AA3F53">
        <w:rPr>
          <w:rFonts w:ascii="Garamond" w:hAnsi="Garamond" w:cs="Futura"/>
          <w:sz w:val="24"/>
          <w:szCs w:val="24"/>
        </w:rPr>
        <w:t xml:space="preserve">uch a reading would itself make </w:t>
      </w:r>
      <w:r w:rsidR="009E1ED0">
        <w:rPr>
          <w:rFonts w:ascii="Garamond" w:hAnsi="Garamond" w:cs="Futura"/>
          <w:sz w:val="24"/>
          <w:szCs w:val="24"/>
        </w:rPr>
        <w:t>the</w:t>
      </w:r>
      <w:r w:rsidR="00AA3F53">
        <w:rPr>
          <w:rFonts w:ascii="Garamond" w:hAnsi="Garamond" w:cs="Futura"/>
          <w:sz w:val="24"/>
          <w:szCs w:val="24"/>
        </w:rPr>
        <w:t xml:space="preserve"> theoretical mistake of assuming that </w:t>
      </w:r>
      <w:r w:rsidR="00C56C0B">
        <w:rPr>
          <w:rFonts w:ascii="Garamond" w:hAnsi="Garamond" w:cs="Futura"/>
          <w:sz w:val="24"/>
          <w:szCs w:val="24"/>
        </w:rPr>
        <w:t xml:space="preserve">changes in the (ultimate) rule of recognition </w:t>
      </w:r>
      <w:r w:rsidR="002B3A51">
        <w:rPr>
          <w:rFonts w:ascii="Garamond" w:hAnsi="Garamond" w:cs="Futura"/>
          <w:sz w:val="24"/>
          <w:szCs w:val="24"/>
        </w:rPr>
        <w:t>may not</w:t>
      </w:r>
      <w:r w:rsidR="00AA3F53">
        <w:rPr>
          <w:rFonts w:ascii="Garamond" w:hAnsi="Garamond" w:cs="Futura"/>
          <w:sz w:val="24"/>
          <w:szCs w:val="24"/>
        </w:rPr>
        <w:t xml:space="preserve"> </w:t>
      </w:r>
      <w:r w:rsidR="002B3A51">
        <w:rPr>
          <w:rFonts w:ascii="Garamond" w:hAnsi="Garamond" w:cs="Futura"/>
          <w:sz w:val="24"/>
          <w:szCs w:val="24"/>
        </w:rPr>
        <w:t>have as a</w:t>
      </w:r>
      <w:r w:rsidR="009E1ED0">
        <w:rPr>
          <w:rFonts w:ascii="Garamond" w:hAnsi="Garamond" w:cs="Futura"/>
          <w:sz w:val="24"/>
          <w:szCs w:val="24"/>
        </w:rPr>
        <w:t>n initial</w:t>
      </w:r>
      <w:r w:rsidR="002B3A51">
        <w:rPr>
          <w:rFonts w:ascii="Garamond" w:hAnsi="Garamond" w:cs="Futura"/>
          <w:sz w:val="24"/>
          <w:szCs w:val="24"/>
        </w:rPr>
        <w:t xml:space="preserve"> cause or trigger</w:t>
      </w:r>
      <w:r w:rsidR="00C56C0B">
        <w:rPr>
          <w:rFonts w:ascii="Garamond" w:hAnsi="Garamond" w:cs="Futura"/>
          <w:sz w:val="24"/>
          <w:szCs w:val="24"/>
        </w:rPr>
        <w:t xml:space="preserve"> prerogative action.</w:t>
      </w:r>
      <w:r w:rsidR="00C56C0B">
        <w:rPr>
          <w:rStyle w:val="FootnoteReference"/>
          <w:rFonts w:ascii="Garamond" w:hAnsi="Garamond" w:cs="Futura"/>
          <w:sz w:val="24"/>
          <w:szCs w:val="24"/>
        </w:rPr>
        <w:footnoteReference w:id="93"/>
      </w:r>
    </w:p>
    <w:p w14:paraId="2EB9F624" w14:textId="77777777" w:rsidR="00323966" w:rsidRDefault="00323966" w:rsidP="00B74D85">
      <w:pPr>
        <w:contextualSpacing/>
        <w:rPr>
          <w:rFonts w:ascii="Garamond" w:hAnsi="Garamond" w:cs="Futura"/>
          <w:sz w:val="24"/>
          <w:szCs w:val="24"/>
        </w:rPr>
      </w:pPr>
    </w:p>
    <w:p w14:paraId="3F239CE8" w14:textId="2D26258D" w:rsidR="00B74D85" w:rsidRPr="00B74D85" w:rsidRDefault="00C71F59" w:rsidP="00B74D85">
      <w:pPr>
        <w:contextualSpacing/>
        <w:jc w:val="center"/>
        <w:rPr>
          <w:rFonts w:ascii="Garamond" w:hAnsi="Garamond" w:cs="Futura"/>
          <w:b/>
          <w:sz w:val="24"/>
        </w:rPr>
      </w:pPr>
      <w:r>
        <w:rPr>
          <w:rFonts w:ascii="Garamond" w:hAnsi="Garamond" w:cs="Futura"/>
          <w:b/>
          <w:sz w:val="24"/>
          <w:szCs w:val="24"/>
        </w:rPr>
        <w:t>I</w:t>
      </w:r>
      <w:r w:rsidR="00EF06A8">
        <w:rPr>
          <w:rFonts w:ascii="Garamond" w:hAnsi="Garamond" w:cs="Futura"/>
          <w:b/>
          <w:sz w:val="24"/>
          <w:szCs w:val="24"/>
        </w:rPr>
        <w:t xml:space="preserve">V. </w:t>
      </w:r>
      <w:r w:rsidR="00B74D85" w:rsidRPr="00B74D85">
        <w:rPr>
          <w:rFonts w:ascii="Garamond" w:hAnsi="Garamond" w:cs="Futura"/>
          <w:b/>
          <w:sz w:val="24"/>
          <w:szCs w:val="24"/>
        </w:rPr>
        <w:t>Proposals</w:t>
      </w:r>
    </w:p>
    <w:p w14:paraId="54CA5ECF" w14:textId="63F2BAD8" w:rsidR="00E82356" w:rsidRDefault="00E82356" w:rsidP="00DF56D7">
      <w:pPr>
        <w:contextualSpacing/>
        <w:rPr>
          <w:rFonts w:ascii="Garamond" w:hAnsi="Garamond" w:cs="Futura"/>
          <w:sz w:val="24"/>
          <w:szCs w:val="24"/>
        </w:rPr>
      </w:pPr>
    </w:p>
    <w:p w14:paraId="71073A69" w14:textId="47C7752B" w:rsidR="003A2763" w:rsidRDefault="00D647BE" w:rsidP="00DF56D7">
      <w:pPr>
        <w:contextualSpacing/>
        <w:rPr>
          <w:rFonts w:ascii="Garamond" w:hAnsi="Garamond" w:cs="Futura"/>
          <w:sz w:val="24"/>
          <w:szCs w:val="24"/>
        </w:rPr>
      </w:pPr>
      <w:r>
        <w:rPr>
          <w:rFonts w:ascii="Garamond" w:hAnsi="Garamond" w:cs="Futura"/>
          <w:sz w:val="24"/>
          <w:szCs w:val="24"/>
        </w:rPr>
        <w:t xml:space="preserve">We lack </w:t>
      </w:r>
      <w:r w:rsidR="00E619B9">
        <w:rPr>
          <w:rFonts w:ascii="Garamond" w:hAnsi="Garamond" w:cs="Futura"/>
          <w:sz w:val="24"/>
          <w:szCs w:val="24"/>
        </w:rPr>
        <w:t xml:space="preserve">a degree of </w:t>
      </w:r>
      <w:r>
        <w:rPr>
          <w:rFonts w:ascii="Garamond" w:hAnsi="Garamond" w:cs="Futura"/>
          <w:sz w:val="24"/>
          <w:szCs w:val="24"/>
        </w:rPr>
        <w:t>clarity about</w:t>
      </w:r>
      <w:r w:rsidR="00E619B9">
        <w:rPr>
          <w:rFonts w:ascii="Garamond" w:hAnsi="Garamond" w:cs="Futura"/>
          <w:sz w:val="24"/>
          <w:szCs w:val="24"/>
        </w:rPr>
        <w:t xml:space="preserve"> </w:t>
      </w:r>
      <w:r w:rsidR="00C068B1" w:rsidRPr="00970BDC">
        <w:rPr>
          <w:rFonts w:ascii="Garamond" w:hAnsi="Garamond" w:cs="Futura"/>
          <w:i/>
          <w:sz w:val="24"/>
          <w:szCs w:val="24"/>
        </w:rPr>
        <w:t>Miller</w:t>
      </w:r>
      <w:r>
        <w:rPr>
          <w:rFonts w:ascii="Garamond" w:hAnsi="Garamond" w:cs="Futura"/>
          <w:sz w:val="24"/>
          <w:szCs w:val="24"/>
        </w:rPr>
        <w:t>’s implication</w:t>
      </w:r>
      <w:r w:rsidR="00E619B9">
        <w:rPr>
          <w:rFonts w:ascii="Garamond" w:hAnsi="Garamond" w:cs="Futura"/>
          <w:sz w:val="24"/>
          <w:szCs w:val="24"/>
        </w:rPr>
        <w:t>s</w:t>
      </w:r>
      <w:r w:rsidR="00905994">
        <w:rPr>
          <w:rFonts w:ascii="Garamond" w:hAnsi="Garamond" w:cs="Futura"/>
          <w:sz w:val="24"/>
          <w:szCs w:val="24"/>
        </w:rPr>
        <w:t xml:space="preserve"> for other treaty-based sources</w:t>
      </w:r>
      <w:r w:rsidR="00970BDC">
        <w:rPr>
          <w:rFonts w:ascii="Garamond" w:hAnsi="Garamond" w:cs="Futura"/>
          <w:sz w:val="24"/>
          <w:szCs w:val="24"/>
        </w:rPr>
        <w:t>. But I a</w:t>
      </w:r>
      <w:r w:rsidR="00BA575A">
        <w:rPr>
          <w:rFonts w:ascii="Garamond" w:hAnsi="Garamond" w:cs="Futura"/>
          <w:sz w:val="24"/>
          <w:szCs w:val="24"/>
        </w:rPr>
        <w:t>m</w:t>
      </w:r>
      <w:r w:rsidR="00B8346D">
        <w:rPr>
          <w:rFonts w:ascii="Garamond" w:hAnsi="Garamond" w:cs="Futura"/>
          <w:sz w:val="24"/>
          <w:szCs w:val="24"/>
        </w:rPr>
        <w:t xml:space="preserve"> also</w:t>
      </w:r>
      <w:r w:rsidR="00BA575A">
        <w:rPr>
          <w:rFonts w:ascii="Garamond" w:hAnsi="Garamond" w:cs="Futura"/>
          <w:sz w:val="24"/>
          <w:szCs w:val="24"/>
        </w:rPr>
        <w:t xml:space="preserve"> reminded that </w:t>
      </w:r>
      <w:r w:rsidR="00E95E8A">
        <w:rPr>
          <w:rFonts w:ascii="Garamond" w:hAnsi="Garamond" w:cs="Futura"/>
          <w:sz w:val="24"/>
          <w:szCs w:val="24"/>
        </w:rPr>
        <w:t>statement</w:t>
      </w:r>
      <w:r w:rsidR="00FD732E">
        <w:rPr>
          <w:rFonts w:ascii="Garamond" w:hAnsi="Garamond" w:cs="Futura"/>
          <w:sz w:val="24"/>
          <w:szCs w:val="24"/>
        </w:rPr>
        <w:t>s of this sort</w:t>
      </w:r>
      <w:r w:rsidR="00E95E8A">
        <w:rPr>
          <w:rFonts w:ascii="Garamond" w:hAnsi="Garamond" w:cs="Futura"/>
          <w:sz w:val="24"/>
          <w:szCs w:val="24"/>
        </w:rPr>
        <w:t xml:space="preserve"> – “things are unclear”</w:t>
      </w:r>
      <w:r w:rsidR="008B08A5">
        <w:rPr>
          <w:rFonts w:ascii="Garamond" w:hAnsi="Garamond" w:cs="Futura"/>
          <w:sz w:val="24"/>
          <w:szCs w:val="24"/>
        </w:rPr>
        <w:t xml:space="preserve"> </w:t>
      </w:r>
      <w:r w:rsidR="00E95E8A">
        <w:rPr>
          <w:rFonts w:ascii="Garamond" w:hAnsi="Garamond" w:cs="Futura"/>
          <w:sz w:val="24"/>
          <w:szCs w:val="24"/>
        </w:rPr>
        <w:t>–</w:t>
      </w:r>
      <w:r w:rsidR="000E078A">
        <w:rPr>
          <w:rFonts w:ascii="Garamond" w:hAnsi="Garamond" w:cs="Futura"/>
          <w:sz w:val="24"/>
          <w:szCs w:val="24"/>
        </w:rPr>
        <w:t xml:space="preserve"> </w:t>
      </w:r>
      <w:r w:rsidR="00450110">
        <w:rPr>
          <w:rFonts w:ascii="Garamond" w:hAnsi="Garamond" w:cs="Futura"/>
          <w:sz w:val="24"/>
          <w:szCs w:val="24"/>
        </w:rPr>
        <w:t>may not be</w:t>
      </w:r>
      <w:r w:rsidR="00FD732E">
        <w:rPr>
          <w:rFonts w:ascii="Garamond" w:hAnsi="Garamond" w:cs="Futura"/>
          <w:sz w:val="24"/>
          <w:szCs w:val="24"/>
        </w:rPr>
        <w:t xml:space="preserve"> </w:t>
      </w:r>
      <w:r w:rsidR="000E078A">
        <w:rPr>
          <w:rFonts w:ascii="Garamond" w:hAnsi="Garamond" w:cs="Futura"/>
          <w:sz w:val="24"/>
          <w:szCs w:val="24"/>
        </w:rPr>
        <w:t xml:space="preserve">the most impressive </w:t>
      </w:r>
      <w:r w:rsidR="00450110">
        <w:rPr>
          <w:rFonts w:ascii="Garamond" w:hAnsi="Garamond" w:cs="Futura"/>
          <w:sz w:val="24"/>
          <w:szCs w:val="24"/>
        </w:rPr>
        <w:t>conclusion to</w:t>
      </w:r>
      <w:r w:rsidR="00234867">
        <w:rPr>
          <w:rFonts w:ascii="Garamond" w:hAnsi="Garamond" w:cs="Futura"/>
          <w:sz w:val="24"/>
          <w:szCs w:val="24"/>
        </w:rPr>
        <w:t xml:space="preserve"> an</w:t>
      </w:r>
      <w:r w:rsidR="00CA66E2">
        <w:rPr>
          <w:rFonts w:ascii="Garamond" w:hAnsi="Garamond" w:cs="Futura"/>
          <w:sz w:val="24"/>
          <w:szCs w:val="24"/>
        </w:rPr>
        <w:t xml:space="preserve"> </w:t>
      </w:r>
      <w:r w:rsidR="00970BDC">
        <w:rPr>
          <w:rFonts w:ascii="Garamond" w:hAnsi="Garamond" w:cs="Futura"/>
          <w:sz w:val="24"/>
          <w:szCs w:val="24"/>
        </w:rPr>
        <w:t>argument.</w:t>
      </w:r>
      <w:r w:rsidR="00970BDC">
        <w:rPr>
          <w:rStyle w:val="FootnoteReference"/>
          <w:rFonts w:ascii="Garamond" w:hAnsi="Garamond" w:cs="Futura"/>
          <w:sz w:val="24"/>
          <w:szCs w:val="24"/>
        </w:rPr>
        <w:footnoteReference w:id="94"/>
      </w:r>
      <w:r w:rsidR="00970BDC">
        <w:rPr>
          <w:rFonts w:ascii="Garamond" w:hAnsi="Garamond" w:cs="Futura"/>
          <w:sz w:val="24"/>
          <w:szCs w:val="24"/>
        </w:rPr>
        <w:t xml:space="preserve"> </w:t>
      </w:r>
      <w:r w:rsidR="00E619B9">
        <w:rPr>
          <w:rFonts w:ascii="Garamond" w:hAnsi="Garamond" w:cs="Futura"/>
          <w:sz w:val="24"/>
          <w:szCs w:val="24"/>
        </w:rPr>
        <w:t>Are there any</w:t>
      </w:r>
      <w:r w:rsidR="008C64B7">
        <w:rPr>
          <w:rFonts w:ascii="Garamond" w:hAnsi="Garamond" w:cs="Futura"/>
          <w:sz w:val="24"/>
          <w:szCs w:val="24"/>
        </w:rPr>
        <w:t xml:space="preserve"> </w:t>
      </w:r>
      <w:r w:rsidR="00D13798">
        <w:rPr>
          <w:rFonts w:ascii="Garamond" w:hAnsi="Garamond" w:cs="Futura"/>
          <w:sz w:val="24"/>
          <w:szCs w:val="24"/>
        </w:rPr>
        <w:t>practical</w:t>
      </w:r>
      <w:r w:rsidR="00B74D85">
        <w:rPr>
          <w:rFonts w:ascii="Garamond" w:hAnsi="Garamond" w:cs="Futura"/>
          <w:sz w:val="24"/>
          <w:szCs w:val="24"/>
        </w:rPr>
        <w:t xml:space="preserve"> </w:t>
      </w:r>
      <w:r w:rsidR="00234867">
        <w:rPr>
          <w:rFonts w:ascii="Garamond" w:hAnsi="Garamond" w:cs="Futura"/>
          <w:sz w:val="24"/>
          <w:szCs w:val="24"/>
        </w:rPr>
        <w:t xml:space="preserve">solutions </w:t>
      </w:r>
      <w:r w:rsidR="00E619B9">
        <w:rPr>
          <w:rFonts w:ascii="Garamond" w:hAnsi="Garamond" w:cs="Futura"/>
          <w:sz w:val="24"/>
          <w:szCs w:val="24"/>
        </w:rPr>
        <w:t>available</w:t>
      </w:r>
      <w:r w:rsidR="00D13798">
        <w:rPr>
          <w:rFonts w:ascii="Garamond" w:hAnsi="Garamond" w:cs="Futura"/>
          <w:sz w:val="24"/>
          <w:szCs w:val="24"/>
        </w:rPr>
        <w:t>?</w:t>
      </w:r>
      <w:r w:rsidR="00B74D85">
        <w:rPr>
          <w:rFonts w:ascii="Garamond" w:hAnsi="Garamond" w:cs="Futura"/>
          <w:sz w:val="24"/>
          <w:szCs w:val="24"/>
        </w:rPr>
        <w:t xml:space="preserve"> </w:t>
      </w:r>
      <w:r w:rsidR="00D13798">
        <w:rPr>
          <w:rFonts w:ascii="Garamond" w:hAnsi="Garamond" w:cs="Futura"/>
          <w:sz w:val="24"/>
          <w:szCs w:val="24"/>
        </w:rPr>
        <w:t xml:space="preserve">I will </w:t>
      </w:r>
      <w:r w:rsidR="00B60172">
        <w:rPr>
          <w:rFonts w:ascii="Garamond" w:hAnsi="Garamond" w:cs="Futura"/>
          <w:sz w:val="24"/>
          <w:szCs w:val="24"/>
        </w:rPr>
        <w:t>suggest two</w:t>
      </w:r>
      <w:r w:rsidR="008C64B7">
        <w:rPr>
          <w:rFonts w:ascii="Garamond" w:hAnsi="Garamond" w:cs="Futura"/>
          <w:sz w:val="24"/>
          <w:szCs w:val="24"/>
        </w:rPr>
        <w:t xml:space="preserve"> </w:t>
      </w:r>
      <w:r w:rsidR="00B60172">
        <w:rPr>
          <w:rFonts w:ascii="Garamond" w:hAnsi="Garamond" w:cs="Futura"/>
          <w:sz w:val="24"/>
          <w:szCs w:val="24"/>
        </w:rPr>
        <w:t xml:space="preserve">– </w:t>
      </w:r>
      <w:r w:rsidR="003E1813">
        <w:rPr>
          <w:rFonts w:ascii="Garamond" w:hAnsi="Garamond" w:cs="Futura"/>
          <w:sz w:val="24"/>
          <w:szCs w:val="24"/>
        </w:rPr>
        <w:t xml:space="preserve">one </w:t>
      </w:r>
      <w:r w:rsidR="00B60172">
        <w:rPr>
          <w:rFonts w:ascii="Garamond" w:hAnsi="Garamond" w:cs="Futura"/>
          <w:sz w:val="24"/>
          <w:szCs w:val="24"/>
        </w:rPr>
        <w:t>judicial</w:t>
      </w:r>
      <w:r w:rsidR="003E1813">
        <w:rPr>
          <w:rFonts w:ascii="Garamond" w:hAnsi="Garamond" w:cs="Futura"/>
          <w:sz w:val="24"/>
          <w:szCs w:val="24"/>
        </w:rPr>
        <w:t>,</w:t>
      </w:r>
      <w:r w:rsidR="00B60172">
        <w:rPr>
          <w:rFonts w:ascii="Garamond" w:hAnsi="Garamond" w:cs="Futura"/>
          <w:sz w:val="24"/>
          <w:szCs w:val="24"/>
        </w:rPr>
        <w:t xml:space="preserve"> and </w:t>
      </w:r>
      <w:r w:rsidR="003E1813">
        <w:rPr>
          <w:rFonts w:ascii="Garamond" w:hAnsi="Garamond" w:cs="Futura"/>
          <w:sz w:val="24"/>
          <w:szCs w:val="24"/>
        </w:rPr>
        <w:t xml:space="preserve">the other </w:t>
      </w:r>
      <w:r w:rsidR="00B60172">
        <w:rPr>
          <w:rFonts w:ascii="Garamond" w:hAnsi="Garamond" w:cs="Futura"/>
          <w:sz w:val="24"/>
          <w:szCs w:val="24"/>
        </w:rPr>
        <w:t>legislative.</w:t>
      </w:r>
    </w:p>
    <w:p w14:paraId="62A7B81F" w14:textId="51934887" w:rsidR="00580906" w:rsidRDefault="00B60172" w:rsidP="00DF1B63">
      <w:pPr>
        <w:ind w:firstLine="624"/>
        <w:contextualSpacing/>
        <w:rPr>
          <w:rFonts w:ascii="Garamond" w:hAnsi="Garamond" w:cs="Futura"/>
          <w:sz w:val="24"/>
          <w:szCs w:val="24"/>
        </w:rPr>
      </w:pPr>
      <w:r>
        <w:rPr>
          <w:rFonts w:ascii="Garamond" w:hAnsi="Garamond" w:cs="Futura"/>
          <w:sz w:val="24"/>
          <w:szCs w:val="24"/>
        </w:rPr>
        <w:t xml:space="preserve">Clarity may improve if courts are asked to rule on other </w:t>
      </w:r>
      <w:r w:rsidR="005D6D18">
        <w:rPr>
          <w:rFonts w:ascii="Garamond" w:hAnsi="Garamond" w:cs="Futura"/>
          <w:sz w:val="24"/>
          <w:szCs w:val="24"/>
        </w:rPr>
        <w:t>legislative</w:t>
      </w:r>
      <w:r w:rsidR="00597194">
        <w:rPr>
          <w:rFonts w:ascii="Garamond" w:hAnsi="Garamond" w:cs="Futura"/>
          <w:sz w:val="24"/>
          <w:szCs w:val="24"/>
        </w:rPr>
        <w:t xml:space="preserve"> </w:t>
      </w:r>
      <w:r>
        <w:rPr>
          <w:rFonts w:ascii="Garamond" w:hAnsi="Garamond" w:cs="Futura"/>
          <w:sz w:val="24"/>
          <w:szCs w:val="24"/>
        </w:rPr>
        <w:t>arrangements</w:t>
      </w:r>
      <w:r w:rsidR="00597194">
        <w:rPr>
          <w:rFonts w:ascii="Garamond" w:hAnsi="Garamond" w:cs="Futura"/>
          <w:sz w:val="24"/>
          <w:szCs w:val="24"/>
        </w:rPr>
        <w:t xml:space="preserve"> </w:t>
      </w:r>
      <w:r w:rsidR="00296220">
        <w:rPr>
          <w:rFonts w:ascii="Garamond" w:hAnsi="Garamond" w:cs="Futura"/>
          <w:sz w:val="24"/>
          <w:szCs w:val="24"/>
        </w:rPr>
        <w:t>that establish</w:t>
      </w:r>
      <w:r w:rsidR="00597194">
        <w:rPr>
          <w:rFonts w:ascii="Garamond" w:hAnsi="Garamond" w:cs="Futura"/>
          <w:sz w:val="24"/>
          <w:szCs w:val="24"/>
        </w:rPr>
        <w:t xml:space="preserve"> treaty-based sources</w:t>
      </w:r>
      <w:r w:rsidR="003E1813">
        <w:rPr>
          <w:rFonts w:ascii="Garamond" w:hAnsi="Garamond" w:cs="Futura"/>
          <w:sz w:val="24"/>
          <w:szCs w:val="24"/>
        </w:rPr>
        <w:t xml:space="preserve"> – along the lines of our analysis of COTIF</w:t>
      </w:r>
      <w:r w:rsidR="00296220">
        <w:rPr>
          <w:rFonts w:ascii="Garamond" w:hAnsi="Garamond" w:cs="Futura"/>
          <w:sz w:val="24"/>
          <w:szCs w:val="24"/>
        </w:rPr>
        <w:t>. Such comparison</w:t>
      </w:r>
      <w:r w:rsidR="0045030C">
        <w:rPr>
          <w:rFonts w:ascii="Garamond" w:hAnsi="Garamond" w:cs="Futura"/>
          <w:sz w:val="24"/>
          <w:szCs w:val="24"/>
        </w:rPr>
        <w:t>s</w:t>
      </w:r>
      <w:r w:rsidR="00597194">
        <w:rPr>
          <w:rFonts w:ascii="Garamond" w:hAnsi="Garamond" w:cs="Futura"/>
          <w:sz w:val="24"/>
          <w:szCs w:val="24"/>
        </w:rPr>
        <w:t xml:space="preserve"> will allow for – indeed, require – a </w:t>
      </w:r>
      <w:r>
        <w:rPr>
          <w:rFonts w:ascii="Garamond" w:hAnsi="Garamond" w:cs="Futura"/>
          <w:sz w:val="24"/>
          <w:szCs w:val="24"/>
        </w:rPr>
        <w:t>more</w:t>
      </w:r>
      <w:r w:rsidR="00905994">
        <w:rPr>
          <w:rFonts w:ascii="Garamond" w:hAnsi="Garamond" w:cs="Futura"/>
          <w:sz w:val="24"/>
          <w:szCs w:val="24"/>
        </w:rPr>
        <w:t xml:space="preserve"> searching analysis about where </w:t>
      </w:r>
      <w:r>
        <w:rPr>
          <w:rFonts w:ascii="Garamond" w:hAnsi="Garamond" w:cs="Futura"/>
          <w:sz w:val="24"/>
          <w:szCs w:val="24"/>
        </w:rPr>
        <w:t>to draw the line</w:t>
      </w:r>
      <w:r w:rsidR="00905994">
        <w:rPr>
          <w:rFonts w:ascii="Garamond" w:hAnsi="Garamond" w:cs="Futura"/>
          <w:sz w:val="24"/>
          <w:szCs w:val="24"/>
        </w:rPr>
        <w:t>(s)</w:t>
      </w:r>
      <w:r>
        <w:rPr>
          <w:rFonts w:ascii="Garamond" w:hAnsi="Garamond" w:cs="Futura"/>
          <w:sz w:val="24"/>
          <w:szCs w:val="24"/>
        </w:rPr>
        <w:t xml:space="preserve"> than was possible in </w:t>
      </w:r>
      <w:r w:rsidRPr="002F4D01">
        <w:rPr>
          <w:rFonts w:ascii="Garamond" w:hAnsi="Garamond" w:cs="Futura"/>
          <w:i/>
          <w:sz w:val="24"/>
          <w:szCs w:val="24"/>
        </w:rPr>
        <w:t>Miller</w:t>
      </w:r>
      <w:r>
        <w:rPr>
          <w:rFonts w:ascii="Garamond" w:hAnsi="Garamond" w:cs="Futura"/>
          <w:sz w:val="24"/>
          <w:szCs w:val="24"/>
        </w:rPr>
        <w:t>.</w:t>
      </w:r>
      <w:r w:rsidR="0045030C">
        <w:rPr>
          <w:rFonts w:ascii="Garamond" w:hAnsi="Garamond" w:cs="Futura"/>
          <w:sz w:val="24"/>
          <w:szCs w:val="24"/>
        </w:rPr>
        <w:t xml:space="preserve"> Of course, this assumes that </w:t>
      </w:r>
      <w:r w:rsidR="003E1813">
        <w:rPr>
          <w:rFonts w:ascii="Garamond" w:hAnsi="Garamond" w:cs="Futura"/>
          <w:sz w:val="24"/>
          <w:szCs w:val="24"/>
        </w:rPr>
        <w:t>history will to some extent repeat itself</w:t>
      </w:r>
      <w:r w:rsidR="005B6DA4">
        <w:rPr>
          <w:rFonts w:ascii="Garamond" w:hAnsi="Garamond" w:cs="Futura"/>
          <w:sz w:val="24"/>
          <w:szCs w:val="24"/>
        </w:rPr>
        <w:t xml:space="preserve"> – </w:t>
      </w:r>
      <w:r w:rsidR="00905994">
        <w:rPr>
          <w:rFonts w:ascii="Garamond" w:hAnsi="Garamond" w:cs="Futura"/>
          <w:sz w:val="24"/>
          <w:szCs w:val="24"/>
        </w:rPr>
        <w:t>namely,</w:t>
      </w:r>
      <w:r w:rsidR="003E1813">
        <w:rPr>
          <w:rFonts w:ascii="Garamond" w:hAnsi="Garamond" w:cs="Futura"/>
          <w:sz w:val="24"/>
          <w:szCs w:val="24"/>
        </w:rPr>
        <w:t xml:space="preserve"> the Government’s seeking</w:t>
      </w:r>
      <w:r w:rsidR="008E146F">
        <w:rPr>
          <w:rFonts w:ascii="Garamond" w:hAnsi="Garamond" w:cs="Futura"/>
          <w:sz w:val="24"/>
          <w:szCs w:val="24"/>
        </w:rPr>
        <w:t xml:space="preserve"> </w:t>
      </w:r>
      <w:r w:rsidR="00905994">
        <w:rPr>
          <w:rFonts w:ascii="Garamond" w:hAnsi="Garamond" w:cs="Futura"/>
          <w:sz w:val="24"/>
          <w:szCs w:val="24"/>
        </w:rPr>
        <w:t>treaty withdrawal</w:t>
      </w:r>
      <w:r w:rsidR="005D6D18">
        <w:rPr>
          <w:rFonts w:ascii="Garamond" w:hAnsi="Garamond" w:cs="Futura"/>
          <w:sz w:val="24"/>
          <w:szCs w:val="24"/>
        </w:rPr>
        <w:t xml:space="preserve"> </w:t>
      </w:r>
      <w:r w:rsidR="008E146F">
        <w:rPr>
          <w:rFonts w:ascii="Garamond" w:hAnsi="Garamond" w:cs="Futura"/>
          <w:sz w:val="24"/>
          <w:szCs w:val="24"/>
        </w:rPr>
        <w:t xml:space="preserve">without </w:t>
      </w:r>
      <w:r w:rsidR="00E40228">
        <w:rPr>
          <w:rFonts w:ascii="Garamond" w:hAnsi="Garamond" w:cs="Futura"/>
          <w:sz w:val="24"/>
          <w:szCs w:val="24"/>
        </w:rPr>
        <w:t xml:space="preserve">prior </w:t>
      </w:r>
      <w:r w:rsidR="005D6D18">
        <w:rPr>
          <w:rFonts w:ascii="Garamond" w:hAnsi="Garamond" w:cs="Futura"/>
          <w:sz w:val="24"/>
          <w:szCs w:val="24"/>
        </w:rPr>
        <w:t>legislative</w:t>
      </w:r>
      <w:r w:rsidR="00E40228">
        <w:rPr>
          <w:rFonts w:ascii="Garamond" w:hAnsi="Garamond" w:cs="Futura"/>
          <w:sz w:val="24"/>
          <w:szCs w:val="24"/>
        </w:rPr>
        <w:t xml:space="preserve"> authorisation</w:t>
      </w:r>
      <w:r w:rsidR="00930AA2">
        <w:rPr>
          <w:rFonts w:ascii="Garamond" w:hAnsi="Garamond" w:cs="Futura"/>
          <w:sz w:val="24"/>
          <w:szCs w:val="24"/>
        </w:rPr>
        <w:t xml:space="preserve">, as well as </w:t>
      </w:r>
      <w:r w:rsidR="003E1813">
        <w:rPr>
          <w:rFonts w:ascii="Garamond" w:hAnsi="Garamond" w:cs="Futura"/>
          <w:sz w:val="24"/>
          <w:szCs w:val="24"/>
        </w:rPr>
        <w:t xml:space="preserve">legal challengers </w:t>
      </w:r>
      <w:r w:rsidR="00AE74AD">
        <w:rPr>
          <w:rFonts w:ascii="Garamond" w:hAnsi="Garamond" w:cs="Futura"/>
          <w:sz w:val="24"/>
          <w:szCs w:val="24"/>
        </w:rPr>
        <w:t xml:space="preserve">who are </w:t>
      </w:r>
      <w:r w:rsidR="00930AA2">
        <w:rPr>
          <w:rFonts w:ascii="Garamond" w:hAnsi="Garamond" w:cs="Futura"/>
          <w:sz w:val="24"/>
          <w:szCs w:val="24"/>
        </w:rPr>
        <w:t xml:space="preserve">willing to </w:t>
      </w:r>
      <w:r w:rsidR="003E1813">
        <w:rPr>
          <w:rFonts w:ascii="Garamond" w:hAnsi="Garamond" w:cs="Futura"/>
          <w:sz w:val="24"/>
          <w:szCs w:val="24"/>
        </w:rPr>
        <w:t>step forward</w:t>
      </w:r>
      <w:r w:rsidR="005B6DA4">
        <w:rPr>
          <w:rFonts w:ascii="Garamond" w:hAnsi="Garamond" w:cs="Futura"/>
          <w:sz w:val="24"/>
          <w:szCs w:val="24"/>
        </w:rPr>
        <w:t xml:space="preserve">. </w:t>
      </w:r>
      <w:r w:rsidR="00E40228">
        <w:rPr>
          <w:rFonts w:ascii="Garamond" w:hAnsi="Garamond" w:cs="Futura"/>
          <w:sz w:val="24"/>
          <w:szCs w:val="24"/>
        </w:rPr>
        <w:t xml:space="preserve">For some, </w:t>
      </w:r>
      <w:r w:rsidR="008F2FEE">
        <w:rPr>
          <w:rFonts w:ascii="Garamond" w:hAnsi="Garamond" w:cs="Futura"/>
          <w:sz w:val="24"/>
          <w:szCs w:val="24"/>
        </w:rPr>
        <w:lastRenderedPageBreak/>
        <w:t xml:space="preserve">at least, </w:t>
      </w:r>
      <w:r w:rsidR="00E40228">
        <w:rPr>
          <w:rFonts w:ascii="Garamond" w:hAnsi="Garamond" w:cs="Futura"/>
          <w:sz w:val="24"/>
          <w:szCs w:val="24"/>
        </w:rPr>
        <w:t xml:space="preserve">this </w:t>
      </w:r>
      <w:r w:rsidR="008F2FEE">
        <w:rPr>
          <w:rFonts w:ascii="Garamond" w:hAnsi="Garamond" w:cs="Futura"/>
          <w:sz w:val="24"/>
          <w:szCs w:val="24"/>
        </w:rPr>
        <w:t>is</w:t>
      </w:r>
      <w:r w:rsidR="00BA5F4B">
        <w:rPr>
          <w:rFonts w:ascii="Garamond" w:hAnsi="Garamond" w:cs="Futura"/>
          <w:sz w:val="24"/>
          <w:szCs w:val="24"/>
        </w:rPr>
        <w:t xml:space="preserve"> </w:t>
      </w:r>
      <w:r w:rsidR="00E40228">
        <w:rPr>
          <w:rFonts w:ascii="Garamond" w:hAnsi="Garamond" w:cs="Futura"/>
          <w:sz w:val="24"/>
          <w:szCs w:val="24"/>
        </w:rPr>
        <w:t xml:space="preserve">a </w:t>
      </w:r>
      <w:r w:rsidR="003E1813">
        <w:rPr>
          <w:rFonts w:ascii="Garamond" w:hAnsi="Garamond" w:cs="Futura"/>
          <w:sz w:val="24"/>
          <w:szCs w:val="24"/>
        </w:rPr>
        <w:t>big “if”.</w:t>
      </w:r>
      <w:r w:rsidR="00DF1B63">
        <w:rPr>
          <w:rFonts w:ascii="Garamond" w:hAnsi="Garamond" w:cs="Futura"/>
          <w:sz w:val="24"/>
          <w:szCs w:val="24"/>
        </w:rPr>
        <w:t xml:space="preserve"> </w:t>
      </w:r>
      <w:r w:rsidR="00580906">
        <w:rPr>
          <w:rFonts w:ascii="Garamond" w:hAnsi="Garamond" w:cs="Futura"/>
          <w:sz w:val="24"/>
          <w:szCs w:val="24"/>
        </w:rPr>
        <w:t>Lord Mance</w:t>
      </w:r>
      <w:r w:rsidR="00DF1B63">
        <w:rPr>
          <w:rFonts w:ascii="Garamond" w:hAnsi="Garamond" w:cs="Futura"/>
          <w:sz w:val="24"/>
          <w:szCs w:val="24"/>
        </w:rPr>
        <w:t xml:space="preserve"> </w:t>
      </w:r>
      <w:r w:rsidR="00580906">
        <w:rPr>
          <w:rFonts w:ascii="Garamond" w:hAnsi="Garamond" w:cs="Futura"/>
          <w:sz w:val="24"/>
          <w:szCs w:val="24"/>
        </w:rPr>
        <w:t xml:space="preserve">has suggested extra-judicially that the issue in </w:t>
      </w:r>
      <w:r w:rsidR="00580906" w:rsidRPr="006311CA">
        <w:rPr>
          <w:rFonts w:ascii="Garamond" w:hAnsi="Garamond" w:cs="Futura"/>
          <w:i/>
          <w:sz w:val="24"/>
          <w:szCs w:val="24"/>
        </w:rPr>
        <w:t>Miller</w:t>
      </w:r>
      <w:r w:rsidR="00580906">
        <w:rPr>
          <w:rFonts w:ascii="Garamond" w:hAnsi="Garamond" w:cs="Futura"/>
          <w:sz w:val="24"/>
          <w:szCs w:val="24"/>
        </w:rPr>
        <w:t xml:space="preserve"> is unlikely to be repeated “in our lifetimes”.</w:t>
      </w:r>
      <w:r w:rsidR="00580906">
        <w:rPr>
          <w:rStyle w:val="FootnoteReference"/>
          <w:rFonts w:ascii="Garamond" w:hAnsi="Garamond" w:cs="Futura"/>
          <w:sz w:val="24"/>
          <w:szCs w:val="24"/>
        </w:rPr>
        <w:footnoteReference w:id="95"/>
      </w:r>
    </w:p>
    <w:p w14:paraId="475147F6" w14:textId="1645D6FE" w:rsidR="00B8550A" w:rsidRDefault="008F2FEE" w:rsidP="00B83B20">
      <w:pPr>
        <w:ind w:firstLine="624"/>
        <w:contextualSpacing/>
        <w:rPr>
          <w:rFonts w:ascii="Garamond" w:hAnsi="Garamond" w:cs="Futura"/>
          <w:sz w:val="24"/>
          <w:szCs w:val="24"/>
        </w:rPr>
      </w:pPr>
      <w:r>
        <w:rPr>
          <w:rFonts w:ascii="Garamond" w:hAnsi="Garamond" w:cs="Futura"/>
          <w:sz w:val="24"/>
          <w:szCs w:val="24"/>
        </w:rPr>
        <w:t xml:space="preserve">A legislative solution is also possible. </w:t>
      </w:r>
      <w:r w:rsidR="00AE74AD">
        <w:rPr>
          <w:rFonts w:ascii="Garamond" w:hAnsi="Garamond" w:cs="Futura"/>
          <w:sz w:val="24"/>
          <w:szCs w:val="24"/>
        </w:rPr>
        <w:t xml:space="preserve">By this </w:t>
      </w:r>
      <w:r w:rsidR="00F1656D">
        <w:rPr>
          <w:rFonts w:ascii="Garamond" w:hAnsi="Garamond" w:cs="Futura"/>
          <w:sz w:val="24"/>
          <w:szCs w:val="24"/>
        </w:rPr>
        <w:t xml:space="preserve">I do not mean </w:t>
      </w:r>
      <w:r w:rsidR="00925FEB" w:rsidRPr="00925FEB">
        <w:rPr>
          <w:rFonts w:ascii="Garamond" w:hAnsi="Garamond" w:cs="Futura"/>
          <w:i/>
          <w:sz w:val="24"/>
          <w:szCs w:val="24"/>
        </w:rPr>
        <w:t>ex post facto</w:t>
      </w:r>
      <w:r w:rsidR="00925FEB">
        <w:rPr>
          <w:rFonts w:ascii="Garamond" w:hAnsi="Garamond" w:cs="Futura"/>
          <w:sz w:val="24"/>
          <w:szCs w:val="24"/>
        </w:rPr>
        <w:t xml:space="preserve"> </w:t>
      </w:r>
      <w:r w:rsidR="006C3E9C">
        <w:rPr>
          <w:rFonts w:ascii="Garamond" w:hAnsi="Garamond" w:cs="Futura"/>
          <w:sz w:val="24"/>
          <w:szCs w:val="24"/>
        </w:rPr>
        <w:t>enactment</w:t>
      </w:r>
      <w:r w:rsidR="00E80FB6">
        <w:rPr>
          <w:rFonts w:ascii="Garamond" w:hAnsi="Garamond" w:cs="Futura"/>
          <w:sz w:val="24"/>
          <w:szCs w:val="24"/>
        </w:rPr>
        <w:t>s</w:t>
      </w:r>
      <w:r w:rsidR="00153231">
        <w:rPr>
          <w:rFonts w:ascii="Garamond" w:hAnsi="Garamond" w:cs="Futura"/>
          <w:sz w:val="24"/>
          <w:szCs w:val="24"/>
        </w:rPr>
        <w:t xml:space="preserve"> such as </w:t>
      </w:r>
      <w:r w:rsidR="002E1678">
        <w:rPr>
          <w:rFonts w:ascii="Garamond" w:hAnsi="Garamond" w:cs="Futura"/>
          <w:sz w:val="24"/>
          <w:szCs w:val="24"/>
        </w:rPr>
        <w:t xml:space="preserve">the </w:t>
      </w:r>
      <w:r w:rsidR="002E1678">
        <w:rPr>
          <w:rFonts w:ascii="Garamond" w:hAnsi="Garamond" w:cs="Futura"/>
          <w:sz w:val="24"/>
        </w:rPr>
        <w:t xml:space="preserve">European Union (Notification of Withdrawal) Act 2017 </w:t>
      </w:r>
      <w:r w:rsidR="006C3E9C">
        <w:rPr>
          <w:rFonts w:ascii="Garamond" w:hAnsi="Garamond" w:cs="Futura"/>
          <w:sz w:val="24"/>
          <w:szCs w:val="24"/>
        </w:rPr>
        <w:t xml:space="preserve">passed </w:t>
      </w:r>
      <w:r w:rsidR="00153231">
        <w:rPr>
          <w:rFonts w:ascii="Garamond" w:hAnsi="Garamond" w:cs="Futura"/>
          <w:sz w:val="24"/>
          <w:szCs w:val="24"/>
        </w:rPr>
        <w:t>in response to</w:t>
      </w:r>
      <w:r w:rsidR="006C3E9C">
        <w:rPr>
          <w:rFonts w:ascii="Garamond" w:hAnsi="Garamond" w:cs="Futura"/>
          <w:sz w:val="24"/>
          <w:szCs w:val="24"/>
        </w:rPr>
        <w:t xml:space="preserve"> </w:t>
      </w:r>
      <w:r w:rsidR="006C3E9C" w:rsidRPr="006C3E9C">
        <w:rPr>
          <w:rFonts w:ascii="Garamond" w:hAnsi="Garamond" w:cs="Futura"/>
          <w:i/>
          <w:sz w:val="24"/>
          <w:szCs w:val="24"/>
        </w:rPr>
        <w:t>Miller</w:t>
      </w:r>
      <w:r w:rsidR="006C3E9C">
        <w:rPr>
          <w:rFonts w:ascii="Garamond" w:hAnsi="Garamond" w:cs="Futura"/>
          <w:sz w:val="24"/>
          <w:szCs w:val="24"/>
        </w:rPr>
        <w:t xml:space="preserve">. </w:t>
      </w:r>
      <w:r w:rsidR="000F5058">
        <w:rPr>
          <w:rFonts w:ascii="Garamond" w:hAnsi="Garamond" w:cs="Futura"/>
          <w:sz w:val="24"/>
          <w:szCs w:val="24"/>
        </w:rPr>
        <w:t xml:space="preserve">The problem that arose in </w:t>
      </w:r>
      <w:r w:rsidR="000F5058" w:rsidRPr="000F5058">
        <w:rPr>
          <w:rFonts w:ascii="Garamond" w:hAnsi="Garamond" w:cs="Futura"/>
          <w:i/>
          <w:sz w:val="24"/>
          <w:szCs w:val="24"/>
        </w:rPr>
        <w:t>Miller</w:t>
      </w:r>
      <w:r w:rsidR="000F5058">
        <w:rPr>
          <w:rFonts w:ascii="Garamond" w:hAnsi="Garamond" w:cs="Futura"/>
          <w:sz w:val="24"/>
          <w:szCs w:val="24"/>
        </w:rPr>
        <w:t xml:space="preserve"> was that the Supreme Court was asked to construe the </w:t>
      </w:r>
      <w:r w:rsidR="00A17710">
        <w:rPr>
          <w:rFonts w:ascii="Garamond" w:hAnsi="Garamond" w:cs="Futura"/>
          <w:sz w:val="24"/>
          <w:szCs w:val="24"/>
        </w:rPr>
        <w:t>ECA</w:t>
      </w:r>
      <w:r w:rsidR="000F5058">
        <w:rPr>
          <w:rFonts w:ascii="Garamond" w:hAnsi="Garamond" w:cs="Futura"/>
          <w:sz w:val="24"/>
          <w:szCs w:val="24"/>
        </w:rPr>
        <w:t xml:space="preserve"> in the absence of express words </w:t>
      </w:r>
      <w:r w:rsidR="00F4105F">
        <w:rPr>
          <w:rFonts w:ascii="Garamond" w:hAnsi="Garamond" w:cs="Futura"/>
          <w:sz w:val="24"/>
          <w:szCs w:val="24"/>
        </w:rPr>
        <w:t>about</w:t>
      </w:r>
      <w:r w:rsidR="000F5058">
        <w:rPr>
          <w:rFonts w:ascii="Garamond" w:hAnsi="Garamond" w:cs="Futura"/>
          <w:sz w:val="24"/>
          <w:szCs w:val="24"/>
        </w:rPr>
        <w:t xml:space="preserve"> treaty withdrawal</w:t>
      </w:r>
      <w:r w:rsidR="00F4105F">
        <w:rPr>
          <w:rFonts w:ascii="Garamond" w:hAnsi="Garamond" w:cs="Futura"/>
          <w:sz w:val="24"/>
          <w:szCs w:val="24"/>
        </w:rPr>
        <w:t xml:space="preserve"> in the Act itself</w:t>
      </w:r>
      <w:r w:rsidR="000F5058">
        <w:rPr>
          <w:rFonts w:ascii="Garamond" w:hAnsi="Garamond" w:cs="Futura"/>
          <w:sz w:val="24"/>
          <w:szCs w:val="24"/>
        </w:rPr>
        <w:t xml:space="preserve">. </w:t>
      </w:r>
      <w:r w:rsidR="00453E94">
        <w:rPr>
          <w:rFonts w:ascii="Garamond" w:hAnsi="Garamond" w:cs="Futura"/>
          <w:sz w:val="24"/>
          <w:szCs w:val="24"/>
        </w:rPr>
        <w:t xml:space="preserve">It is worth </w:t>
      </w:r>
      <w:r w:rsidR="00D81F05">
        <w:rPr>
          <w:rFonts w:ascii="Garamond" w:hAnsi="Garamond" w:cs="Futura"/>
          <w:sz w:val="24"/>
          <w:szCs w:val="24"/>
        </w:rPr>
        <w:t>noting</w:t>
      </w:r>
      <w:r w:rsidR="00453E94">
        <w:rPr>
          <w:rFonts w:ascii="Garamond" w:hAnsi="Garamond" w:cs="Futura"/>
          <w:sz w:val="24"/>
          <w:szCs w:val="24"/>
        </w:rPr>
        <w:t xml:space="preserve"> that l</w:t>
      </w:r>
      <w:r w:rsidR="00F953D0">
        <w:rPr>
          <w:rFonts w:ascii="Garamond" w:hAnsi="Garamond" w:cs="Futura"/>
          <w:sz w:val="24"/>
          <w:szCs w:val="24"/>
        </w:rPr>
        <w:t xml:space="preserve">egislation giving effect to </w:t>
      </w:r>
      <w:r w:rsidR="003E1813">
        <w:rPr>
          <w:rFonts w:ascii="Garamond" w:hAnsi="Garamond" w:cs="Futura"/>
          <w:sz w:val="24"/>
          <w:szCs w:val="24"/>
        </w:rPr>
        <w:t xml:space="preserve">other </w:t>
      </w:r>
      <w:r w:rsidR="00F953D0">
        <w:rPr>
          <w:rFonts w:ascii="Garamond" w:hAnsi="Garamond" w:cs="Futura"/>
          <w:sz w:val="24"/>
          <w:szCs w:val="24"/>
        </w:rPr>
        <w:t xml:space="preserve">treaties </w:t>
      </w:r>
      <w:r w:rsidR="003E1813">
        <w:rPr>
          <w:rFonts w:ascii="Garamond" w:hAnsi="Garamond" w:cs="Futura"/>
          <w:sz w:val="24"/>
          <w:szCs w:val="24"/>
        </w:rPr>
        <w:t>tends not</w:t>
      </w:r>
      <w:r w:rsidR="00F4105F">
        <w:rPr>
          <w:rFonts w:ascii="Garamond" w:hAnsi="Garamond" w:cs="Futura"/>
          <w:sz w:val="24"/>
          <w:szCs w:val="24"/>
        </w:rPr>
        <w:t xml:space="preserve"> </w:t>
      </w:r>
      <w:r w:rsidR="003E1813">
        <w:rPr>
          <w:rFonts w:ascii="Garamond" w:hAnsi="Garamond" w:cs="Futura"/>
          <w:sz w:val="24"/>
          <w:szCs w:val="24"/>
        </w:rPr>
        <w:t>to</w:t>
      </w:r>
      <w:r w:rsidR="00F4105F">
        <w:rPr>
          <w:rFonts w:ascii="Garamond" w:hAnsi="Garamond" w:cs="Futura"/>
          <w:sz w:val="24"/>
          <w:szCs w:val="24"/>
        </w:rPr>
        <w:t xml:space="preserve"> contain express words about treaty withdrawal</w:t>
      </w:r>
      <w:r w:rsidR="00F953D0">
        <w:rPr>
          <w:rFonts w:ascii="Garamond" w:hAnsi="Garamond" w:cs="Futura"/>
          <w:sz w:val="24"/>
          <w:szCs w:val="24"/>
        </w:rPr>
        <w:t xml:space="preserve"> either</w:t>
      </w:r>
      <w:r w:rsidR="00F4105F">
        <w:rPr>
          <w:rFonts w:ascii="Garamond" w:hAnsi="Garamond" w:cs="Futura"/>
          <w:sz w:val="24"/>
          <w:szCs w:val="24"/>
        </w:rPr>
        <w:t>. Accordingly, one</w:t>
      </w:r>
      <w:r w:rsidR="00CE013E">
        <w:rPr>
          <w:rFonts w:ascii="Garamond" w:hAnsi="Garamond" w:cs="Futura"/>
          <w:sz w:val="24"/>
          <w:szCs w:val="24"/>
        </w:rPr>
        <w:t xml:space="preserve"> </w:t>
      </w:r>
      <w:r w:rsidR="00F4105F">
        <w:rPr>
          <w:rFonts w:ascii="Garamond" w:hAnsi="Garamond" w:cs="Futura"/>
          <w:sz w:val="24"/>
          <w:szCs w:val="24"/>
        </w:rPr>
        <w:t>option</w:t>
      </w:r>
      <w:r w:rsidR="00EA637C">
        <w:rPr>
          <w:rFonts w:ascii="Garamond" w:hAnsi="Garamond" w:cs="Futura"/>
          <w:sz w:val="24"/>
          <w:szCs w:val="24"/>
        </w:rPr>
        <w:t xml:space="preserve"> </w:t>
      </w:r>
      <w:r w:rsidR="00CE013E">
        <w:rPr>
          <w:rFonts w:ascii="Garamond" w:hAnsi="Garamond" w:cs="Futura"/>
          <w:sz w:val="24"/>
          <w:szCs w:val="24"/>
        </w:rPr>
        <w:t xml:space="preserve">is that </w:t>
      </w:r>
      <w:r w:rsidR="0021096D">
        <w:rPr>
          <w:rFonts w:ascii="Garamond" w:hAnsi="Garamond" w:cs="Futura"/>
          <w:sz w:val="24"/>
          <w:szCs w:val="24"/>
        </w:rPr>
        <w:t>Parliament</w:t>
      </w:r>
      <w:r w:rsidR="00A85505">
        <w:rPr>
          <w:rFonts w:ascii="Garamond" w:hAnsi="Garamond" w:cs="Futura"/>
          <w:sz w:val="24"/>
          <w:szCs w:val="24"/>
        </w:rPr>
        <w:t>, when legislating to give effect to a given treaty,</w:t>
      </w:r>
      <w:r w:rsidR="0021096D">
        <w:rPr>
          <w:rFonts w:ascii="Garamond" w:hAnsi="Garamond" w:cs="Futura"/>
          <w:sz w:val="24"/>
          <w:szCs w:val="24"/>
        </w:rPr>
        <w:t xml:space="preserve"> expressly stipulate that statutory authorisation is required</w:t>
      </w:r>
      <w:r w:rsidR="00D81F05">
        <w:rPr>
          <w:rFonts w:ascii="Garamond" w:hAnsi="Garamond" w:cs="Futura"/>
          <w:sz w:val="24"/>
          <w:szCs w:val="24"/>
        </w:rPr>
        <w:t xml:space="preserve"> – </w:t>
      </w:r>
      <w:r w:rsidR="005C1E22">
        <w:rPr>
          <w:rFonts w:ascii="Garamond" w:hAnsi="Garamond" w:cs="Futura"/>
          <w:sz w:val="24"/>
          <w:szCs w:val="24"/>
        </w:rPr>
        <w:t>or n</w:t>
      </w:r>
      <w:r w:rsidR="00D81F05">
        <w:rPr>
          <w:rFonts w:ascii="Garamond" w:hAnsi="Garamond" w:cs="Futura"/>
          <w:sz w:val="24"/>
          <w:szCs w:val="24"/>
        </w:rPr>
        <w:t>ot required, as the case may be –</w:t>
      </w:r>
      <w:r w:rsidR="0021096D">
        <w:rPr>
          <w:rFonts w:ascii="Garamond" w:hAnsi="Garamond" w:cs="Futura"/>
          <w:sz w:val="24"/>
          <w:szCs w:val="24"/>
        </w:rPr>
        <w:t xml:space="preserve"> </w:t>
      </w:r>
      <w:r w:rsidR="00453781">
        <w:rPr>
          <w:rFonts w:ascii="Garamond" w:hAnsi="Garamond" w:cs="Futura"/>
          <w:sz w:val="24"/>
          <w:szCs w:val="24"/>
        </w:rPr>
        <w:t>prior to treaty withdrawal</w:t>
      </w:r>
      <w:r w:rsidR="008443CD">
        <w:rPr>
          <w:rFonts w:ascii="Garamond" w:hAnsi="Garamond" w:cs="Futura"/>
          <w:sz w:val="24"/>
          <w:szCs w:val="24"/>
        </w:rPr>
        <w:t>.</w:t>
      </w:r>
      <w:r w:rsidR="00B83B20">
        <w:rPr>
          <w:rFonts w:ascii="Garamond" w:hAnsi="Garamond" w:cs="Futura"/>
          <w:sz w:val="24"/>
          <w:szCs w:val="24"/>
        </w:rPr>
        <w:t xml:space="preserve"> A</w:t>
      </w:r>
      <w:r w:rsidR="00B52F06">
        <w:rPr>
          <w:rFonts w:ascii="Garamond" w:hAnsi="Garamond" w:cs="Futura"/>
          <w:sz w:val="24"/>
          <w:szCs w:val="24"/>
        </w:rPr>
        <w:t xml:space="preserve">nother </w:t>
      </w:r>
      <w:r w:rsidR="00C709E9">
        <w:rPr>
          <w:rFonts w:ascii="Garamond" w:hAnsi="Garamond" w:cs="Futura"/>
          <w:sz w:val="24"/>
          <w:szCs w:val="24"/>
        </w:rPr>
        <w:t xml:space="preserve">forward-looking </w:t>
      </w:r>
      <w:r w:rsidR="006D24B2">
        <w:rPr>
          <w:rFonts w:ascii="Garamond" w:hAnsi="Garamond" w:cs="Futura"/>
          <w:sz w:val="24"/>
          <w:szCs w:val="24"/>
        </w:rPr>
        <w:t>solution</w:t>
      </w:r>
      <w:r w:rsidR="00AC5E31">
        <w:rPr>
          <w:rFonts w:ascii="Garamond" w:hAnsi="Garamond" w:cs="Futura"/>
          <w:sz w:val="24"/>
          <w:szCs w:val="24"/>
        </w:rPr>
        <w:t xml:space="preserve"> is </w:t>
      </w:r>
      <w:r w:rsidR="00003E0E">
        <w:rPr>
          <w:rFonts w:ascii="Garamond" w:hAnsi="Garamond" w:cs="Futura"/>
          <w:sz w:val="24"/>
          <w:szCs w:val="24"/>
        </w:rPr>
        <w:t xml:space="preserve">a </w:t>
      </w:r>
      <w:r w:rsidR="00A85505">
        <w:rPr>
          <w:rFonts w:ascii="Garamond" w:hAnsi="Garamond" w:cs="Futura"/>
          <w:sz w:val="24"/>
          <w:szCs w:val="24"/>
        </w:rPr>
        <w:t xml:space="preserve">more </w:t>
      </w:r>
      <w:r w:rsidR="00003E0E">
        <w:rPr>
          <w:rFonts w:ascii="Garamond" w:hAnsi="Garamond" w:cs="Futura"/>
          <w:sz w:val="24"/>
          <w:szCs w:val="24"/>
        </w:rPr>
        <w:t xml:space="preserve">general </w:t>
      </w:r>
      <w:r w:rsidR="00F953D0">
        <w:rPr>
          <w:rFonts w:ascii="Garamond" w:hAnsi="Garamond" w:cs="Futura"/>
          <w:sz w:val="24"/>
          <w:szCs w:val="24"/>
        </w:rPr>
        <w:t>legislative</w:t>
      </w:r>
      <w:r w:rsidR="007A1322">
        <w:rPr>
          <w:rFonts w:ascii="Garamond" w:hAnsi="Garamond" w:cs="Futura"/>
          <w:sz w:val="24"/>
          <w:szCs w:val="24"/>
        </w:rPr>
        <w:t xml:space="preserve"> regime</w:t>
      </w:r>
      <w:r w:rsidR="00B52F06">
        <w:rPr>
          <w:rFonts w:ascii="Garamond" w:hAnsi="Garamond" w:cs="Futura"/>
          <w:sz w:val="24"/>
          <w:szCs w:val="24"/>
        </w:rPr>
        <w:t xml:space="preserve"> </w:t>
      </w:r>
      <w:r w:rsidR="00D811C1">
        <w:rPr>
          <w:rFonts w:ascii="Garamond" w:hAnsi="Garamond" w:cs="Futura"/>
          <w:sz w:val="24"/>
          <w:szCs w:val="24"/>
        </w:rPr>
        <w:t>governing</w:t>
      </w:r>
      <w:r w:rsidR="004841ED">
        <w:rPr>
          <w:rFonts w:ascii="Garamond" w:hAnsi="Garamond" w:cs="Futura"/>
          <w:sz w:val="24"/>
          <w:szCs w:val="24"/>
        </w:rPr>
        <w:t xml:space="preserve"> </w:t>
      </w:r>
      <w:r w:rsidR="00F953D0">
        <w:rPr>
          <w:rFonts w:ascii="Garamond" w:hAnsi="Garamond" w:cs="Futura"/>
          <w:sz w:val="24"/>
          <w:szCs w:val="24"/>
        </w:rPr>
        <w:t xml:space="preserve">treaty withdrawal </w:t>
      </w:r>
      <w:r w:rsidR="006760E2">
        <w:rPr>
          <w:rFonts w:ascii="Garamond" w:hAnsi="Garamond" w:cs="Futura"/>
          <w:sz w:val="24"/>
          <w:szCs w:val="24"/>
        </w:rPr>
        <w:t>generally</w:t>
      </w:r>
      <w:r w:rsidR="00506EFC">
        <w:rPr>
          <w:rFonts w:ascii="Garamond" w:hAnsi="Garamond" w:cs="Futura"/>
          <w:sz w:val="24"/>
          <w:szCs w:val="24"/>
        </w:rPr>
        <w:t>.</w:t>
      </w:r>
    </w:p>
    <w:p w14:paraId="24CD95A3" w14:textId="37D13633" w:rsidR="00622B23" w:rsidRDefault="00453781" w:rsidP="00622B23">
      <w:pPr>
        <w:ind w:firstLine="624"/>
        <w:contextualSpacing/>
        <w:rPr>
          <w:rFonts w:ascii="Garamond" w:hAnsi="Garamond" w:cs="Futura"/>
          <w:sz w:val="24"/>
          <w:szCs w:val="24"/>
        </w:rPr>
      </w:pPr>
      <w:r>
        <w:rPr>
          <w:rFonts w:ascii="Garamond" w:hAnsi="Garamond" w:cs="Futura"/>
          <w:sz w:val="24"/>
          <w:szCs w:val="24"/>
        </w:rPr>
        <w:t>In</w:t>
      </w:r>
      <w:r w:rsidR="00622B23">
        <w:rPr>
          <w:rFonts w:ascii="Garamond" w:hAnsi="Garamond" w:cs="Futura"/>
          <w:sz w:val="24"/>
          <w:szCs w:val="24"/>
        </w:rPr>
        <w:t xml:space="preserve"> </w:t>
      </w:r>
      <w:r w:rsidR="00622B23" w:rsidRPr="00622B23">
        <w:rPr>
          <w:rFonts w:ascii="Garamond" w:hAnsi="Garamond" w:cs="Futura"/>
          <w:i/>
          <w:sz w:val="24"/>
          <w:szCs w:val="24"/>
        </w:rPr>
        <w:t>Miller</w:t>
      </w:r>
      <w:r w:rsidR="00622B23">
        <w:rPr>
          <w:rFonts w:ascii="Garamond" w:hAnsi="Garamond" w:cs="Futura"/>
          <w:sz w:val="24"/>
          <w:szCs w:val="24"/>
        </w:rPr>
        <w:t xml:space="preserve"> the majority does </w:t>
      </w:r>
      <w:r>
        <w:rPr>
          <w:rFonts w:ascii="Garamond" w:hAnsi="Garamond" w:cs="Futura"/>
          <w:sz w:val="24"/>
          <w:szCs w:val="24"/>
        </w:rPr>
        <w:t>touch on</w:t>
      </w:r>
      <w:r w:rsidR="00622B23">
        <w:rPr>
          <w:rFonts w:ascii="Garamond" w:hAnsi="Garamond" w:cs="Futura"/>
          <w:sz w:val="24"/>
          <w:szCs w:val="24"/>
        </w:rPr>
        <w:t xml:space="preserve"> </w:t>
      </w:r>
      <w:r w:rsidR="00A85505">
        <w:rPr>
          <w:rFonts w:ascii="Garamond" w:hAnsi="Garamond" w:cs="Futura"/>
          <w:sz w:val="24"/>
          <w:szCs w:val="24"/>
        </w:rPr>
        <w:t>a (localised)</w:t>
      </w:r>
      <w:r w:rsidR="00622B23">
        <w:rPr>
          <w:rFonts w:ascii="Garamond" w:hAnsi="Garamond" w:cs="Futura"/>
          <w:sz w:val="24"/>
          <w:szCs w:val="24"/>
        </w:rPr>
        <w:t xml:space="preserve"> legislative </w:t>
      </w:r>
      <w:r>
        <w:rPr>
          <w:rFonts w:ascii="Garamond" w:hAnsi="Garamond" w:cs="Futura"/>
          <w:sz w:val="24"/>
          <w:szCs w:val="24"/>
        </w:rPr>
        <w:t>solution</w:t>
      </w:r>
      <w:r w:rsidR="00622B23">
        <w:rPr>
          <w:rFonts w:ascii="Garamond" w:hAnsi="Garamond" w:cs="Futura"/>
          <w:sz w:val="24"/>
          <w:szCs w:val="24"/>
        </w:rPr>
        <w:t>:</w:t>
      </w:r>
    </w:p>
    <w:p w14:paraId="7DF2473B" w14:textId="77777777" w:rsidR="00622B23" w:rsidRDefault="00622B23" w:rsidP="00622B23">
      <w:pPr>
        <w:contextualSpacing/>
        <w:rPr>
          <w:rFonts w:ascii="Garamond" w:hAnsi="Garamond" w:cs="Futura"/>
          <w:sz w:val="24"/>
          <w:szCs w:val="24"/>
        </w:rPr>
      </w:pPr>
    </w:p>
    <w:p w14:paraId="52A3AB67" w14:textId="77777777" w:rsidR="00622B23" w:rsidRPr="00C74E33" w:rsidRDefault="00622B23" w:rsidP="00622B23">
      <w:pPr>
        <w:contextualSpacing/>
        <w:rPr>
          <w:rFonts w:ascii="Garamond" w:hAnsi="Garamond" w:cs="Futura"/>
          <w:sz w:val="20"/>
          <w:szCs w:val="20"/>
        </w:rPr>
      </w:pPr>
      <w:r>
        <w:rPr>
          <w:rFonts w:ascii="Garamond" w:hAnsi="Garamond" w:cs="Futura"/>
          <w:sz w:val="20"/>
          <w:szCs w:val="20"/>
        </w:rPr>
        <w:t>…</w:t>
      </w:r>
      <w:r w:rsidRPr="00C74E33">
        <w:rPr>
          <w:rFonts w:ascii="Garamond" w:hAnsi="Garamond" w:cs="Futura"/>
          <w:sz w:val="20"/>
          <w:szCs w:val="20"/>
        </w:rPr>
        <w:t xml:space="preserve"> it would have been open to Parliament to provide expressly that the constitutional arrangements and the EU rights introduced by the 1972 Act should themselves only prevail from time to time and for so long as the UK government did not decide otherwise, and in particular did not decide t</w:t>
      </w:r>
      <w:r>
        <w:rPr>
          <w:rFonts w:ascii="Garamond" w:hAnsi="Garamond" w:cs="Futura"/>
          <w:sz w:val="20"/>
          <w:szCs w:val="20"/>
        </w:rPr>
        <w:t xml:space="preserve">o withdraw from the EU Treaties … </w:t>
      </w:r>
      <w:r w:rsidRPr="00C74E33">
        <w:rPr>
          <w:rFonts w:ascii="Garamond" w:hAnsi="Garamond" w:cs="Futura"/>
          <w:sz w:val="20"/>
          <w:szCs w:val="20"/>
        </w:rPr>
        <w:t>Had the Bill which became the 1972 Act spelled out that ministers would be free to withdraw the United Kingdom from the EU Treaties, the implications of what Parliament was being asked to endorse would have been clear, and the courts would have so decided.</w:t>
      </w:r>
      <w:r>
        <w:rPr>
          <w:rStyle w:val="FootnoteReference"/>
          <w:rFonts w:ascii="Garamond" w:hAnsi="Garamond" w:cs="Futura"/>
          <w:sz w:val="20"/>
          <w:szCs w:val="20"/>
        </w:rPr>
        <w:footnoteReference w:id="96"/>
      </w:r>
    </w:p>
    <w:p w14:paraId="7CA868A7" w14:textId="77777777" w:rsidR="00622B23" w:rsidRDefault="00622B23" w:rsidP="00622B23">
      <w:pPr>
        <w:contextualSpacing/>
        <w:rPr>
          <w:rFonts w:ascii="Garamond" w:hAnsi="Garamond" w:cs="Futura"/>
          <w:sz w:val="24"/>
          <w:szCs w:val="24"/>
        </w:rPr>
      </w:pPr>
    </w:p>
    <w:p w14:paraId="6C766741" w14:textId="1931936A" w:rsidR="00E050B8" w:rsidRDefault="000048B4" w:rsidP="00DF56D7">
      <w:pPr>
        <w:contextualSpacing/>
        <w:rPr>
          <w:rFonts w:ascii="Garamond" w:hAnsi="Garamond" w:cs="Futura"/>
          <w:sz w:val="24"/>
          <w:szCs w:val="24"/>
        </w:rPr>
      </w:pPr>
      <w:r>
        <w:rPr>
          <w:rFonts w:ascii="Garamond" w:hAnsi="Garamond" w:cs="Futura"/>
          <w:sz w:val="24"/>
          <w:szCs w:val="24"/>
        </w:rPr>
        <w:t>Express</w:t>
      </w:r>
      <w:r w:rsidR="00C91A73" w:rsidRPr="00CA3677">
        <w:rPr>
          <w:rFonts w:ascii="Garamond" w:hAnsi="Garamond" w:cs="Futura"/>
          <w:sz w:val="24"/>
          <w:szCs w:val="24"/>
        </w:rPr>
        <w:t xml:space="preserve"> legislative stipulation</w:t>
      </w:r>
      <w:r>
        <w:rPr>
          <w:rFonts w:ascii="Garamond" w:hAnsi="Garamond" w:cs="Futura"/>
          <w:sz w:val="24"/>
          <w:szCs w:val="24"/>
        </w:rPr>
        <w:t xml:space="preserve"> </w:t>
      </w:r>
      <w:r w:rsidR="00C91A73" w:rsidRPr="00CA3677">
        <w:rPr>
          <w:rFonts w:ascii="Garamond" w:hAnsi="Garamond" w:cs="Futura"/>
          <w:sz w:val="24"/>
          <w:szCs w:val="24"/>
        </w:rPr>
        <w:t xml:space="preserve">would </w:t>
      </w:r>
      <w:r w:rsidR="00C91A73">
        <w:rPr>
          <w:rFonts w:ascii="Garamond" w:hAnsi="Garamond" w:cs="Futura"/>
          <w:sz w:val="24"/>
          <w:szCs w:val="24"/>
        </w:rPr>
        <w:t>slice</w:t>
      </w:r>
      <w:r w:rsidR="00C91A73" w:rsidRPr="00CA3677">
        <w:rPr>
          <w:rFonts w:ascii="Garamond" w:hAnsi="Garamond" w:cs="Futura"/>
          <w:sz w:val="24"/>
          <w:szCs w:val="24"/>
        </w:rPr>
        <w:t xml:space="preserve"> through </w:t>
      </w:r>
      <w:r w:rsidR="00C91A73">
        <w:rPr>
          <w:rFonts w:ascii="Garamond" w:hAnsi="Garamond" w:cs="Futura"/>
          <w:sz w:val="24"/>
          <w:szCs w:val="24"/>
        </w:rPr>
        <w:t xml:space="preserve">the </w:t>
      </w:r>
      <w:r w:rsidR="00445F07">
        <w:rPr>
          <w:rFonts w:ascii="Garamond" w:hAnsi="Garamond" w:cs="Futura"/>
          <w:sz w:val="24"/>
          <w:szCs w:val="24"/>
        </w:rPr>
        <w:t>problem</w:t>
      </w:r>
      <w:r w:rsidR="00C91A73" w:rsidRPr="00CA3677">
        <w:rPr>
          <w:rFonts w:ascii="Garamond" w:hAnsi="Garamond" w:cs="Futura"/>
          <w:sz w:val="24"/>
          <w:szCs w:val="24"/>
        </w:rPr>
        <w:t>.</w:t>
      </w:r>
      <w:r w:rsidR="00C91A73">
        <w:rPr>
          <w:rFonts w:ascii="Garamond" w:hAnsi="Garamond" w:cs="Futura"/>
          <w:sz w:val="24"/>
          <w:szCs w:val="24"/>
        </w:rPr>
        <w:t xml:space="preserve"> </w:t>
      </w:r>
      <w:r w:rsidR="00445F07">
        <w:rPr>
          <w:rFonts w:ascii="Garamond" w:hAnsi="Garamond" w:cs="Futura"/>
          <w:sz w:val="24"/>
          <w:szCs w:val="24"/>
        </w:rPr>
        <w:t xml:space="preserve">But </w:t>
      </w:r>
      <w:r w:rsidR="009E3826">
        <w:rPr>
          <w:rFonts w:ascii="Garamond" w:hAnsi="Garamond" w:cs="Futura"/>
          <w:sz w:val="24"/>
          <w:szCs w:val="24"/>
        </w:rPr>
        <w:t xml:space="preserve">whether </w:t>
      </w:r>
      <w:r w:rsidR="00E84487">
        <w:rPr>
          <w:rFonts w:ascii="Garamond" w:hAnsi="Garamond" w:cs="Futura"/>
          <w:sz w:val="24"/>
          <w:szCs w:val="24"/>
        </w:rPr>
        <w:t xml:space="preserve">there is appetite </w:t>
      </w:r>
      <w:r w:rsidR="002524F6">
        <w:rPr>
          <w:rFonts w:ascii="Garamond" w:hAnsi="Garamond" w:cs="Futura"/>
          <w:sz w:val="24"/>
          <w:szCs w:val="24"/>
        </w:rPr>
        <w:t xml:space="preserve">for such a solution </w:t>
      </w:r>
      <w:r w:rsidR="003023C4">
        <w:rPr>
          <w:rFonts w:ascii="Garamond" w:hAnsi="Garamond" w:cs="Futura"/>
          <w:sz w:val="24"/>
          <w:szCs w:val="24"/>
        </w:rPr>
        <w:t>remains to be seen</w:t>
      </w:r>
      <w:r w:rsidR="009E3826">
        <w:rPr>
          <w:rFonts w:ascii="Garamond" w:hAnsi="Garamond" w:cs="Futura"/>
          <w:sz w:val="24"/>
          <w:szCs w:val="24"/>
        </w:rPr>
        <w:t>.</w:t>
      </w:r>
      <w:r w:rsidR="00FE262A">
        <w:rPr>
          <w:rFonts w:ascii="Garamond" w:hAnsi="Garamond" w:cs="Futura"/>
          <w:sz w:val="24"/>
          <w:szCs w:val="24"/>
        </w:rPr>
        <w:t xml:space="preserve"> </w:t>
      </w:r>
      <w:r w:rsidR="00E84487">
        <w:rPr>
          <w:rFonts w:ascii="Garamond" w:hAnsi="Garamond" w:cs="Futura"/>
          <w:sz w:val="24"/>
          <w:szCs w:val="24"/>
        </w:rPr>
        <w:t>T</w:t>
      </w:r>
      <w:r w:rsidR="002209F0">
        <w:rPr>
          <w:rFonts w:ascii="Garamond" w:hAnsi="Garamond" w:cs="Futura"/>
          <w:sz w:val="24"/>
          <w:szCs w:val="24"/>
        </w:rPr>
        <w:t xml:space="preserve">he </w:t>
      </w:r>
      <w:r w:rsidR="00BE31B7">
        <w:rPr>
          <w:rFonts w:ascii="Garamond" w:hAnsi="Garamond" w:cs="Futura"/>
          <w:sz w:val="24"/>
          <w:szCs w:val="24"/>
        </w:rPr>
        <w:t xml:space="preserve">Government </w:t>
      </w:r>
      <w:r w:rsidR="00E84487">
        <w:rPr>
          <w:rFonts w:ascii="Garamond" w:hAnsi="Garamond" w:cs="Futura"/>
          <w:sz w:val="24"/>
          <w:szCs w:val="24"/>
        </w:rPr>
        <w:t>may not</w:t>
      </w:r>
      <w:r w:rsidR="002209F0">
        <w:rPr>
          <w:rFonts w:ascii="Garamond" w:hAnsi="Garamond" w:cs="Futura"/>
          <w:sz w:val="24"/>
          <w:szCs w:val="24"/>
        </w:rPr>
        <w:t xml:space="preserve"> wish </w:t>
      </w:r>
      <w:r w:rsidR="00BE31B7">
        <w:rPr>
          <w:rFonts w:ascii="Garamond" w:hAnsi="Garamond" w:cs="Futura"/>
          <w:sz w:val="24"/>
          <w:szCs w:val="24"/>
        </w:rPr>
        <w:t xml:space="preserve">to tie its hands </w:t>
      </w:r>
      <w:r w:rsidR="002209F0">
        <w:rPr>
          <w:rFonts w:ascii="Garamond" w:hAnsi="Garamond" w:cs="Futura"/>
          <w:sz w:val="24"/>
          <w:szCs w:val="24"/>
        </w:rPr>
        <w:t>on</w:t>
      </w:r>
      <w:r w:rsidR="00E3021E">
        <w:rPr>
          <w:rFonts w:ascii="Garamond" w:hAnsi="Garamond" w:cs="Futura"/>
          <w:sz w:val="24"/>
          <w:szCs w:val="24"/>
        </w:rPr>
        <w:t xml:space="preserve"> treaty withdrawal </w:t>
      </w:r>
      <w:r w:rsidR="007A7EFD">
        <w:rPr>
          <w:rFonts w:ascii="Garamond" w:hAnsi="Garamond" w:cs="Futura"/>
          <w:sz w:val="24"/>
          <w:szCs w:val="24"/>
        </w:rPr>
        <w:t>a</w:t>
      </w:r>
      <w:r w:rsidR="00BE31B7">
        <w:rPr>
          <w:rFonts w:ascii="Garamond" w:hAnsi="Garamond" w:cs="Futura"/>
          <w:sz w:val="24"/>
          <w:szCs w:val="24"/>
        </w:rPr>
        <w:t xml:space="preserve">nd </w:t>
      </w:r>
      <w:r w:rsidR="00E3021E">
        <w:rPr>
          <w:rFonts w:ascii="Garamond" w:hAnsi="Garamond" w:cs="Futura"/>
          <w:sz w:val="24"/>
          <w:szCs w:val="24"/>
        </w:rPr>
        <w:t xml:space="preserve">may instead seek </w:t>
      </w:r>
      <w:r w:rsidR="00E84487">
        <w:rPr>
          <w:rFonts w:ascii="Garamond" w:hAnsi="Garamond" w:cs="Futura"/>
          <w:sz w:val="24"/>
          <w:szCs w:val="24"/>
        </w:rPr>
        <w:t xml:space="preserve">to rely, where possible, on </w:t>
      </w:r>
      <w:r w:rsidR="005832AA">
        <w:rPr>
          <w:rFonts w:ascii="Garamond" w:hAnsi="Garamond" w:cs="Futura"/>
          <w:sz w:val="24"/>
          <w:szCs w:val="24"/>
        </w:rPr>
        <w:t>prerogative action</w:t>
      </w:r>
      <w:r w:rsidR="00E3021E">
        <w:rPr>
          <w:rFonts w:ascii="Garamond" w:hAnsi="Garamond" w:cs="Futura"/>
          <w:sz w:val="24"/>
          <w:szCs w:val="24"/>
        </w:rPr>
        <w:t xml:space="preserve"> – all the while </w:t>
      </w:r>
      <w:r w:rsidR="000B7645">
        <w:rPr>
          <w:rFonts w:ascii="Garamond" w:hAnsi="Garamond" w:cs="Futura"/>
          <w:sz w:val="24"/>
          <w:szCs w:val="24"/>
        </w:rPr>
        <w:t>hoping to avoid</w:t>
      </w:r>
      <w:r w:rsidR="001A6D2B">
        <w:rPr>
          <w:rFonts w:ascii="Garamond" w:hAnsi="Garamond" w:cs="Futura"/>
          <w:sz w:val="24"/>
          <w:szCs w:val="24"/>
        </w:rPr>
        <w:t xml:space="preserve"> being caught</w:t>
      </w:r>
      <w:r w:rsidR="000A4A49">
        <w:rPr>
          <w:rFonts w:ascii="Garamond" w:hAnsi="Garamond" w:cs="Futura"/>
          <w:sz w:val="24"/>
          <w:szCs w:val="24"/>
        </w:rPr>
        <w:t xml:space="preserve"> by</w:t>
      </w:r>
      <w:r w:rsidR="00E3021E">
        <w:rPr>
          <w:rFonts w:ascii="Garamond" w:hAnsi="Garamond" w:cs="Futura"/>
          <w:sz w:val="24"/>
          <w:szCs w:val="24"/>
        </w:rPr>
        <w:t xml:space="preserve"> </w:t>
      </w:r>
      <w:r w:rsidR="00E3021E" w:rsidRPr="000A4A49">
        <w:rPr>
          <w:rFonts w:ascii="Garamond" w:hAnsi="Garamond" w:cs="Futura"/>
          <w:i/>
          <w:sz w:val="24"/>
          <w:szCs w:val="24"/>
        </w:rPr>
        <w:t>Miller</w:t>
      </w:r>
      <w:r w:rsidR="00E3021E">
        <w:rPr>
          <w:rFonts w:ascii="Garamond" w:hAnsi="Garamond" w:cs="Futura"/>
          <w:sz w:val="24"/>
          <w:szCs w:val="24"/>
        </w:rPr>
        <w:t xml:space="preserve">’s </w:t>
      </w:r>
      <w:r w:rsidR="000A4A49">
        <w:rPr>
          <w:rFonts w:ascii="Garamond" w:hAnsi="Garamond" w:cs="Futura"/>
          <w:sz w:val="24"/>
          <w:szCs w:val="24"/>
        </w:rPr>
        <w:t>net.</w:t>
      </w:r>
      <w:r w:rsidR="005832AA">
        <w:rPr>
          <w:rFonts w:ascii="Garamond" w:hAnsi="Garamond" w:cs="Futura"/>
          <w:sz w:val="24"/>
          <w:szCs w:val="24"/>
        </w:rPr>
        <w:t xml:space="preserve"> </w:t>
      </w:r>
      <w:r w:rsidR="006A2C7F">
        <w:rPr>
          <w:rFonts w:ascii="Garamond" w:hAnsi="Garamond" w:cs="Futura"/>
          <w:sz w:val="24"/>
          <w:szCs w:val="24"/>
        </w:rPr>
        <w:t xml:space="preserve">If so, </w:t>
      </w:r>
      <w:r w:rsidR="005C55CB">
        <w:rPr>
          <w:rFonts w:ascii="Garamond" w:hAnsi="Garamond" w:cs="Futura"/>
          <w:sz w:val="24"/>
          <w:szCs w:val="24"/>
        </w:rPr>
        <w:t xml:space="preserve">we </w:t>
      </w:r>
      <w:r w:rsidR="000B7645">
        <w:rPr>
          <w:rFonts w:ascii="Garamond" w:hAnsi="Garamond" w:cs="Futura"/>
          <w:sz w:val="24"/>
          <w:szCs w:val="24"/>
        </w:rPr>
        <w:t>should</w:t>
      </w:r>
      <w:r w:rsidR="000A4A49">
        <w:rPr>
          <w:rFonts w:ascii="Garamond" w:hAnsi="Garamond" w:cs="Futura"/>
          <w:sz w:val="24"/>
          <w:szCs w:val="24"/>
        </w:rPr>
        <w:t xml:space="preserve"> </w:t>
      </w:r>
      <w:r w:rsidR="006A2C7F">
        <w:rPr>
          <w:rFonts w:ascii="Garamond" w:hAnsi="Garamond" w:cs="Futura"/>
          <w:sz w:val="24"/>
          <w:szCs w:val="24"/>
        </w:rPr>
        <w:t xml:space="preserve">continue to reflect on </w:t>
      </w:r>
      <w:r w:rsidR="000A4A49">
        <w:rPr>
          <w:rFonts w:ascii="Garamond" w:hAnsi="Garamond" w:cs="Futura"/>
          <w:sz w:val="24"/>
          <w:szCs w:val="24"/>
        </w:rPr>
        <w:t xml:space="preserve">how </w:t>
      </w:r>
      <w:r w:rsidR="000B7645">
        <w:rPr>
          <w:rFonts w:ascii="Garamond" w:hAnsi="Garamond" w:cs="Futura"/>
          <w:sz w:val="24"/>
          <w:szCs w:val="24"/>
        </w:rPr>
        <w:t>widely or narrowly</w:t>
      </w:r>
      <w:r w:rsidR="000A4A49">
        <w:rPr>
          <w:rFonts w:ascii="Garamond" w:hAnsi="Garamond" w:cs="Futura"/>
          <w:sz w:val="24"/>
          <w:szCs w:val="24"/>
        </w:rPr>
        <w:t xml:space="preserve"> that </w:t>
      </w:r>
      <w:r w:rsidR="001A6D2B">
        <w:rPr>
          <w:rFonts w:ascii="Garamond" w:hAnsi="Garamond" w:cs="Futura"/>
          <w:sz w:val="24"/>
          <w:szCs w:val="24"/>
        </w:rPr>
        <w:t>net may be cast</w:t>
      </w:r>
      <w:r w:rsidR="005C55CB">
        <w:rPr>
          <w:rFonts w:ascii="Garamond" w:hAnsi="Garamond" w:cs="Futura"/>
          <w:sz w:val="24"/>
          <w:szCs w:val="24"/>
        </w:rPr>
        <w:t>.</w:t>
      </w:r>
    </w:p>
    <w:p w14:paraId="397125DF" w14:textId="77777777" w:rsidR="00E050B8" w:rsidRDefault="00E050B8" w:rsidP="00DF56D7">
      <w:pPr>
        <w:contextualSpacing/>
        <w:rPr>
          <w:rFonts w:ascii="Garamond" w:hAnsi="Garamond" w:cs="Futura"/>
          <w:sz w:val="24"/>
          <w:szCs w:val="24"/>
        </w:rPr>
      </w:pPr>
    </w:p>
    <w:p w14:paraId="244D0916" w14:textId="2B7B5104" w:rsidR="00622448" w:rsidRPr="00622448" w:rsidRDefault="005C6D20" w:rsidP="00622448">
      <w:pPr>
        <w:contextualSpacing/>
        <w:jc w:val="center"/>
        <w:rPr>
          <w:rFonts w:ascii="Garamond" w:hAnsi="Garamond" w:cs="Futura"/>
          <w:b/>
          <w:sz w:val="24"/>
          <w:szCs w:val="24"/>
        </w:rPr>
      </w:pPr>
      <w:r>
        <w:rPr>
          <w:rFonts w:ascii="Garamond" w:hAnsi="Garamond" w:cs="Futura"/>
          <w:b/>
          <w:sz w:val="24"/>
          <w:szCs w:val="24"/>
        </w:rPr>
        <w:t xml:space="preserve">V. </w:t>
      </w:r>
      <w:r w:rsidR="00622448" w:rsidRPr="00622448">
        <w:rPr>
          <w:rFonts w:ascii="Garamond" w:hAnsi="Garamond" w:cs="Futura"/>
          <w:b/>
          <w:sz w:val="24"/>
          <w:szCs w:val="24"/>
        </w:rPr>
        <w:t>Concluding remarks</w:t>
      </w:r>
    </w:p>
    <w:p w14:paraId="671E1FED" w14:textId="0E457631" w:rsidR="00622448" w:rsidRDefault="00622448" w:rsidP="00DF56D7">
      <w:pPr>
        <w:contextualSpacing/>
        <w:rPr>
          <w:rFonts w:ascii="Garamond" w:hAnsi="Garamond" w:cs="Futura"/>
          <w:sz w:val="24"/>
          <w:szCs w:val="24"/>
        </w:rPr>
      </w:pPr>
    </w:p>
    <w:p w14:paraId="7AA0EEBB" w14:textId="311DCA56" w:rsidR="00622448" w:rsidRDefault="00EA6C16" w:rsidP="00622448">
      <w:pPr>
        <w:contextualSpacing/>
        <w:rPr>
          <w:rFonts w:ascii="Garamond" w:hAnsi="Garamond" w:cs="Futura"/>
          <w:sz w:val="24"/>
        </w:rPr>
      </w:pPr>
      <w:r>
        <w:rPr>
          <w:rFonts w:ascii="Garamond" w:hAnsi="Garamond" w:cs="Futura"/>
          <w:sz w:val="24"/>
        </w:rPr>
        <w:t xml:space="preserve">Various criticisms have been made of the majority’s judgment in </w:t>
      </w:r>
      <w:r w:rsidRPr="00EA6C16">
        <w:rPr>
          <w:rFonts w:ascii="Garamond" w:hAnsi="Garamond" w:cs="Futura"/>
          <w:i/>
          <w:sz w:val="24"/>
        </w:rPr>
        <w:t>Miller</w:t>
      </w:r>
      <w:r w:rsidR="00EE3134">
        <w:rPr>
          <w:rFonts w:ascii="Garamond" w:hAnsi="Garamond" w:cs="Futura"/>
          <w:sz w:val="24"/>
        </w:rPr>
        <w:t xml:space="preserve">. I </w:t>
      </w:r>
      <w:r w:rsidR="004408F3">
        <w:rPr>
          <w:rFonts w:ascii="Garamond" w:hAnsi="Garamond" w:cs="Futura"/>
          <w:sz w:val="24"/>
        </w:rPr>
        <w:t>do not wish to suggest</w:t>
      </w:r>
      <w:r w:rsidR="00861298">
        <w:rPr>
          <w:rFonts w:ascii="Garamond" w:hAnsi="Garamond" w:cs="Futura"/>
          <w:sz w:val="24"/>
        </w:rPr>
        <w:t xml:space="preserve"> that these are all unsound. B</w:t>
      </w:r>
      <w:r>
        <w:rPr>
          <w:rFonts w:ascii="Garamond" w:hAnsi="Garamond" w:cs="Futura"/>
          <w:sz w:val="24"/>
        </w:rPr>
        <w:t xml:space="preserve">ut more </w:t>
      </w:r>
      <w:r>
        <w:rPr>
          <w:rFonts w:ascii="Garamond" w:hAnsi="Garamond" w:cs="Futura"/>
          <w:sz w:val="24"/>
        </w:rPr>
        <w:lastRenderedPageBreak/>
        <w:t xml:space="preserve">can be done to read the judgment </w:t>
      </w:r>
      <w:r w:rsidR="00873396">
        <w:rPr>
          <w:rFonts w:ascii="Garamond" w:hAnsi="Garamond" w:cs="Futura"/>
          <w:sz w:val="24"/>
        </w:rPr>
        <w:t>sympathetically</w:t>
      </w:r>
      <w:r w:rsidR="00861298">
        <w:rPr>
          <w:rFonts w:ascii="Garamond" w:hAnsi="Garamond" w:cs="Futura"/>
          <w:sz w:val="24"/>
        </w:rPr>
        <w:t>. T</w:t>
      </w:r>
      <w:r w:rsidR="00EE3134">
        <w:rPr>
          <w:rFonts w:ascii="Garamond" w:hAnsi="Garamond" w:cs="Futura"/>
          <w:sz w:val="24"/>
        </w:rPr>
        <w:t>his</w:t>
      </w:r>
      <w:r>
        <w:rPr>
          <w:rFonts w:ascii="Garamond" w:hAnsi="Garamond" w:cs="Futura"/>
          <w:sz w:val="24"/>
        </w:rPr>
        <w:t xml:space="preserve"> has been my first aim in </w:t>
      </w:r>
      <w:r w:rsidR="00EE3134">
        <w:rPr>
          <w:rFonts w:ascii="Garamond" w:hAnsi="Garamond" w:cs="Futura"/>
          <w:sz w:val="24"/>
        </w:rPr>
        <w:t>the</w:t>
      </w:r>
      <w:r>
        <w:rPr>
          <w:rFonts w:ascii="Garamond" w:hAnsi="Garamond" w:cs="Futura"/>
          <w:sz w:val="24"/>
        </w:rPr>
        <w:t xml:space="preserve"> paper. My second aim has been to </w:t>
      </w:r>
      <w:r w:rsidR="00EE3134">
        <w:rPr>
          <w:rFonts w:ascii="Garamond" w:hAnsi="Garamond" w:cs="Futura"/>
          <w:sz w:val="24"/>
        </w:rPr>
        <w:t xml:space="preserve">consider the implications of </w:t>
      </w:r>
      <w:r w:rsidR="00EE3134" w:rsidRPr="00EE3134">
        <w:rPr>
          <w:rFonts w:ascii="Garamond" w:hAnsi="Garamond" w:cs="Futura"/>
          <w:i/>
          <w:sz w:val="24"/>
        </w:rPr>
        <w:t>Miller</w:t>
      </w:r>
      <w:r w:rsidR="00EE3134">
        <w:rPr>
          <w:rFonts w:ascii="Garamond" w:hAnsi="Garamond" w:cs="Futura"/>
          <w:sz w:val="24"/>
        </w:rPr>
        <w:t xml:space="preserve"> as we </w:t>
      </w:r>
      <w:r w:rsidR="00CB5C0F">
        <w:rPr>
          <w:rFonts w:ascii="Garamond" w:hAnsi="Garamond" w:cs="Futura"/>
          <w:sz w:val="24"/>
        </w:rPr>
        <w:t>move forward</w:t>
      </w:r>
      <w:r w:rsidR="00EE3134">
        <w:rPr>
          <w:rFonts w:ascii="Garamond" w:hAnsi="Garamond" w:cs="Futura"/>
          <w:sz w:val="24"/>
        </w:rPr>
        <w:t xml:space="preserve">. </w:t>
      </w:r>
      <w:r>
        <w:rPr>
          <w:rFonts w:ascii="Garamond" w:hAnsi="Garamond" w:cs="Futura"/>
          <w:sz w:val="24"/>
        </w:rPr>
        <w:t xml:space="preserve">Whether or not we believe that the majority’s </w:t>
      </w:r>
      <w:r w:rsidR="0040031F">
        <w:rPr>
          <w:rFonts w:ascii="Garamond" w:hAnsi="Garamond" w:cs="Futura"/>
          <w:sz w:val="24"/>
        </w:rPr>
        <w:t>judgment</w:t>
      </w:r>
      <w:r>
        <w:rPr>
          <w:rFonts w:ascii="Garamond" w:hAnsi="Garamond" w:cs="Futura"/>
          <w:sz w:val="24"/>
        </w:rPr>
        <w:t xml:space="preserve"> was </w:t>
      </w:r>
      <w:r w:rsidR="0040031F">
        <w:rPr>
          <w:rFonts w:ascii="Garamond" w:hAnsi="Garamond" w:cs="Futura"/>
          <w:sz w:val="24"/>
        </w:rPr>
        <w:t>sound</w:t>
      </w:r>
      <w:r w:rsidR="000B7645">
        <w:rPr>
          <w:rFonts w:ascii="Garamond" w:hAnsi="Garamond" w:cs="Futura"/>
          <w:sz w:val="24"/>
        </w:rPr>
        <w:t xml:space="preserve"> – </w:t>
      </w:r>
      <w:r>
        <w:rPr>
          <w:rFonts w:ascii="Garamond" w:hAnsi="Garamond" w:cs="Futura"/>
          <w:sz w:val="24"/>
        </w:rPr>
        <w:t>as a matter of la</w:t>
      </w:r>
      <w:r w:rsidR="000B7645">
        <w:rPr>
          <w:rFonts w:ascii="Garamond" w:hAnsi="Garamond" w:cs="Futura"/>
          <w:sz w:val="24"/>
        </w:rPr>
        <w:t>w, political morality, or both –</w:t>
      </w:r>
      <w:r>
        <w:rPr>
          <w:rFonts w:ascii="Garamond" w:hAnsi="Garamond" w:cs="Futura"/>
          <w:sz w:val="24"/>
        </w:rPr>
        <w:t xml:space="preserve"> </w:t>
      </w:r>
      <w:r w:rsidR="00EE3134">
        <w:rPr>
          <w:rFonts w:ascii="Garamond" w:hAnsi="Garamond" w:cs="Futura"/>
          <w:sz w:val="24"/>
        </w:rPr>
        <w:t xml:space="preserve">where </w:t>
      </w:r>
      <w:r w:rsidR="00622448">
        <w:rPr>
          <w:rFonts w:ascii="Garamond" w:hAnsi="Garamond" w:cs="Futura"/>
          <w:sz w:val="24"/>
        </w:rPr>
        <w:t xml:space="preserve">does </w:t>
      </w:r>
      <w:r w:rsidR="00622448" w:rsidRPr="00B87A48">
        <w:rPr>
          <w:rFonts w:ascii="Garamond" w:hAnsi="Garamond" w:cs="Futura"/>
          <w:i/>
          <w:sz w:val="24"/>
        </w:rPr>
        <w:t>Miller</w:t>
      </w:r>
      <w:r w:rsidR="00622448">
        <w:rPr>
          <w:rFonts w:ascii="Garamond" w:hAnsi="Garamond" w:cs="Futura"/>
          <w:sz w:val="24"/>
        </w:rPr>
        <w:t xml:space="preserve"> take us?</w:t>
      </w:r>
      <w:r>
        <w:rPr>
          <w:rFonts w:ascii="Garamond" w:hAnsi="Garamond" w:cs="Futura"/>
          <w:sz w:val="24"/>
        </w:rPr>
        <w:t xml:space="preserve"> Th</w:t>
      </w:r>
      <w:r w:rsidR="003F2BA7">
        <w:rPr>
          <w:rFonts w:ascii="Garamond" w:hAnsi="Garamond" w:cs="Futura"/>
          <w:sz w:val="24"/>
        </w:rPr>
        <w:t xml:space="preserve">e answer </w:t>
      </w:r>
      <w:r w:rsidR="00706408">
        <w:rPr>
          <w:rFonts w:ascii="Garamond" w:hAnsi="Garamond" w:cs="Futura"/>
          <w:sz w:val="24"/>
        </w:rPr>
        <w:t>is un</w:t>
      </w:r>
      <w:r w:rsidR="00AB5123">
        <w:rPr>
          <w:rFonts w:ascii="Garamond" w:hAnsi="Garamond" w:cs="Futura"/>
          <w:sz w:val="24"/>
        </w:rPr>
        <w:t>clear</w:t>
      </w:r>
      <w:r w:rsidR="0045030C">
        <w:rPr>
          <w:rFonts w:ascii="Garamond" w:hAnsi="Garamond" w:cs="Futura"/>
          <w:sz w:val="24"/>
        </w:rPr>
        <w:t xml:space="preserve">. Lawyers, judges and law-makers </w:t>
      </w:r>
      <w:r w:rsidR="003F2BA7">
        <w:rPr>
          <w:rFonts w:ascii="Garamond" w:hAnsi="Garamond" w:cs="Futura"/>
          <w:sz w:val="24"/>
        </w:rPr>
        <w:t>have given themselves plenty to do.</w:t>
      </w:r>
    </w:p>
    <w:p w14:paraId="69EB829A" w14:textId="24A9CB55" w:rsidR="002858BA" w:rsidRPr="000A56E4" w:rsidRDefault="002858BA" w:rsidP="00B8704A">
      <w:pPr>
        <w:contextualSpacing/>
        <w:rPr>
          <w:rFonts w:ascii="Garamond" w:hAnsi="Garamond" w:cs="Futura"/>
          <w:sz w:val="24"/>
        </w:rPr>
      </w:pPr>
    </w:p>
    <w:sectPr w:rsidR="002858BA" w:rsidRPr="000A56E4" w:rsidSect="00C076AE">
      <w:footerReference w:type="even" r:id="rId8"/>
      <w:footerReference w:type="default" r:id="rId9"/>
      <w:pgSz w:w="11900" w:h="16840"/>
      <w:pgMar w:top="2835" w:right="2835" w:bottom="2835"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A4D9F" w14:textId="77777777" w:rsidR="009542AC" w:rsidRDefault="009542AC" w:rsidP="00DE0704">
      <w:r>
        <w:separator/>
      </w:r>
    </w:p>
  </w:endnote>
  <w:endnote w:type="continuationSeparator" w:id="0">
    <w:p w14:paraId="105E1EC3" w14:textId="77777777" w:rsidR="009542AC" w:rsidRDefault="009542AC" w:rsidP="00DE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utura">
    <w:panose1 w:val="020B0602020204020303"/>
    <w:charset w:val="00"/>
    <w:family w:val="swiss"/>
    <w:pitch w:val="variable"/>
    <w:sig w:usb0="A0000AEF" w:usb1="5000214A"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D22C" w14:textId="77777777" w:rsidR="00AC609B" w:rsidRDefault="00AC609B" w:rsidP="00C32D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31B468" w14:textId="77777777" w:rsidR="00AC609B" w:rsidRDefault="00AC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D95E" w14:textId="77777777" w:rsidR="00AC609B" w:rsidRPr="000A56E4" w:rsidRDefault="00AC609B" w:rsidP="00C32D5D">
    <w:pPr>
      <w:pStyle w:val="Footer"/>
      <w:framePr w:wrap="around" w:vAnchor="text" w:hAnchor="margin" w:xAlign="center" w:y="1"/>
      <w:rPr>
        <w:rStyle w:val="PageNumber"/>
        <w:rFonts w:ascii="Garamond" w:hAnsi="Garamond"/>
        <w:sz w:val="20"/>
        <w:szCs w:val="20"/>
      </w:rPr>
    </w:pPr>
    <w:r w:rsidRPr="000A56E4">
      <w:rPr>
        <w:rStyle w:val="PageNumber"/>
        <w:rFonts w:ascii="Garamond" w:hAnsi="Garamond"/>
        <w:sz w:val="20"/>
        <w:szCs w:val="20"/>
      </w:rPr>
      <w:fldChar w:fldCharType="begin"/>
    </w:r>
    <w:r w:rsidRPr="000A56E4">
      <w:rPr>
        <w:rStyle w:val="PageNumber"/>
        <w:rFonts w:ascii="Garamond" w:hAnsi="Garamond"/>
        <w:sz w:val="20"/>
        <w:szCs w:val="20"/>
      </w:rPr>
      <w:instrText xml:space="preserve">PAGE  </w:instrText>
    </w:r>
    <w:r w:rsidRPr="000A56E4">
      <w:rPr>
        <w:rStyle w:val="PageNumber"/>
        <w:rFonts w:ascii="Garamond" w:hAnsi="Garamond"/>
        <w:sz w:val="20"/>
        <w:szCs w:val="20"/>
      </w:rPr>
      <w:fldChar w:fldCharType="separate"/>
    </w:r>
    <w:r>
      <w:rPr>
        <w:rStyle w:val="PageNumber"/>
        <w:rFonts w:ascii="Garamond" w:hAnsi="Garamond"/>
        <w:noProof/>
        <w:sz w:val="20"/>
        <w:szCs w:val="20"/>
      </w:rPr>
      <w:t>1</w:t>
    </w:r>
    <w:r w:rsidRPr="000A56E4">
      <w:rPr>
        <w:rStyle w:val="PageNumber"/>
        <w:rFonts w:ascii="Garamond" w:hAnsi="Garamond"/>
        <w:sz w:val="20"/>
        <w:szCs w:val="20"/>
      </w:rPr>
      <w:fldChar w:fldCharType="end"/>
    </w:r>
  </w:p>
  <w:p w14:paraId="2F48BAA6" w14:textId="77777777" w:rsidR="00AC609B" w:rsidRDefault="00AC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9E661" w14:textId="77777777" w:rsidR="009542AC" w:rsidRDefault="009542AC" w:rsidP="00DE0704">
      <w:r>
        <w:separator/>
      </w:r>
    </w:p>
  </w:footnote>
  <w:footnote w:type="continuationSeparator" w:id="0">
    <w:p w14:paraId="56A4C786" w14:textId="77777777" w:rsidR="009542AC" w:rsidRDefault="009542AC" w:rsidP="00DE0704">
      <w:r>
        <w:continuationSeparator/>
      </w:r>
    </w:p>
  </w:footnote>
  <w:footnote w:id="1">
    <w:p w14:paraId="6422E5BE" w14:textId="29A1A14E" w:rsidR="00AC609B" w:rsidRPr="00467CF8" w:rsidRDefault="00AC609B" w:rsidP="001A3463">
      <w:pPr>
        <w:pStyle w:val="FootnoteText"/>
        <w:contextualSpacing/>
        <w:rPr>
          <w:rFonts w:ascii="Garamond" w:hAnsi="Garamond"/>
          <w:sz w:val="16"/>
          <w:szCs w:val="16"/>
        </w:rPr>
      </w:pPr>
      <w:r w:rsidRPr="00467CF8">
        <w:rPr>
          <w:rStyle w:val="FootnoteReference"/>
          <w:rFonts w:ascii="Garamond" w:hAnsi="Garamond"/>
          <w:sz w:val="16"/>
          <w:szCs w:val="16"/>
        </w:rPr>
        <w:sym w:font="Symbol" w:char="F02A"/>
      </w:r>
      <w:r w:rsidRPr="00467CF8">
        <w:rPr>
          <w:rFonts w:ascii="Garamond" w:hAnsi="Garamond"/>
          <w:sz w:val="16"/>
          <w:szCs w:val="16"/>
        </w:rPr>
        <w:t xml:space="preserve"> </w:t>
      </w:r>
      <w:r w:rsidR="00271C7B" w:rsidRPr="00467CF8">
        <w:rPr>
          <w:rFonts w:ascii="Garamond" w:hAnsi="Garamond"/>
          <w:sz w:val="16"/>
          <w:szCs w:val="16"/>
        </w:rPr>
        <w:t xml:space="preserve">Southampton Law School. </w:t>
      </w:r>
      <w:r w:rsidRPr="00467CF8">
        <w:rPr>
          <w:rFonts w:ascii="Garamond" w:hAnsi="Garamond"/>
          <w:sz w:val="16"/>
          <w:szCs w:val="16"/>
        </w:rPr>
        <w:t>I am very grateful to Davi</w:t>
      </w:r>
      <w:r w:rsidR="003D54C6" w:rsidRPr="00467CF8">
        <w:rPr>
          <w:rFonts w:ascii="Garamond" w:hAnsi="Garamond"/>
          <w:sz w:val="16"/>
          <w:szCs w:val="16"/>
        </w:rPr>
        <w:t>d Feldman and to audiences in Reading and Southampton.</w:t>
      </w:r>
    </w:p>
  </w:footnote>
  <w:footnote w:id="2">
    <w:p w14:paraId="02E2E27B" w14:textId="679100C1"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R (</w:t>
      </w:r>
      <w:r w:rsidRPr="00467CF8">
        <w:rPr>
          <w:rFonts w:ascii="Garamond" w:hAnsi="Garamond"/>
          <w:i/>
          <w:sz w:val="16"/>
          <w:szCs w:val="16"/>
        </w:rPr>
        <w:t>Miller) v Secretary of State for Exiting the European Union</w:t>
      </w:r>
      <w:r w:rsidRPr="00467CF8">
        <w:rPr>
          <w:rFonts w:ascii="Garamond" w:hAnsi="Garamond"/>
          <w:sz w:val="16"/>
          <w:szCs w:val="16"/>
        </w:rPr>
        <w:t xml:space="preserve"> [2017] UKSC 5.</w:t>
      </w:r>
    </w:p>
  </w:footnote>
  <w:footnote w:id="3">
    <w:p w14:paraId="124583A1" w14:textId="5AE10B60"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Strictly the Short Title of the Act is inaccurate because Article 50(2) TEU envisages the notification of an </w:t>
      </w:r>
      <w:r w:rsidRPr="00467CF8">
        <w:rPr>
          <w:rFonts w:ascii="Garamond" w:hAnsi="Garamond"/>
          <w:i/>
          <w:sz w:val="16"/>
          <w:szCs w:val="16"/>
        </w:rPr>
        <w:t>intention</w:t>
      </w:r>
      <w:r w:rsidRPr="00467CF8">
        <w:rPr>
          <w:rFonts w:ascii="Garamond" w:hAnsi="Garamond"/>
          <w:sz w:val="16"/>
          <w:szCs w:val="16"/>
        </w:rPr>
        <w:t xml:space="preserve"> to withdraw, not of withdrawal. See P. Allott, “The Short Title of the European Union (Notification of Withdrawal) Bill Is Incorrect”, </w:t>
      </w:r>
      <w:r w:rsidRPr="00467CF8">
        <w:rPr>
          <w:rFonts w:ascii="Garamond" w:hAnsi="Garamond"/>
          <w:i/>
          <w:sz w:val="16"/>
          <w:szCs w:val="16"/>
        </w:rPr>
        <w:t>https://ukconstitutionallaw.org/2017/01/30/philip-allott-the-short-title-of-the-european-union-notification-of-withdrawal-bill-is-incorrect/</w:t>
      </w:r>
      <w:r w:rsidRPr="00467CF8">
        <w:rPr>
          <w:rFonts w:ascii="Garamond" w:hAnsi="Garamond"/>
          <w:sz w:val="16"/>
          <w:szCs w:val="16"/>
        </w:rPr>
        <w:t xml:space="preserve"> [Accessed </w:t>
      </w:r>
      <w:r w:rsidR="00921261" w:rsidRPr="00467CF8">
        <w:rPr>
          <w:rFonts w:ascii="Garamond" w:hAnsi="Garamond"/>
          <w:sz w:val="16"/>
          <w:szCs w:val="16"/>
        </w:rPr>
        <w:t>1 October</w:t>
      </w:r>
      <w:r w:rsidRPr="00467CF8">
        <w:rPr>
          <w:rFonts w:ascii="Garamond" w:hAnsi="Garamond"/>
          <w:sz w:val="16"/>
          <w:szCs w:val="16"/>
        </w:rPr>
        <w:t xml:space="preserve"> 2018].</w:t>
      </w:r>
    </w:p>
  </w:footnote>
  <w:footnote w:id="4">
    <w:p w14:paraId="5591A985" w14:textId="0E3D8D09"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xml:space="preserve">, para. </w:t>
      </w:r>
      <w:r w:rsidR="00DB52E8" w:rsidRPr="00467CF8">
        <w:rPr>
          <w:rFonts w:ascii="Garamond" w:hAnsi="Garamond"/>
          <w:sz w:val="16"/>
          <w:szCs w:val="16"/>
        </w:rPr>
        <w:t>101. This was the main finding. The</w:t>
      </w:r>
      <w:r w:rsidRPr="00467CF8">
        <w:rPr>
          <w:rFonts w:ascii="Garamond" w:hAnsi="Garamond"/>
          <w:sz w:val="16"/>
          <w:szCs w:val="16"/>
        </w:rPr>
        <w:t xml:space="preserve"> majority also went on to consider the implications of subsequent legislation such as the European Parliamentary Elections Act 2002, </w:t>
      </w:r>
      <w:r w:rsidR="00834F4D" w:rsidRPr="00467CF8">
        <w:rPr>
          <w:rFonts w:ascii="Garamond" w:hAnsi="Garamond"/>
          <w:sz w:val="16"/>
          <w:szCs w:val="16"/>
        </w:rPr>
        <w:t>although it continued to rely on the main finding</w:t>
      </w:r>
      <w:r w:rsidRPr="00467CF8">
        <w:rPr>
          <w:rFonts w:ascii="Garamond" w:hAnsi="Garamond"/>
          <w:sz w:val="16"/>
          <w:szCs w:val="16"/>
        </w:rPr>
        <w:t>– e.g. para. 115.</w:t>
      </w:r>
    </w:p>
  </w:footnote>
  <w:footnote w:id="5">
    <w:p w14:paraId="03F6FCFC" w14:textId="5CA82D7E"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60.</w:t>
      </w:r>
    </w:p>
  </w:footnote>
  <w:footnote w:id="6">
    <w:p w14:paraId="483CA09E" w14:textId="1BB0718A"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64.</w:t>
      </w:r>
    </w:p>
  </w:footnote>
  <w:footnote w:id="7">
    <w:p w14:paraId="7893AC36" w14:textId="05BA8703"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65. Also para. 80: “the 1972 Act effectively constitutes EU law as an entirely new, independent and overriding source of domestic law”.</w:t>
      </w:r>
    </w:p>
  </w:footnote>
  <w:footnote w:id="8">
    <w:p w14:paraId="564DD5E7" w14:textId="22973F8B"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90.</w:t>
      </w:r>
    </w:p>
  </w:footnote>
  <w:footnote w:id="9">
    <w:p w14:paraId="74F78907" w14:textId="77777777" w:rsidR="00AC609B" w:rsidRPr="00467CF8" w:rsidRDefault="00AC609B" w:rsidP="009923B8">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79.</w:t>
      </w:r>
    </w:p>
  </w:footnote>
  <w:footnote w:id="10">
    <w:p w14:paraId="0FC1E444" w14:textId="0E4B2F8A"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This “novel line of reasoning … went further than the Divisional Court had done and was more subtle than the arguments advanced by the Applicants and various Interveners”: N. Aroney, “R (</w:t>
      </w:r>
      <w:r w:rsidRPr="00467CF8">
        <w:rPr>
          <w:rFonts w:ascii="Garamond" w:hAnsi="Garamond"/>
          <w:i/>
          <w:sz w:val="16"/>
          <w:szCs w:val="16"/>
        </w:rPr>
        <w:t xml:space="preserve">Miller) </w:t>
      </w:r>
      <w:r w:rsidRPr="00467CF8">
        <w:rPr>
          <w:rFonts w:ascii="Garamond" w:hAnsi="Garamond"/>
          <w:sz w:val="16"/>
          <w:szCs w:val="16"/>
        </w:rPr>
        <w:t>v</w:t>
      </w:r>
      <w:r w:rsidRPr="00467CF8">
        <w:rPr>
          <w:rFonts w:ascii="Garamond" w:hAnsi="Garamond"/>
          <w:i/>
          <w:sz w:val="16"/>
          <w:szCs w:val="16"/>
        </w:rPr>
        <w:t xml:space="preserve"> Secretary of State for Exiting the European Union</w:t>
      </w:r>
      <w:r w:rsidRPr="00467CF8">
        <w:rPr>
          <w:rFonts w:ascii="Garamond" w:hAnsi="Garamond"/>
          <w:sz w:val="16"/>
          <w:szCs w:val="16"/>
        </w:rPr>
        <w:t>: Three Competing Syllogisms” (2017) 80 M.L.R. 726, at p.740. Also P. Birkinshaw, “Brexit Editorial Issue 2 Vol 23 June 2017” (2017) 23 European Public Law 205 at p.209: “This is a powerful and novel – dare one say revolutionary? – statement of UK constitutional law”; T. Poole, “Devolution to Legalism: On the Brexit Case” (2017) M.L.R. 696 at p.700.</w:t>
      </w:r>
    </w:p>
  </w:footnote>
  <w:footnote w:id="11">
    <w:p w14:paraId="4A3500B7" w14:textId="6B543FD1" w:rsidR="00DE0BF6" w:rsidRPr="00467CF8" w:rsidRDefault="00DE0BF6" w:rsidP="00DE0BF6">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00C80935" w:rsidRPr="00467CF8">
        <w:rPr>
          <w:rFonts w:ascii="Garamond" w:hAnsi="Garamond"/>
          <w:sz w:val="16"/>
          <w:szCs w:val="16"/>
        </w:rPr>
        <w:t>, para. 81.</w:t>
      </w:r>
      <w:r w:rsidRPr="00467CF8">
        <w:rPr>
          <w:rFonts w:ascii="Garamond" w:hAnsi="Garamond"/>
          <w:sz w:val="16"/>
          <w:szCs w:val="16"/>
        </w:rPr>
        <w:t xml:space="preserve"> </w:t>
      </w:r>
    </w:p>
  </w:footnote>
  <w:footnote w:id="12">
    <w:p w14:paraId="5AB88373" w14:textId="29C8BD15"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81.</w:t>
      </w:r>
    </w:p>
  </w:footnote>
  <w:footnote w:id="13">
    <w:p w14:paraId="2BC0A6B7" w14:textId="324442F0"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60.</w:t>
      </w:r>
    </w:p>
  </w:footnote>
  <w:footnote w:id="14">
    <w:p w14:paraId="24683308" w14:textId="7AF133CB" w:rsidR="00AC609B" w:rsidRPr="00467CF8" w:rsidRDefault="00AC609B" w:rsidP="00A77665">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 will also not be discussing criticism of other parts of the majority’s reasoning (e.g. its treatment of the devolution question).</w:t>
      </w:r>
    </w:p>
  </w:footnote>
  <w:footnote w:id="15">
    <w:p w14:paraId="412C6DFD" w14:textId="77777777"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228.</w:t>
      </w:r>
    </w:p>
  </w:footnote>
  <w:footnote w:id="16">
    <w:p w14:paraId="3785BA45" w14:textId="0BED5D54"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228.</w:t>
      </w:r>
    </w:p>
  </w:footnote>
  <w:footnote w:id="17">
    <w:p w14:paraId="709A13D1" w14:textId="1E72A9B1"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228.</w:t>
      </w:r>
    </w:p>
  </w:footnote>
  <w:footnote w:id="18">
    <w:p w14:paraId="7332503C" w14:textId="1212E3EE"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229.</w:t>
      </w:r>
    </w:p>
  </w:footnote>
  <w:footnote w:id="19">
    <w:p w14:paraId="758B23FA" w14:textId="6913B580"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204.</w:t>
      </w:r>
    </w:p>
  </w:footnote>
  <w:footnote w:id="20">
    <w:p w14:paraId="1DF810AA" w14:textId="2996C588"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M. Elliott, “The Supreme Court’s Judgment in </w:t>
      </w:r>
      <w:r w:rsidRPr="00467CF8">
        <w:rPr>
          <w:rFonts w:ascii="Garamond" w:hAnsi="Garamond"/>
          <w:i/>
          <w:sz w:val="16"/>
          <w:szCs w:val="16"/>
        </w:rPr>
        <w:t>Miller</w:t>
      </w:r>
      <w:r w:rsidRPr="00467CF8">
        <w:rPr>
          <w:rFonts w:ascii="Garamond" w:hAnsi="Garamond"/>
          <w:sz w:val="16"/>
          <w:szCs w:val="16"/>
        </w:rPr>
        <w:t>: In Search of Constitutional Principle” (2017) 76 C.L.J. 257 at pp.271-272. Elliott does consider whether the claims can be reconciled but suggests that doing so would only render them vacant: see pp.272-273.</w:t>
      </w:r>
    </w:p>
  </w:footnote>
  <w:footnote w:id="21">
    <w:p w14:paraId="1FDCF1B7" w14:textId="017AB593"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P. Craig, “</w:t>
      </w:r>
      <w:r w:rsidRPr="00467CF8">
        <w:rPr>
          <w:rFonts w:ascii="Garamond" w:hAnsi="Garamond"/>
          <w:i/>
          <w:sz w:val="16"/>
          <w:szCs w:val="16"/>
        </w:rPr>
        <w:t>Miller</w:t>
      </w:r>
      <w:r w:rsidRPr="00467CF8">
        <w:rPr>
          <w:rFonts w:ascii="Garamond" w:hAnsi="Garamond"/>
          <w:sz w:val="16"/>
          <w:szCs w:val="16"/>
        </w:rPr>
        <w:t>, Structural Constitutional Review and the Limits of Prerogative Power” [2017] P.L. 48 at pp.66-67 (footnotes omitted).</w:t>
      </w:r>
    </w:p>
  </w:footnote>
  <w:footnote w:id="22">
    <w:p w14:paraId="34B30313" w14:textId="4E433298"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E.g. R. Ekins, “Constitutional Practice and Principle in the Article 50 Litigation” (2017) 133 L.Q.R. 347 at p.349.</w:t>
      </w:r>
    </w:p>
  </w:footnote>
  <w:footnote w:id="23">
    <w:p w14:paraId="6FAB486B" w14:textId="63B11403" w:rsidR="00AC609B" w:rsidRPr="00467CF8" w:rsidRDefault="00AC609B" w:rsidP="007B1A4C">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 refer to </w:t>
      </w:r>
      <w:r w:rsidRPr="00467CF8">
        <w:rPr>
          <w:rFonts w:ascii="Garamond" w:hAnsi="Garamond"/>
          <w:i/>
          <w:sz w:val="16"/>
          <w:szCs w:val="16"/>
        </w:rPr>
        <w:t>an</w:t>
      </w:r>
      <w:r w:rsidRPr="00467CF8">
        <w:rPr>
          <w:rFonts w:ascii="Garamond" w:hAnsi="Garamond"/>
          <w:sz w:val="16"/>
          <w:szCs w:val="16"/>
        </w:rPr>
        <w:t xml:space="preserve"> ultimate rule of recognition because writers, including Hart, allow for the possibility that more than one ultimate rule of recognition may be </w:t>
      </w:r>
      <w:r w:rsidR="002F6FED" w:rsidRPr="00467CF8">
        <w:rPr>
          <w:rFonts w:ascii="Garamond" w:hAnsi="Garamond"/>
          <w:sz w:val="16"/>
          <w:szCs w:val="16"/>
        </w:rPr>
        <w:t>present</w:t>
      </w:r>
      <w:r w:rsidRPr="00467CF8">
        <w:rPr>
          <w:rFonts w:ascii="Garamond" w:hAnsi="Garamond"/>
          <w:sz w:val="16"/>
          <w:szCs w:val="16"/>
        </w:rPr>
        <w:t xml:space="preserve"> in </w:t>
      </w:r>
      <w:r w:rsidR="002F6FED" w:rsidRPr="00467CF8">
        <w:rPr>
          <w:rFonts w:ascii="Garamond" w:hAnsi="Garamond"/>
          <w:sz w:val="16"/>
          <w:szCs w:val="16"/>
        </w:rPr>
        <w:t xml:space="preserve">a </w:t>
      </w:r>
      <w:r w:rsidRPr="00467CF8">
        <w:rPr>
          <w:rFonts w:ascii="Garamond" w:hAnsi="Garamond"/>
          <w:sz w:val="16"/>
          <w:szCs w:val="16"/>
        </w:rPr>
        <w:t>legal system.</w:t>
      </w:r>
    </w:p>
  </w:footnote>
  <w:footnote w:id="24">
    <w:p w14:paraId="30CBD2CE" w14:textId="0427B413"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G. Lamond, “Legal Sources, the Rule of Recognition, and Customary Law” (2014) 59 American Journal of Jurisprudence 25.</w:t>
      </w:r>
    </w:p>
  </w:footnote>
  <w:footnote w:id="25">
    <w:p w14:paraId="5CC45648" w14:textId="60C7DDD2" w:rsidR="00AC609B" w:rsidRPr="00467CF8" w:rsidRDefault="00AC609B" w:rsidP="00EA7C82">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E.g. J. Raz, </w:t>
      </w:r>
      <w:r w:rsidRPr="00467CF8">
        <w:rPr>
          <w:rFonts w:ascii="Garamond" w:hAnsi="Garamond"/>
          <w:i/>
          <w:sz w:val="16"/>
          <w:szCs w:val="16"/>
        </w:rPr>
        <w:t>The Authority of Law: Essays on Law and Morality</w:t>
      </w:r>
      <w:r w:rsidRPr="00467CF8">
        <w:rPr>
          <w:rFonts w:ascii="Garamond" w:hAnsi="Garamond"/>
          <w:sz w:val="16"/>
          <w:szCs w:val="16"/>
        </w:rPr>
        <w:t xml:space="preserve"> (2nd edn, OUP 2009) at p.95: “There is no reason to suppose that the rule of recognition refers to all the criteria of validity of a legal system, and it is clearly wrong to think that it determines them all … Besides the rule of recognition, other laws can also set criteria of validity”. M.D. Adler and K.E. Himma, “Introduction” in M.D. Adler and K.E. Himma (eds.), </w:t>
      </w:r>
      <w:r w:rsidRPr="00467CF8">
        <w:rPr>
          <w:rFonts w:ascii="Garamond" w:hAnsi="Garamond"/>
          <w:i/>
          <w:sz w:val="16"/>
          <w:szCs w:val="16"/>
        </w:rPr>
        <w:t xml:space="preserve">The Rule of Recognition and the U.S. Constitution </w:t>
      </w:r>
      <w:r w:rsidRPr="00467CF8">
        <w:rPr>
          <w:rFonts w:ascii="Garamond" w:hAnsi="Garamond"/>
          <w:sz w:val="16"/>
          <w:szCs w:val="16"/>
        </w:rPr>
        <w:t xml:space="preserve">(OUP 2009) at xiii: “In any mature legal system, Hart claims, officials accept and practice a social rule of recognition that defines the system’s </w:t>
      </w:r>
      <w:r w:rsidRPr="00467CF8">
        <w:rPr>
          <w:rFonts w:ascii="Garamond" w:hAnsi="Garamond"/>
          <w:i/>
          <w:sz w:val="16"/>
          <w:szCs w:val="16"/>
        </w:rPr>
        <w:t>ultimate</w:t>
      </w:r>
      <w:r w:rsidRPr="00467CF8">
        <w:rPr>
          <w:rFonts w:ascii="Garamond" w:hAnsi="Garamond"/>
          <w:sz w:val="16"/>
          <w:szCs w:val="16"/>
        </w:rPr>
        <w:t xml:space="preserve"> criteria of legal validity”</w:t>
      </w:r>
      <w:r w:rsidR="009176F0" w:rsidRPr="00467CF8">
        <w:rPr>
          <w:rFonts w:ascii="Garamond" w:hAnsi="Garamond"/>
          <w:sz w:val="16"/>
          <w:szCs w:val="16"/>
        </w:rPr>
        <w:t xml:space="preserve"> (emphasis added)</w:t>
      </w:r>
      <w:r w:rsidRPr="00467CF8">
        <w:rPr>
          <w:rFonts w:ascii="Garamond" w:hAnsi="Garamond"/>
          <w:sz w:val="16"/>
          <w:szCs w:val="16"/>
        </w:rPr>
        <w:t xml:space="preserve">. Regarding </w:t>
      </w:r>
      <w:r w:rsidR="00AD1B07" w:rsidRPr="00467CF8">
        <w:rPr>
          <w:rFonts w:ascii="Garamond" w:hAnsi="Garamond"/>
          <w:sz w:val="16"/>
          <w:szCs w:val="16"/>
        </w:rPr>
        <w:t>the</w:t>
      </w:r>
      <w:r w:rsidRPr="00467CF8">
        <w:rPr>
          <w:rFonts w:ascii="Garamond" w:hAnsi="Garamond"/>
          <w:sz w:val="16"/>
          <w:szCs w:val="16"/>
        </w:rPr>
        <w:t xml:space="preserve"> implications for </w:t>
      </w:r>
      <w:r w:rsidRPr="00467CF8">
        <w:rPr>
          <w:rFonts w:ascii="Garamond" w:hAnsi="Garamond"/>
          <w:i/>
          <w:sz w:val="16"/>
          <w:szCs w:val="16"/>
        </w:rPr>
        <w:t>Miller</w:t>
      </w:r>
      <w:r w:rsidRPr="00467CF8">
        <w:rPr>
          <w:rFonts w:ascii="Garamond" w:hAnsi="Garamond"/>
          <w:sz w:val="16"/>
          <w:szCs w:val="16"/>
        </w:rPr>
        <w:t xml:space="preserve">, see H. Dindjer, “Sources of Law and Fundamental Constitutional Change”, </w:t>
      </w:r>
      <w:r w:rsidRPr="00467CF8">
        <w:rPr>
          <w:rFonts w:ascii="Garamond" w:hAnsi="Garamond"/>
          <w:i/>
          <w:sz w:val="16"/>
          <w:szCs w:val="16"/>
        </w:rPr>
        <w:t>https://ukconstitutionallaw.org/2017/01/27/hasan-dindjer-sources-of-law-and-fundamental-constitutional-change/</w:t>
      </w:r>
      <w:r w:rsidRPr="00467CF8">
        <w:rPr>
          <w:rFonts w:ascii="Garamond" w:hAnsi="Garamond"/>
          <w:sz w:val="16"/>
          <w:szCs w:val="16"/>
        </w:rPr>
        <w:t xml:space="preserve"> [Accessed </w:t>
      </w:r>
      <w:r w:rsidR="006D157C" w:rsidRPr="00467CF8">
        <w:rPr>
          <w:rFonts w:ascii="Garamond" w:hAnsi="Garamond"/>
          <w:sz w:val="16"/>
          <w:szCs w:val="16"/>
        </w:rPr>
        <w:t xml:space="preserve">1 October </w:t>
      </w:r>
      <w:r w:rsidRPr="00467CF8">
        <w:rPr>
          <w:rFonts w:ascii="Garamond" w:hAnsi="Garamond"/>
          <w:sz w:val="16"/>
          <w:szCs w:val="16"/>
        </w:rPr>
        <w:t>2018].</w:t>
      </w:r>
    </w:p>
  </w:footnote>
  <w:footnote w:id="26">
    <w:p w14:paraId="645F61ED" w14:textId="2CD7C57B"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E.g. M.H. Kramer, </w:t>
      </w:r>
      <w:r w:rsidRPr="00467CF8">
        <w:rPr>
          <w:rFonts w:ascii="Garamond" w:hAnsi="Garamond"/>
          <w:i/>
          <w:sz w:val="16"/>
          <w:szCs w:val="16"/>
        </w:rPr>
        <w:t>Where Law and Morality Meet</w:t>
      </w:r>
      <w:r w:rsidRPr="00467CF8">
        <w:rPr>
          <w:rFonts w:ascii="Garamond" w:hAnsi="Garamond"/>
          <w:sz w:val="16"/>
          <w:szCs w:val="16"/>
        </w:rPr>
        <w:t xml:space="preserve"> (OUP 2004) at p.110.</w:t>
      </w:r>
    </w:p>
  </w:footnote>
  <w:footnote w:id="27">
    <w:p w14:paraId="73BC63F7" w14:textId="412190AF" w:rsidR="00AC609B" w:rsidRPr="00467CF8" w:rsidRDefault="00AC609B" w:rsidP="00513150">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The ICC’s jurisdiction over the crime of aggression was activated by a resolution adopted by the Assembly of States Parties in December 2017. The UK itself has not ratified the amendment on the crime of aggression, nor has the ICC Act 2001 been updated.</w:t>
      </w:r>
    </w:p>
  </w:footnote>
  <w:footnote w:id="28">
    <w:p w14:paraId="05251AB0" w14:textId="02DF4C01"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H.L.A. Hart, </w:t>
      </w:r>
      <w:r w:rsidRPr="00467CF8">
        <w:rPr>
          <w:rFonts w:ascii="Garamond" w:hAnsi="Garamond"/>
          <w:i/>
          <w:sz w:val="16"/>
          <w:szCs w:val="16"/>
        </w:rPr>
        <w:t>The Concept of Law</w:t>
      </w:r>
      <w:r w:rsidRPr="00467CF8">
        <w:rPr>
          <w:rFonts w:ascii="Garamond" w:hAnsi="Garamond"/>
          <w:sz w:val="16"/>
          <w:szCs w:val="16"/>
        </w:rPr>
        <w:t xml:space="preserve"> (3rd edn, OUP 2012) at p.294.</w:t>
      </w:r>
    </w:p>
  </w:footnote>
  <w:footnote w:id="29">
    <w:p w14:paraId="20D049AE" w14:textId="0E4AAB19"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Ibid. (emphasis in the original).</w:t>
      </w:r>
    </w:p>
  </w:footnote>
  <w:footnote w:id="30">
    <w:p w14:paraId="0E3BF995" w14:textId="1DF11990"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Some writers would say that s.50(5) establishes two “lower-level” recognition rules. E.g. J. Gardner, </w:t>
      </w:r>
      <w:r w:rsidRPr="00467CF8">
        <w:rPr>
          <w:rFonts w:ascii="Garamond" w:hAnsi="Garamond"/>
          <w:i/>
          <w:sz w:val="16"/>
          <w:szCs w:val="16"/>
        </w:rPr>
        <w:t>Law as a Leap of Faith</w:t>
      </w:r>
      <w:r w:rsidRPr="00467CF8">
        <w:rPr>
          <w:rFonts w:ascii="Garamond" w:hAnsi="Garamond"/>
          <w:sz w:val="16"/>
          <w:szCs w:val="16"/>
        </w:rPr>
        <w:t xml:space="preserve"> (OUP 2012) at p.101: “As in Hart’s most careful formulations … I speak of </w:t>
      </w:r>
      <w:r w:rsidRPr="00467CF8">
        <w:rPr>
          <w:rFonts w:ascii="Garamond" w:hAnsi="Garamond"/>
          <w:i/>
          <w:iCs/>
          <w:sz w:val="16"/>
          <w:szCs w:val="16"/>
        </w:rPr>
        <w:t>ultimate</w:t>
      </w:r>
      <w:r w:rsidRPr="00467CF8">
        <w:rPr>
          <w:rFonts w:ascii="Garamond" w:hAnsi="Garamond"/>
          <w:sz w:val="16"/>
          <w:szCs w:val="16"/>
        </w:rPr>
        <w:t> rules of recognition because there are plenty of … lower-level rules of recognition in every legal system, eg … those identifying a local council as the source of legally binding planning decisions” (emphasis in the original).</w:t>
      </w:r>
    </w:p>
  </w:footnote>
  <w:footnote w:id="31">
    <w:p w14:paraId="2414203E" w14:textId="568E6B6A"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E.g. </w:t>
      </w:r>
      <w:r w:rsidRPr="00467CF8">
        <w:rPr>
          <w:rFonts w:ascii="Garamond" w:hAnsi="Garamond"/>
          <w:i/>
          <w:sz w:val="16"/>
          <w:szCs w:val="16"/>
        </w:rPr>
        <w:t>Miller</w:t>
      </w:r>
      <w:r w:rsidRPr="00467CF8">
        <w:rPr>
          <w:rFonts w:ascii="Garamond" w:hAnsi="Garamond"/>
          <w:sz w:val="16"/>
          <w:szCs w:val="16"/>
        </w:rPr>
        <w:t>, para. 90 where the majority states that, in EU law, “a … source of law was grafted onto, and above, the well-established existing sources of domestic law: Parliament and the courts”. This may give the misleading impression that (leaving aside EU law) there are two sources of law. In fact, many sources are recognised in the UK legal system, and many of these are derivative sources.</w:t>
      </w:r>
    </w:p>
  </w:footnote>
  <w:footnote w:id="32">
    <w:p w14:paraId="785E13F1" w14:textId="1D714AB7"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000F0EA1" w:rsidRPr="00467CF8">
        <w:rPr>
          <w:rFonts w:ascii="Garamond" w:hAnsi="Garamond"/>
          <w:sz w:val="16"/>
          <w:szCs w:val="16"/>
        </w:rPr>
        <w:t xml:space="preserve"> This may be contrasted with</w:t>
      </w:r>
      <w:r w:rsidRPr="00467CF8">
        <w:rPr>
          <w:rFonts w:ascii="Garamond" w:hAnsi="Garamond"/>
          <w:sz w:val="16"/>
          <w:szCs w:val="16"/>
        </w:rPr>
        <w:t xml:space="preserve"> those</w:t>
      </w:r>
      <w:r w:rsidR="000F0EA1" w:rsidRPr="00467CF8">
        <w:rPr>
          <w:rFonts w:ascii="Garamond" w:hAnsi="Garamond"/>
          <w:sz w:val="16"/>
          <w:szCs w:val="16"/>
        </w:rPr>
        <w:t xml:space="preserve"> approaches</w:t>
      </w:r>
      <w:r w:rsidRPr="00467CF8">
        <w:rPr>
          <w:rFonts w:ascii="Garamond" w:hAnsi="Garamond"/>
          <w:sz w:val="16"/>
          <w:szCs w:val="16"/>
        </w:rPr>
        <w:t xml:space="preserve"> which</w:t>
      </w:r>
      <w:r w:rsidR="00C3293B" w:rsidRPr="00467CF8">
        <w:rPr>
          <w:rFonts w:ascii="Garamond" w:hAnsi="Garamond"/>
          <w:sz w:val="16"/>
          <w:szCs w:val="16"/>
        </w:rPr>
        <w:t xml:space="preserve"> also seek to advance</w:t>
      </w:r>
      <w:r w:rsidRPr="00467CF8">
        <w:rPr>
          <w:rFonts w:ascii="Garamond" w:hAnsi="Garamond"/>
          <w:sz w:val="16"/>
          <w:szCs w:val="16"/>
        </w:rPr>
        <w:t xml:space="preserve"> sympathetic readings of (at least this part of) the majority’s reasoning in </w:t>
      </w:r>
      <w:r w:rsidRPr="00467CF8">
        <w:rPr>
          <w:rFonts w:ascii="Garamond" w:hAnsi="Garamond"/>
          <w:i/>
          <w:sz w:val="16"/>
          <w:szCs w:val="16"/>
        </w:rPr>
        <w:t>Miller</w:t>
      </w:r>
      <w:r w:rsidRPr="00467CF8">
        <w:rPr>
          <w:rFonts w:ascii="Garamond" w:hAnsi="Garamond"/>
          <w:sz w:val="16"/>
          <w:szCs w:val="16"/>
        </w:rPr>
        <w:t>,</w:t>
      </w:r>
      <w:r w:rsidR="00C3293B" w:rsidRPr="00467CF8">
        <w:rPr>
          <w:rFonts w:ascii="Garamond" w:hAnsi="Garamond"/>
          <w:sz w:val="16"/>
          <w:szCs w:val="16"/>
        </w:rPr>
        <w:t xml:space="preserve"> but which</w:t>
      </w:r>
      <w:r w:rsidRPr="00467CF8">
        <w:rPr>
          <w:rFonts w:ascii="Garamond" w:hAnsi="Garamond"/>
          <w:sz w:val="16"/>
          <w:szCs w:val="16"/>
        </w:rPr>
        <w:t xml:space="preserve"> continue to try to make something of the (ultimate) rule of recognition. E.g. J. Grant, “Prerogative, Parliament and Creative Constitutional Adjudication: Reflections on </w:t>
      </w:r>
      <w:r w:rsidRPr="00467CF8">
        <w:rPr>
          <w:rFonts w:ascii="Garamond" w:hAnsi="Garamond"/>
          <w:i/>
          <w:sz w:val="16"/>
          <w:szCs w:val="16"/>
        </w:rPr>
        <w:t>Miller</w:t>
      </w:r>
      <w:r w:rsidRPr="00467CF8">
        <w:rPr>
          <w:rFonts w:ascii="Garamond" w:hAnsi="Garamond"/>
          <w:sz w:val="16"/>
          <w:szCs w:val="16"/>
        </w:rPr>
        <w:t xml:space="preserve">” (2017) 28 King’s Law Journal 35 at pp.50-51; R. Craig, “A Simple Application of the Frustration Principle: Prerogative, Statute and </w:t>
      </w:r>
      <w:r w:rsidRPr="00467CF8">
        <w:rPr>
          <w:rFonts w:ascii="Garamond" w:hAnsi="Garamond"/>
          <w:i/>
          <w:sz w:val="16"/>
          <w:szCs w:val="16"/>
        </w:rPr>
        <w:t>Miller</w:t>
      </w:r>
      <w:r w:rsidRPr="00467CF8">
        <w:rPr>
          <w:rFonts w:ascii="Garamond" w:hAnsi="Garamond"/>
          <w:sz w:val="16"/>
          <w:szCs w:val="16"/>
        </w:rPr>
        <w:t>” [2017] PL 25 at pp.45-46.</w:t>
      </w:r>
    </w:p>
  </w:footnote>
  <w:footnote w:id="33">
    <w:p w14:paraId="0BDEE521" w14:textId="698259D8"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Aroney, “R (</w:t>
      </w:r>
      <w:r w:rsidRPr="00467CF8">
        <w:rPr>
          <w:rFonts w:ascii="Garamond" w:hAnsi="Garamond"/>
          <w:i/>
          <w:sz w:val="16"/>
          <w:szCs w:val="16"/>
        </w:rPr>
        <w:t xml:space="preserve">Miller) </w:t>
      </w:r>
      <w:r w:rsidRPr="00467CF8">
        <w:rPr>
          <w:rFonts w:ascii="Garamond" w:hAnsi="Garamond"/>
          <w:sz w:val="16"/>
          <w:szCs w:val="16"/>
        </w:rPr>
        <w:t>v</w:t>
      </w:r>
      <w:r w:rsidRPr="00467CF8">
        <w:rPr>
          <w:rFonts w:ascii="Garamond" w:hAnsi="Garamond"/>
          <w:i/>
          <w:sz w:val="16"/>
          <w:szCs w:val="16"/>
        </w:rPr>
        <w:t xml:space="preserve"> Secretary of State</w:t>
      </w:r>
      <w:r w:rsidRPr="00467CF8">
        <w:rPr>
          <w:rFonts w:ascii="Garamond" w:hAnsi="Garamond"/>
          <w:sz w:val="16"/>
          <w:szCs w:val="16"/>
        </w:rPr>
        <w:t>”, at p.744 (emphases added).</w:t>
      </w:r>
    </w:p>
  </w:footnote>
  <w:footnote w:id="34">
    <w:p w14:paraId="3AD4DAE0" w14:textId="0E8B31D5"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Craig, “</w:t>
      </w:r>
      <w:r w:rsidRPr="00467CF8">
        <w:rPr>
          <w:rFonts w:ascii="Garamond" w:hAnsi="Garamond"/>
          <w:i/>
          <w:sz w:val="16"/>
          <w:szCs w:val="16"/>
        </w:rPr>
        <w:t>Miller</w:t>
      </w:r>
      <w:r w:rsidRPr="00467CF8">
        <w:rPr>
          <w:rFonts w:ascii="Garamond" w:hAnsi="Garamond"/>
          <w:sz w:val="16"/>
          <w:szCs w:val="16"/>
        </w:rPr>
        <w:t xml:space="preserve">, Structural Constitutional Review and the Limits of Prerogative Power”, at pp.64-65. Strictly, Craig does not himself think that EU law is identified as a source of law in the (ultimate) rule of recognition. (As we saw earlier, he endorses Elliott’s view about sources and the </w:t>
      </w:r>
      <w:r w:rsidR="00FA09FB" w:rsidRPr="00467CF8">
        <w:rPr>
          <w:rFonts w:ascii="Garamond" w:hAnsi="Garamond"/>
          <w:sz w:val="16"/>
          <w:szCs w:val="16"/>
        </w:rPr>
        <w:t xml:space="preserve">rule of recognition; see </w:t>
      </w:r>
      <w:r w:rsidR="00FA09FB" w:rsidRPr="00467CF8">
        <w:rPr>
          <w:rFonts w:ascii="Garamond" w:hAnsi="Garamond"/>
          <w:sz w:val="16"/>
          <w:szCs w:val="16"/>
          <w:highlight w:val="yellow"/>
        </w:rPr>
        <w:t>note 20</w:t>
      </w:r>
      <w:r w:rsidRPr="00467CF8">
        <w:rPr>
          <w:rFonts w:ascii="Garamond" w:hAnsi="Garamond"/>
          <w:sz w:val="16"/>
          <w:szCs w:val="16"/>
        </w:rPr>
        <w:t xml:space="preserve"> above.) Rather, Craig suggests that UK membership of the EU changed the (ultimate) rule of recognition by establishing within that rule a “priority” relationship whereby “the courts would construe statutes so as to conform to EU law unless Parliament expressly and unequivocally stipulated to the contrary, or unless this followed by necessary implication”; ibid., at p.66. For our purposes this is not significant. Craig’s reasoning may be adapted to serve the specific argument that we are considering.</w:t>
      </w:r>
    </w:p>
  </w:footnote>
  <w:footnote w:id="35">
    <w:p w14:paraId="77CD7322" w14:textId="1CD89BF2"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Ibid., at p.66.</w:t>
      </w:r>
    </w:p>
  </w:footnote>
  <w:footnote w:id="36">
    <w:p w14:paraId="5783C64F" w14:textId="6BCE9DB2"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Ibid.</w:t>
      </w:r>
    </w:p>
  </w:footnote>
  <w:footnote w:id="37">
    <w:p w14:paraId="4ECEBE2F" w14:textId="69EB7EB9"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Ibid.</w:t>
      </w:r>
    </w:p>
  </w:footnote>
  <w:footnote w:id="38">
    <w:p w14:paraId="29BCC33C" w14:textId="2AE04A07"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77 E.R. 1352 (KB). See Craig, “</w:t>
      </w:r>
      <w:r w:rsidRPr="00467CF8">
        <w:rPr>
          <w:rFonts w:ascii="Garamond" w:hAnsi="Garamond"/>
          <w:i/>
          <w:sz w:val="16"/>
          <w:szCs w:val="16"/>
        </w:rPr>
        <w:t>Miller</w:t>
      </w:r>
      <w:r w:rsidRPr="00467CF8">
        <w:rPr>
          <w:rFonts w:ascii="Garamond" w:hAnsi="Garamond"/>
          <w:sz w:val="16"/>
          <w:szCs w:val="16"/>
        </w:rPr>
        <w:t xml:space="preserve">, Structural Constitutional Review and the Limits of Prerogative Power”, at p.50. Also </w:t>
      </w:r>
      <w:r w:rsidRPr="00467CF8">
        <w:rPr>
          <w:rFonts w:ascii="Garamond" w:hAnsi="Garamond"/>
          <w:i/>
          <w:sz w:val="16"/>
          <w:szCs w:val="16"/>
        </w:rPr>
        <w:t>Miller</w:t>
      </w:r>
      <w:r w:rsidRPr="00467CF8">
        <w:rPr>
          <w:rFonts w:ascii="Garamond" w:hAnsi="Garamond"/>
          <w:sz w:val="16"/>
          <w:szCs w:val="16"/>
        </w:rPr>
        <w:t>, para. 44.</w:t>
      </w:r>
    </w:p>
  </w:footnote>
  <w:footnote w:id="39">
    <w:p w14:paraId="4547FD2E" w14:textId="77777777" w:rsidR="00AC609B" w:rsidRPr="00467CF8" w:rsidRDefault="00AC609B" w:rsidP="00106D35">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See G.H. von Wright, </w:t>
      </w:r>
      <w:r w:rsidRPr="00467CF8">
        <w:rPr>
          <w:rFonts w:ascii="Garamond" w:hAnsi="Garamond"/>
          <w:i/>
          <w:sz w:val="16"/>
          <w:szCs w:val="16"/>
        </w:rPr>
        <w:t>Norm and Action: A Logical Enquiry</w:t>
      </w:r>
      <w:r w:rsidRPr="00467CF8">
        <w:rPr>
          <w:rFonts w:ascii="Garamond" w:hAnsi="Garamond"/>
          <w:sz w:val="16"/>
          <w:szCs w:val="16"/>
        </w:rPr>
        <w:t xml:space="preserve"> (Routledge &amp; Kegan Paul 1963) 39-41.</w:t>
      </w:r>
    </w:p>
  </w:footnote>
  <w:footnote w:id="40">
    <w:p w14:paraId="75C8B662" w14:textId="77777777" w:rsidR="00AC609B" w:rsidRPr="00467CF8" w:rsidRDefault="00AC609B" w:rsidP="00106D35">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Ibid., at p.39.</w:t>
      </w:r>
    </w:p>
  </w:footnote>
  <w:footnote w:id="41">
    <w:p w14:paraId="3009C44A" w14:textId="77777777" w:rsidR="00AC609B" w:rsidRPr="00467CF8" w:rsidRDefault="00AC609B" w:rsidP="00106D35">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Ibid.</w:t>
      </w:r>
    </w:p>
  </w:footnote>
  <w:footnote w:id="42">
    <w:p w14:paraId="6D9BE46F" w14:textId="36BC2370" w:rsidR="00AC609B" w:rsidRPr="00467CF8" w:rsidRDefault="00AC609B" w:rsidP="00E5531F">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Craig, “</w:t>
      </w:r>
      <w:r w:rsidRPr="00467CF8">
        <w:rPr>
          <w:rFonts w:ascii="Garamond" w:hAnsi="Garamond"/>
          <w:i/>
          <w:sz w:val="16"/>
          <w:szCs w:val="16"/>
        </w:rPr>
        <w:t>Miller</w:t>
      </w:r>
      <w:r w:rsidRPr="00467CF8">
        <w:rPr>
          <w:rFonts w:ascii="Garamond" w:hAnsi="Garamond"/>
          <w:sz w:val="16"/>
          <w:szCs w:val="16"/>
        </w:rPr>
        <w:t>, Structural Constitutional Review and the Limits of Prerogative Power”, at p.64.</w:t>
      </w:r>
    </w:p>
  </w:footnote>
  <w:footnote w:id="43">
    <w:p w14:paraId="1097575C" w14:textId="77777777" w:rsidR="00AC609B" w:rsidRPr="00467CF8" w:rsidRDefault="00AC609B" w:rsidP="00E5531F">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E.g. Hart, The Concept of Law, at pp.111-112; Lamond, “Legal Sources, the Rule of Recognition, and Customary Law”.</w:t>
      </w:r>
    </w:p>
  </w:footnote>
  <w:footnote w:id="44">
    <w:p w14:paraId="1F1B45BC" w14:textId="2D2AA7FB" w:rsidR="00D47351" w:rsidRPr="00467CF8" w:rsidRDefault="00D47351" w:rsidP="00D4735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Lord Reed in his dissenting judgment thought that the ECA “imposes no requirement, and manifests no intention, in respect of the UK’s membership of the EU. It does not, therefore, affect the Crown’s exercise of prerogative powers in respect of UK membership”; see </w:t>
      </w:r>
      <w:r w:rsidRPr="00467CF8">
        <w:rPr>
          <w:rFonts w:ascii="Garamond" w:hAnsi="Garamond"/>
          <w:i/>
          <w:sz w:val="16"/>
          <w:szCs w:val="16"/>
        </w:rPr>
        <w:t>Miller</w:t>
      </w:r>
      <w:r w:rsidRPr="00467CF8">
        <w:rPr>
          <w:rFonts w:ascii="Garamond" w:hAnsi="Garamond"/>
          <w:sz w:val="16"/>
          <w:szCs w:val="16"/>
        </w:rPr>
        <w:t>, para. 177.</w:t>
      </w:r>
    </w:p>
  </w:footnote>
  <w:footnote w:id="45">
    <w:p w14:paraId="6FBAA2D5" w14:textId="0A6F6566" w:rsidR="00CD201B" w:rsidRPr="00467CF8" w:rsidRDefault="00CD201B" w:rsidP="00CD201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00D00C8B" w:rsidRPr="00467CF8">
        <w:rPr>
          <w:rFonts w:ascii="Garamond" w:hAnsi="Garamond"/>
          <w:sz w:val="16"/>
          <w:szCs w:val="16"/>
        </w:rPr>
        <w:t>E.g.</w:t>
      </w:r>
      <w:r w:rsidR="007F7216" w:rsidRPr="00467CF8">
        <w:rPr>
          <w:rFonts w:ascii="Garamond" w:hAnsi="Garamond"/>
          <w:sz w:val="16"/>
          <w:szCs w:val="16"/>
        </w:rPr>
        <w:t xml:space="preserve"> </w:t>
      </w:r>
      <w:r w:rsidR="007F7216" w:rsidRPr="00467CF8">
        <w:rPr>
          <w:rFonts w:ascii="Garamond" w:hAnsi="Garamond"/>
          <w:i/>
          <w:sz w:val="16"/>
          <w:szCs w:val="16"/>
        </w:rPr>
        <w:t>Miller</w:t>
      </w:r>
      <w:r w:rsidR="007F7216" w:rsidRPr="00467CF8">
        <w:rPr>
          <w:rFonts w:ascii="Garamond" w:hAnsi="Garamond"/>
          <w:sz w:val="16"/>
          <w:szCs w:val="16"/>
        </w:rPr>
        <w:t>, para</w:t>
      </w:r>
      <w:r w:rsidR="00303DB2" w:rsidRPr="00467CF8">
        <w:rPr>
          <w:rFonts w:ascii="Garamond" w:hAnsi="Garamond"/>
          <w:sz w:val="16"/>
          <w:szCs w:val="16"/>
        </w:rPr>
        <w:t>s</w:t>
      </w:r>
      <w:r w:rsidR="007F7216" w:rsidRPr="00467CF8">
        <w:rPr>
          <w:rFonts w:ascii="Garamond" w:hAnsi="Garamond"/>
          <w:sz w:val="16"/>
          <w:szCs w:val="16"/>
        </w:rPr>
        <w:t>. 84</w:t>
      </w:r>
      <w:r w:rsidR="00303DB2" w:rsidRPr="00467CF8">
        <w:rPr>
          <w:rFonts w:ascii="Garamond" w:hAnsi="Garamond"/>
          <w:sz w:val="16"/>
          <w:szCs w:val="16"/>
        </w:rPr>
        <w:t xml:space="preserve"> and 88.</w:t>
      </w:r>
    </w:p>
  </w:footnote>
  <w:footnote w:id="46">
    <w:p w14:paraId="08BE16D0" w14:textId="0E1C2C55" w:rsidR="00B0524D" w:rsidRPr="00467CF8" w:rsidRDefault="00B0524D" w:rsidP="00B0524D">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86</w:t>
      </w:r>
      <w:r w:rsidR="00412061" w:rsidRPr="00467CF8">
        <w:rPr>
          <w:rFonts w:ascii="Garamond" w:hAnsi="Garamond"/>
          <w:sz w:val="16"/>
          <w:szCs w:val="16"/>
        </w:rPr>
        <w:t xml:space="preserve"> (emphasised added)</w:t>
      </w:r>
      <w:r w:rsidR="005B3AFB" w:rsidRPr="00467CF8">
        <w:rPr>
          <w:rFonts w:ascii="Garamond" w:hAnsi="Garamond"/>
          <w:sz w:val="16"/>
          <w:szCs w:val="16"/>
        </w:rPr>
        <w:t>, and see also paras. 87-88</w:t>
      </w:r>
      <w:r w:rsidRPr="00467CF8">
        <w:rPr>
          <w:rFonts w:ascii="Garamond" w:hAnsi="Garamond"/>
          <w:sz w:val="16"/>
          <w:szCs w:val="16"/>
        </w:rPr>
        <w:t>.</w:t>
      </w:r>
    </w:p>
  </w:footnote>
  <w:footnote w:id="47">
    <w:p w14:paraId="037FD259" w14:textId="6948D19C" w:rsidR="00695472" w:rsidRPr="00467CF8" w:rsidRDefault="00695472">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If the treaty in question </w:t>
      </w:r>
      <w:r w:rsidR="008C319F" w:rsidRPr="00467CF8">
        <w:rPr>
          <w:rFonts w:ascii="Garamond" w:hAnsi="Garamond"/>
          <w:sz w:val="16"/>
          <w:szCs w:val="16"/>
        </w:rPr>
        <w:t>were</w:t>
      </w:r>
      <w:r w:rsidRPr="00467CF8">
        <w:rPr>
          <w:rFonts w:ascii="Garamond" w:hAnsi="Garamond"/>
          <w:sz w:val="16"/>
          <w:szCs w:val="16"/>
        </w:rPr>
        <w:t xml:space="preserve"> bilateral, UK withdrawal would also result in termination of the treaty itself.</w:t>
      </w:r>
    </w:p>
  </w:footnote>
  <w:footnote w:id="48">
    <w:p w14:paraId="536FFE94" w14:textId="36762A07" w:rsidR="00AC609B" w:rsidRPr="00467CF8" w:rsidRDefault="00AC609B" w:rsidP="000674B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S. Fatima, </w:t>
      </w:r>
      <w:r w:rsidRPr="00467CF8">
        <w:rPr>
          <w:rFonts w:ascii="Garamond" w:hAnsi="Garamond"/>
          <w:i/>
          <w:sz w:val="16"/>
          <w:szCs w:val="16"/>
        </w:rPr>
        <w:t>Using International Law in Domestic Courts</w:t>
      </w:r>
      <w:r w:rsidRPr="00467CF8">
        <w:rPr>
          <w:rFonts w:ascii="Garamond" w:hAnsi="Garamond"/>
          <w:sz w:val="16"/>
          <w:szCs w:val="16"/>
        </w:rPr>
        <w:t xml:space="preserve"> (Hart 2005) at p.56.</w:t>
      </w:r>
    </w:p>
  </w:footnote>
  <w:footnote w:id="49">
    <w:p w14:paraId="4CB6AAB4" w14:textId="139BF5FD" w:rsidR="00C8430B" w:rsidRPr="00467CF8" w:rsidRDefault="00C8430B" w:rsidP="00C8430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001D5DAA" w:rsidRPr="00467CF8">
        <w:rPr>
          <w:rFonts w:ascii="Garamond" w:hAnsi="Garamond"/>
          <w:sz w:val="16"/>
          <w:szCs w:val="16"/>
        </w:rPr>
        <w:t xml:space="preserve">See </w:t>
      </w:r>
      <w:r w:rsidRPr="00467CF8">
        <w:rPr>
          <w:rFonts w:ascii="Garamond" w:hAnsi="Garamond"/>
          <w:i/>
          <w:sz w:val="16"/>
          <w:szCs w:val="16"/>
        </w:rPr>
        <w:t>Miller</w:t>
      </w:r>
      <w:r w:rsidR="001D5DAA" w:rsidRPr="00467CF8">
        <w:rPr>
          <w:rFonts w:ascii="Garamond" w:hAnsi="Garamond"/>
          <w:sz w:val="16"/>
          <w:szCs w:val="16"/>
        </w:rPr>
        <w:t>, para. 74: “Mr Eadie [on behalf of the Government] pointed out that the 1972 Act does not simply incorporate the EU Treaties into UK law in the same way as, say, the Carriage of Goods by Sea Act 1971 incorporates the Hague Rules”.</w:t>
      </w:r>
    </w:p>
  </w:footnote>
  <w:footnote w:id="50">
    <w:p w14:paraId="11572A67" w14:textId="509B90E4"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One minor complication is that the 1979 Protocol described in s.1(1) is not scheduled.</w:t>
      </w:r>
    </w:p>
  </w:footnote>
  <w:footnote w:id="51">
    <w:p w14:paraId="1132F977" w14:textId="77777777" w:rsidR="00AC609B" w:rsidRPr="00467CF8" w:rsidRDefault="00AC609B" w:rsidP="00A44216">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77.</w:t>
      </w:r>
    </w:p>
  </w:footnote>
  <w:footnote w:id="52">
    <w:p w14:paraId="6349717D" w14:textId="53F6574F" w:rsidR="00AC609B" w:rsidRPr="00467CF8" w:rsidRDefault="00AC609B" w:rsidP="006B4919">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See</w:t>
      </w:r>
      <w:r w:rsidR="00AE7938" w:rsidRPr="00467CF8">
        <w:rPr>
          <w:rFonts w:ascii="Garamond" w:hAnsi="Garamond"/>
          <w:sz w:val="16"/>
          <w:szCs w:val="16"/>
        </w:rPr>
        <w:t>, in particular,</w:t>
      </w:r>
      <w:r w:rsidRPr="00467CF8">
        <w:rPr>
          <w:rFonts w:ascii="Garamond" w:hAnsi="Garamond"/>
          <w:sz w:val="16"/>
          <w:szCs w:val="16"/>
        </w:rPr>
        <w:t xml:space="preserve"> the </w:t>
      </w:r>
      <w:r w:rsidR="006C663D" w:rsidRPr="00467CF8">
        <w:rPr>
          <w:rFonts w:ascii="Garamond" w:hAnsi="Garamond"/>
          <w:sz w:val="16"/>
          <w:szCs w:val="16"/>
        </w:rPr>
        <w:t>illuminating</w:t>
      </w:r>
      <w:r w:rsidRPr="00467CF8">
        <w:rPr>
          <w:rFonts w:ascii="Garamond" w:hAnsi="Garamond"/>
          <w:sz w:val="16"/>
          <w:szCs w:val="16"/>
        </w:rPr>
        <w:t xml:space="preserve"> analysis in G. Phillipson and A.L. Young, “Would Use of the Prerogative to Denounce the ECHR ‘frustrate’ the Human Rights Act? Lessons from </w:t>
      </w:r>
      <w:r w:rsidRPr="00467CF8">
        <w:rPr>
          <w:rFonts w:ascii="Garamond" w:hAnsi="Garamond"/>
          <w:i/>
          <w:sz w:val="16"/>
          <w:szCs w:val="16"/>
        </w:rPr>
        <w:t>Miller</w:t>
      </w:r>
      <w:r w:rsidRPr="00467CF8">
        <w:rPr>
          <w:rFonts w:ascii="Garamond" w:hAnsi="Garamond"/>
          <w:sz w:val="16"/>
          <w:szCs w:val="16"/>
        </w:rPr>
        <w:t>” [2017] P.L. 150.</w:t>
      </w:r>
    </w:p>
  </w:footnote>
  <w:footnote w:id="53">
    <w:p w14:paraId="1393BE80" w14:textId="77777777" w:rsidR="00AC609B" w:rsidRPr="00467CF8" w:rsidRDefault="00AC609B" w:rsidP="006B4919">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Emphasis added.</w:t>
      </w:r>
    </w:p>
  </w:footnote>
  <w:footnote w:id="54">
    <w:p w14:paraId="18AD3389" w14:textId="1057C1D2" w:rsidR="005431C0" w:rsidRPr="00467CF8" w:rsidRDefault="005431C0" w:rsidP="005431C0">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Phillipson and Young, “Would Use of the Prerogative to Denounce the ECHR ‘frustrate’ the Human Rights Act? Lessons from </w:t>
      </w:r>
      <w:r w:rsidRPr="00467CF8">
        <w:rPr>
          <w:rFonts w:ascii="Garamond" w:hAnsi="Garamond"/>
          <w:i/>
          <w:sz w:val="16"/>
          <w:szCs w:val="16"/>
        </w:rPr>
        <w:t>Miller</w:t>
      </w:r>
      <w:r w:rsidRPr="00467CF8">
        <w:rPr>
          <w:rFonts w:ascii="Garamond" w:hAnsi="Garamond"/>
          <w:sz w:val="16"/>
          <w:szCs w:val="16"/>
        </w:rPr>
        <w:t>”, at p.</w:t>
      </w:r>
      <w:r w:rsidR="00AF162C" w:rsidRPr="00467CF8">
        <w:rPr>
          <w:rFonts w:ascii="Garamond" w:hAnsi="Garamond"/>
          <w:sz w:val="16"/>
          <w:szCs w:val="16"/>
        </w:rPr>
        <w:t>174</w:t>
      </w:r>
      <w:r w:rsidRPr="00467CF8">
        <w:rPr>
          <w:rFonts w:ascii="Garamond" w:hAnsi="Garamond"/>
          <w:sz w:val="16"/>
          <w:szCs w:val="16"/>
        </w:rPr>
        <w:t>.</w:t>
      </w:r>
      <w:r w:rsidR="002F35C8" w:rsidRPr="00467CF8">
        <w:rPr>
          <w:rFonts w:ascii="Garamond" w:hAnsi="Garamond"/>
          <w:sz w:val="16"/>
          <w:szCs w:val="16"/>
        </w:rPr>
        <w:t xml:space="preserve"> </w:t>
      </w:r>
      <w:r w:rsidR="0008331C" w:rsidRPr="00467CF8">
        <w:rPr>
          <w:rFonts w:ascii="Garamond" w:hAnsi="Garamond"/>
          <w:sz w:val="16"/>
          <w:szCs w:val="16"/>
        </w:rPr>
        <w:t>Given the complexity of the relationship between the HRA and the ECHR, b</w:t>
      </w:r>
      <w:r w:rsidR="002F35C8" w:rsidRPr="00467CF8">
        <w:rPr>
          <w:rFonts w:ascii="Garamond" w:hAnsi="Garamond"/>
          <w:sz w:val="16"/>
          <w:szCs w:val="16"/>
        </w:rPr>
        <w:t>oth writers also</w:t>
      </w:r>
      <w:r w:rsidR="007B4689" w:rsidRPr="00467CF8">
        <w:rPr>
          <w:rFonts w:ascii="Garamond" w:hAnsi="Garamond"/>
          <w:sz w:val="16"/>
          <w:szCs w:val="16"/>
        </w:rPr>
        <w:t xml:space="preserve"> conclude by</w:t>
      </w:r>
      <w:r w:rsidR="002F35C8" w:rsidRPr="00467CF8">
        <w:rPr>
          <w:rFonts w:ascii="Garamond" w:hAnsi="Garamond"/>
          <w:sz w:val="16"/>
          <w:szCs w:val="16"/>
        </w:rPr>
        <w:t xml:space="preserve"> call</w:t>
      </w:r>
      <w:r w:rsidR="007B4689" w:rsidRPr="00467CF8">
        <w:rPr>
          <w:rFonts w:ascii="Garamond" w:hAnsi="Garamond"/>
          <w:sz w:val="16"/>
          <w:szCs w:val="16"/>
        </w:rPr>
        <w:t>ing</w:t>
      </w:r>
      <w:r w:rsidR="002F35C8" w:rsidRPr="00467CF8">
        <w:rPr>
          <w:rFonts w:ascii="Garamond" w:hAnsi="Garamond"/>
          <w:sz w:val="16"/>
          <w:szCs w:val="16"/>
        </w:rPr>
        <w:t xml:space="preserve"> for further stu</w:t>
      </w:r>
      <w:r w:rsidR="007B4689" w:rsidRPr="00467CF8">
        <w:rPr>
          <w:rFonts w:ascii="Garamond" w:hAnsi="Garamond"/>
          <w:sz w:val="16"/>
          <w:szCs w:val="16"/>
        </w:rPr>
        <w:t>dy.</w:t>
      </w:r>
    </w:p>
  </w:footnote>
  <w:footnote w:id="55">
    <w:p w14:paraId="7FEABBEE" w14:textId="6C5173A4"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As the Explanatory Note to the 2003 Act sets out, COTIF is an acronym for “Convention Relative aux Transports Internationaux Ferroviaires”.</w:t>
      </w:r>
    </w:p>
  </w:footnote>
  <w:footnote w:id="56">
    <w:p w14:paraId="4041A03C" w14:textId="1BACE412"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Emphasis added.</w:t>
      </w:r>
    </w:p>
  </w:footnote>
  <w:footnote w:id="57">
    <w:p w14:paraId="509D6179" w14:textId="71120373" w:rsidR="00F34E1D" w:rsidRPr="00467CF8" w:rsidRDefault="00F34E1D" w:rsidP="00F34E1D">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00D00C8B" w:rsidRPr="00467CF8">
        <w:rPr>
          <w:rFonts w:ascii="Garamond" w:hAnsi="Garamond"/>
          <w:sz w:val="16"/>
          <w:szCs w:val="16"/>
        </w:rPr>
        <w:t>E.g.</w:t>
      </w:r>
      <w:r w:rsidRPr="00467CF8">
        <w:rPr>
          <w:rFonts w:ascii="Garamond" w:hAnsi="Garamond"/>
          <w:sz w:val="16"/>
          <w:szCs w:val="16"/>
        </w:rPr>
        <w:t xml:space="preserve"> para.5(1): “Regulations may specify conditions which must be satisfied before a person may— (a) exercise </w:t>
      </w:r>
      <w:r w:rsidRPr="00467CF8">
        <w:rPr>
          <w:rFonts w:ascii="Garamond" w:hAnsi="Garamond"/>
          <w:i/>
          <w:sz w:val="16"/>
          <w:szCs w:val="16"/>
        </w:rPr>
        <w:t>a right under the Convention</w:t>
      </w:r>
      <w:r w:rsidRPr="00467CF8">
        <w:rPr>
          <w:rFonts w:ascii="Garamond" w:hAnsi="Garamond"/>
          <w:sz w:val="16"/>
          <w:szCs w:val="16"/>
        </w:rPr>
        <w:t xml:space="preserve">, or (b) do something </w:t>
      </w:r>
      <w:r w:rsidRPr="00467CF8">
        <w:rPr>
          <w:rFonts w:ascii="Garamond" w:hAnsi="Garamond"/>
          <w:i/>
          <w:sz w:val="16"/>
          <w:szCs w:val="16"/>
        </w:rPr>
        <w:t>to which the Convention applies</w:t>
      </w:r>
      <w:r w:rsidRPr="00467CF8">
        <w:rPr>
          <w:rFonts w:ascii="Garamond" w:hAnsi="Garamond"/>
          <w:sz w:val="16"/>
          <w:szCs w:val="16"/>
        </w:rPr>
        <w:t xml:space="preserve">” (emphases added). Also, para 6(1): “Regulations may provide a criminal or other sanction in connection with </w:t>
      </w:r>
      <w:r w:rsidRPr="00467CF8">
        <w:rPr>
          <w:rFonts w:ascii="Garamond" w:hAnsi="Garamond"/>
          <w:i/>
          <w:sz w:val="16"/>
          <w:szCs w:val="16"/>
        </w:rPr>
        <w:t>a duty arising under the Convention</w:t>
      </w:r>
      <w:r w:rsidRPr="00467CF8">
        <w:rPr>
          <w:rFonts w:ascii="Garamond" w:hAnsi="Garamond"/>
          <w:sz w:val="16"/>
          <w:szCs w:val="16"/>
        </w:rPr>
        <w:t xml:space="preserve"> or the regulations” (emphasis added).</w:t>
      </w:r>
    </w:p>
  </w:footnote>
  <w:footnote w:id="58">
    <w:p w14:paraId="73B5B89F" w14:textId="7B00894E" w:rsidR="00AC609B" w:rsidRPr="00467CF8" w:rsidRDefault="00AC609B" w:rsidP="00E816C4">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61.</w:t>
      </w:r>
    </w:p>
  </w:footnote>
  <w:footnote w:id="59">
    <w:p w14:paraId="47D4B1BD" w14:textId="77777777" w:rsidR="00AC609B" w:rsidRPr="00467CF8" w:rsidRDefault="00AC609B" w:rsidP="0002511D">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61.</w:t>
      </w:r>
    </w:p>
  </w:footnote>
  <w:footnote w:id="60">
    <w:p w14:paraId="06AC5498" w14:textId="77777777" w:rsidR="00AC609B" w:rsidRPr="00467CF8" w:rsidRDefault="00AC609B" w:rsidP="00BE07EE">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61.</w:t>
      </w:r>
    </w:p>
  </w:footnote>
  <w:footnote w:id="61">
    <w:p w14:paraId="5BC1C622" w14:textId="77777777" w:rsidR="00AC609B" w:rsidRPr="00467CF8" w:rsidRDefault="00AC609B" w:rsidP="00FF0F1C">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63.</w:t>
      </w:r>
    </w:p>
  </w:footnote>
  <w:footnote w:id="62">
    <w:p w14:paraId="21BC3762" w14:textId="65CB1DF5" w:rsidR="004A73F1" w:rsidRPr="00467CF8" w:rsidRDefault="004A73F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The s.1(2) list of treaties may of course be directly amended by statute as well – e.g. s.2 of the European Union (Amendment) Act 2008 adds the Treaty of Lisbon to the list.</w:t>
      </w:r>
    </w:p>
  </w:footnote>
  <w:footnote w:id="63">
    <w:p w14:paraId="4B33FEDF" w14:textId="3A8646B3" w:rsidR="00AC609B" w:rsidRPr="00467CF8" w:rsidRDefault="00AC609B" w:rsidP="00E17FC6">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xml:space="preserve">, para. 98. </w:t>
      </w:r>
      <w:r w:rsidR="009318EB" w:rsidRPr="00467CF8">
        <w:rPr>
          <w:rFonts w:ascii="Garamond" w:hAnsi="Garamond"/>
          <w:sz w:val="16"/>
          <w:szCs w:val="16"/>
        </w:rPr>
        <w:t xml:space="preserve">The argument about double taxation treaties was prominently advanced in J. Finnis, “Terminating Treaty-based UK Rights”, </w:t>
      </w:r>
      <w:r w:rsidR="009318EB" w:rsidRPr="00467CF8">
        <w:rPr>
          <w:rFonts w:ascii="Garamond" w:hAnsi="Garamond"/>
          <w:i/>
          <w:sz w:val="16"/>
          <w:szCs w:val="16"/>
        </w:rPr>
        <w:t>Judicial Power Project</w:t>
      </w:r>
      <w:r w:rsidR="009318EB" w:rsidRPr="00467CF8">
        <w:rPr>
          <w:rFonts w:ascii="Garamond" w:hAnsi="Garamond"/>
          <w:sz w:val="16"/>
          <w:szCs w:val="16"/>
        </w:rPr>
        <w:t xml:space="preserve"> (26 October 2016); also J. Finnis, “Terminating Treaty-based UK Rights: A Supplementary Note”, </w:t>
      </w:r>
      <w:r w:rsidR="009318EB" w:rsidRPr="00467CF8">
        <w:rPr>
          <w:rFonts w:ascii="Garamond" w:hAnsi="Garamond"/>
          <w:i/>
          <w:sz w:val="16"/>
          <w:szCs w:val="16"/>
        </w:rPr>
        <w:t>Judicial Power Project</w:t>
      </w:r>
      <w:r w:rsidR="009318EB" w:rsidRPr="00467CF8">
        <w:rPr>
          <w:rFonts w:ascii="Garamond" w:hAnsi="Garamond"/>
          <w:sz w:val="16"/>
          <w:szCs w:val="16"/>
        </w:rPr>
        <w:t xml:space="preserve"> (2 November 2016).</w:t>
      </w:r>
    </w:p>
  </w:footnote>
  <w:footnote w:id="64">
    <w:p w14:paraId="0D8DE21D" w14:textId="56F4AB50" w:rsidR="00AC609B" w:rsidRPr="00467CF8" w:rsidRDefault="00AC609B" w:rsidP="00CF0251">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61 (emphasis added).</w:t>
      </w:r>
    </w:p>
  </w:footnote>
  <w:footnote w:id="65">
    <w:p w14:paraId="2193A562" w14:textId="3C946AC7"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001839F3" w:rsidRPr="00467CF8">
        <w:rPr>
          <w:rFonts w:ascii="Garamond" w:hAnsi="Garamond"/>
          <w:sz w:val="16"/>
          <w:szCs w:val="16"/>
        </w:rPr>
        <w:t>“</w:t>
      </w:r>
      <w:r w:rsidR="0009030B" w:rsidRPr="00467CF8">
        <w:rPr>
          <w:rFonts w:ascii="Garamond" w:hAnsi="Garamond"/>
          <w:sz w:val="16"/>
          <w:szCs w:val="16"/>
        </w:rPr>
        <w:t>Explanatory Memorandum to the Railways (Convention on International Carriage by Rail) Regulations 2005</w:t>
      </w:r>
      <w:r w:rsidR="001839F3" w:rsidRPr="00467CF8">
        <w:rPr>
          <w:rFonts w:ascii="Garamond" w:hAnsi="Garamond"/>
          <w:sz w:val="16"/>
          <w:szCs w:val="16"/>
        </w:rPr>
        <w:t>”</w:t>
      </w:r>
      <w:r w:rsidR="0009030B" w:rsidRPr="00467CF8">
        <w:rPr>
          <w:rFonts w:ascii="Garamond" w:hAnsi="Garamond"/>
          <w:sz w:val="16"/>
          <w:szCs w:val="16"/>
        </w:rPr>
        <w:t xml:space="preserve">, </w:t>
      </w:r>
      <w:r w:rsidR="00DF7889" w:rsidRPr="00467CF8">
        <w:rPr>
          <w:rFonts w:ascii="Garamond" w:hAnsi="Garamond"/>
          <w:i/>
          <w:sz w:val="16"/>
          <w:szCs w:val="16"/>
        </w:rPr>
        <w:t>http://www.legislation.gov.uk/uksi/2005/2</w:t>
      </w:r>
      <w:r w:rsidR="0009030B" w:rsidRPr="00467CF8">
        <w:rPr>
          <w:rFonts w:ascii="Garamond" w:hAnsi="Garamond"/>
          <w:i/>
          <w:sz w:val="16"/>
          <w:szCs w:val="16"/>
        </w:rPr>
        <w:t>092/pdfs/uksiem_20052092_en.pdf</w:t>
      </w:r>
      <w:r w:rsidR="00DF7889" w:rsidRPr="00467CF8">
        <w:rPr>
          <w:rFonts w:ascii="Garamond" w:hAnsi="Garamond"/>
          <w:sz w:val="16"/>
          <w:szCs w:val="16"/>
        </w:rPr>
        <w:t xml:space="preserve"> </w:t>
      </w:r>
      <w:r w:rsidR="0009030B" w:rsidRPr="00467CF8">
        <w:rPr>
          <w:rFonts w:ascii="Garamond" w:hAnsi="Garamond"/>
          <w:sz w:val="16"/>
          <w:szCs w:val="16"/>
        </w:rPr>
        <w:t xml:space="preserve">[Accessed 1 October 2018] </w:t>
      </w:r>
      <w:r w:rsidR="00DF7889" w:rsidRPr="00467CF8">
        <w:rPr>
          <w:rFonts w:ascii="Garamond" w:hAnsi="Garamond"/>
          <w:sz w:val="16"/>
          <w:szCs w:val="16"/>
        </w:rPr>
        <w:t>(e</w:t>
      </w:r>
      <w:r w:rsidRPr="00467CF8">
        <w:rPr>
          <w:rFonts w:ascii="Garamond" w:hAnsi="Garamond"/>
          <w:sz w:val="16"/>
          <w:szCs w:val="16"/>
        </w:rPr>
        <w:t>mphasis in</w:t>
      </w:r>
      <w:r w:rsidR="00DF7889" w:rsidRPr="00467CF8">
        <w:rPr>
          <w:rFonts w:ascii="Garamond" w:hAnsi="Garamond"/>
          <w:sz w:val="16"/>
          <w:szCs w:val="16"/>
        </w:rPr>
        <w:t xml:space="preserve"> the original; footnote omitted).</w:t>
      </w:r>
    </w:p>
  </w:footnote>
  <w:footnote w:id="66">
    <w:p w14:paraId="3634B555" w14:textId="4AF6107D"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00FE727E" w:rsidRPr="00467CF8">
        <w:rPr>
          <w:rFonts w:ascii="Garamond" w:hAnsi="Garamond"/>
          <w:sz w:val="16"/>
          <w:szCs w:val="16"/>
        </w:rPr>
        <w:t xml:space="preserve">E.g. Case C-267/91 </w:t>
      </w:r>
      <w:r w:rsidR="00FE727E" w:rsidRPr="00467CF8">
        <w:rPr>
          <w:rFonts w:ascii="Garamond" w:hAnsi="Garamond"/>
          <w:i/>
          <w:sz w:val="16"/>
          <w:szCs w:val="16"/>
        </w:rPr>
        <w:t>Keck and Mithouard</w:t>
      </w:r>
      <w:r w:rsidR="00FE727E" w:rsidRPr="00467CF8">
        <w:rPr>
          <w:rFonts w:ascii="Garamond" w:hAnsi="Garamond"/>
          <w:sz w:val="16"/>
          <w:szCs w:val="16"/>
        </w:rPr>
        <w:t xml:space="preserve"> [1993] </w:t>
      </w:r>
      <w:r w:rsidR="0091305E" w:rsidRPr="00467CF8">
        <w:rPr>
          <w:rFonts w:ascii="Garamond" w:hAnsi="Garamond"/>
          <w:sz w:val="16"/>
          <w:szCs w:val="16"/>
        </w:rPr>
        <w:t>(certain selling arrangements)</w:t>
      </w:r>
      <w:r w:rsidR="00CE1AAE" w:rsidRPr="00467CF8">
        <w:rPr>
          <w:rFonts w:ascii="Garamond" w:hAnsi="Garamond"/>
          <w:sz w:val="16"/>
          <w:szCs w:val="16"/>
        </w:rPr>
        <w:t xml:space="preserve">; </w:t>
      </w:r>
      <w:r w:rsidR="0091305E" w:rsidRPr="00467CF8">
        <w:rPr>
          <w:rFonts w:ascii="Garamond" w:hAnsi="Garamond"/>
          <w:sz w:val="16"/>
          <w:szCs w:val="16"/>
        </w:rPr>
        <w:t xml:space="preserve">Case C-110/05 </w:t>
      </w:r>
      <w:r w:rsidR="0091305E" w:rsidRPr="00467CF8">
        <w:rPr>
          <w:rFonts w:ascii="Garamond" w:hAnsi="Garamond"/>
          <w:i/>
          <w:sz w:val="16"/>
          <w:szCs w:val="16"/>
        </w:rPr>
        <w:t>Commission v Italy</w:t>
      </w:r>
      <w:r w:rsidR="0091305E" w:rsidRPr="00467CF8">
        <w:rPr>
          <w:rFonts w:ascii="Garamond" w:hAnsi="Garamond"/>
          <w:sz w:val="16"/>
          <w:szCs w:val="16"/>
        </w:rPr>
        <w:t xml:space="preserve"> [2009] (product use).</w:t>
      </w:r>
    </w:p>
  </w:footnote>
  <w:footnote w:id="67">
    <w:p w14:paraId="2E049315" w14:textId="77777777" w:rsidR="00AC609B" w:rsidRPr="00467CF8" w:rsidRDefault="00AC609B" w:rsidP="00E81745">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Application no. 5856/72 (25 April 1978), para. 31.</w:t>
      </w:r>
    </w:p>
  </w:footnote>
  <w:footnote w:id="68">
    <w:p w14:paraId="0F288C41" w14:textId="5AC17240" w:rsidR="00AC609B" w:rsidRPr="00467CF8" w:rsidRDefault="00AC609B" w:rsidP="005D111E">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009D7782" w:rsidRPr="00467CF8">
        <w:rPr>
          <w:rFonts w:ascii="Garamond" w:hAnsi="Garamond"/>
          <w:sz w:val="16"/>
          <w:szCs w:val="16"/>
        </w:rPr>
        <w:t>Q</w:t>
      </w:r>
      <w:r w:rsidRPr="00467CF8">
        <w:rPr>
          <w:rFonts w:ascii="Garamond" w:hAnsi="Garamond"/>
          <w:sz w:val="16"/>
          <w:szCs w:val="16"/>
        </w:rPr>
        <w:t>ualified majority voting replaced unanimity in Council decision-making in existing areas of competence such as the free movement of capital and the freedom to provide services. See further</w:t>
      </w:r>
      <w:r w:rsidR="00D25BF5" w:rsidRPr="00467CF8">
        <w:rPr>
          <w:rFonts w:ascii="Garamond" w:hAnsi="Garamond"/>
          <w:sz w:val="16"/>
          <w:szCs w:val="16"/>
        </w:rPr>
        <w:t xml:space="preserve"> “Developments up to the Single European Act”,</w:t>
      </w:r>
      <w:r w:rsidR="00B75C99" w:rsidRPr="00467CF8">
        <w:rPr>
          <w:rFonts w:ascii="Garamond" w:hAnsi="Garamond"/>
          <w:sz w:val="16"/>
          <w:szCs w:val="16"/>
        </w:rPr>
        <w:t xml:space="preserve"> </w:t>
      </w:r>
      <w:r w:rsidRPr="00467CF8">
        <w:rPr>
          <w:rFonts w:ascii="Garamond" w:hAnsi="Garamond"/>
          <w:i/>
          <w:sz w:val="16"/>
          <w:szCs w:val="16"/>
        </w:rPr>
        <w:t>http://www.europarl.europa.eu/atyourservice/en/displayFtu.html?ftuId=FTU_1.1.2.html</w:t>
      </w:r>
      <w:r w:rsidRPr="00467CF8">
        <w:rPr>
          <w:rFonts w:ascii="Garamond" w:hAnsi="Garamond"/>
          <w:sz w:val="16"/>
          <w:szCs w:val="16"/>
        </w:rPr>
        <w:t xml:space="preserve"> [Accessed </w:t>
      </w:r>
      <w:r w:rsidR="00B75C99" w:rsidRPr="00467CF8">
        <w:rPr>
          <w:rFonts w:ascii="Garamond" w:hAnsi="Garamond"/>
          <w:sz w:val="16"/>
          <w:szCs w:val="16"/>
        </w:rPr>
        <w:t>1 October</w:t>
      </w:r>
      <w:r w:rsidRPr="00467CF8">
        <w:rPr>
          <w:rFonts w:ascii="Garamond" w:hAnsi="Garamond"/>
          <w:sz w:val="16"/>
          <w:szCs w:val="16"/>
        </w:rPr>
        <w:t xml:space="preserve"> 2018].</w:t>
      </w:r>
    </w:p>
  </w:footnote>
  <w:footnote w:id="69">
    <w:p w14:paraId="15286F42" w14:textId="77777777" w:rsidR="00AC609B" w:rsidRPr="00467CF8" w:rsidRDefault="00AC609B" w:rsidP="0048686A">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Emphasis in the original.</w:t>
      </w:r>
    </w:p>
  </w:footnote>
  <w:footnote w:id="70">
    <w:p w14:paraId="5826C284" w14:textId="045F61D2" w:rsidR="00AC609B" w:rsidRPr="00467CF8" w:rsidRDefault="00AC609B" w:rsidP="0002328A">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00D23678" w:rsidRPr="00467CF8">
        <w:rPr>
          <w:rFonts w:ascii="Garamond" w:hAnsi="Garamond"/>
          <w:sz w:val="16"/>
          <w:szCs w:val="16"/>
        </w:rPr>
        <w:t xml:space="preserve">Article 33 of COTIF is entitled “Modification of the Convention” and lays down amendment procedures. </w:t>
      </w:r>
      <w:r w:rsidRPr="00467CF8">
        <w:rPr>
          <w:rFonts w:ascii="Garamond" w:hAnsi="Garamond"/>
          <w:sz w:val="16"/>
          <w:szCs w:val="16"/>
        </w:rPr>
        <w:t>See also Sch.6 para.3(2) of the Railways and Transport Safety Act 2003: “the regulations may … provide for a reference to the Convention to be treated following modification (whether occurring before or after the reference first takes effect) as a reference to the Convention as modified”.</w:t>
      </w:r>
    </w:p>
  </w:footnote>
  <w:footnote w:id="71">
    <w:p w14:paraId="02F4333A" w14:textId="641954BA" w:rsidR="00AC609B" w:rsidRPr="00467CF8" w:rsidRDefault="00AC609B" w:rsidP="00D3379D">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It also rejected the suggestion that EU law was delegated legislation: “The 1972 Act cannot be said to constitute EU legislative institutions the delegates of Parliament: they make laws </w:t>
      </w:r>
      <w:r w:rsidRPr="00467CF8">
        <w:rPr>
          <w:rFonts w:ascii="Garamond" w:hAnsi="Garamond"/>
          <w:i/>
          <w:sz w:val="16"/>
          <w:szCs w:val="16"/>
        </w:rPr>
        <w:t>independently</w:t>
      </w:r>
      <w:r w:rsidRPr="00467CF8">
        <w:rPr>
          <w:rFonts w:ascii="Garamond" w:hAnsi="Garamond"/>
          <w:sz w:val="16"/>
          <w:szCs w:val="16"/>
        </w:rPr>
        <w:t xml:space="preserve"> of Parliament” in </w:t>
      </w:r>
      <w:r w:rsidRPr="00467CF8">
        <w:rPr>
          <w:rFonts w:ascii="Garamond" w:hAnsi="Garamond"/>
          <w:i/>
          <w:sz w:val="16"/>
          <w:szCs w:val="16"/>
        </w:rPr>
        <w:t>Miller</w:t>
      </w:r>
      <w:r w:rsidRPr="00467CF8">
        <w:rPr>
          <w:rFonts w:ascii="Garamond" w:hAnsi="Garamond"/>
          <w:sz w:val="16"/>
          <w:szCs w:val="16"/>
        </w:rPr>
        <w:t>, para. 68 (emphasis added).</w:t>
      </w:r>
    </w:p>
  </w:footnote>
  <w:footnote w:id="72">
    <w:p w14:paraId="7EE3FEB0" w14:textId="64B458E4"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228.</w:t>
      </w:r>
    </w:p>
  </w:footnote>
  <w:footnote w:id="73">
    <w:p w14:paraId="390C5341" w14:textId="77777777" w:rsidR="00AC609B" w:rsidRPr="00467CF8" w:rsidRDefault="00AC609B" w:rsidP="00861AB4">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Grant, “Prerogative, Parliament and Creative Constitutional Adjudication”, at p.50.</w:t>
      </w:r>
    </w:p>
  </w:footnote>
  <w:footnote w:id="74">
    <w:p w14:paraId="371E8BA8" w14:textId="3E47CCF5" w:rsidR="00AC609B" w:rsidRPr="00467CF8" w:rsidRDefault="00AC609B" w:rsidP="00AB58A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00714251" w:rsidRPr="00467CF8">
        <w:rPr>
          <w:rFonts w:ascii="Garamond" w:hAnsi="Garamond"/>
          <w:sz w:val="16"/>
          <w:szCs w:val="16"/>
        </w:rPr>
        <w:t>, para. 60</w:t>
      </w:r>
      <w:r w:rsidRPr="00467CF8">
        <w:rPr>
          <w:rFonts w:ascii="Garamond" w:hAnsi="Garamond"/>
          <w:sz w:val="16"/>
          <w:szCs w:val="16"/>
        </w:rPr>
        <w:t>.</w:t>
      </w:r>
      <w:r w:rsidR="00714251" w:rsidRPr="00467CF8">
        <w:rPr>
          <w:rFonts w:ascii="Garamond" w:hAnsi="Garamond"/>
          <w:sz w:val="16"/>
          <w:szCs w:val="16"/>
        </w:rPr>
        <w:t xml:space="preserve"> </w:t>
      </w:r>
      <w:r w:rsidR="0056548B" w:rsidRPr="00467CF8">
        <w:rPr>
          <w:rFonts w:ascii="Garamond" w:hAnsi="Garamond"/>
          <w:sz w:val="16"/>
          <w:szCs w:val="16"/>
        </w:rPr>
        <w:t>And see e.g. para. 66 regarding the reception of the EU doctrine of supremacy</w:t>
      </w:r>
      <w:r w:rsidR="00714251" w:rsidRPr="00467CF8">
        <w:rPr>
          <w:rFonts w:ascii="Garamond" w:hAnsi="Garamond"/>
          <w:sz w:val="16"/>
          <w:szCs w:val="16"/>
        </w:rPr>
        <w:t xml:space="preserve">: “EU law cannot be implicitly displaced by the mere enactment of legislation which is inconsistent with it. That is clear from the second part of section 2(4) of the 1972 Act and </w:t>
      </w:r>
      <w:r w:rsidR="00714251" w:rsidRPr="00467CF8">
        <w:rPr>
          <w:rFonts w:ascii="Garamond" w:hAnsi="Garamond"/>
          <w:i/>
          <w:sz w:val="16"/>
          <w:szCs w:val="16"/>
        </w:rPr>
        <w:t>Factortame Ltd (No 2)</w:t>
      </w:r>
      <w:r w:rsidR="00714251" w:rsidRPr="00467CF8">
        <w:rPr>
          <w:rFonts w:ascii="Garamond" w:hAnsi="Garamond"/>
          <w:sz w:val="16"/>
          <w:szCs w:val="16"/>
        </w:rPr>
        <w:t xml:space="preserve"> [1991] 1 AC 603”.</w:t>
      </w:r>
    </w:p>
  </w:footnote>
  <w:footnote w:id="75">
    <w:p w14:paraId="29E08187" w14:textId="0E459695" w:rsidR="00AC609B" w:rsidRPr="00467CF8" w:rsidRDefault="00AC609B" w:rsidP="00AB58A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E.g. </w:t>
      </w:r>
      <w:r w:rsidR="002A663E" w:rsidRPr="00467CF8">
        <w:rPr>
          <w:rFonts w:ascii="Garamond" w:hAnsi="Garamond"/>
          <w:sz w:val="16"/>
          <w:szCs w:val="16"/>
        </w:rPr>
        <w:t>Case C-6</w:t>
      </w:r>
      <w:r w:rsidR="00670C22" w:rsidRPr="00467CF8">
        <w:rPr>
          <w:rFonts w:ascii="Garamond" w:hAnsi="Garamond"/>
          <w:sz w:val="16"/>
          <w:szCs w:val="16"/>
        </w:rPr>
        <w:t xml:space="preserve">/64 </w:t>
      </w:r>
      <w:r w:rsidRPr="00467CF8">
        <w:rPr>
          <w:rFonts w:ascii="Garamond" w:hAnsi="Garamond"/>
          <w:i/>
          <w:sz w:val="16"/>
          <w:szCs w:val="16"/>
        </w:rPr>
        <w:t>Costa v E.N.E.L</w:t>
      </w:r>
      <w:r w:rsidRPr="00467CF8">
        <w:rPr>
          <w:rFonts w:ascii="Garamond" w:hAnsi="Garamond"/>
          <w:sz w:val="16"/>
          <w:szCs w:val="16"/>
        </w:rPr>
        <w:t xml:space="preserve"> [1964];</w:t>
      </w:r>
      <w:r w:rsidR="00935DB7" w:rsidRPr="00467CF8">
        <w:rPr>
          <w:rFonts w:ascii="Garamond" w:hAnsi="Garamond"/>
          <w:sz w:val="16"/>
          <w:szCs w:val="16"/>
        </w:rPr>
        <w:t xml:space="preserve"> Case C-106/77</w:t>
      </w:r>
      <w:r w:rsidR="00EB70BC" w:rsidRPr="00467CF8">
        <w:rPr>
          <w:rFonts w:ascii="Garamond" w:hAnsi="Garamond"/>
          <w:sz w:val="16"/>
          <w:szCs w:val="16"/>
        </w:rPr>
        <w:t xml:space="preserve"> </w:t>
      </w:r>
      <w:r w:rsidR="00EB70BC" w:rsidRPr="00467CF8">
        <w:rPr>
          <w:rFonts w:ascii="Garamond" w:hAnsi="Garamond"/>
          <w:i/>
          <w:sz w:val="16"/>
          <w:szCs w:val="16"/>
        </w:rPr>
        <w:t xml:space="preserve">Amministrazione delle finanze dello Stato v </w:t>
      </w:r>
      <w:r w:rsidRPr="00467CF8">
        <w:rPr>
          <w:rFonts w:ascii="Garamond" w:hAnsi="Garamond"/>
          <w:i/>
          <w:sz w:val="16"/>
          <w:szCs w:val="16"/>
        </w:rPr>
        <w:t xml:space="preserve">Simmenthal </w:t>
      </w:r>
      <w:r w:rsidRPr="00467CF8">
        <w:rPr>
          <w:rFonts w:ascii="Garamond" w:hAnsi="Garamond"/>
          <w:sz w:val="16"/>
          <w:szCs w:val="16"/>
        </w:rPr>
        <w:t>[</w:t>
      </w:r>
      <w:r w:rsidR="00B859EB" w:rsidRPr="00467CF8">
        <w:rPr>
          <w:rFonts w:ascii="Garamond" w:hAnsi="Garamond"/>
          <w:sz w:val="16"/>
          <w:szCs w:val="16"/>
        </w:rPr>
        <w:t>1979]</w:t>
      </w:r>
      <w:r w:rsidR="005A7AA4" w:rsidRPr="00467CF8">
        <w:rPr>
          <w:rFonts w:ascii="Garamond" w:hAnsi="Garamond"/>
          <w:sz w:val="16"/>
          <w:szCs w:val="16"/>
        </w:rPr>
        <w:t>.</w:t>
      </w:r>
    </w:p>
  </w:footnote>
  <w:footnote w:id="76">
    <w:p w14:paraId="24D5D530" w14:textId="09935E1F" w:rsidR="00AC609B" w:rsidRPr="00467CF8" w:rsidRDefault="00AC609B" w:rsidP="00AB58A1">
      <w:pPr>
        <w:pStyle w:val="FootnoteText"/>
        <w:rPr>
          <w:rFonts w:ascii="Garamond" w:hAnsi="Garamond"/>
          <w:sz w:val="16"/>
          <w:szCs w:val="16"/>
        </w:rPr>
      </w:pPr>
      <w:r w:rsidRPr="00467CF8">
        <w:rPr>
          <w:rStyle w:val="FootnoteReference"/>
          <w:rFonts w:ascii="Garamond" w:hAnsi="Garamond"/>
          <w:sz w:val="16"/>
          <w:szCs w:val="16"/>
        </w:rPr>
        <w:footnoteRef/>
      </w:r>
      <w:r w:rsidR="00154561" w:rsidRPr="00467CF8">
        <w:rPr>
          <w:rFonts w:ascii="Garamond" w:hAnsi="Garamond"/>
          <w:sz w:val="16"/>
          <w:szCs w:val="16"/>
        </w:rPr>
        <w:t xml:space="preserve"> And not just in the UK – </w:t>
      </w:r>
      <w:r w:rsidR="003863F4" w:rsidRPr="00467CF8">
        <w:rPr>
          <w:rFonts w:ascii="Garamond" w:hAnsi="Garamond"/>
          <w:sz w:val="16"/>
          <w:szCs w:val="16"/>
        </w:rPr>
        <w:t>e.g</w:t>
      </w:r>
      <w:r w:rsidR="00913209" w:rsidRPr="00467CF8">
        <w:rPr>
          <w:rFonts w:ascii="Garamond" w:hAnsi="Garamond"/>
          <w:sz w:val="16"/>
          <w:szCs w:val="16"/>
        </w:rPr>
        <w:t xml:space="preserve">. the </w:t>
      </w:r>
      <w:r w:rsidR="00154561" w:rsidRPr="00467CF8">
        <w:rPr>
          <w:rFonts w:ascii="Garamond" w:hAnsi="Garamond"/>
          <w:sz w:val="16"/>
          <w:szCs w:val="16"/>
        </w:rPr>
        <w:t xml:space="preserve">well-known </w:t>
      </w:r>
      <w:r w:rsidR="00913209" w:rsidRPr="00467CF8">
        <w:rPr>
          <w:rFonts w:ascii="Garamond" w:hAnsi="Garamond"/>
          <w:i/>
          <w:sz w:val="16"/>
          <w:szCs w:val="16"/>
        </w:rPr>
        <w:t>Solange</w:t>
      </w:r>
      <w:r w:rsidR="00913209" w:rsidRPr="00467CF8">
        <w:rPr>
          <w:rFonts w:ascii="Garamond" w:hAnsi="Garamond"/>
          <w:sz w:val="16"/>
          <w:szCs w:val="16"/>
        </w:rPr>
        <w:t xml:space="preserve"> case law</w:t>
      </w:r>
      <w:r w:rsidR="003863F4" w:rsidRPr="00467CF8">
        <w:rPr>
          <w:rFonts w:ascii="Garamond" w:hAnsi="Garamond"/>
          <w:sz w:val="16"/>
          <w:szCs w:val="16"/>
        </w:rPr>
        <w:t xml:space="preserve"> in the Germ</w:t>
      </w:r>
      <w:r w:rsidR="00AC1136" w:rsidRPr="00467CF8">
        <w:rPr>
          <w:rFonts w:ascii="Garamond" w:hAnsi="Garamond"/>
          <w:sz w:val="16"/>
          <w:szCs w:val="16"/>
        </w:rPr>
        <w:t>an Federal Cons</w:t>
      </w:r>
      <w:r w:rsidR="00154561" w:rsidRPr="00467CF8">
        <w:rPr>
          <w:rFonts w:ascii="Garamond" w:hAnsi="Garamond"/>
          <w:sz w:val="16"/>
          <w:szCs w:val="16"/>
        </w:rPr>
        <w:t>titutional Court.</w:t>
      </w:r>
    </w:p>
  </w:footnote>
  <w:footnote w:id="77">
    <w:p w14:paraId="3A604E4E" w14:textId="77777777" w:rsidR="00AC609B" w:rsidRPr="00467CF8" w:rsidRDefault="00AC609B" w:rsidP="00AB58A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[1979] I.C.R. 785 at 789 (Court of Appeal).</w:t>
      </w:r>
    </w:p>
  </w:footnote>
  <w:footnote w:id="78">
    <w:p w14:paraId="46C1D712" w14:textId="7D326724" w:rsidR="00246E91" w:rsidRPr="00467CF8" w:rsidRDefault="00246E91" w:rsidP="00246E9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Ekins, “Constitutional Practice and Principle”, at p.349.</w:t>
      </w:r>
    </w:p>
  </w:footnote>
  <w:footnote w:id="79">
    <w:p w14:paraId="1BA8E533" w14:textId="77777777" w:rsidR="00AC609B" w:rsidRPr="00467CF8" w:rsidRDefault="00AC609B" w:rsidP="00AB58A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R (HS2 Action Alliance Limited) v Secretary of State for Transport</w:t>
      </w:r>
      <w:r w:rsidRPr="00467CF8">
        <w:rPr>
          <w:rFonts w:ascii="Garamond" w:hAnsi="Garamond"/>
          <w:sz w:val="16"/>
          <w:szCs w:val="16"/>
        </w:rPr>
        <w:t xml:space="preserve"> [2014] UKSC 3 at paras. 206-208.</w:t>
      </w:r>
    </w:p>
  </w:footnote>
  <w:footnote w:id="80">
    <w:p w14:paraId="396D875B" w14:textId="77777777" w:rsidR="00AC609B" w:rsidRPr="00467CF8" w:rsidRDefault="00AC609B" w:rsidP="00AB58A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Ibid at para. 206. The judgment in </w:t>
      </w:r>
      <w:r w:rsidRPr="00467CF8">
        <w:rPr>
          <w:rFonts w:ascii="Garamond" w:hAnsi="Garamond"/>
          <w:i/>
          <w:sz w:val="16"/>
          <w:szCs w:val="16"/>
        </w:rPr>
        <w:t>HS2</w:t>
      </w:r>
      <w:r w:rsidRPr="00467CF8">
        <w:rPr>
          <w:rFonts w:ascii="Garamond" w:hAnsi="Garamond"/>
          <w:sz w:val="16"/>
          <w:szCs w:val="16"/>
        </w:rPr>
        <w:t xml:space="preserve"> suggests that the requirements of constitutional statutes may be more or less weighty vis-à-vis each other. But this also gives rise to the thought that requirements of </w:t>
      </w:r>
      <w:r w:rsidRPr="00467CF8">
        <w:rPr>
          <w:rFonts w:ascii="Garamond" w:hAnsi="Garamond"/>
          <w:i/>
          <w:sz w:val="16"/>
          <w:szCs w:val="16"/>
        </w:rPr>
        <w:t>ordinary</w:t>
      </w:r>
      <w:r w:rsidRPr="00467CF8">
        <w:rPr>
          <w:rFonts w:ascii="Garamond" w:hAnsi="Garamond"/>
          <w:sz w:val="16"/>
          <w:szCs w:val="16"/>
        </w:rPr>
        <w:t xml:space="preserve"> statutes may be more or less weighty vis-à-vis each other, and vis-à-vis constitutional statutes. I explore this matter in other work.</w:t>
      </w:r>
    </w:p>
  </w:footnote>
  <w:footnote w:id="81">
    <w:p w14:paraId="343569E2" w14:textId="77777777" w:rsidR="00246E91" w:rsidRPr="00467CF8" w:rsidRDefault="00246E91" w:rsidP="00246E91">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67.</w:t>
      </w:r>
    </w:p>
  </w:footnote>
  <w:footnote w:id="82">
    <w:p w14:paraId="35B9F34F" w14:textId="02A9DB76" w:rsidR="00E3733F" w:rsidRPr="00467CF8" w:rsidRDefault="00E3733F">
      <w:pPr>
        <w:pStyle w:val="FootnoteText"/>
        <w:rPr>
          <w:rFonts w:ascii="Garamond" w:hAnsi="Garamond"/>
          <w:sz w:val="16"/>
          <w:szCs w:val="16"/>
        </w:rPr>
      </w:pPr>
      <w:r w:rsidRPr="00467CF8">
        <w:rPr>
          <w:rStyle w:val="FootnoteReference"/>
          <w:rFonts w:ascii="Garamond" w:hAnsi="Garamond"/>
          <w:sz w:val="16"/>
          <w:szCs w:val="16"/>
        </w:rPr>
        <w:footnoteRef/>
      </w:r>
      <w:r w:rsidR="008F02DA" w:rsidRPr="00467CF8">
        <w:rPr>
          <w:rFonts w:ascii="Garamond" w:hAnsi="Garamond"/>
          <w:sz w:val="16"/>
          <w:szCs w:val="16"/>
        </w:rPr>
        <w:t xml:space="preserve"> </w:t>
      </w:r>
      <w:r w:rsidR="00BE4A2E" w:rsidRPr="00467CF8">
        <w:rPr>
          <w:rFonts w:ascii="Garamond" w:hAnsi="Garamond"/>
          <w:sz w:val="16"/>
          <w:szCs w:val="16"/>
        </w:rPr>
        <w:t xml:space="preserve">“Railways </w:t>
      </w:r>
      <w:r w:rsidR="009A6400" w:rsidRPr="00467CF8">
        <w:rPr>
          <w:rFonts w:ascii="Garamond" w:hAnsi="Garamond"/>
          <w:sz w:val="16"/>
          <w:szCs w:val="16"/>
        </w:rPr>
        <w:t xml:space="preserve">and Transport Safety Bill, Standing Committee D, Thursday 6 March 2003 (Afternoon)”, </w:t>
      </w:r>
      <w:r w:rsidR="000454CB" w:rsidRPr="00467CF8">
        <w:rPr>
          <w:rFonts w:ascii="Garamond" w:hAnsi="Garamond"/>
          <w:i/>
          <w:sz w:val="16"/>
          <w:szCs w:val="16"/>
        </w:rPr>
        <w:t>https://publications.parliament.uk/pa/cm200203/cms</w:t>
      </w:r>
      <w:r w:rsidR="00BE4A2E" w:rsidRPr="00467CF8">
        <w:rPr>
          <w:rFonts w:ascii="Garamond" w:hAnsi="Garamond"/>
          <w:i/>
          <w:sz w:val="16"/>
          <w:szCs w:val="16"/>
        </w:rPr>
        <w:t>tand/d/st030306/pm/30306s03.htm</w:t>
      </w:r>
      <w:r w:rsidR="000454CB" w:rsidRPr="00467CF8">
        <w:rPr>
          <w:rFonts w:ascii="Garamond" w:hAnsi="Garamond"/>
          <w:sz w:val="16"/>
          <w:szCs w:val="16"/>
        </w:rPr>
        <w:t xml:space="preserve"> </w:t>
      </w:r>
      <w:r w:rsidR="009A6400" w:rsidRPr="00467CF8">
        <w:rPr>
          <w:rFonts w:ascii="Garamond" w:hAnsi="Garamond"/>
          <w:sz w:val="16"/>
          <w:szCs w:val="16"/>
        </w:rPr>
        <w:t>[Accessed 1 October 2018]. The quoted r</w:t>
      </w:r>
      <w:r w:rsidR="000454CB" w:rsidRPr="00467CF8">
        <w:rPr>
          <w:rFonts w:ascii="Garamond" w:hAnsi="Garamond"/>
          <w:sz w:val="16"/>
          <w:szCs w:val="16"/>
        </w:rPr>
        <w:t xml:space="preserve">esponse </w:t>
      </w:r>
      <w:r w:rsidR="009A6400" w:rsidRPr="00467CF8">
        <w:rPr>
          <w:rFonts w:ascii="Garamond" w:hAnsi="Garamond"/>
          <w:sz w:val="16"/>
          <w:szCs w:val="16"/>
        </w:rPr>
        <w:t xml:space="preserve">was </w:t>
      </w:r>
      <w:r w:rsidR="000454CB" w:rsidRPr="00467CF8">
        <w:rPr>
          <w:rFonts w:ascii="Garamond" w:hAnsi="Garamond"/>
          <w:sz w:val="16"/>
          <w:szCs w:val="16"/>
        </w:rPr>
        <w:t xml:space="preserve">from Mr. David Jamieson, </w:t>
      </w:r>
      <w:r w:rsidR="008F02DA" w:rsidRPr="00467CF8">
        <w:rPr>
          <w:rFonts w:ascii="Garamond" w:hAnsi="Garamond"/>
          <w:sz w:val="16"/>
          <w:szCs w:val="16"/>
        </w:rPr>
        <w:t>Parliamentary Under-Secretary of</w:t>
      </w:r>
      <w:r w:rsidR="001B7EA6" w:rsidRPr="00467CF8">
        <w:rPr>
          <w:rFonts w:ascii="Garamond" w:hAnsi="Garamond"/>
          <w:sz w:val="16"/>
          <w:szCs w:val="16"/>
        </w:rPr>
        <w:t xml:space="preserve"> State for Transport, regarding </w:t>
      </w:r>
      <w:r w:rsidR="008F02DA" w:rsidRPr="00467CF8">
        <w:rPr>
          <w:rFonts w:ascii="Garamond" w:hAnsi="Garamond"/>
          <w:sz w:val="16"/>
          <w:szCs w:val="16"/>
        </w:rPr>
        <w:t>proposed amendment No. 52</w:t>
      </w:r>
      <w:r w:rsidR="001B7EA6" w:rsidRPr="00467CF8">
        <w:rPr>
          <w:rFonts w:ascii="Garamond" w:hAnsi="Garamond"/>
          <w:sz w:val="16"/>
          <w:szCs w:val="16"/>
        </w:rPr>
        <w:t xml:space="preserve"> </w:t>
      </w:r>
      <w:r w:rsidR="00871A32" w:rsidRPr="00467CF8">
        <w:rPr>
          <w:rFonts w:ascii="Garamond" w:hAnsi="Garamond"/>
          <w:sz w:val="16"/>
          <w:szCs w:val="16"/>
        </w:rPr>
        <w:t>that sought to do away with the Regulations’ capacity to disapply or modify the effect of enactments</w:t>
      </w:r>
      <w:r w:rsidR="00BE60FD" w:rsidRPr="00467CF8">
        <w:rPr>
          <w:rFonts w:ascii="Garamond" w:hAnsi="Garamond"/>
          <w:sz w:val="16"/>
          <w:szCs w:val="16"/>
        </w:rPr>
        <w:t xml:space="preserve">. </w:t>
      </w:r>
      <w:r w:rsidR="00597057" w:rsidRPr="00467CF8">
        <w:rPr>
          <w:rFonts w:ascii="Garamond" w:hAnsi="Garamond"/>
          <w:sz w:val="16"/>
          <w:szCs w:val="16"/>
        </w:rPr>
        <w:t>The Minister</w:t>
      </w:r>
      <w:r w:rsidR="00BE60FD" w:rsidRPr="00467CF8">
        <w:rPr>
          <w:rFonts w:ascii="Garamond" w:hAnsi="Garamond"/>
          <w:sz w:val="16"/>
          <w:szCs w:val="16"/>
        </w:rPr>
        <w:t xml:space="preserve"> also stated: “Without those powers, which, as I said, are limited to the purpose of giving effect to the convention in the United Kingdom, the domestic implementation of the convention would be frustrated”.</w:t>
      </w:r>
    </w:p>
  </w:footnote>
  <w:footnote w:id="83">
    <w:p w14:paraId="764C4B75" w14:textId="23EE7385" w:rsidR="00F10D07" w:rsidRPr="00467CF8" w:rsidRDefault="00F10D07">
      <w:pPr>
        <w:pStyle w:val="FootnoteText"/>
        <w:rPr>
          <w:rFonts w:ascii="Garamond" w:hAnsi="Garamond"/>
          <w:sz w:val="16"/>
          <w:szCs w:val="16"/>
        </w:rPr>
      </w:pPr>
      <w:r w:rsidRPr="00467CF8">
        <w:rPr>
          <w:rStyle w:val="FootnoteReference"/>
          <w:rFonts w:ascii="Garamond" w:hAnsi="Garamond"/>
          <w:sz w:val="16"/>
          <w:szCs w:val="16"/>
        </w:rPr>
        <w:footnoteRef/>
      </w:r>
      <w:r w:rsidR="00467CF8" w:rsidRPr="00467CF8">
        <w:rPr>
          <w:rFonts w:ascii="Garamond" w:hAnsi="Garamond"/>
          <w:sz w:val="16"/>
          <w:szCs w:val="16"/>
        </w:rPr>
        <w:t xml:space="preserve"> And e</w:t>
      </w:r>
      <w:r w:rsidRPr="00467CF8">
        <w:rPr>
          <w:rFonts w:ascii="Garamond" w:hAnsi="Garamond"/>
          <w:sz w:val="16"/>
          <w:szCs w:val="16"/>
        </w:rPr>
        <w:t>ven when accounting for certain qualifications to EU law’s “overriding” status that we sketched earlier.</w:t>
      </w:r>
    </w:p>
  </w:footnote>
  <w:footnote w:id="84">
    <w:p w14:paraId="70250622" w14:textId="7ED2A07F"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78 (emphasis added).</w:t>
      </w:r>
    </w:p>
  </w:footnote>
  <w:footnote w:id="85">
    <w:p w14:paraId="2A1BE6FA" w14:textId="062C914D"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81 (emphasis added).</w:t>
      </w:r>
    </w:p>
  </w:footnote>
  <w:footnote w:id="86">
    <w:p w14:paraId="01FD138F" w14:textId="5626BBA4"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82 (emphasis added).</w:t>
      </w:r>
    </w:p>
  </w:footnote>
  <w:footnote w:id="87">
    <w:p w14:paraId="180807E9" w14:textId="5D4751BB" w:rsidR="00AC609B" w:rsidRPr="00467CF8" w:rsidRDefault="00AC609B" w:rsidP="00D266FC">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E.g. Dindjer, “Sources of Law and Fundamental Constitutional Change”, </w:t>
      </w:r>
      <w:r w:rsidRPr="00467CF8">
        <w:rPr>
          <w:rFonts w:ascii="Garamond" w:hAnsi="Garamond"/>
          <w:i/>
          <w:sz w:val="16"/>
          <w:szCs w:val="16"/>
        </w:rPr>
        <w:t>https://ukconstitutionallaw.org/2017/01/27/hasan-dindjer-sources-of-law-and-fundamental-constitutional-change/</w:t>
      </w:r>
      <w:r w:rsidRPr="00467CF8">
        <w:rPr>
          <w:rFonts w:ascii="Garamond" w:hAnsi="Garamond"/>
          <w:sz w:val="16"/>
          <w:szCs w:val="16"/>
        </w:rPr>
        <w:t xml:space="preserve"> [Accessed </w:t>
      </w:r>
      <w:r w:rsidR="000030E6" w:rsidRPr="00467CF8">
        <w:rPr>
          <w:rFonts w:ascii="Garamond" w:hAnsi="Garamond"/>
          <w:sz w:val="16"/>
          <w:szCs w:val="16"/>
        </w:rPr>
        <w:t>1 October</w:t>
      </w:r>
      <w:r w:rsidRPr="00467CF8">
        <w:rPr>
          <w:rFonts w:ascii="Garamond" w:hAnsi="Garamond"/>
          <w:sz w:val="16"/>
          <w:szCs w:val="16"/>
        </w:rPr>
        <w:t xml:space="preserve"> 2018]; Elliott, “The Supreme Court’s Judgment in </w:t>
      </w:r>
      <w:r w:rsidRPr="00467CF8">
        <w:rPr>
          <w:rFonts w:ascii="Garamond" w:hAnsi="Garamond"/>
          <w:i/>
          <w:sz w:val="16"/>
          <w:szCs w:val="16"/>
        </w:rPr>
        <w:t>Miller</w:t>
      </w:r>
      <w:r w:rsidRPr="00467CF8">
        <w:rPr>
          <w:rFonts w:ascii="Garamond" w:hAnsi="Garamond"/>
          <w:sz w:val="16"/>
          <w:szCs w:val="16"/>
        </w:rPr>
        <w:t>”, at pp.263-268.</w:t>
      </w:r>
    </w:p>
  </w:footnote>
  <w:footnote w:id="88">
    <w:p w14:paraId="42134783" w14:textId="7963462C"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Elliott, “The Supreme Court’s Judgment in </w:t>
      </w:r>
      <w:r w:rsidRPr="00467CF8">
        <w:rPr>
          <w:rFonts w:ascii="Garamond" w:hAnsi="Garamond"/>
          <w:i/>
          <w:sz w:val="16"/>
          <w:szCs w:val="16"/>
        </w:rPr>
        <w:t>Miller</w:t>
      </w:r>
      <w:r w:rsidRPr="00467CF8">
        <w:rPr>
          <w:rFonts w:ascii="Garamond" w:hAnsi="Garamond"/>
          <w:sz w:val="16"/>
          <w:szCs w:val="16"/>
        </w:rPr>
        <w:t>”, at p.265.</w:t>
      </w:r>
    </w:p>
  </w:footnote>
  <w:footnote w:id="89">
    <w:p w14:paraId="28A90B73" w14:textId="77777777" w:rsidR="00A73961" w:rsidRPr="00467CF8" w:rsidRDefault="00A73961" w:rsidP="00A73961">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C. Mac Amhlaigh, “</w:t>
      </w:r>
      <w:r w:rsidRPr="00467CF8">
        <w:rPr>
          <w:rFonts w:ascii="Garamond" w:hAnsi="Garamond"/>
          <w:i/>
          <w:sz w:val="16"/>
          <w:szCs w:val="16"/>
        </w:rPr>
        <w:t>Miller</w:t>
      </w:r>
      <w:r w:rsidRPr="00467CF8">
        <w:rPr>
          <w:rFonts w:ascii="Garamond" w:hAnsi="Garamond"/>
          <w:sz w:val="16"/>
          <w:szCs w:val="16"/>
        </w:rPr>
        <w:t>: the prerogative and constitutional change” (2017) Edinburgh Law Review 448 at p.450.</w:t>
      </w:r>
    </w:p>
  </w:footnote>
  <w:footnote w:id="90">
    <w:p w14:paraId="6222D55D" w14:textId="2E86BF1D"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83.</w:t>
      </w:r>
    </w:p>
  </w:footnote>
  <w:footnote w:id="91">
    <w:p w14:paraId="51F0DD55" w14:textId="0DA47025" w:rsidR="00AC609B" w:rsidRPr="00467CF8" w:rsidRDefault="00AC609B" w:rsidP="000D59B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This differs from other readings that instead take the major change argument as the governing idea in </w:t>
      </w:r>
      <w:r w:rsidRPr="00467CF8">
        <w:rPr>
          <w:rFonts w:ascii="Garamond" w:hAnsi="Garamond"/>
          <w:i/>
          <w:sz w:val="16"/>
          <w:szCs w:val="16"/>
        </w:rPr>
        <w:t>Miller</w:t>
      </w:r>
      <w:r w:rsidRPr="00467CF8">
        <w:rPr>
          <w:rFonts w:ascii="Garamond" w:hAnsi="Garamond"/>
          <w:sz w:val="16"/>
          <w:szCs w:val="16"/>
        </w:rPr>
        <w:t xml:space="preserve">. See e.g. Arabella Lang, “Parliament’s role in ratifying treaties”, </w:t>
      </w:r>
      <w:r w:rsidRPr="00467CF8">
        <w:rPr>
          <w:rFonts w:ascii="Garamond" w:hAnsi="Garamond"/>
          <w:i/>
          <w:sz w:val="16"/>
          <w:szCs w:val="16"/>
        </w:rPr>
        <w:t>House of Commons Library</w:t>
      </w:r>
      <w:r w:rsidRPr="00467CF8">
        <w:rPr>
          <w:rFonts w:ascii="Garamond" w:hAnsi="Garamond"/>
          <w:sz w:val="16"/>
          <w:szCs w:val="16"/>
        </w:rPr>
        <w:t xml:space="preserve">, Briefing Paper Number 5855 (17 February 2017), at p.6 which appears to treat the notion that “the Government cannot make or withdraw from a treaty that amounts to a ‘major change to UK constitutional arrangements’ without an Act of Parliament” as the governing principle that the Supreme Court applied to the facts and the sources question in </w:t>
      </w:r>
      <w:r w:rsidRPr="00467CF8">
        <w:rPr>
          <w:rFonts w:ascii="Garamond" w:hAnsi="Garamond"/>
          <w:i/>
          <w:sz w:val="16"/>
          <w:szCs w:val="16"/>
        </w:rPr>
        <w:t>Miller</w:t>
      </w:r>
      <w:r w:rsidRPr="00467CF8">
        <w:rPr>
          <w:rFonts w:ascii="Garamond" w:hAnsi="Garamond"/>
          <w:sz w:val="16"/>
          <w:szCs w:val="16"/>
        </w:rPr>
        <w:t xml:space="preserve">. Note also Elliott, “The Supreme Court’s Judgment in </w:t>
      </w:r>
      <w:r w:rsidRPr="00467CF8">
        <w:rPr>
          <w:rFonts w:ascii="Garamond" w:hAnsi="Garamond"/>
          <w:i/>
          <w:sz w:val="16"/>
          <w:szCs w:val="16"/>
        </w:rPr>
        <w:t>Miller</w:t>
      </w:r>
      <w:r w:rsidRPr="00467CF8">
        <w:rPr>
          <w:rFonts w:ascii="Garamond" w:hAnsi="Garamond"/>
          <w:sz w:val="16"/>
          <w:szCs w:val="16"/>
        </w:rPr>
        <w:t>”, at p.273, canvassing the idea that the majority’s analysis of sources is “little more than a version of” the major change argument.</w:t>
      </w:r>
    </w:p>
  </w:footnote>
  <w:footnote w:id="92">
    <w:p w14:paraId="0F426BEC" w14:textId="14F5F08E" w:rsidR="00AC609B" w:rsidRPr="00467CF8" w:rsidRDefault="00AC609B" w:rsidP="00357B4A">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78.</w:t>
      </w:r>
    </w:p>
  </w:footnote>
  <w:footnote w:id="93">
    <w:p w14:paraId="690DEAC2" w14:textId="606E70A2" w:rsidR="00AC609B" w:rsidRPr="00467CF8" w:rsidRDefault="00AC609B">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This is a problem for critics such as Elliott, “The Supreme Court’s Judgment in </w:t>
      </w:r>
      <w:r w:rsidRPr="00467CF8">
        <w:rPr>
          <w:rFonts w:ascii="Garamond" w:hAnsi="Garamond"/>
          <w:i/>
          <w:sz w:val="16"/>
          <w:szCs w:val="16"/>
        </w:rPr>
        <w:t>Miller</w:t>
      </w:r>
      <w:r w:rsidRPr="00467CF8">
        <w:rPr>
          <w:rFonts w:ascii="Garamond" w:hAnsi="Garamond"/>
          <w:sz w:val="16"/>
          <w:szCs w:val="16"/>
        </w:rPr>
        <w:t>”, at pp.263-268.</w:t>
      </w:r>
    </w:p>
  </w:footnote>
  <w:footnote w:id="94">
    <w:p w14:paraId="259DB83B" w14:textId="5D89CC3B" w:rsidR="00AC609B" w:rsidRPr="00467CF8" w:rsidRDefault="00AC609B" w:rsidP="00970BDC">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Warm thanks to David Feldman for the reminder.</w:t>
      </w:r>
    </w:p>
  </w:footnote>
  <w:footnote w:id="95">
    <w:p w14:paraId="546F3BDD" w14:textId="332C7BA4" w:rsidR="00AC609B" w:rsidRPr="00467CF8" w:rsidRDefault="00AC609B" w:rsidP="00580906">
      <w:pPr>
        <w:pStyle w:val="FootnoteText"/>
        <w:contextualSpacing/>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Lord Mance, “International Law in the UK Supreme Court”, King’s College, Lon</w:t>
      </w:r>
      <w:r w:rsidR="00E3738D" w:rsidRPr="00467CF8">
        <w:rPr>
          <w:rFonts w:ascii="Garamond" w:hAnsi="Garamond"/>
          <w:sz w:val="16"/>
          <w:szCs w:val="16"/>
        </w:rPr>
        <w:t xml:space="preserve">don, 13 February 2017, </w:t>
      </w:r>
      <w:r w:rsidR="000030E6" w:rsidRPr="00467CF8">
        <w:rPr>
          <w:rFonts w:ascii="Garamond" w:hAnsi="Garamond"/>
          <w:sz w:val="16"/>
          <w:szCs w:val="16"/>
        </w:rPr>
        <w:t>para. 33,</w:t>
      </w:r>
      <w:r w:rsidRPr="00467CF8">
        <w:rPr>
          <w:rFonts w:ascii="Garamond" w:hAnsi="Garamond"/>
          <w:sz w:val="16"/>
          <w:szCs w:val="16"/>
        </w:rPr>
        <w:t xml:space="preserve"> </w:t>
      </w:r>
      <w:r w:rsidRPr="00467CF8">
        <w:rPr>
          <w:rFonts w:ascii="Garamond" w:hAnsi="Garamond"/>
          <w:i/>
          <w:sz w:val="16"/>
          <w:szCs w:val="16"/>
        </w:rPr>
        <w:t>https://www.supremecourt.uk/docs/speech-170213.pdf</w:t>
      </w:r>
      <w:r w:rsidRPr="00467CF8">
        <w:rPr>
          <w:rFonts w:ascii="Garamond" w:hAnsi="Garamond"/>
          <w:sz w:val="16"/>
          <w:szCs w:val="16"/>
        </w:rPr>
        <w:t xml:space="preserve"> [Accessed </w:t>
      </w:r>
      <w:r w:rsidR="00E3738D" w:rsidRPr="00467CF8">
        <w:rPr>
          <w:rFonts w:ascii="Garamond" w:hAnsi="Garamond"/>
          <w:sz w:val="16"/>
          <w:szCs w:val="16"/>
        </w:rPr>
        <w:t>1 October</w:t>
      </w:r>
      <w:r w:rsidRPr="00467CF8">
        <w:rPr>
          <w:rFonts w:ascii="Garamond" w:hAnsi="Garamond"/>
          <w:sz w:val="16"/>
          <w:szCs w:val="16"/>
        </w:rPr>
        <w:t xml:space="preserve"> 2018].</w:t>
      </w:r>
    </w:p>
  </w:footnote>
  <w:footnote w:id="96">
    <w:p w14:paraId="6BF369C1" w14:textId="77777777" w:rsidR="00AC609B" w:rsidRPr="00467CF8" w:rsidRDefault="00AC609B" w:rsidP="00622B23">
      <w:pPr>
        <w:pStyle w:val="FootnoteText"/>
        <w:rPr>
          <w:rFonts w:ascii="Garamond" w:hAnsi="Garamond"/>
          <w:sz w:val="16"/>
          <w:szCs w:val="16"/>
        </w:rPr>
      </w:pPr>
      <w:r w:rsidRPr="00467CF8">
        <w:rPr>
          <w:rStyle w:val="FootnoteReference"/>
          <w:rFonts w:ascii="Garamond" w:hAnsi="Garamond"/>
          <w:sz w:val="16"/>
          <w:szCs w:val="16"/>
        </w:rPr>
        <w:footnoteRef/>
      </w:r>
      <w:r w:rsidRPr="00467CF8">
        <w:rPr>
          <w:rFonts w:ascii="Garamond" w:hAnsi="Garamond"/>
          <w:sz w:val="16"/>
          <w:szCs w:val="16"/>
        </w:rPr>
        <w:t xml:space="preserve"> </w:t>
      </w:r>
      <w:r w:rsidRPr="00467CF8">
        <w:rPr>
          <w:rFonts w:ascii="Garamond" w:hAnsi="Garamond"/>
          <w:i/>
          <w:sz w:val="16"/>
          <w:szCs w:val="16"/>
        </w:rPr>
        <w:t>Miller</w:t>
      </w:r>
      <w:r w:rsidRPr="00467CF8">
        <w:rPr>
          <w:rFonts w:ascii="Garamond" w:hAnsi="Garamond"/>
          <w:sz w:val="16"/>
          <w:szCs w:val="16"/>
        </w:rPr>
        <w:t>, para. 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8267F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80A4F"/>
    <w:multiLevelType w:val="hybridMultilevel"/>
    <w:tmpl w:val="C0146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6402B"/>
    <w:multiLevelType w:val="hybridMultilevel"/>
    <w:tmpl w:val="7F847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27EFC"/>
    <w:multiLevelType w:val="hybridMultilevel"/>
    <w:tmpl w:val="24808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D54FAE"/>
    <w:multiLevelType w:val="hybridMultilevel"/>
    <w:tmpl w:val="069C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014CA"/>
    <w:multiLevelType w:val="hybridMultilevel"/>
    <w:tmpl w:val="806AE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43321D"/>
    <w:multiLevelType w:val="hybridMultilevel"/>
    <w:tmpl w:val="1C486B3A"/>
    <w:lvl w:ilvl="0" w:tplc="89365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2111C"/>
    <w:multiLevelType w:val="hybridMultilevel"/>
    <w:tmpl w:val="C2ACD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62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02"/>
    <w:rsid w:val="00000730"/>
    <w:rsid w:val="00000916"/>
    <w:rsid w:val="00000CA4"/>
    <w:rsid w:val="000014CB"/>
    <w:rsid w:val="000014FA"/>
    <w:rsid w:val="000016CA"/>
    <w:rsid w:val="00001805"/>
    <w:rsid w:val="00001ADC"/>
    <w:rsid w:val="00001E09"/>
    <w:rsid w:val="000027B0"/>
    <w:rsid w:val="000030E6"/>
    <w:rsid w:val="000037CB"/>
    <w:rsid w:val="00003835"/>
    <w:rsid w:val="00003E0E"/>
    <w:rsid w:val="00004542"/>
    <w:rsid w:val="000045C5"/>
    <w:rsid w:val="000048B4"/>
    <w:rsid w:val="00004DAD"/>
    <w:rsid w:val="0000584F"/>
    <w:rsid w:val="00006421"/>
    <w:rsid w:val="00006891"/>
    <w:rsid w:val="00006F54"/>
    <w:rsid w:val="00006F5C"/>
    <w:rsid w:val="0000775D"/>
    <w:rsid w:val="00007E53"/>
    <w:rsid w:val="0001016E"/>
    <w:rsid w:val="000101A0"/>
    <w:rsid w:val="0001038A"/>
    <w:rsid w:val="000104B0"/>
    <w:rsid w:val="000106A6"/>
    <w:rsid w:val="0001075E"/>
    <w:rsid w:val="00010776"/>
    <w:rsid w:val="00010A44"/>
    <w:rsid w:val="00010ED2"/>
    <w:rsid w:val="00011378"/>
    <w:rsid w:val="00011460"/>
    <w:rsid w:val="00012393"/>
    <w:rsid w:val="00012A9E"/>
    <w:rsid w:val="0001413B"/>
    <w:rsid w:val="0001426E"/>
    <w:rsid w:val="00014518"/>
    <w:rsid w:val="00014982"/>
    <w:rsid w:val="00014A44"/>
    <w:rsid w:val="00015125"/>
    <w:rsid w:val="000154D1"/>
    <w:rsid w:val="000156FB"/>
    <w:rsid w:val="000157A2"/>
    <w:rsid w:val="000159D3"/>
    <w:rsid w:val="00015D88"/>
    <w:rsid w:val="00016BAD"/>
    <w:rsid w:val="00016D38"/>
    <w:rsid w:val="00016DD8"/>
    <w:rsid w:val="00016F71"/>
    <w:rsid w:val="00016F9E"/>
    <w:rsid w:val="00017130"/>
    <w:rsid w:val="00017B62"/>
    <w:rsid w:val="0002009D"/>
    <w:rsid w:val="000206CB"/>
    <w:rsid w:val="0002120A"/>
    <w:rsid w:val="000228DA"/>
    <w:rsid w:val="000229F2"/>
    <w:rsid w:val="00022B4D"/>
    <w:rsid w:val="00022CB2"/>
    <w:rsid w:val="00022E42"/>
    <w:rsid w:val="0002328A"/>
    <w:rsid w:val="000237DE"/>
    <w:rsid w:val="000238CE"/>
    <w:rsid w:val="00023B09"/>
    <w:rsid w:val="00024134"/>
    <w:rsid w:val="00024609"/>
    <w:rsid w:val="00024AEE"/>
    <w:rsid w:val="00024D76"/>
    <w:rsid w:val="0002511D"/>
    <w:rsid w:val="00025190"/>
    <w:rsid w:val="0002620F"/>
    <w:rsid w:val="000264A5"/>
    <w:rsid w:val="0002658C"/>
    <w:rsid w:val="00026AEC"/>
    <w:rsid w:val="00027237"/>
    <w:rsid w:val="000274DB"/>
    <w:rsid w:val="00027502"/>
    <w:rsid w:val="000278AB"/>
    <w:rsid w:val="00027DE1"/>
    <w:rsid w:val="00030623"/>
    <w:rsid w:val="00030EEB"/>
    <w:rsid w:val="00030F7B"/>
    <w:rsid w:val="0003213F"/>
    <w:rsid w:val="00032892"/>
    <w:rsid w:val="00032B2C"/>
    <w:rsid w:val="00033763"/>
    <w:rsid w:val="000337BF"/>
    <w:rsid w:val="00034013"/>
    <w:rsid w:val="00034095"/>
    <w:rsid w:val="00034370"/>
    <w:rsid w:val="00035167"/>
    <w:rsid w:val="00035E24"/>
    <w:rsid w:val="00036BB1"/>
    <w:rsid w:val="00036D62"/>
    <w:rsid w:val="0003733F"/>
    <w:rsid w:val="000375F2"/>
    <w:rsid w:val="000377F9"/>
    <w:rsid w:val="0003787B"/>
    <w:rsid w:val="00037C30"/>
    <w:rsid w:val="00040F5F"/>
    <w:rsid w:val="000411EB"/>
    <w:rsid w:val="00041CCD"/>
    <w:rsid w:val="00041F17"/>
    <w:rsid w:val="000427E7"/>
    <w:rsid w:val="00042C15"/>
    <w:rsid w:val="00042CE8"/>
    <w:rsid w:val="00043374"/>
    <w:rsid w:val="000433D4"/>
    <w:rsid w:val="000434B7"/>
    <w:rsid w:val="000439DA"/>
    <w:rsid w:val="00043F88"/>
    <w:rsid w:val="000441B2"/>
    <w:rsid w:val="00044939"/>
    <w:rsid w:val="00045013"/>
    <w:rsid w:val="000454CB"/>
    <w:rsid w:val="000457CF"/>
    <w:rsid w:val="00045D33"/>
    <w:rsid w:val="000461F9"/>
    <w:rsid w:val="0004632A"/>
    <w:rsid w:val="000463B9"/>
    <w:rsid w:val="00046460"/>
    <w:rsid w:val="00046825"/>
    <w:rsid w:val="00046C85"/>
    <w:rsid w:val="00046D94"/>
    <w:rsid w:val="00047459"/>
    <w:rsid w:val="000475CE"/>
    <w:rsid w:val="000477EC"/>
    <w:rsid w:val="000478A6"/>
    <w:rsid w:val="000479D8"/>
    <w:rsid w:val="00047A7C"/>
    <w:rsid w:val="00047B8E"/>
    <w:rsid w:val="00047C2B"/>
    <w:rsid w:val="00047DFA"/>
    <w:rsid w:val="00047EE5"/>
    <w:rsid w:val="0005035D"/>
    <w:rsid w:val="000506D3"/>
    <w:rsid w:val="00050A11"/>
    <w:rsid w:val="00050EF4"/>
    <w:rsid w:val="000520A5"/>
    <w:rsid w:val="0005225D"/>
    <w:rsid w:val="00052867"/>
    <w:rsid w:val="0005315C"/>
    <w:rsid w:val="00053273"/>
    <w:rsid w:val="0005348A"/>
    <w:rsid w:val="00053765"/>
    <w:rsid w:val="0005399F"/>
    <w:rsid w:val="00053A2E"/>
    <w:rsid w:val="00053A95"/>
    <w:rsid w:val="000542D0"/>
    <w:rsid w:val="0005437F"/>
    <w:rsid w:val="0005483C"/>
    <w:rsid w:val="00054920"/>
    <w:rsid w:val="00054CFA"/>
    <w:rsid w:val="00055211"/>
    <w:rsid w:val="000552AB"/>
    <w:rsid w:val="000556C7"/>
    <w:rsid w:val="0005735C"/>
    <w:rsid w:val="00057427"/>
    <w:rsid w:val="000574DA"/>
    <w:rsid w:val="00057BD2"/>
    <w:rsid w:val="00060B68"/>
    <w:rsid w:val="00060D0C"/>
    <w:rsid w:val="0006167B"/>
    <w:rsid w:val="00061A16"/>
    <w:rsid w:val="00061D81"/>
    <w:rsid w:val="00061F26"/>
    <w:rsid w:val="000621C0"/>
    <w:rsid w:val="00062238"/>
    <w:rsid w:val="0006335A"/>
    <w:rsid w:val="00063627"/>
    <w:rsid w:val="000636DA"/>
    <w:rsid w:val="00064133"/>
    <w:rsid w:val="000644E0"/>
    <w:rsid w:val="00064C8E"/>
    <w:rsid w:val="00064EC1"/>
    <w:rsid w:val="00066B33"/>
    <w:rsid w:val="000670FF"/>
    <w:rsid w:val="000674BB"/>
    <w:rsid w:val="0006769B"/>
    <w:rsid w:val="0007057F"/>
    <w:rsid w:val="000707C3"/>
    <w:rsid w:val="0007095A"/>
    <w:rsid w:val="00070ABB"/>
    <w:rsid w:val="00070F5B"/>
    <w:rsid w:val="000717D5"/>
    <w:rsid w:val="00072468"/>
    <w:rsid w:val="0007286F"/>
    <w:rsid w:val="00072A29"/>
    <w:rsid w:val="00072A55"/>
    <w:rsid w:val="00072D24"/>
    <w:rsid w:val="00072E42"/>
    <w:rsid w:val="00073070"/>
    <w:rsid w:val="000731C5"/>
    <w:rsid w:val="000733CA"/>
    <w:rsid w:val="00073A40"/>
    <w:rsid w:val="00073B62"/>
    <w:rsid w:val="00073D28"/>
    <w:rsid w:val="00074A49"/>
    <w:rsid w:val="00074A9D"/>
    <w:rsid w:val="00075601"/>
    <w:rsid w:val="00076209"/>
    <w:rsid w:val="00076746"/>
    <w:rsid w:val="00076CEB"/>
    <w:rsid w:val="00076EE8"/>
    <w:rsid w:val="0007724F"/>
    <w:rsid w:val="0007767F"/>
    <w:rsid w:val="00077981"/>
    <w:rsid w:val="00077CB6"/>
    <w:rsid w:val="00077EBA"/>
    <w:rsid w:val="0008005F"/>
    <w:rsid w:val="00080516"/>
    <w:rsid w:val="000807D7"/>
    <w:rsid w:val="00080B19"/>
    <w:rsid w:val="00081516"/>
    <w:rsid w:val="0008181A"/>
    <w:rsid w:val="00081B2D"/>
    <w:rsid w:val="00082A58"/>
    <w:rsid w:val="0008331C"/>
    <w:rsid w:val="0008340B"/>
    <w:rsid w:val="00083EBE"/>
    <w:rsid w:val="00084313"/>
    <w:rsid w:val="000844B4"/>
    <w:rsid w:val="00084BB7"/>
    <w:rsid w:val="00084F64"/>
    <w:rsid w:val="000850E0"/>
    <w:rsid w:val="00085127"/>
    <w:rsid w:val="00085D07"/>
    <w:rsid w:val="00085D82"/>
    <w:rsid w:val="00085FE5"/>
    <w:rsid w:val="0008623C"/>
    <w:rsid w:val="0008644F"/>
    <w:rsid w:val="0008734F"/>
    <w:rsid w:val="000873EA"/>
    <w:rsid w:val="00087709"/>
    <w:rsid w:val="000879E2"/>
    <w:rsid w:val="00087A2A"/>
    <w:rsid w:val="0009030B"/>
    <w:rsid w:val="00090368"/>
    <w:rsid w:val="000904F4"/>
    <w:rsid w:val="000907AB"/>
    <w:rsid w:val="000907DF"/>
    <w:rsid w:val="00090830"/>
    <w:rsid w:val="00090ADD"/>
    <w:rsid w:val="000917B9"/>
    <w:rsid w:val="0009180B"/>
    <w:rsid w:val="00091B44"/>
    <w:rsid w:val="00091CDA"/>
    <w:rsid w:val="00091DDF"/>
    <w:rsid w:val="000926AB"/>
    <w:rsid w:val="000926E7"/>
    <w:rsid w:val="00092FDD"/>
    <w:rsid w:val="000930CF"/>
    <w:rsid w:val="000933E4"/>
    <w:rsid w:val="00093BC7"/>
    <w:rsid w:val="00093CD1"/>
    <w:rsid w:val="00093D23"/>
    <w:rsid w:val="000942CB"/>
    <w:rsid w:val="000951F5"/>
    <w:rsid w:val="00095327"/>
    <w:rsid w:val="00095BA4"/>
    <w:rsid w:val="00095F7D"/>
    <w:rsid w:val="0009608C"/>
    <w:rsid w:val="000965E6"/>
    <w:rsid w:val="0009676E"/>
    <w:rsid w:val="00097783"/>
    <w:rsid w:val="00097848"/>
    <w:rsid w:val="000A0476"/>
    <w:rsid w:val="000A04E7"/>
    <w:rsid w:val="000A0DC8"/>
    <w:rsid w:val="000A126D"/>
    <w:rsid w:val="000A1E33"/>
    <w:rsid w:val="000A21C6"/>
    <w:rsid w:val="000A2233"/>
    <w:rsid w:val="000A2492"/>
    <w:rsid w:val="000A2572"/>
    <w:rsid w:val="000A3E34"/>
    <w:rsid w:val="000A3E9E"/>
    <w:rsid w:val="000A4688"/>
    <w:rsid w:val="000A4716"/>
    <w:rsid w:val="000A47F2"/>
    <w:rsid w:val="000A4983"/>
    <w:rsid w:val="000A4A49"/>
    <w:rsid w:val="000A4D69"/>
    <w:rsid w:val="000A504C"/>
    <w:rsid w:val="000A5066"/>
    <w:rsid w:val="000A51ED"/>
    <w:rsid w:val="000A54F5"/>
    <w:rsid w:val="000A559C"/>
    <w:rsid w:val="000A56E4"/>
    <w:rsid w:val="000A6507"/>
    <w:rsid w:val="000A65FC"/>
    <w:rsid w:val="000A67EA"/>
    <w:rsid w:val="000A68ED"/>
    <w:rsid w:val="000A6AF1"/>
    <w:rsid w:val="000A6DAA"/>
    <w:rsid w:val="000A74F2"/>
    <w:rsid w:val="000A75B5"/>
    <w:rsid w:val="000B04B3"/>
    <w:rsid w:val="000B07F2"/>
    <w:rsid w:val="000B2166"/>
    <w:rsid w:val="000B2599"/>
    <w:rsid w:val="000B28D2"/>
    <w:rsid w:val="000B3023"/>
    <w:rsid w:val="000B31C6"/>
    <w:rsid w:val="000B3397"/>
    <w:rsid w:val="000B33F1"/>
    <w:rsid w:val="000B35FB"/>
    <w:rsid w:val="000B39BC"/>
    <w:rsid w:val="000B3F66"/>
    <w:rsid w:val="000B40DF"/>
    <w:rsid w:val="000B4432"/>
    <w:rsid w:val="000B45CC"/>
    <w:rsid w:val="000B4A79"/>
    <w:rsid w:val="000B4DAF"/>
    <w:rsid w:val="000B4FEF"/>
    <w:rsid w:val="000B5418"/>
    <w:rsid w:val="000B5F13"/>
    <w:rsid w:val="000B625A"/>
    <w:rsid w:val="000B6D80"/>
    <w:rsid w:val="000B731F"/>
    <w:rsid w:val="000B7645"/>
    <w:rsid w:val="000B797A"/>
    <w:rsid w:val="000B7C77"/>
    <w:rsid w:val="000C0C72"/>
    <w:rsid w:val="000C1BC7"/>
    <w:rsid w:val="000C1C26"/>
    <w:rsid w:val="000C1F1A"/>
    <w:rsid w:val="000C2940"/>
    <w:rsid w:val="000C2C9E"/>
    <w:rsid w:val="000C3048"/>
    <w:rsid w:val="000C3568"/>
    <w:rsid w:val="000C3608"/>
    <w:rsid w:val="000C381B"/>
    <w:rsid w:val="000C3B4D"/>
    <w:rsid w:val="000C40D6"/>
    <w:rsid w:val="000C46BF"/>
    <w:rsid w:val="000C4C0F"/>
    <w:rsid w:val="000C5152"/>
    <w:rsid w:val="000C5158"/>
    <w:rsid w:val="000C51D3"/>
    <w:rsid w:val="000C5443"/>
    <w:rsid w:val="000C551A"/>
    <w:rsid w:val="000C5B4A"/>
    <w:rsid w:val="000C6013"/>
    <w:rsid w:val="000C6220"/>
    <w:rsid w:val="000C6849"/>
    <w:rsid w:val="000C6E93"/>
    <w:rsid w:val="000C6ECC"/>
    <w:rsid w:val="000C6F0E"/>
    <w:rsid w:val="000C7B86"/>
    <w:rsid w:val="000C7D2B"/>
    <w:rsid w:val="000C7F7F"/>
    <w:rsid w:val="000C7FD9"/>
    <w:rsid w:val="000D1177"/>
    <w:rsid w:val="000D12F8"/>
    <w:rsid w:val="000D1843"/>
    <w:rsid w:val="000D21A4"/>
    <w:rsid w:val="000D2C98"/>
    <w:rsid w:val="000D2E8F"/>
    <w:rsid w:val="000D3216"/>
    <w:rsid w:val="000D38DA"/>
    <w:rsid w:val="000D3ED4"/>
    <w:rsid w:val="000D40B5"/>
    <w:rsid w:val="000D495B"/>
    <w:rsid w:val="000D55BC"/>
    <w:rsid w:val="000D59BB"/>
    <w:rsid w:val="000D5C5B"/>
    <w:rsid w:val="000D5D12"/>
    <w:rsid w:val="000D5D9F"/>
    <w:rsid w:val="000D62D2"/>
    <w:rsid w:val="000D669B"/>
    <w:rsid w:val="000D70E6"/>
    <w:rsid w:val="000D73EE"/>
    <w:rsid w:val="000D749B"/>
    <w:rsid w:val="000E042B"/>
    <w:rsid w:val="000E078A"/>
    <w:rsid w:val="000E0DBD"/>
    <w:rsid w:val="000E2255"/>
    <w:rsid w:val="000E24BB"/>
    <w:rsid w:val="000E26DF"/>
    <w:rsid w:val="000E2AB7"/>
    <w:rsid w:val="000E2B96"/>
    <w:rsid w:val="000E2CD2"/>
    <w:rsid w:val="000E2D1B"/>
    <w:rsid w:val="000E398B"/>
    <w:rsid w:val="000E3E09"/>
    <w:rsid w:val="000E3FD3"/>
    <w:rsid w:val="000E46C0"/>
    <w:rsid w:val="000E48BD"/>
    <w:rsid w:val="000E4C06"/>
    <w:rsid w:val="000E4F22"/>
    <w:rsid w:val="000E525E"/>
    <w:rsid w:val="000E5410"/>
    <w:rsid w:val="000E5B67"/>
    <w:rsid w:val="000E5DE8"/>
    <w:rsid w:val="000E70BB"/>
    <w:rsid w:val="000E70F3"/>
    <w:rsid w:val="000E73E2"/>
    <w:rsid w:val="000E7F4C"/>
    <w:rsid w:val="000F0402"/>
    <w:rsid w:val="000F0538"/>
    <w:rsid w:val="000F09D5"/>
    <w:rsid w:val="000F0D26"/>
    <w:rsid w:val="000F0EA1"/>
    <w:rsid w:val="000F106A"/>
    <w:rsid w:val="000F10E8"/>
    <w:rsid w:val="000F232B"/>
    <w:rsid w:val="000F2417"/>
    <w:rsid w:val="000F276C"/>
    <w:rsid w:val="000F2F8A"/>
    <w:rsid w:val="000F301E"/>
    <w:rsid w:val="000F3726"/>
    <w:rsid w:val="000F38A9"/>
    <w:rsid w:val="000F457A"/>
    <w:rsid w:val="000F4656"/>
    <w:rsid w:val="000F4688"/>
    <w:rsid w:val="000F4AAF"/>
    <w:rsid w:val="000F4BC8"/>
    <w:rsid w:val="000F5058"/>
    <w:rsid w:val="000F548F"/>
    <w:rsid w:val="000F5AA4"/>
    <w:rsid w:val="000F5F33"/>
    <w:rsid w:val="000F5FA7"/>
    <w:rsid w:val="000F6F64"/>
    <w:rsid w:val="000F730F"/>
    <w:rsid w:val="000F743A"/>
    <w:rsid w:val="000F7C49"/>
    <w:rsid w:val="000F7FBC"/>
    <w:rsid w:val="0010005E"/>
    <w:rsid w:val="00100405"/>
    <w:rsid w:val="00100543"/>
    <w:rsid w:val="00100607"/>
    <w:rsid w:val="00100B03"/>
    <w:rsid w:val="00101508"/>
    <w:rsid w:val="001015B8"/>
    <w:rsid w:val="001029C2"/>
    <w:rsid w:val="00102D47"/>
    <w:rsid w:val="00103186"/>
    <w:rsid w:val="001036DD"/>
    <w:rsid w:val="00103778"/>
    <w:rsid w:val="00104ADC"/>
    <w:rsid w:val="00104DDE"/>
    <w:rsid w:val="00105C41"/>
    <w:rsid w:val="0010624D"/>
    <w:rsid w:val="00106910"/>
    <w:rsid w:val="00106D35"/>
    <w:rsid w:val="0010721D"/>
    <w:rsid w:val="0010743F"/>
    <w:rsid w:val="00107844"/>
    <w:rsid w:val="0010798B"/>
    <w:rsid w:val="001079DE"/>
    <w:rsid w:val="00107E58"/>
    <w:rsid w:val="00107F9A"/>
    <w:rsid w:val="001103F5"/>
    <w:rsid w:val="00110B02"/>
    <w:rsid w:val="00110B9F"/>
    <w:rsid w:val="00110D1B"/>
    <w:rsid w:val="00111197"/>
    <w:rsid w:val="00111310"/>
    <w:rsid w:val="00111706"/>
    <w:rsid w:val="00111930"/>
    <w:rsid w:val="00112566"/>
    <w:rsid w:val="00112824"/>
    <w:rsid w:val="00112BDC"/>
    <w:rsid w:val="001136C2"/>
    <w:rsid w:val="00113A98"/>
    <w:rsid w:val="00113BAB"/>
    <w:rsid w:val="00113E58"/>
    <w:rsid w:val="001142D3"/>
    <w:rsid w:val="00114755"/>
    <w:rsid w:val="00114B7C"/>
    <w:rsid w:val="00114D47"/>
    <w:rsid w:val="00114EDE"/>
    <w:rsid w:val="00114F73"/>
    <w:rsid w:val="00115525"/>
    <w:rsid w:val="001155B1"/>
    <w:rsid w:val="00115B59"/>
    <w:rsid w:val="00115D50"/>
    <w:rsid w:val="00115E5B"/>
    <w:rsid w:val="00115EE9"/>
    <w:rsid w:val="0011691F"/>
    <w:rsid w:val="00116F09"/>
    <w:rsid w:val="001171B1"/>
    <w:rsid w:val="0011743E"/>
    <w:rsid w:val="00117BD0"/>
    <w:rsid w:val="00117E17"/>
    <w:rsid w:val="001202CA"/>
    <w:rsid w:val="001205C8"/>
    <w:rsid w:val="001206D0"/>
    <w:rsid w:val="001207B6"/>
    <w:rsid w:val="00120881"/>
    <w:rsid w:val="0012106F"/>
    <w:rsid w:val="001214AD"/>
    <w:rsid w:val="00121860"/>
    <w:rsid w:val="001218D1"/>
    <w:rsid w:val="00121A2D"/>
    <w:rsid w:val="00121E78"/>
    <w:rsid w:val="00121FE1"/>
    <w:rsid w:val="00122221"/>
    <w:rsid w:val="00122450"/>
    <w:rsid w:val="001225C1"/>
    <w:rsid w:val="0012264B"/>
    <w:rsid w:val="00122B7C"/>
    <w:rsid w:val="00122D4D"/>
    <w:rsid w:val="00122EC1"/>
    <w:rsid w:val="00123535"/>
    <w:rsid w:val="001239C9"/>
    <w:rsid w:val="00123CE8"/>
    <w:rsid w:val="0012430E"/>
    <w:rsid w:val="00124B18"/>
    <w:rsid w:val="00125622"/>
    <w:rsid w:val="00126781"/>
    <w:rsid w:val="00126914"/>
    <w:rsid w:val="001309A0"/>
    <w:rsid w:val="001309B6"/>
    <w:rsid w:val="00130B68"/>
    <w:rsid w:val="00130BB0"/>
    <w:rsid w:val="001313CE"/>
    <w:rsid w:val="00131784"/>
    <w:rsid w:val="0013182F"/>
    <w:rsid w:val="0013195B"/>
    <w:rsid w:val="00131C37"/>
    <w:rsid w:val="00131FF0"/>
    <w:rsid w:val="0013215C"/>
    <w:rsid w:val="00132443"/>
    <w:rsid w:val="00132845"/>
    <w:rsid w:val="001328E6"/>
    <w:rsid w:val="0013383F"/>
    <w:rsid w:val="00133FD7"/>
    <w:rsid w:val="0013405E"/>
    <w:rsid w:val="00134362"/>
    <w:rsid w:val="001344EB"/>
    <w:rsid w:val="0013469E"/>
    <w:rsid w:val="00134915"/>
    <w:rsid w:val="00134DC6"/>
    <w:rsid w:val="00135486"/>
    <w:rsid w:val="001356EE"/>
    <w:rsid w:val="00135B08"/>
    <w:rsid w:val="00136443"/>
    <w:rsid w:val="00136BF8"/>
    <w:rsid w:val="00137104"/>
    <w:rsid w:val="0013753C"/>
    <w:rsid w:val="00137A20"/>
    <w:rsid w:val="0014005B"/>
    <w:rsid w:val="0014028D"/>
    <w:rsid w:val="00140FC2"/>
    <w:rsid w:val="0014147A"/>
    <w:rsid w:val="00141661"/>
    <w:rsid w:val="0014167C"/>
    <w:rsid w:val="0014289F"/>
    <w:rsid w:val="00142D8D"/>
    <w:rsid w:val="0014313C"/>
    <w:rsid w:val="001431C0"/>
    <w:rsid w:val="00143409"/>
    <w:rsid w:val="0014382D"/>
    <w:rsid w:val="00143B46"/>
    <w:rsid w:val="00143D9E"/>
    <w:rsid w:val="00143F51"/>
    <w:rsid w:val="00144E13"/>
    <w:rsid w:val="0014544F"/>
    <w:rsid w:val="0014555B"/>
    <w:rsid w:val="001457D7"/>
    <w:rsid w:val="001467A5"/>
    <w:rsid w:val="001467E5"/>
    <w:rsid w:val="001468E3"/>
    <w:rsid w:val="00146A36"/>
    <w:rsid w:val="00146DF7"/>
    <w:rsid w:val="0014729A"/>
    <w:rsid w:val="00147310"/>
    <w:rsid w:val="00150027"/>
    <w:rsid w:val="00150362"/>
    <w:rsid w:val="001504CE"/>
    <w:rsid w:val="00150E87"/>
    <w:rsid w:val="00150FE8"/>
    <w:rsid w:val="00151C2B"/>
    <w:rsid w:val="00151F26"/>
    <w:rsid w:val="00152169"/>
    <w:rsid w:val="00152CB3"/>
    <w:rsid w:val="00152D3C"/>
    <w:rsid w:val="001530A8"/>
    <w:rsid w:val="00153231"/>
    <w:rsid w:val="00153931"/>
    <w:rsid w:val="00153C1C"/>
    <w:rsid w:val="00153D0C"/>
    <w:rsid w:val="00153D8F"/>
    <w:rsid w:val="001542C0"/>
    <w:rsid w:val="00154561"/>
    <w:rsid w:val="001545D3"/>
    <w:rsid w:val="00154A81"/>
    <w:rsid w:val="001554AC"/>
    <w:rsid w:val="001559F6"/>
    <w:rsid w:val="00155DBA"/>
    <w:rsid w:val="001567B9"/>
    <w:rsid w:val="001567DC"/>
    <w:rsid w:val="00157717"/>
    <w:rsid w:val="001578CC"/>
    <w:rsid w:val="00157CF8"/>
    <w:rsid w:val="00160525"/>
    <w:rsid w:val="001605D7"/>
    <w:rsid w:val="0016064E"/>
    <w:rsid w:val="00160A45"/>
    <w:rsid w:val="00160EC5"/>
    <w:rsid w:val="00161478"/>
    <w:rsid w:val="001615AD"/>
    <w:rsid w:val="00161976"/>
    <w:rsid w:val="00161AE1"/>
    <w:rsid w:val="0016228D"/>
    <w:rsid w:val="001629B6"/>
    <w:rsid w:val="00162EC0"/>
    <w:rsid w:val="001631B8"/>
    <w:rsid w:val="0016373C"/>
    <w:rsid w:val="0016396C"/>
    <w:rsid w:val="0016396E"/>
    <w:rsid w:val="00163B58"/>
    <w:rsid w:val="00164549"/>
    <w:rsid w:val="0016464B"/>
    <w:rsid w:val="00164CB1"/>
    <w:rsid w:val="00164DCA"/>
    <w:rsid w:val="00165509"/>
    <w:rsid w:val="001657C2"/>
    <w:rsid w:val="001657C8"/>
    <w:rsid w:val="00165B40"/>
    <w:rsid w:val="0016602B"/>
    <w:rsid w:val="001664DF"/>
    <w:rsid w:val="00166E50"/>
    <w:rsid w:val="0016718A"/>
    <w:rsid w:val="00167198"/>
    <w:rsid w:val="001674AB"/>
    <w:rsid w:val="00167FD8"/>
    <w:rsid w:val="001706DE"/>
    <w:rsid w:val="001707FC"/>
    <w:rsid w:val="00170BEC"/>
    <w:rsid w:val="00170CB6"/>
    <w:rsid w:val="00171A12"/>
    <w:rsid w:val="00171E90"/>
    <w:rsid w:val="00172987"/>
    <w:rsid w:val="001729B2"/>
    <w:rsid w:val="00172F13"/>
    <w:rsid w:val="001730DD"/>
    <w:rsid w:val="00173ED9"/>
    <w:rsid w:val="0017415F"/>
    <w:rsid w:val="0017473E"/>
    <w:rsid w:val="001747A9"/>
    <w:rsid w:val="0017503A"/>
    <w:rsid w:val="00175AE3"/>
    <w:rsid w:val="00176283"/>
    <w:rsid w:val="00176821"/>
    <w:rsid w:val="00176A65"/>
    <w:rsid w:val="00176BAF"/>
    <w:rsid w:val="00177528"/>
    <w:rsid w:val="001775E2"/>
    <w:rsid w:val="00177AA5"/>
    <w:rsid w:val="00177BDD"/>
    <w:rsid w:val="00180389"/>
    <w:rsid w:val="001805A0"/>
    <w:rsid w:val="00180A66"/>
    <w:rsid w:val="00181199"/>
    <w:rsid w:val="001818A4"/>
    <w:rsid w:val="00182123"/>
    <w:rsid w:val="001826AC"/>
    <w:rsid w:val="001830FE"/>
    <w:rsid w:val="001834DA"/>
    <w:rsid w:val="001839F3"/>
    <w:rsid w:val="00183F13"/>
    <w:rsid w:val="001852B1"/>
    <w:rsid w:val="00185852"/>
    <w:rsid w:val="001859CC"/>
    <w:rsid w:val="00185E91"/>
    <w:rsid w:val="001860A8"/>
    <w:rsid w:val="0018665E"/>
    <w:rsid w:val="00186DED"/>
    <w:rsid w:val="001871AF"/>
    <w:rsid w:val="00187335"/>
    <w:rsid w:val="0018738D"/>
    <w:rsid w:val="001873AE"/>
    <w:rsid w:val="001876BD"/>
    <w:rsid w:val="001877DA"/>
    <w:rsid w:val="001878D1"/>
    <w:rsid w:val="0019034A"/>
    <w:rsid w:val="00190922"/>
    <w:rsid w:val="00191A8A"/>
    <w:rsid w:val="00191FBA"/>
    <w:rsid w:val="001921EF"/>
    <w:rsid w:val="00192875"/>
    <w:rsid w:val="0019311C"/>
    <w:rsid w:val="001935C9"/>
    <w:rsid w:val="00194308"/>
    <w:rsid w:val="00194464"/>
    <w:rsid w:val="001949E3"/>
    <w:rsid w:val="00194DEB"/>
    <w:rsid w:val="0019553B"/>
    <w:rsid w:val="001957C6"/>
    <w:rsid w:val="00196273"/>
    <w:rsid w:val="00196361"/>
    <w:rsid w:val="00196803"/>
    <w:rsid w:val="0019714C"/>
    <w:rsid w:val="001973E9"/>
    <w:rsid w:val="0019792D"/>
    <w:rsid w:val="00197C71"/>
    <w:rsid w:val="001A0294"/>
    <w:rsid w:val="001A0BBD"/>
    <w:rsid w:val="001A0D61"/>
    <w:rsid w:val="001A0F46"/>
    <w:rsid w:val="001A11D5"/>
    <w:rsid w:val="001A173B"/>
    <w:rsid w:val="001A191D"/>
    <w:rsid w:val="001A2676"/>
    <w:rsid w:val="001A2CFB"/>
    <w:rsid w:val="001A3267"/>
    <w:rsid w:val="001A3463"/>
    <w:rsid w:val="001A3F0A"/>
    <w:rsid w:val="001A3F9C"/>
    <w:rsid w:val="001A57FE"/>
    <w:rsid w:val="001A5B8D"/>
    <w:rsid w:val="001A67EB"/>
    <w:rsid w:val="001A6818"/>
    <w:rsid w:val="001A6A5D"/>
    <w:rsid w:val="001A6D2B"/>
    <w:rsid w:val="001A78F6"/>
    <w:rsid w:val="001A794A"/>
    <w:rsid w:val="001A7A29"/>
    <w:rsid w:val="001B02FA"/>
    <w:rsid w:val="001B07E1"/>
    <w:rsid w:val="001B15C2"/>
    <w:rsid w:val="001B1667"/>
    <w:rsid w:val="001B19F9"/>
    <w:rsid w:val="001B1A61"/>
    <w:rsid w:val="001B2283"/>
    <w:rsid w:val="001B2625"/>
    <w:rsid w:val="001B2708"/>
    <w:rsid w:val="001B2CE1"/>
    <w:rsid w:val="001B361E"/>
    <w:rsid w:val="001B3706"/>
    <w:rsid w:val="001B3D51"/>
    <w:rsid w:val="001B406C"/>
    <w:rsid w:val="001B410B"/>
    <w:rsid w:val="001B4133"/>
    <w:rsid w:val="001B48A1"/>
    <w:rsid w:val="001B4E2F"/>
    <w:rsid w:val="001B5073"/>
    <w:rsid w:val="001B50C5"/>
    <w:rsid w:val="001B5118"/>
    <w:rsid w:val="001B52F5"/>
    <w:rsid w:val="001B563F"/>
    <w:rsid w:val="001B5993"/>
    <w:rsid w:val="001B692F"/>
    <w:rsid w:val="001B7EA6"/>
    <w:rsid w:val="001C04B2"/>
    <w:rsid w:val="001C068C"/>
    <w:rsid w:val="001C09E4"/>
    <w:rsid w:val="001C0C44"/>
    <w:rsid w:val="001C1027"/>
    <w:rsid w:val="001C151D"/>
    <w:rsid w:val="001C17AA"/>
    <w:rsid w:val="001C1D33"/>
    <w:rsid w:val="001C24AC"/>
    <w:rsid w:val="001C3807"/>
    <w:rsid w:val="001C3F27"/>
    <w:rsid w:val="001C414A"/>
    <w:rsid w:val="001C415D"/>
    <w:rsid w:val="001C4566"/>
    <w:rsid w:val="001C48AD"/>
    <w:rsid w:val="001C4944"/>
    <w:rsid w:val="001C4D3C"/>
    <w:rsid w:val="001C5557"/>
    <w:rsid w:val="001C575A"/>
    <w:rsid w:val="001C57B0"/>
    <w:rsid w:val="001C5A3D"/>
    <w:rsid w:val="001C5E0B"/>
    <w:rsid w:val="001C64AE"/>
    <w:rsid w:val="001C6892"/>
    <w:rsid w:val="001C6B14"/>
    <w:rsid w:val="001C6F6B"/>
    <w:rsid w:val="001C72F8"/>
    <w:rsid w:val="001C7673"/>
    <w:rsid w:val="001C77F9"/>
    <w:rsid w:val="001C7818"/>
    <w:rsid w:val="001C7CE9"/>
    <w:rsid w:val="001C7FD6"/>
    <w:rsid w:val="001D13CB"/>
    <w:rsid w:val="001D1693"/>
    <w:rsid w:val="001D1CC2"/>
    <w:rsid w:val="001D1CE7"/>
    <w:rsid w:val="001D20B2"/>
    <w:rsid w:val="001D24CB"/>
    <w:rsid w:val="001D2BE8"/>
    <w:rsid w:val="001D311A"/>
    <w:rsid w:val="001D318B"/>
    <w:rsid w:val="001D31EC"/>
    <w:rsid w:val="001D35A0"/>
    <w:rsid w:val="001D3A31"/>
    <w:rsid w:val="001D410F"/>
    <w:rsid w:val="001D468C"/>
    <w:rsid w:val="001D472D"/>
    <w:rsid w:val="001D4D71"/>
    <w:rsid w:val="001D5330"/>
    <w:rsid w:val="001D56B2"/>
    <w:rsid w:val="001D5DAA"/>
    <w:rsid w:val="001D5F92"/>
    <w:rsid w:val="001D6C7C"/>
    <w:rsid w:val="001D76DD"/>
    <w:rsid w:val="001D7918"/>
    <w:rsid w:val="001D7958"/>
    <w:rsid w:val="001E09BA"/>
    <w:rsid w:val="001E10C8"/>
    <w:rsid w:val="001E193D"/>
    <w:rsid w:val="001E1E60"/>
    <w:rsid w:val="001E2601"/>
    <w:rsid w:val="001E2730"/>
    <w:rsid w:val="001E2A22"/>
    <w:rsid w:val="001E2AA8"/>
    <w:rsid w:val="001E3821"/>
    <w:rsid w:val="001E4765"/>
    <w:rsid w:val="001E493D"/>
    <w:rsid w:val="001E4D10"/>
    <w:rsid w:val="001E559F"/>
    <w:rsid w:val="001E5D4B"/>
    <w:rsid w:val="001E6500"/>
    <w:rsid w:val="001E65DE"/>
    <w:rsid w:val="001E6DB4"/>
    <w:rsid w:val="001E7B6F"/>
    <w:rsid w:val="001F00EE"/>
    <w:rsid w:val="001F06AA"/>
    <w:rsid w:val="001F0C88"/>
    <w:rsid w:val="001F0E5C"/>
    <w:rsid w:val="001F11B8"/>
    <w:rsid w:val="001F129D"/>
    <w:rsid w:val="001F2396"/>
    <w:rsid w:val="001F2A4B"/>
    <w:rsid w:val="001F3E08"/>
    <w:rsid w:val="001F4004"/>
    <w:rsid w:val="001F4026"/>
    <w:rsid w:val="001F4C60"/>
    <w:rsid w:val="001F51A6"/>
    <w:rsid w:val="001F55EA"/>
    <w:rsid w:val="001F58E7"/>
    <w:rsid w:val="001F5923"/>
    <w:rsid w:val="001F5A65"/>
    <w:rsid w:val="001F5C51"/>
    <w:rsid w:val="001F603B"/>
    <w:rsid w:val="001F62FA"/>
    <w:rsid w:val="001F6B3C"/>
    <w:rsid w:val="001F6C51"/>
    <w:rsid w:val="001F6E85"/>
    <w:rsid w:val="001F6FAF"/>
    <w:rsid w:val="001F6FBF"/>
    <w:rsid w:val="001F7576"/>
    <w:rsid w:val="001F7E68"/>
    <w:rsid w:val="00201870"/>
    <w:rsid w:val="00202B6A"/>
    <w:rsid w:val="00202EBB"/>
    <w:rsid w:val="002033A2"/>
    <w:rsid w:val="0020372A"/>
    <w:rsid w:val="002041B7"/>
    <w:rsid w:val="00204A62"/>
    <w:rsid w:val="00204C3C"/>
    <w:rsid w:val="00205343"/>
    <w:rsid w:val="00205980"/>
    <w:rsid w:val="00206128"/>
    <w:rsid w:val="00206B42"/>
    <w:rsid w:val="002077FA"/>
    <w:rsid w:val="00207F54"/>
    <w:rsid w:val="00210361"/>
    <w:rsid w:val="00210764"/>
    <w:rsid w:val="0021096D"/>
    <w:rsid w:val="00210F56"/>
    <w:rsid w:val="00210F95"/>
    <w:rsid w:val="00211541"/>
    <w:rsid w:val="00211857"/>
    <w:rsid w:val="00211A9F"/>
    <w:rsid w:val="00211D30"/>
    <w:rsid w:val="00211DE6"/>
    <w:rsid w:val="00211DF6"/>
    <w:rsid w:val="00211E59"/>
    <w:rsid w:val="00212A73"/>
    <w:rsid w:val="00212B6E"/>
    <w:rsid w:val="00212ED8"/>
    <w:rsid w:val="00213198"/>
    <w:rsid w:val="002132DB"/>
    <w:rsid w:val="002132F9"/>
    <w:rsid w:val="00213357"/>
    <w:rsid w:val="00213780"/>
    <w:rsid w:val="00213C6E"/>
    <w:rsid w:val="0021427F"/>
    <w:rsid w:val="00214858"/>
    <w:rsid w:val="00214A71"/>
    <w:rsid w:val="00216897"/>
    <w:rsid w:val="00216D43"/>
    <w:rsid w:val="00217061"/>
    <w:rsid w:val="00217598"/>
    <w:rsid w:val="002175AA"/>
    <w:rsid w:val="002203B9"/>
    <w:rsid w:val="002209F0"/>
    <w:rsid w:val="00221107"/>
    <w:rsid w:val="00221291"/>
    <w:rsid w:val="00221573"/>
    <w:rsid w:val="0022188B"/>
    <w:rsid w:val="00221F6A"/>
    <w:rsid w:val="00222BDD"/>
    <w:rsid w:val="00222E41"/>
    <w:rsid w:val="00223174"/>
    <w:rsid w:val="002234FE"/>
    <w:rsid w:val="00223F01"/>
    <w:rsid w:val="002243DF"/>
    <w:rsid w:val="0022446A"/>
    <w:rsid w:val="0022489E"/>
    <w:rsid w:val="002248D3"/>
    <w:rsid w:val="00224DBF"/>
    <w:rsid w:val="00224E46"/>
    <w:rsid w:val="002264C3"/>
    <w:rsid w:val="00226910"/>
    <w:rsid w:val="00227290"/>
    <w:rsid w:val="002275CD"/>
    <w:rsid w:val="00227978"/>
    <w:rsid w:val="00227D90"/>
    <w:rsid w:val="00230728"/>
    <w:rsid w:val="00231433"/>
    <w:rsid w:val="00231D05"/>
    <w:rsid w:val="0023206F"/>
    <w:rsid w:val="00232296"/>
    <w:rsid w:val="00232A2D"/>
    <w:rsid w:val="00232A42"/>
    <w:rsid w:val="00232B87"/>
    <w:rsid w:val="002337F4"/>
    <w:rsid w:val="0023382F"/>
    <w:rsid w:val="002339FD"/>
    <w:rsid w:val="00233A5A"/>
    <w:rsid w:val="00233F89"/>
    <w:rsid w:val="00234069"/>
    <w:rsid w:val="00234214"/>
    <w:rsid w:val="00234349"/>
    <w:rsid w:val="00234867"/>
    <w:rsid w:val="00234A73"/>
    <w:rsid w:val="002350C7"/>
    <w:rsid w:val="00235320"/>
    <w:rsid w:val="002359B1"/>
    <w:rsid w:val="0023738E"/>
    <w:rsid w:val="00237570"/>
    <w:rsid w:val="00237E14"/>
    <w:rsid w:val="002405AC"/>
    <w:rsid w:val="00240817"/>
    <w:rsid w:val="00241562"/>
    <w:rsid w:val="0024352D"/>
    <w:rsid w:val="002435A0"/>
    <w:rsid w:val="00243907"/>
    <w:rsid w:val="00243E6B"/>
    <w:rsid w:val="00243ED2"/>
    <w:rsid w:val="002442F0"/>
    <w:rsid w:val="002452AA"/>
    <w:rsid w:val="00245769"/>
    <w:rsid w:val="00245DA2"/>
    <w:rsid w:val="0024627F"/>
    <w:rsid w:val="0024669A"/>
    <w:rsid w:val="00246DA3"/>
    <w:rsid w:val="00246E91"/>
    <w:rsid w:val="00247273"/>
    <w:rsid w:val="00247D09"/>
    <w:rsid w:val="00247D36"/>
    <w:rsid w:val="00247F60"/>
    <w:rsid w:val="00250408"/>
    <w:rsid w:val="0025099E"/>
    <w:rsid w:val="002515F0"/>
    <w:rsid w:val="002516F8"/>
    <w:rsid w:val="00251B01"/>
    <w:rsid w:val="0025203D"/>
    <w:rsid w:val="00252084"/>
    <w:rsid w:val="00252412"/>
    <w:rsid w:val="00252428"/>
    <w:rsid w:val="002524F6"/>
    <w:rsid w:val="002525FC"/>
    <w:rsid w:val="00252804"/>
    <w:rsid w:val="0025309F"/>
    <w:rsid w:val="00253501"/>
    <w:rsid w:val="002538D7"/>
    <w:rsid w:val="00253BA0"/>
    <w:rsid w:val="00253D53"/>
    <w:rsid w:val="00253E44"/>
    <w:rsid w:val="00254131"/>
    <w:rsid w:val="00254933"/>
    <w:rsid w:val="00254AD6"/>
    <w:rsid w:val="00254C54"/>
    <w:rsid w:val="00255B0B"/>
    <w:rsid w:val="00256835"/>
    <w:rsid w:val="002569C5"/>
    <w:rsid w:val="00256C6B"/>
    <w:rsid w:val="00256E43"/>
    <w:rsid w:val="00257326"/>
    <w:rsid w:val="002578D6"/>
    <w:rsid w:val="00257C73"/>
    <w:rsid w:val="00257D09"/>
    <w:rsid w:val="002603EB"/>
    <w:rsid w:val="0026058E"/>
    <w:rsid w:val="00260618"/>
    <w:rsid w:val="002607AC"/>
    <w:rsid w:val="00260959"/>
    <w:rsid w:val="00261015"/>
    <w:rsid w:val="00261E21"/>
    <w:rsid w:val="002621D7"/>
    <w:rsid w:val="002624CB"/>
    <w:rsid w:val="00262609"/>
    <w:rsid w:val="00263BAF"/>
    <w:rsid w:val="00263E8E"/>
    <w:rsid w:val="00265DCB"/>
    <w:rsid w:val="00265E7F"/>
    <w:rsid w:val="00265EB1"/>
    <w:rsid w:val="00265FEC"/>
    <w:rsid w:val="00266176"/>
    <w:rsid w:val="00266177"/>
    <w:rsid w:val="002661F0"/>
    <w:rsid w:val="00266656"/>
    <w:rsid w:val="00266C75"/>
    <w:rsid w:val="0026776F"/>
    <w:rsid w:val="00267978"/>
    <w:rsid w:val="00267E5A"/>
    <w:rsid w:val="002702A0"/>
    <w:rsid w:val="00270A37"/>
    <w:rsid w:val="00271060"/>
    <w:rsid w:val="00271160"/>
    <w:rsid w:val="0027168C"/>
    <w:rsid w:val="00271C7B"/>
    <w:rsid w:val="00272D09"/>
    <w:rsid w:val="002737FC"/>
    <w:rsid w:val="00273A2E"/>
    <w:rsid w:val="00274A5D"/>
    <w:rsid w:val="00274C46"/>
    <w:rsid w:val="00274EB8"/>
    <w:rsid w:val="002753EF"/>
    <w:rsid w:val="00275BDB"/>
    <w:rsid w:val="0027602B"/>
    <w:rsid w:val="002762A5"/>
    <w:rsid w:val="00276B5D"/>
    <w:rsid w:val="00276EA0"/>
    <w:rsid w:val="00276F11"/>
    <w:rsid w:val="002777A0"/>
    <w:rsid w:val="00277B69"/>
    <w:rsid w:val="00277CE2"/>
    <w:rsid w:val="00277CE5"/>
    <w:rsid w:val="00277F9E"/>
    <w:rsid w:val="00281A37"/>
    <w:rsid w:val="00282759"/>
    <w:rsid w:val="00282791"/>
    <w:rsid w:val="00282950"/>
    <w:rsid w:val="00282C7A"/>
    <w:rsid w:val="0028314D"/>
    <w:rsid w:val="0028314E"/>
    <w:rsid w:val="00283224"/>
    <w:rsid w:val="0028391B"/>
    <w:rsid w:val="00283F0E"/>
    <w:rsid w:val="00284139"/>
    <w:rsid w:val="002844A9"/>
    <w:rsid w:val="0028493F"/>
    <w:rsid w:val="00284E58"/>
    <w:rsid w:val="002858BA"/>
    <w:rsid w:val="00285A44"/>
    <w:rsid w:val="00285C2E"/>
    <w:rsid w:val="00285CD5"/>
    <w:rsid w:val="00285E88"/>
    <w:rsid w:val="002866C5"/>
    <w:rsid w:val="00286A4C"/>
    <w:rsid w:val="00286B09"/>
    <w:rsid w:val="002871E9"/>
    <w:rsid w:val="00290083"/>
    <w:rsid w:val="00290382"/>
    <w:rsid w:val="00290C08"/>
    <w:rsid w:val="00290DE7"/>
    <w:rsid w:val="00290F5E"/>
    <w:rsid w:val="00291203"/>
    <w:rsid w:val="002916AE"/>
    <w:rsid w:val="00291766"/>
    <w:rsid w:val="00291FD3"/>
    <w:rsid w:val="00292244"/>
    <w:rsid w:val="0029237F"/>
    <w:rsid w:val="00293048"/>
    <w:rsid w:val="00293D46"/>
    <w:rsid w:val="00293EDB"/>
    <w:rsid w:val="00294367"/>
    <w:rsid w:val="00294404"/>
    <w:rsid w:val="0029478C"/>
    <w:rsid w:val="00294894"/>
    <w:rsid w:val="00294DBA"/>
    <w:rsid w:val="00294E50"/>
    <w:rsid w:val="00294F4B"/>
    <w:rsid w:val="002952EF"/>
    <w:rsid w:val="00295328"/>
    <w:rsid w:val="00295821"/>
    <w:rsid w:val="00296151"/>
    <w:rsid w:val="00296220"/>
    <w:rsid w:val="00296BF4"/>
    <w:rsid w:val="00296DC8"/>
    <w:rsid w:val="00297435"/>
    <w:rsid w:val="00297913"/>
    <w:rsid w:val="00297A20"/>
    <w:rsid w:val="00297AE2"/>
    <w:rsid w:val="002A0997"/>
    <w:rsid w:val="002A1642"/>
    <w:rsid w:val="002A2788"/>
    <w:rsid w:val="002A2943"/>
    <w:rsid w:val="002A2B30"/>
    <w:rsid w:val="002A2DAB"/>
    <w:rsid w:val="002A2EEF"/>
    <w:rsid w:val="002A34AC"/>
    <w:rsid w:val="002A3704"/>
    <w:rsid w:val="002A3D49"/>
    <w:rsid w:val="002A4400"/>
    <w:rsid w:val="002A468A"/>
    <w:rsid w:val="002A49EB"/>
    <w:rsid w:val="002A4CC8"/>
    <w:rsid w:val="002A4EB7"/>
    <w:rsid w:val="002A5926"/>
    <w:rsid w:val="002A5F8A"/>
    <w:rsid w:val="002A62DD"/>
    <w:rsid w:val="002A663E"/>
    <w:rsid w:val="002A6E28"/>
    <w:rsid w:val="002A7195"/>
    <w:rsid w:val="002A733B"/>
    <w:rsid w:val="002A7495"/>
    <w:rsid w:val="002A751C"/>
    <w:rsid w:val="002A7716"/>
    <w:rsid w:val="002A7F7C"/>
    <w:rsid w:val="002B00BB"/>
    <w:rsid w:val="002B0489"/>
    <w:rsid w:val="002B0696"/>
    <w:rsid w:val="002B0A4A"/>
    <w:rsid w:val="002B0AEB"/>
    <w:rsid w:val="002B0B25"/>
    <w:rsid w:val="002B0D69"/>
    <w:rsid w:val="002B0EEE"/>
    <w:rsid w:val="002B12D4"/>
    <w:rsid w:val="002B1B64"/>
    <w:rsid w:val="002B1F33"/>
    <w:rsid w:val="002B21E0"/>
    <w:rsid w:val="002B258F"/>
    <w:rsid w:val="002B2966"/>
    <w:rsid w:val="002B2BB7"/>
    <w:rsid w:val="002B2C23"/>
    <w:rsid w:val="002B335B"/>
    <w:rsid w:val="002B378C"/>
    <w:rsid w:val="002B3A51"/>
    <w:rsid w:val="002B3C72"/>
    <w:rsid w:val="002B43F6"/>
    <w:rsid w:val="002B4846"/>
    <w:rsid w:val="002B4882"/>
    <w:rsid w:val="002B49BA"/>
    <w:rsid w:val="002B50FE"/>
    <w:rsid w:val="002B5E92"/>
    <w:rsid w:val="002B6101"/>
    <w:rsid w:val="002B6230"/>
    <w:rsid w:val="002B6F7F"/>
    <w:rsid w:val="002B7988"/>
    <w:rsid w:val="002B79FA"/>
    <w:rsid w:val="002C0509"/>
    <w:rsid w:val="002C127E"/>
    <w:rsid w:val="002C16B5"/>
    <w:rsid w:val="002C1769"/>
    <w:rsid w:val="002C202F"/>
    <w:rsid w:val="002C205B"/>
    <w:rsid w:val="002C285D"/>
    <w:rsid w:val="002C3281"/>
    <w:rsid w:val="002C39B9"/>
    <w:rsid w:val="002C3FE8"/>
    <w:rsid w:val="002C41D1"/>
    <w:rsid w:val="002C44D0"/>
    <w:rsid w:val="002C4B89"/>
    <w:rsid w:val="002C4F17"/>
    <w:rsid w:val="002C509C"/>
    <w:rsid w:val="002C617D"/>
    <w:rsid w:val="002C647E"/>
    <w:rsid w:val="002C65E2"/>
    <w:rsid w:val="002C6612"/>
    <w:rsid w:val="002C6BB3"/>
    <w:rsid w:val="002C6C1C"/>
    <w:rsid w:val="002C7787"/>
    <w:rsid w:val="002D051F"/>
    <w:rsid w:val="002D08E2"/>
    <w:rsid w:val="002D0BD2"/>
    <w:rsid w:val="002D0CCB"/>
    <w:rsid w:val="002D1286"/>
    <w:rsid w:val="002D1BD5"/>
    <w:rsid w:val="002D290F"/>
    <w:rsid w:val="002D2A8A"/>
    <w:rsid w:val="002D390A"/>
    <w:rsid w:val="002D3913"/>
    <w:rsid w:val="002D39E6"/>
    <w:rsid w:val="002D444C"/>
    <w:rsid w:val="002D4914"/>
    <w:rsid w:val="002D4B4F"/>
    <w:rsid w:val="002D4D73"/>
    <w:rsid w:val="002D50D6"/>
    <w:rsid w:val="002D56D7"/>
    <w:rsid w:val="002D63C2"/>
    <w:rsid w:val="002D64AF"/>
    <w:rsid w:val="002D6802"/>
    <w:rsid w:val="002D7138"/>
    <w:rsid w:val="002D79F8"/>
    <w:rsid w:val="002D7ADD"/>
    <w:rsid w:val="002E0581"/>
    <w:rsid w:val="002E05C2"/>
    <w:rsid w:val="002E09E3"/>
    <w:rsid w:val="002E0D3E"/>
    <w:rsid w:val="002E0F46"/>
    <w:rsid w:val="002E1678"/>
    <w:rsid w:val="002E17FC"/>
    <w:rsid w:val="002E1E50"/>
    <w:rsid w:val="002E228C"/>
    <w:rsid w:val="002E2B5C"/>
    <w:rsid w:val="002E30B7"/>
    <w:rsid w:val="002E3DE7"/>
    <w:rsid w:val="002E4598"/>
    <w:rsid w:val="002E4B6E"/>
    <w:rsid w:val="002E534B"/>
    <w:rsid w:val="002E57EA"/>
    <w:rsid w:val="002E5A38"/>
    <w:rsid w:val="002E6195"/>
    <w:rsid w:val="002E63EE"/>
    <w:rsid w:val="002E6508"/>
    <w:rsid w:val="002E69BE"/>
    <w:rsid w:val="002E71D3"/>
    <w:rsid w:val="002E7264"/>
    <w:rsid w:val="002E773C"/>
    <w:rsid w:val="002E7758"/>
    <w:rsid w:val="002E7C34"/>
    <w:rsid w:val="002E7D52"/>
    <w:rsid w:val="002F044E"/>
    <w:rsid w:val="002F06F6"/>
    <w:rsid w:val="002F08E8"/>
    <w:rsid w:val="002F0A6F"/>
    <w:rsid w:val="002F0AE8"/>
    <w:rsid w:val="002F0E19"/>
    <w:rsid w:val="002F0FC1"/>
    <w:rsid w:val="002F1978"/>
    <w:rsid w:val="002F1A75"/>
    <w:rsid w:val="002F1D32"/>
    <w:rsid w:val="002F2474"/>
    <w:rsid w:val="002F25E6"/>
    <w:rsid w:val="002F35C8"/>
    <w:rsid w:val="002F368B"/>
    <w:rsid w:val="002F3C29"/>
    <w:rsid w:val="002F3D23"/>
    <w:rsid w:val="002F3E5E"/>
    <w:rsid w:val="002F4426"/>
    <w:rsid w:val="002F4D01"/>
    <w:rsid w:val="002F560F"/>
    <w:rsid w:val="002F6FED"/>
    <w:rsid w:val="002F7720"/>
    <w:rsid w:val="00300784"/>
    <w:rsid w:val="003007B9"/>
    <w:rsid w:val="00300BE9"/>
    <w:rsid w:val="00300D09"/>
    <w:rsid w:val="00300D4C"/>
    <w:rsid w:val="00300E97"/>
    <w:rsid w:val="0030119A"/>
    <w:rsid w:val="00301915"/>
    <w:rsid w:val="003023C4"/>
    <w:rsid w:val="0030253E"/>
    <w:rsid w:val="003025D2"/>
    <w:rsid w:val="00302ABA"/>
    <w:rsid w:val="00303B3A"/>
    <w:rsid w:val="00303D8B"/>
    <w:rsid w:val="00303DB2"/>
    <w:rsid w:val="0030401B"/>
    <w:rsid w:val="00304338"/>
    <w:rsid w:val="0030467A"/>
    <w:rsid w:val="00304D4B"/>
    <w:rsid w:val="00305617"/>
    <w:rsid w:val="00305A94"/>
    <w:rsid w:val="00306163"/>
    <w:rsid w:val="003063C7"/>
    <w:rsid w:val="0030643C"/>
    <w:rsid w:val="00306441"/>
    <w:rsid w:val="003066C0"/>
    <w:rsid w:val="003069FB"/>
    <w:rsid w:val="00306E23"/>
    <w:rsid w:val="00306E6D"/>
    <w:rsid w:val="00306F04"/>
    <w:rsid w:val="0030783B"/>
    <w:rsid w:val="003079FA"/>
    <w:rsid w:val="003106ED"/>
    <w:rsid w:val="0031081D"/>
    <w:rsid w:val="003117F7"/>
    <w:rsid w:val="00311BB2"/>
    <w:rsid w:val="00311BFB"/>
    <w:rsid w:val="00311FCF"/>
    <w:rsid w:val="00312390"/>
    <w:rsid w:val="00312A51"/>
    <w:rsid w:val="00312F60"/>
    <w:rsid w:val="00312FF5"/>
    <w:rsid w:val="0031332A"/>
    <w:rsid w:val="00313340"/>
    <w:rsid w:val="003135F7"/>
    <w:rsid w:val="00313699"/>
    <w:rsid w:val="003139AC"/>
    <w:rsid w:val="00313A46"/>
    <w:rsid w:val="00313AFC"/>
    <w:rsid w:val="0031410D"/>
    <w:rsid w:val="0031470E"/>
    <w:rsid w:val="0031561B"/>
    <w:rsid w:val="0031590E"/>
    <w:rsid w:val="00315C83"/>
    <w:rsid w:val="00317D36"/>
    <w:rsid w:val="00317E39"/>
    <w:rsid w:val="0032018B"/>
    <w:rsid w:val="00320F28"/>
    <w:rsid w:val="0032158B"/>
    <w:rsid w:val="00321732"/>
    <w:rsid w:val="00321781"/>
    <w:rsid w:val="00322B43"/>
    <w:rsid w:val="00322D82"/>
    <w:rsid w:val="00323756"/>
    <w:rsid w:val="0032391E"/>
    <w:rsid w:val="00323966"/>
    <w:rsid w:val="00323BE7"/>
    <w:rsid w:val="0032405A"/>
    <w:rsid w:val="003247BA"/>
    <w:rsid w:val="003247D2"/>
    <w:rsid w:val="00324EB7"/>
    <w:rsid w:val="00325CE8"/>
    <w:rsid w:val="00326142"/>
    <w:rsid w:val="00326B78"/>
    <w:rsid w:val="00326CF9"/>
    <w:rsid w:val="00327804"/>
    <w:rsid w:val="00330967"/>
    <w:rsid w:val="00330998"/>
    <w:rsid w:val="00330F1A"/>
    <w:rsid w:val="00331175"/>
    <w:rsid w:val="0033174D"/>
    <w:rsid w:val="00331D24"/>
    <w:rsid w:val="003323B6"/>
    <w:rsid w:val="003327EC"/>
    <w:rsid w:val="00332960"/>
    <w:rsid w:val="00332FCF"/>
    <w:rsid w:val="0033383F"/>
    <w:rsid w:val="00333B1E"/>
    <w:rsid w:val="00334988"/>
    <w:rsid w:val="003349E7"/>
    <w:rsid w:val="00334BF6"/>
    <w:rsid w:val="00334EC2"/>
    <w:rsid w:val="003354F5"/>
    <w:rsid w:val="003355F0"/>
    <w:rsid w:val="00335A4C"/>
    <w:rsid w:val="00335DF9"/>
    <w:rsid w:val="0033610E"/>
    <w:rsid w:val="00336630"/>
    <w:rsid w:val="003367D9"/>
    <w:rsid w:val="00336A49"/>
    <w:rsid w:val="003372B6"/>
    <w:rsid w:val="00337944"/>
    <w:rsid w:val="003379BA"/>
    <w:rsid w:val="00337B29"/>
    <w:rsid w:val="0034113F"/>
    <w:rsid w:val="0034138A"/>
    <w:rsid w:val="003417CD"/>
    <w:rsid w:val="003417F5"/>
    <w:rsid w:val="00342254"/>
    <w:rsid w:val="003423A4"/>
    <w:rsid w:val="00342FC8"/>
    <w:rsid w:val="0034388B"/>
    <w:rsid w:val="003439CE"/>
    <w:rsid w:val="00343B8A"/>
    <w:rsid w:val="0034421A"/>
    <w:rsid w:val="00344399"/>
    <w:rsid w:val="00344B51"/>
    <w:rsid w:val="00344B68"/>
    <w:rsid w:val="00344E28"/>
    <w:rsid w:val="00344E93"/>
    <w:rsid w:val="003451D4"/>
    <w:rsid w:val="00345469"/>
    <w:rsid w:val="00345955"/>
    <w:rsid w:val="00345E46"/>
    <w:rsid w:val="003464F4"/>
    <w:rsid w:val="0034655C"/>
    <w:rsid w:val="003466AE"/>
    <w:rsid w:val="003466B3"/>
    <w:rsid w:val="00346C82"/>
    <w:rsid w:val="0034765F"/>
    <w:rsid w:val="0034772A"/>
    <w:rsid w:val="00347F51"/>
    <w:rsid w:val="0035002B"/>
    <w:rsid w:val="003506FA"/>
    <w:rsid w:val="00350C86"/>
    <w:rsid w:val="003511CD"/>
    <w:rsid w:val="003522A6"/>
    <w:rsid w:val="0035264D"/>
    <w:rsid w:val="003536C7"/>
    <w:rsid w:val="003539C5"/>
    <w:rsid w:val="00353F33"/>
    <w:rsid w:val="003542EC"/>
    <w:rsid w:val="003553EF"/>
    <w:rsid w:val="00355DED"/>
    <w:rsid w:val="00355E58"/>
    <w:rsid w:val="00356459"/>
    <w:rsid w:val="003564B4"/>
    <w:rsid w:val="00356983"/>
    <w:rsid w:val="00356A22"/>
    <w:rsid w:val="00356CD5"/>
    <w:rsid w:val="0035701F"/>
    <w:rsid w:val="003575DE"/>
    <w:rsid w:val="003578A6"/>
    <w:rsid w:val="0035795E"/>
    <w:rsid w:val="00357A9E"/>
    <w:rsid w:val="00357B4A"/>
    <w:rsid w:val="00357CC8"/>
    <w:rsid w:val="00357D3F"/>
    <w:rsid w:val="00357F35"/>
    <w:rsid w:val="003605DA"/>
    <w:rsid w:val="00360B2A"/>
    <w:rsid w:val="003613A1"/>
    <w:rsid w:val="00361667"/>
    <w:rsid w:val="0036176A"/>
    <w:rsid w:val="0036185B"/>
    <w:rsid w:val="003619EA"/>
    <w:rsid w:val="003619F6"/>
    <w:rsid w:val="00361E47"/>
    <w:rsid w:val="003625B9"/>
    <w:rsid w:val="00362627"/>
    <w:rsid w:val="00362908"/>
    <w:rsid w:val="00362C19"/>
    <w:rsid w:val="00362FD7"/>
    <w:rsid w:val="00363224"/>
    <w:rsid w:val="00364505"/>
    <w:rsid w:val="00364551"/>
    <w:rsid w:val="0036463F"/>
    <w:rsid w:val="003646FF"/>
    <w:rsid w:val="0036523E"/>
    <w:rsid w:val="00365639"/>
    <w:rsid w:val="003657E8"/>
    <w:rsid w:val="00365C1C"/>
    <w:rsid w:val="00366383"/>
    <w:rsid w:val="00366CE2"/>
    <w:rsid w:val="00366E7E"/>
    <w:rsid w:val="003673D7"/>
    <w:rsid w:val="003674AA"/>
    <w:rsid w:val="00367F8E"/>
    <w:rsid w:val="00370323"/>
    <w:rsid w:val="0037033A"/>
    <w:rsid w:val="0037047B"/>
    <w:rsid w:val="003711D1"/>
    <w:rsid w:val="003712C4"/>
    <w:rsid w:val="003719A0"/>
    <w:rsid w:val="0037314C"/>
    <w:rsid w:val="003731B2"/>
    <w:rsid w:val="00373502"/>
    <w:rsid w:val="00373517"/>
    <w:rsid w:val="0037353B"/>
    <w:rsid w:val="003736EF"/>
    <w:rsid w:val="003738FB"/>
    <w:rsid w:val="0037463A"/>
    <w:rsid w:val="00375346"/>
    <w:rsid w:val="00375990"/>
    <w:rsid w:val="00376710"/>
    <w:rsid w:val="00376771"/>
    <w:rsid w:val="00376829"/>
    <w:rsid w:val="003772A7"/>
    <w:rsid w:val="00377A6A"/>
    <w:rsid w:val="003800F9"/>
    <w:rsid w:val="0038037A"/>
    <w:rsid w:val="003808EC"/>
    <w:rsid w:val="003813C0"/>
    <w:rsid w:val="003819C6"/>
    <w:rsid w:val="003822C5"/>
    <w:rsid w:val="003822D0"/>
    <w:rsid w:val="003827E7"/>
    <w:rsid w:val="00382F22"/>
    <w:rsid w:val="003830F2"/>
    <w:rsid w:val="00383207"/>
    <w:rsid w:val="003832C1"/>
    <w:rsid w:val="003834A0"/>
    <w:rsid w:val="00383F9A"/>
    <w:rsid w:val="00384457"/>
    <w:rsid w:val="00384869"/>
    <w:rsid w:val="00384C40"/>
    <w:rsid w:val="00384CB9"/>
    <w:rsid w:val="003856A6"/>
    <w:rsid w:val="00385A09"/>
    <w:rsid w:val="00385D1B"/>
    <w:rsid w:val="00386370"/>
    <w:rsid w:val="00386390"/>
    <w:rsid w:val="003863F4"/>
    <w:rsid w:val="0038650B"/>
    <w:rsid w:val="00387081"/>
    <w:rsid w:val="003871AD"/>
    <w:rsid w:val="00387377"/>
    <w:rsid w:val="00387619"/>
    <w:rsid w:val="00387632"/>
    <w:rsid w:val="0038773C"/>
    <w:rsid w:val="0038781B"/>
    <w:rsid w:val="00387A51"/>
    <w:rsid w:val="003902AB"/>
    <w:rsid w:val="003902F3"/>
    <w:rsid w:val="003905BA"/>
    <w:rsid w:val="00390D77"/>
    <w:rsid w:val="00390E97"/>
    <w:rsid w:val="00391B23"/>
    <w:rsid w:val="00391FAF"/>
    <w:rsid w:val="0039263B"/>
    <w:rsid w:val="00392C2C"/>
    <w:rsid w:val="00392F1B"/>
    <w:rsid w:val="00392F25"/>
    <w:rsid w:val="00392F75"/>
    <w:rsid w:val="0039309E"/>
    <w:rsid w:val="003939D7"/>
    <w:rsid w:val="00393BE8"/>
    <w:rsid w:val="00394895"/>
    <w:rsid w:val="00395523"/>
    <w:rsid w:val="00395752"/>
    <w:rsid w:val="00395870"/>
    <w:rsid w:val="0039611F"/>
    <w:rsid w:val="003972D4"/>
    <w:rsid w:val="003975A0"/>
    <w:rsid w:val="00397ABA"/>
    <w:rsid w:val="00397CE9"/>
    <w:rsid w:val="003A032B"/>
    <w:rsid w:val="003A144E"/>
    <w:rsid w:val="003A1997"/>
    <w:rsid w:val="003A23A9"/>
    <w:rsid w:val="003A2400"/>
    <w:rsid w:val="003A2763"/>
    <w:rsid w:val="003A30C7"/>
    <w:rsid w:val="003A3733"/>
    <w:rsid w:val="003A4A08"/>
    <w:rsid w:val="003A4D69"/>
    <w:rsid w:val="003A57EE"/>
    <w:rsid w:val="003A60FE"/>
    <w:rsid w:val="003A6190"/>
    <w:rsid w:val="003A6472"/>
    <w:rsid w:val="003A7228"/>
    <w:rsid w:val="003A7CA6"/>
    <w:rsid w:val="003B0122"/>
    <w:rsid w:val="003B02F4"/>
    <w:rsid w:val="003B0925"/>
    <w:rsid w:val="003B0E76"/>
    <w:rsid w:val="003B171F"/>
    <w:rsid w:val="003B1B4B"/>
    <w:rsid w:val="003B1BCE"/>
    <w:rsid w:val="003B1F3C"/>
    <w:rsid w:val="003B29A2"/>
    <w:rsid w:val="003B2BD4"/>
    <w:rsid w:val="003B37BA"/>
    <w:rsid w:val="003B398D"/>
    <w:rsid w:val="003B4CA8"/>
    <w:rsid w:val="003B4E48"/>
    <w:rsid w:val="003B57C6"/>
    <w:rsid w:val="003B5A41"/>
    <w:rsid w:val="003B5CB5"/>
    <w:rsid w:val="003B6983"/>
    <w:rsid w:val="003B71E5"/>
    <w:rsid w:val="003B71E6"/>
    <w:rsid w:val="003B77AA"/>
    <w:rsid w:val="003B7ACF"/>
    <w:rsid w:val="003C06C4"/>
    <w:rsid w:val="003C072C"/>
    <w:rsid w:val="003C0785"/>
    <w:rsid w:val="003C16CB"/>
    <w:rsid w:val="003C1767"/>
    <w:rsid w:val="003C250F"/>
    <w:rsid w:val="003C2A37"/>
    <w:rsid w:val="003C2BC3"/>
    <w:rsid w:val="003C2E97"/>
    <w:rsid w:val="003C3F7A"/>
    <w:rsid w:val="003C43AB"/>
    <w:rsid w:val="003C46A3"/>
    <w:rsid w:val="003C471D"/>
    <w:rsid w:val="003C47AE"/>
    <w:rsid w:val="003C47EB"/>
    <w:rsid w:val="003C4846"/>
    <w:rsid w:val="003C57B4"/>
    <w:rsid w:val="003C57BD"/>
    <w:rsid w:val="003C5D4D"/>
    <w:rsid w:val="003C61E1"/>
    <w:rsid w:val="003C63C2"/>
    <w:rsid w:val="003C6FD5"/>
    <w:rsid w:val="003C70BA"/>
    <w:rsid w:val="003D06C2"/>
    <w:rsid w:val="003D08F2"/>
    <w:rsid w:val="003D0A08"/>
    <w:rsid w:val="003D1BF0"/>
    <w:rsid w:val="003D2DF2"/>
    <w:rsid w:val="003D2EAB"/>
    <w:rsid w:val="003D3308"/>
    <w:rsid w:val="003D35F2"/>
    <w:rsid w:val="003D4673"/>
    <w:rsid w:val="003D481D"/>
    <w:rsid w:val="003D4A6C"/>
    <w:rsid w:val="003D502D"/>
    <w:rsid w:val="003D54C6"/>
    <w:rsid w:val="003D6203"/>
    <w:rsid w:val="003D6583"/>
    <w:rsid w:val="003D686B"/>
    <w:rsid w:val="003D69A9"/>
    <w:rsid w:val="003D71A8"/>
    <w:rsid w:val="003D7343"/>
    <w:rsid w:val="003D73BE"/>
    <w:rsid w:val="003D7719"/>
    <w:rsid w:val="003E0530"/>
    <w:rsid w:val="003E065C"/>
    <w:rsid w:val="003E09BF"/>
    <w:rsid w:val="003E12AA"/>
    <w:rsid w:val="003E15DD"/>
    <w:rsid w:val="003E1813"/>
    <w:rsid w:val="003E1AA2"/>
    <w:rsid w:val="003E2246"/>
    <w:rsid w:val="003E258E"/>
    <w:rsid w:val="003E2C88"/>
    <w:rsid w:val="003E3066"/>
    <w:rsid w:val="003E325E"/>
    <w:rsid w:val="003E372B"/>
    <w:rsid w:val="003E3E23"/>
    <w:rsid w:val="003E4382"/>
    <w:rsid w:val="003E4CA6"/>
    <w:rsid w:val="003E4CBB"/>
    <w:rsid w:val="003E59A1"/>
    <w:rsid w:val="003E5A60"/>
    <w:rsid w:val="003E5F40"/>
    <w:rsid w:val="003E6517"/>
    <w:rsid w:val="003E68FB"/>
    <w:rsid w:val="003E71BE"/>
    <w:rsid w:val="003E79C6"/>
    <w:rsid w:val="003E7E24"/>
    <w:rsid w:val="003F0364"/>
    <w:rsid w:val="003F0E2B"/>
    <w:rsid w:val="003F14DE"/>
    <w:rsid w:val="003F1FDA"/>
    <w:rsid w:val="003F2A8E"/>
    <w:rsid w:val="003F2B11"/>
    <w:rsid w:val="003F2BA7"/>
    <w:rsid w:val="003F2C0B"/>
    <w:rsid w:val="003F2F96"/>
    <w:rsid w:val="003F3175"/>
    <w:rsid w:val="003F384A"/>
    <w:rsid w:val="003F3C70"/>
    <w:rsid w:val="003F3D54"/>
    <w:rsid w:val="003F44DC"/>
    <w:rsid w:val="003F44DE"/>
    <w:rsid w:val="003F46AB"/>
    <w:rsid w:val="003F47DD"/>
    <w:rsid w:val="003F4B63"/>
    <w:rsid w:val="003F4C4A"/>
    <w:rsid w:val="003F5215"/>
    <w:rsid w:val="003F5A1E"/>
    <w:rsid w:val="003F6199"/>
    <w:rsid w:val="003F637F"/>
    <w:rsid w:val="003F645E"/>
    <w:rsid w:val="003F74B5"/>
    <w:rsid w:val="003F76FC"/>
    <w:rsid w:val="003F7794"/>
    <w:rsid w:val="003F77E6"/>
    <w:rsid w:val="003F7821"/>
    <w:rsid w:val="003F7D7D"/>
    <w:rsid w:val="004002BE"/>
    <w:rsid w:val="0040031F"/>
    <w:rsid w:val="004003EB"/>
    <w:rsid w:val="00401239"/>
    <w:rsid w:val="004013D1"/>
    <w:rsid w:val="0040160D"/>
    <w:rsid w:val="00401682"/>
    <w:rsid w:val="00401983"/>
    <w:rsid w:val="00401F54"/>
    <w:rsid w:val="004021D7"/>
    <w:rsid w:val="004022BA"/>
    <w:rsid w:val="00402383"/>
    <w:rsid w:val="00402CED"/>
    <w:rsid w:val="0040347A"/>
    <w:rsid w:val="00403562"/>
    <w:rsid w:val="00403746"/>
    <w:rsid w:val="00403956"/>
    <w:rsid w:val="00403FAD"/>
    <w:rsid w:val="0040423F"/>
    <w:rsid w:val="004043BA"/>
    <w:rsid w:val="004049C7"/>
    <w:rsid w:val="0040508F"/>
    <w:rsid w:val="004052C4"/>
    <w:rsid w:val="004057E3"/>
    <w:rsid w:val="00405B92"/>
    <w:rsid w:val="004070DB"/>
    <w:rsid w:val="00407717"/>
    <w:rsid w:val="00407869"/>
    <w:rsid w:val="0040799D"/>
    <w:rsid w:val="00407DE9"/>
    <w:rsid w:val="0041047E"/>
    <w:rsid w:val="00410704"/>
    <w:rsid w:val="004109F8"/>
    <w:rsid w:val="00410D26"/>
    <w:rsid w:val="00410E81"/>
    <w:rsid w:val="0041118B"/>
    <w:rsid w:val="00411254"/>
    <w:rsid w:val="00411957"/>
    <w:rsid w:val="004119FA"/>
    <w:rsid w:val="00412061"/>
    <w:rsid w:val="004123AC"/>
    <w:rsid w:val="004126C2"/>
    <w:rsid w:val="0041283E"/>
    <w:rsid w:val="00412CB7"/>
    <w:rsid w:val="0041305E"/>
    <w:rsid w:val="00413366"/>
    <w:rsid w:val="00413AFF"/>
    <w:rsid w:val="0041428D"/>
    <w:rsid w:val="0041456D"/>
    <w:rsid w:val="00414C72"/>
    <w:rsid w:val="00414F7F"/>
    <w:rsid w:val="00415280"/>
    <w:rsid w:val="0041560A"/>
    <w:rsid w:val="00415A4F"/>
    <w:rsid w:val="00415D97"/>
    <w:rsid w:val="00415F45"/>
    <w:rsid w:val="00416091"/>
    <w:rsid w:val="004163BB"/>
    <w:rsid w:val="00416C46"/>
    <w:rsid w:val="00417BBF"/>
    <w:rsid w:val="00417CBA"/>
    <w:rsid w:val="004200D5"/>
    <w:rsid w:val="00420637"/>
    <w:rsid w:val="004208AD"/>
    <w:rsid w:val="0042195A"/>
    <w:rsid w:val="00421C04"/>
    <w:rsid w:val="00421D81"/>
    <w:rsid w:val="0042240B"/>
    <w:rsid w:val="00422E2C"/>
    <w:rsid w:val="00423137"/>
    <w:rsid w:val="0042422F"/>
    <w:rsid w:val="004242A2"/>
    <w:rsid w:val="00424F84"/>
    <w:rsid w:val="004251E9"/>
    <w:rsid w:val="00425AAC"/>
    <w:rsid w:val="00425AFE"/>
    <w:rsid w:val="00425BB9"/>
    <w:rsid w:val="0042670C"/>
    <w:rsid w:val="004268D6"/>
    <w:rsid w:val="00426B2E"/>
    <w:rsid w:val="0043035C"/>
    <w:rsid w:val="00430AAD"/>
    <w:rsid w:val="00430C0D"/>
    <w:rsid w:val="00430CB3"/>
    <w:rsid w:val="00430E53"/>
    <w:rsid w:val="004310C3"/>
    <w:rsid w:val="00431F86"/>
    <w:rsid w:val="004327DE"/>
    <w:rsid w:val="00432987"/>
    <w:rsid w:val="00432C4E"/>
    <w:rsid w:val="0043331B"/>
    <w:rsid w:val="00433B4D"/>
    <w:rsid w:val="004346B1"/>
    <w:rsid w:val="00435272"/>
    <w:rsid w:val="004357E5"/>
    <w:rsid w:val="00435B61"/>
    <w:rsid w:val="00435E83"/>
    <w:rsid w:val="00435F09"/>
    <w:rsid w:val="00435F5B"/>
    <w:rsid w:val="00436474"/>
    <w:rsid w:val="00436FAB"/>
    <w:rsid w:val="004378CE"/>
    <w:rsid w:val="0043799B"/>
    <w:rsid w:val="00437FBC"/>
    <w:rsid w:val="004408F3"/>
    <w:rsid w:val="004416B5"/>
    <w:rsid w:val="00441BC6"/>
    <w:rsid w:val="0044228A"/>
    <w:rsid w:val="004426DE"/>
    <w:rsid w:val="004427F5"/>
    <w:rsid w:val="00442886"/>
    <w:rsid w:val="0044322F"/>
    <w:rsid w:val="004433CB"/>
    <w:rsid w:val="00443DBE"/>
    <w:rsid w:val="00443FF8"/>
    <w:rsid w:val="004445E9"/>
    <w:rsid w:val="0044529B"/>
    <w:rsid w:val="00445B40"/>
    <w:rsid w:val="00445F07"/>
    <w:rsid w:val="00446B0E"/>
    <w:rsid w:val="004476B7"/>
    <w:rsid w:val="00447907"/>
    <w:rsid w:val="00450110"/>
    <w:rsid w:val="0045030C"/>
    <w:rsid w:val="0045034A"/>
    <w:rsid w:val="004508C5"/>
    <w:rsid w:val="004512A1"/>
    <w:rsid w:val="0045169B"/>
    <w:rsid w:val="0045275C"/>
    <w:rsid w:val="0045304C"/>
    <w:rsid w:val="00453151"/>
    <w:rsid w:val="00453466"/>
    <w:rsid w:val="00453781"/>
    <w:rsid w:val="00453D26"/>
    <w:rsid w:val="00453DC5"/>
    <w:rsid w:val="00453E01"/>
    <w:rsid w:val="00453E94"/>
    <w:rsid w:val="00453F2D"/>
    <w:rsid w:val="00454AD9"/>
    <w:rsid w:val="00455920"/>
    <w:rsid w:val="00455CC2"/>
    <w:rsid w:val="00455D76"/>
    <w:rsid w:val="00455DFE"/>
    <w:rsid w:val="0045624E"/>
    <w:rsid w:val="00456CC4"/>
    <w:rsid w:val="00456DE0"/>
    <w:rsid w:val="00457A9C"/>
    <w:rsid w:val="00460A50"/>
    <w:rsid w:val="00460E45"/>
    <w:rsid w:val="00461287"/>
    <w:rsid w:val="00461584"/>
    <w:rsid w:val="004615E4"/>
    <w:rsid w:val="00461631"/>
    <w:rsid w:val="00461AC8"/>
    <w:rsid w:val="00461D4B"/>
    <w:rsid w:val="00461F52"/>
    <w:rsid w:val="004620FB"/>
    <w:rsid w:val="00462CBA"/>
    <w:rsid w:val="00463392"/>
    <w:rsid w:val="004633C0"/>
    <w:rsid w:val="00463C0E"/>
    <w:rsid w:val="00463C17"/>
    <w:rsid w:val="00463C42"/>
    <w:rsid w:val="00464161"/>
    <w:rsid w:val="004645D3"/>
    <w:rsid w:val="00464CC4"/>
    <w:rsid w:val="00464D32"/>
    <w:rsid w:val="00464DD8"/>
    <w:rsid w:val="00464F9E"/>
    <w:rsid w:val="00465124"/>
    <w:rsid w:val="0046613A"/>
    <w:rsid w:val="0046614B"/>
    <w:rsid w:val="00466640"/>
    <w:rsid w:val="004668E1"/>
    <w:rsid w:val="00466958"/>
    <w:rsid w:val="00466A5C"/>
    <w:rsid w:val="00466B54"/>
    <w:rsid w:val="004673F3"/>
    <w:rsid w:val="0046743A"/>
    <w:rsid w:val="00467754"/>
    <w:rsid w:val="0046776D"/>
    <w:rsid w:val="00467801"/>
    <w:rsid w:val="00467CF8"/>
    <w:rsid w:val="0047053D"/>
    <w:rsid w:val="00470644"/>
    <w:rsid w:val="004713BB"/>
    <w:rsid w:val="0047240D"/>
    <w:rsid w:val="00472411"/>
    <w:rsid w:val="0047279E"/>
    <w:rsid w:val="0047285E"/>
    <w:rsid w:val="00472881"/>
    <w:rsid w:val="00473398"/>
    <w:rsid w:val="00473521"/>
    <w:rsid w:val="00474DFB"/>
    <w:rsid w:val="00474F5B"/>
    <w:rsid w:val="004758DF"/>
    <w:rsid w:val="00476213"/>
    <w:rsid w:val="00476256"/>
    <w:rsid w:val="004763AC"/>
    <w:rsid w:val="0047661E"/>
    <w:rsid w:val="0047710E"/>
    <w:rsid w:val="004776DF"/>
    <w:rsid w:val="00477700"/>
    <w:rsid w:val="004778BF"/>
    <w:rsid w:val="00480A31"/>
    <w:rsid w:val="00480B28"/>
    <w:rsid w:val="00480FD9"/>
    <w:rsid w:val="00482589"/>
    <w:rsid w:val="0048275E"/>
    <w:rsid w:val="0048323E"/>
    <w:rsid w:val="004832A5"/>
    <w:rsid w:val="004841ED"/>
    <w:rsid w:val="004848AB"/>
    <w:rsid w:val="00484B61"/>
    <w:rsid w:val="00484E5B"/>
    <w:rsid w:val="00484E9D"/>
    <w:rsid w:val="00484EC6"/>
    <w:rsid w:val="00485194"/>
    <w:rsid w:val="00485214"/>
    <w:rsid w:val="004855D8"/>
    <w:rsid w:val="00485E57"/>
    <w:rsid w:val="0048686A"/>
    <w:rsid w:val="00486E47"/>
    <w:rsid w:val="004870ED"/>
    <w:rsid w:val="004871BF"/>
    <w:rsid w:val="004873C1"/>
    <w:rsid w:val="00487620"/>
    <w:rsid w:val="00487AC9"/>
    <w:rsid w:val="00487F92"/>
    <w:rsid w:val="00487FA7"/>
    <w:rsid w:val="004909BE"/>
    <w:rsid w:val="00490E7B"/>
    <w:rsid w:val="00490FA9"/>
    <w:rsid w:val="00491635"/>
    <w:rsid w:val="00491A02"/>
    <w:rsid w:val="0049219D"/>
    <w:rsid w:val="004921F6"/>
    <w:rsid w:val="004923C9"/>
    <w:rsid w:val="00492577"/>
    <w:rsid w:val="004936E7"/>
    <w:rsid w:val="00493E7C"/>
    <w:rsid w:val="00493FB7"/>
    <w:rsid w:val="004943CC"/>
    <w:rsid w:val="00494694"/>
    <w:rsid w:val="0049497D"/>
    <w:rsid w:val="00495B80"/>
    <w:rsid w:val="00496809"/>
    <w:rsid w:val="0049693F"/>
    <w:rsid w:val="00497327"/>
    <w:rsid w:val="00497552"/>
    <w:rsid w:val="00497699"/>
    <w:rsid w:val="00497790"/>
    <w:rsid w:val="00497A10"/>
    <w:rsid w:val="00497E34"/>
    <w:rsid w:val="00497E42"/>
    <w:rsid w:val="004A0170"/>
    <w:rsid w:val="004A0728"/>
    <w:rsid w:val="004A0AFB"/>
    <w:rsid w:val="004A0BB6"/>
    <w:rsid w:val="004A0F49"/>
    <w:rsid w:val="004A197D"/>
    <w:rsid w:val="004A1CD4"/>
    <w:rsid w:val="004A1D86"/>
    <w:rsid w:val="004A2535"/>
    <w:rsid w:val="004A27E4"/>
    <w:rsid w:val="004A2A05"/>
    <w:rsid w:val="004A2C21"/>
    <w:rsid w:val="004A31F5"/>
    <w:rsid w:val="004A379C"/>
    <w:rsid w:val="004A38C9"/>
    <w:rsid w:val="004A4363"/>
    <w:rsid w:val="004A50E2"/>
    <w:rsid w:val="004A558A"/>
    <w:rsid w:val="004A63A4"/>
    <w:rsid w:val="004A6788"/>
    <w:rsid w:val="004A6B13"/>
    <w:rsid w:val="004A714F"/>
    <w:rsid w:val="004A73F1"/>
    <w:rsid w:val="004A758D"/>
    <w:rsid w:val="004A775D"/>
    <w:rsid w:val="004A7AA8"/>
    <w:rsid w:val="004B047F"/>
    <w:rsid w:val="004B0508"/>
    <w:rsid w:val="004B07B6"/>
    <w:rsid w:val="004B07EB"/>
    <w:rsid w:val="004B0B97"/>
    <w:rsid w:val="004B0EE0"/>
    <w:rsid w:val="004B1831"/>
    <w:rsid w:val="004B18D0"/>
    <w:rsid w:val="004B1C62"/>
    <w:rsid w:val="004B22E3"/>
    <w:rsid w:val="004B279B"/>
    <w:rsid w:val="004B28C9"/>
    <w:rsid w:val="004B2B94"/>
    <w:rsid w:val="004B310C"/>
    <w:rsid w:val="004B3AE1"/>
    <w:rsid w:val="004B3DEB"/>
    <w:rsid w:val="004B4231"/>
    <w:rsid w:val="004B46F4"/>
    <w:rsid w:val="004B4938"/>
    <w:rsid w:val="004B4995"/>
    <w:rsid w:val="004B4E09"/>
    <w:rsid w:val="004B589A"/>
    <w:rsid w:val="004B6C16"/>
    <w:rsid w:val="004B70D6"/>
    <w:rsid w:val="004B7239"/>
    <w:rsid w:val="004B7AE5"/>
    <w:rsid w:val="004B7B59"/>
    <w:rsid w:val="004C020E"/>
    <w:rsid w:val="004C027E"/>
    <w:rsid w:val="004C1249"/>
    <w:rsid w:val="004C14B2"/>
    <w:rsid w:val="004C17CE"/>
    <w:rsid w:val="004C203B"/>
    <w:rsid w:val="004C2472"/>
    <w:rsid w:val="004C2C8F"/>
    <w:rsid w:val="004C2D9C"/>
    <w:rsid w:val="004C3A53"/>
    <w:rsid w:val="004C494D"/>
    <w:rsid w:val="004C4BAD"/>
    <w:rsid w:val="004C552F"/>
    <w:rsid w:val="004C5890"/>
    <w:rsid w:val="004C6808"/>
    <w:rsid w:val="004C72A3"/>
    <w:rsid w:val="004C793A"/>
    <w:rsid w:val="004C79F2"/>
    <w:rsid w:val="004C7C8E"/>
    <w:rsid w:val="004C7E21"/>
    <w:rsid w:val="004C7FDF"/>
    <w:rsid w:val="004D10F1"/>
    <w:rsid w:val="004D147F"/>
    <w:rsid w:val="004D1943"/>
    <w:rsid w:val="004D1C34"/>
    <w:rsid w:val="004D213B"/>
    <w:rsid w:val="004D2923"/>
    <w:rsid w:val="004D2BA3"/>
    <w:rsid w:val="004D2C06"/>
    <w:rsid w:val="004D301E"/>
    <w:rsid w:val="004D351E"/>
    <w:rsid w:val="004D38FB"/>
    <w:rsid w:val="004D3D38"/>
    <w:rsid w:val="004D3E0C"/>
    <w:rsid w:val="004D3E64"/>
    <w:rsid w:val="004D3FAC"/>
    <w:rsid w:val="004D413F"/>
    <w:rsid w:val="004D44D4"/>
    <w:rsid w:val="004D45E0"/>
    <w:rsid w:val="004D4740"/>
    <w:rsid w:val="004D48EA"/>
    <w:rsid w:val="004D58D4"/>
    <w:rsid w:val="004D61E4"/>
    <w:rsid w:val="004D64B6"/>
    <w:rsid w:val="004D704C"/>
    <w:rsid w:val="004D710C"/>
    <w:rsid w:val="004D77F6"/>
    <w:rsid w:val="004D7916"/>
    <w:rsid w:val="004E043D"/>
    <w:rsid w:val="004E0860"/>
    <w:rsid w:val="004E09F3"/>
    <w:rsid w:val="004E143D"/>
    <w:rsid w:val="004E155B"/>
    <w:rsid w:val="004E1608"/>
    <w:rsid w:val="004E1916"/>
    <w:rsid w:val="004E19F6"/>
    <w:rsid w:val="004E31B6"/>
    <w:rsid w:val="004E3CE2"/>
    <w:rsid w:val="004E3DFC"/>
    <w:rsid w:val="004E446F"/>
    <w:rsid w:val="004E4749"/>
    <w:rsid w:val="004E4819"/>
    <w:rsid w:val="004E48DB"/>
    <w:rsid w:val="004E501D"/>
    <w:rsid w:val="004E531D"/>
    <w:rsid w:val="004E5BA0"/>
    <w:rsid w:val="004E6329"/>
    <w:rsid w:val="004E65EB"/>
    <w:rsid w:val="004E698C"/>
    <w:rsid w:val="004E6F3B"/>
    <w:rsid w:val="004E738D"/>
    <w:rsid w:val="004E7771"/>
    <w:rsid w:val="004E7C96"/>
    <w:rsid w:val="004E7ED8"/>
    <w:rsid w:val="004F0065"/>
    <w:rsid w:val="004F095B"/>
    <w:rsid w:val="004F1009"/>
    <w:rsid w:val="004F10FA"/>
    <w:rsid w:val="004F13EF"/>
    <w:rsid w:val="004F1CC2"/>
    <w:rsid w:val="004F1EA7"/>
    <w:rsid w:val="004F2020"/>
    <w:rsid w:val="004F33AA"/>
    <w:rsid w:val="004F3EFD"/>
    <w:rsid w:val="004F4147"/>
    <w:rsid w:val="004F4243"/>
    <w:rsid w:val="004F4577"/>
    <w:rsid w:val="004F45F6"/>
    <w:rsid w:val="004F4773"/>
    <w:rsid w:val="004F48FF"/>
    <w:rsid w:val="004F53A9"/>
    <w:rsid w:val="004F5AA5"/>
    <w:rsid w:val="004F5CC1"/>
    <w:rsid w:val="004F5DD8"/>
    <w:rsid w:val="004F6533"/>
    <w:rsid w:val="004F65F6"/>
    <w:rsid w:val="004F6C85"/>
    <w:rsid w:val="004F7097"/>
    <w:rsid w:val="004F7E2A"/>
    <w:rsid w:val="005002D5"/>
    <w:rsid w:val="00500765"/>
    <w:rsid w:val="005010BB"/>
    <w:rsid w:val="005014B5"/>
    <w:rsid w:val="0050157E"/>
    <w:rsid w:val="005017D7"/>
    <w:rsid w:val="005018ED"/>
    <w:rsid w:val="005027DE"/>
    <w:rsid w:val="00502EED"/>
    <w:rsid w:val="0050490C"/>
    <w:rsid w:val="00504C51"/>
    <w:rsid w:val="00504E2B"/>
    <w:rsid w:val="005054F6"/>
    <w:rsid w:val="005056D3"/>
    <w:rsid w:val="00505A70"/>
    <w:rsid w:val="00505B62"/>
    <w:rsid w:val="00505BAA"/>
    <w:rsid w:val="00505BB6"/>
    <w:rsid w:val="00506BFE"/>
    <w:rsid w:val="00506EFC"/>
    <w:rsid w:val="0050704F"/>
    <w:rsid w:val="00507423"/>
    <w:rsid w:val="005074C9"/>
    <w:rsid w:val="005077BC"/>
    <w:rsid w:val="00507883"/>
    <w:rsid w:val="00507A76"/>
    <w:rsid w:val="00507B02"/>
    <w:rsid w:val="00510003"/>
    <w:rsid w:val="00510941"/>
    <w:rsid w:val="00511215"/>
    <w:rsid w:val="005118FE"/>
    <w:rsid w:val="00511928"/>
    <w:rsid w:val="0051199C"/>
    <w:rsid w:val="00511CC8"/>
    <w:rsid w:val="00512A04"/>
    <w:rsid w:val="00512B6B"/>
    <w:rsid w:val="00512D4D"/>
    <w:rsid w:val="00513150"/>
    <w:rsid w:val="00513777"/>
    <w:rsid w:val="00513904"/>
    <w:rsid w:val="00513E0D"/>
    <w:rsid w:val="00513F3F"/>
    <w:rsid w:val="00514236"/>
    <w:rsid w:val="00514B12"/>
    <w:rsid w:val="00514C68"/>
    <w:rsid w:val="00514CAA"/>
    <w:rsid w:val="005150C9"/>
    <w:rsid w:val="0051677A"/>
    <w:rsid w:val="00516981"/>
    <w:rsid w:val="00517D4A"/>
    <w:rsid w:val="00520184"/>
    <w:rsid w:val="0052022B"/>
    <w:rsid w:val="00520517"/>
    <w:rsid w:val="005207C7"/>
    <w:rsid w:val="00520CC8"/>
    <w:rsid w:val="00520CD1"/>
    <w:rsid w:val="00520D0F"/>
    <w:rsid w:val="00520E23"/>
    <w:rsid w:val="0052136B"/>
    <w:rsid w:val="0052233E"/>
    <w:rsid w:val="00522961"/>
    <w:rsid w:val="00522A6D"/>
    <w:rsid w:val="005234AF"/>
    <w:rsid w:val="0052434D"/>
    <w:rsid w:val="00524A57"/>
    <w:rsid w:val="00524DBB"/>
    <w:rsid w:val="005253CF"/>
    <w:rsid w:val="00525495"/>
    <w:rsid w:val="005256D3"/>
    <w:rsid w:val="0052585E"/>
    <w:rsid w:val="005258F2"/>
    <w:rsid w:val="00525CD7"/>
    <w:rsid w:val="005267A2"/>
    <w:rsid w:val="00526B5E"/>
    <w:rsid w:val="00526C33"/>
    <w:rsid w:val="00527E07"/>
    <w:rsid w:val="00527EC2"/>
    <w:rsid w:val="005306C2"/>
    <w:rsid w:val="00530726"/>
    <w:rsid w:val="0053073B"/>
    <w:rsid w:val="00531328"/>
    <w:rsid w:val="00531348"/>
    <w:rsid w:val="00531AFC"/>
    <w:rsid w:val="00531B57"/>
    <w:rsid w:val="0053200B"/>
    <w:rsid w:val="00532987"/>
    <w:rsid w:val="00533077"/>
    <w:rsid w:val="005336F7"/>
    <w:rsid w:val="00533863"/>
    <w:rsid w:val="005338CA"/>
    <w:rsid w:val="005338E3"/>
    <w:rsid w:val="00534398"/>
    <w:rsid w:val="005350EC"/>
    <w:rsid w:val="0053564A"/>
    <w:rsid w:val="00536267"/>
    <w:rsid w:val="00536391"/>
    <w:rsid w:val="0053647F"/>
    <w:rsid w:val="00536ADE"/>
    <w:rsid w:val="00536C57"/>
    <w:rsid w:val="00536ECF"/>
    <w:rsid w:val="005371EA"/>
    <w:rsid w:val="0053727C"/>
    <w:rsid w:val="005403D8"/>
    <w:rsid w:val="005406C9"/>
    <w:rsid w:val="00540D4F"/>
    <w:rsid w:val="00540EAB"/>
    <w:rsid w:val="00540F19"/>
    <w:rsid w:val="00541072"/>
    <w:rsid w:val="0054129C"/>
    <w:rsid w:val="00541F9C"/>
    <w:rsid w:val="005425A2"/>
    <w:rsid w:val="00542920"/>
    <w:rsid w:val="00542A38"/>
    <w:rsid w:val="00542AA9"/>
    <w:rsid w:val="00542C76"/>
    <w:rsid w:val="005431C0"/>
    <w:rsid w:val="005431F3"/>
    <w:rsid w:val="005438B1"/>
    <w:rsid w:val="0054449D"/>
    <w:rsid w:val="0054507A"/>
    <w:rsid w:val="00545130"/>
    <w:rsid w:val="0054515B"/>
    <w:rsid w:val="00545164"/>
    <w:rsid w:val="00545979"/>
    <w:rsid w:val="0054606F"/>
    <w:rsid w:val="0054623C"/>
    <w:rsid w:val="00546DE9"/>
    <w:rsid w:val="00547A63"/>
    <w:rsid w:val="00547B33"/>
    <w:rsid w:val="00547FAC"/>
    <w:rsid w:val="00550181"/>
    <w:rsid w:val="005502CF"/>
    <w:rsid w:val="00550ED6"/>
    <w:rsid w:val="0055120B"/>
    <w:rsid w:val="00551481"/>
    <w:rsid w:val="00551626"/>
    <w:rsid w:val="00553818"/>
    <w:rsid w:val="00553A6C"/>
    <w:rsid w:val="00553C3F"/>
    <w:rsid w:val="00553CF8"/>
    <w:rsid w:val="00553EFF"/>
    <w:rsid w:val="005541E9"/>
    <w:rsid w:val="005546FA"/>
    <w:rsid w:val="00555202"/>
    <w:rsid w:val="005568B9"/>
    <w:rsid w:val="00556B9D"/>
    <w:rsid w:val="00556BC8"/>
    <w:rsid w:val="00557298"/>
    <w:rsid w:val="005572B1"/>
    <w:rsid w:val="00557A7C"/>
    <w:rsid w:val="00557AA0"/>
    <w:rsid w:val="00560217"/>
    <w:rsid w:val="00560B8B"/>
    <w:rsid w:val="00560F75"/>
    <w:rsid w:val="00561EBA"/>
    <w:rsid w:val="005634DF"/>
    <w:rsid w:val="005636B8"/>
    <w:rsid w:val="005637B2"/>
    <w:rsid w:val="005638DF"/>
    <w:rsid w:val="005641D4"/>
    <w:rsid w:val="00564E22"/>
    <w:rsid w:val="005652B9"/>
    <w:rsid w:val="0056548B"/>
    <w:rsid w:val="0056579D"/>
    <w:rsid w:val="00565A83"/>
    <w:rsid w:val="005665B8"/>
    <w:rsid w:val="00567020"/>
    <w:rsid w:val="005676D4"/>
    <w:rsid w:val="0056772E"/>
    <w:rsid w:val="005701E8"/>
    <w:rsid w:val="0057057A"/>
    <w:rsid w:val="005709D5"/>
    <w:rsid w:val="00571937"/>
    <w:rsid w:val="005721A6"/>
    <w:rsid w:val="0057387C"/>
    <w:rsid w:val="00573A1F"/>
    <w:rsid w:val="005741AE"/>
    <w:rsid w:val="00574277"/>
    <w:rsid w:val="005743AF"/>
    <w:rsid w:val="00574819"/>
    <w:rsid w:val="00574C17"/>
    <w:rsid w:val="00574E39"/>
    <w:rsid w:val="0057537D"/>
    <w:rsid w:val="005753CF"/>
    <w:rsid w:val="00575B89"/>
    <w:rsid w:val="00575FD4"/>
    <w:rsid w:val="00576319"/>
    <w:rsid w:val="00576C1F"/>
    <w:rsid w:val="00576C2E"/>
    <w:rsid w:val="005770BF"/>
    <w:rsid w:val="00577717"/>
    <w:rsid w:val="00580009"/>
    <w:rsid w:val="005804BA"/>
    <w:rsid w:val="005806D3"/>
    <w:rsid w:val="00580906"/>
    <w:rsid w:val="00581BE3"/>
    <w:rsid w:val="0058201C"/>
    <w:rsid w:val="00582037"/>
    <w:rsid w:val="005824B2"/>
    <w:rsid w:val="00582A9A"/>
    <w:rsid w:val="00582D69"/>
    <w:rsid w:val="005831A1"/>
    <w:rsid w:val="005832AA"/>
    <w:rsid w:val="0058371E"/>
    <w:rsid w:val="005839A8"/>
    <w:rsid w:val="00583F4A"/>
    <w:rsid w:val="005840AD"/>
    <w:rsid w:val="0058412C"/>
    <w:rsid w:val="005845CE"/>
    <w:rsid w:val="005845E0"/>
    <w:rsid w:val="00584A4B"/>
    <w:rsid w:val="00584AC6"/>
    <w:rsid w:val="00585A53"/>
    <w:rsid w:val="00586200"/>
    <w:rsid w:val="0058667D"/>
    <w:rsid w:val="005872BA"/>
    <w:rsid w:val="00587502"/>
    <w:rsid w:val="0059067C"/>
    <w:rsid w:val="005908F2"/>
    <w:rsid w:val="00590A96"/>
    <w:rsid w:val="00590E29"/>
    <w:rsid w:val="00591DE0"/>
    <w:rsid w:val="00592181"/>
    <w:rsid w:val="0059230A"/>
    <w:rsid w:val="0059266F"/>
    <w:rsid w:val="00592D72"/>
    <w:rsid w:val="00592F7F"/>
    <w:rsid w:val="00592FCA"/>
    <w:rsid w:val="00593644"/>
    <w:rsid w:val="005936B1"/>
    <w:rsid w:val="0059385F"/>
    <w:rsid w:val="00594939"/>
    <w:rsid w:val="00594C83"/>
    <w:rsid w:val="0059522C"/>
    <w:rsid w:val="00595482"/>
    <w:rsid w:val="00595761"/>
    <w:rsid w:val="005969E8"/>
    <w:rsid w:val="00596F02"/>
    <w:rsid w:val="00597057"/>
    <w:rsid w:val="00597194"/>
    <w:rsid w:val="00597231"/>
    <w:rsid w:val="00597C37"/>
    <w:rsid w:val="005A16C0"/>
    <w:rsid w:val="005A17FC"/>
    <w:rsid w:val="005A1EDC"/>
    <w:rsid w:val="005A2044"/>
    <w:rsid w:val="005A2676"/>
    <w:rsid w:val="005A2B32"/>
    <w:rsid w:val="005A2E28"/>
    <w:rsid w:val="005A308B"/>
    <w:rsid w:val="005A3D87"/>
    <w:rsid w:val="005A426A"/>
    <w:rsid w:val="005A4354"/>
    <w:rsid w:val="005A439B"/>
    <w:rsid w:val="005A491D"/>
    <w:rsid w:val="005A4A45"/>
    <w:rsid w:val="005A4B0E"/>
    <w:rsid w:val="005A5161"/>
    <w:rsid w:val="005A5919"/>
    <w:rsid w:val="005A5BF6"/>
    <w:rsid w:val="005A5D49"/>
    <w:rsid w:val="005A5EA7"/>
    <w:rsid w:val="005A69FB"/>
    <w:rsid w:val="005A6BC9"/>
    <w:rsid w:val="005A70F9"/>
    <w:rsid w:val="005A7AA4"/>
    <w:rsid w:val="005B01F3"/>
    <w:rsid w:val="005B059E"/>
    <w:rsid w:val="005B0792"/>
    <w:rsid w:val="005B0B55"/>
    <w:rsid w:val="005B0B9D"/>
    <w:rsid w:val="005B0E32"/>
    <w:rsid w:val="005B1742"/>
    <w:rsid w:val="005B179B"/>
    <w:rsid w:val="005B1BD0"/>
    <w:rsid w:val="005B1DF5"/>
    <w:rsid w:val="005B200C"/>
    <w:rsid w:val="005B28E4"/>
    <w:rsid w:val="005B3192"/>
    <w:rsid w:val="005B38F3"/>
    <w:rsid w:val="005B3AFB"/>
    <w:rsid w:val="005B3E71"/>
    <w:rsid w:val="005B4122"/>
    <w:rsid w:val="005B422D"/>
    <w:rsid w:val="005B4A8D"/>
    <w:rsid w:val="005B4D6F"/>
    <w:rsid w:val="005B504F"/>
    <w:rsid w:val="005B5441"/>
    <w:rsid w:val="005B63E7"/>
    <w:rsid w:val="005B663F"/>
    <w:rsid w:val="005B6A62"/>
    <w:rsid w:val="005B6B2E"/>
    <w:rsid w:val="005B6DA4"/>
    <w:rsid w:val="005B6E3D"/>
    <w:rsid w:val="005B6E69"/>
    <w:rsid w:val="005B7499"/>
    <w:rsid w:val="005B78BC"/>
    <w:rsid w:val="005B7C1B"/>
    <w:rsid w:val="005B7FB5"/>
    <w:rsid w:val="005C04F6"/>
    <w:rsid w:val="005C0618"/>
    <w:rsid w:val="005C0851"/>
    <w:rsid w:val="005C100B"/>
    <w:rsid w:val="005C1305"/>
    <w:rsid w:val="005C1480"/>
    <w:rsid w:val="005C1712"/>
    <w:rsid w:val="005C1E22"/>
    <w:rsid w:val="005C1F9E"/>
    <w:rsid w:val="005C215D"/>
    <w:rsid w:val="005C2490"/>
    <w:rsid w:val="005C2795"/>
    <w:rsid w:val="005C27F2"/>
    <w:rsid w:val="005C2874"/>
    <w:rsid w:val="005C30CE"/>
    <w:rsid w:val="005C3121"/>
    <w:rsid w:val="005C3301"/>
    <w:rsid w:val="005C33F0"/>
    <w:rsid w:val="005C3590"/>
    <w:rsid w:val="005C38E4"/>
    <w:rsid w:val="005C49FC"/>
    <w:rsid w:val="005C50B0"/>
    <w:rsid w:val="005C5320"/>
    <w:rsid w:val="005C55CB"/>
    <w:rsid w:val="005C5B8E"/>
    <w:rsid w:val="005C5CF1"/>
    <w:rsid w:val="005C613A"/>
    <w:rsid w:val="005C6593"/>
    <w:rsid w:val="005C6682"/>
    <w:rsid w:val="005C6D20"/>
    <w:rsid w:val="005C6FD3"/>
    <w:rsid w:val="005C72FC"/>
    <w:rsid w:val="005C76C9"/>
    <w:rsid w:val="005C7D44"/>
    <w:rsid w:val="005C7E78"/>
    <w:rsid w:val="005D111E"/>
    <w:rsid w:val="005D180A"/>
    <w:rsid w:val="005D1B49"/>
    <w:rsid w:val="005D1F07"/>
    <w:rsid w:val="005D23E6"/>
    <w:rsid w:val="005D24AC"/>
    <w:rsid w:val="005D2711"/>
    <w:rsid w:val="005D27DE"/>
    <w:rsid w:val="005D28BA"/>
    <w:rsid w:val="005D2BB3"/>
    <w:rsid w:val="005D2C93"/>
    <w:rsid w:val="005D2D57"/>
    <w:rsid w:val="005D31C6"/>
    <w:rsid w:val="005D3728"/>
    <w:rsid w:val="005D37F9"/>
    <w:rsid w:val="005D3E5A"/>
    <w:rsid w:val="005D405A"/>
    <w:rsid w:val="005D475B"/>
    <w:rsid w:val="005D48BD"/>
    <w:rsid w:val="005D5303"/>
    <w:rsid w:val="005D5AA2"/>
    <w:rsid w:val="005D60E2"/>
    <w:rsid w:val="005D6817"/>
    <w:rsid w:val="005D6BC7"/>
    <w:rsid w:val="005D6D18"/>
    <w:rsid w:val="005D6F35"/>
    <w:rsid w:val="005D7148"/>
    <w:rsid w:val="005D7563"/>
    <w:rsid w:val="005D75B9"/>
    <w:rsid w:val="005E09C2"/>
    <w:rsid w:val="005E0D42"/>
    <w:rsid w:val="005E0D89"/>
    <w:rsid w:val="005E13E4"/>
    <w:rsid w:val="005E14E5"/>
    <w:rsid w:val="005E1B42"/>
    <w:rsid w:val="005E2E7C"/>
    <w:rsid w:val="005E341B"/>
    <w:rsid w:val="005E3802"/>
    <w:rsid w:val="005E42E3"/>
    <w:rsid w:val="005E55E6"/>
    <w:rsid w:val="005E5C42"/>
    <w:rsid w:val="005E7829"/>
    <w:rsid w:val="005E78F2"/>
    <w:rsid w:val="005E7B67"/>
    <w:rsid w:val="005F02AF"/>
    <w:rsid w:val="005F05FC"/>
    <w:rsid w:val="005F06BE"/>
    <w:rsid w:val="005F089F"/>
    <w:rsid w:val="005F102B"/>
    <w:rsid w:val="005F17AF"/>
    <w:rsid w:val="005F1C36"/>
    <w:rsid w:val="005F1E87"/>
    <w:rsid w:val="005F29DC"/>
    <w:rsid w:val="005F2A19"/>
    <w:rsid w:val="005F2AF2"/>
    <w:rsid w:val="005F2F77"/>
    <w:rsid w:val="005F3894"/>
    <w:rsid w:val="005F397C"/>
    <w:rsid w:val="005F3DB3"/>
    <w:rsid w:val="005F4A79"/>
    <w:rsid w:val="005F4A9D"/>
    <w:rsid w:val="005F4AB4"/>
    <w:rsid w:val="005F4AEC"/>
    <w:rsid w:val="005F562D"/>
    <w:rsid w:val="005F5B36"/>
    <w:rsid w:val="005F5CDA"/>
    <w:rsid w:val="005F64A8"/>
    <w:rsid w:val="005F64CD"/>
    <w:rsid w:val="005F6C8E"/>
    <w:rsid w:val="005F6DEA"/>
    <w:rsid w:val="005F6E69"/>
    <w:rsid w:val="005F70A9"/>
    <w:rsid w:val="005F733E"/>
    <w:rsid w:val="005F795F"/>
    <w:rsid w:val="006000A2"/>
    <w:rsid w:val="0060012E"/>
    <w:rsid w:val="006001A7"/>
    <w:rsid w:val="006007B8"/>
    <w:rsid w:val="00600DB8"/>
    <w:rsid w:val="00600E4B"/>
    <w:rsid w:val="0060124A"/>
    <w:rsid w:val="00601E2D"/>
    <w:rsid w:val="006021C8"/>
    <w:rsid w:val="006022DD"/>
    <w:rsid w:val="006023DF"/>
    <w:rsid w:val="00602A56"/>
    <w:rsid w:val="00602E9C"/>
    <w:rsid w:val="00603632"/>
    <w:rsid w:val="00603959"/>
    <w:rsid w:val="00603CD2"/>
    <w:rsid w:val="00604AB0"/>
    <w:rsid w:val="00604E02"/>
    <w:rsid w:val="00605339"/>
    <w:rsid w:val="006055F5"/>
    <w:rsid w:val="00605A81"/>
    <w:rsid w:val="00607496"/>
    <w:rsid w:val="0061072F"/>
    <w:rsid w:val="006107A3"/>
    <w:rsid w:val="00610E2C"/>
    <w:rsid w:val="0061161C"/>
    <w:rsid w:val="00611918"/>
    <w:rsid w:val="00611B3E"/>
    <w:rsid w:val="00612301"/>
    <w:rsid w:val="0061257D"/>
    <w:rsid w:val="0061336B"/>
    <w:rsid w:val="0061336E"/>
    <w:rsid w:val="006133BF"/>
    <w:rsid w:val="00613754"/>
    <w:rsid w:val="00613B60"/>
    <w:rsid w:val="00614548"/>
    <w:rsid w:val="00614ACE"/>
    <w:rsid w:val="00614CE9"/>
    <w:rsid w:val="00614DA3"/>
    <w:rsid w:val="00615BD4"/>
    <w:rsid w:val="00615CF7"/>
    <w:rsid w:val="00615DAE"/>
    <w:rsid w:val="0061699E"/>
    <w:rsid w:val="00616F41"/>
    <w:rsid w:val="00617A81"/>
    <w:rsid w:val="00620445"/>
    <w:rsid w:val="006204BB"/>
    <w:rsid w:val="00621015"/>
    <w:rsid w:val="00621073"/>
    <w:rsid w:val="00621102"/>
    <w:rsid w:val="006214E0"/>
    <w:rsid w:val="006218C5"/>
    <w:rsid w:val="00622448"/>
    <w:rsid w:val="00622557"/>
    <w:rsid w:val="00622B23"/>
    <w:rsid w:val="00623129"/>
    <w:rsid w:val="00623982"/>
    <w:rsid w:val="00623A49"/>
    <w:rsid w:val="0062456F"/>
    <w:rsid w:val="00624781"/>
    <w:rsid w:val="00625203"/>
    <w:rsid w:val="00625511"/>
    <w:rsid w:val="00625925"/>
    <w:rsid w:val="00625BE7"/>
    <w:rsid w:val="006264E0"/>
    <w:rsid w:val="00626CA7"/>
    <w:rsid w:val="0062713A"/>
    <w:rsid w:val="0062716E"/>
    <w:rsid w:val="006274C8"/>
    <w:rsid w:val="006277D9"/>
    <w:rsid w:val="00627B4C"/>
    <w:rsid w:val="00630BD0"/>
    <w:rsid w:val="00630EBA"/>
    <w:rsid w:val="006311CA"/>
    <w:rsid w:val="006315A0"/>
    <w:rsid w:val="0063168C"/>
    <w:rsid w:val="006322F3"/>
    <w:rsid w:val="00632360"/>
    <w:rsid w:val="00632FF6"/>
    <w:rsid w:val="0063309F"/>
    <w:rsid w:val="006350C3"/>
    <w:rsid w:val="006351CB"/>
    <w:rsid w:val="006357FC"/>
    <w:rsid w:val="00635FFD"/>
    <w:rsid w:val="00636016"/>
    <w:rsid w:val="006361F8"/>
    <w:rsid w:val="00636313"/>
    <w:rsid w:val="00636D2C"/>
    <w:rsid w:val="00637036"/>
    <w:rsid w:val="006371AA"/>
    <w:rsid w:val="006371BA"/>
    <w:rsid w:val="006379BA"/>
    <w:rsid w:val="006379F8"/>
    <w:rsid w:val="00637A7D"/>
    <w:rsid w:val="00637D9A"/>
    <w:rsid w:val="00637E1D"/>
    <w:rsid w:val="00637EC5"/>
    <w:rsid w:val="00637FB3"/>
    <w:rsid w:val="006400B4"/>
    <w:rsid w:val="006402A9"/>
    <w:rsid w:val="006407C8"/>
    <w:rsid w:val="00640E31"/>
    <w:rsid w:val="00641F96"/>
    <w:rsid w:val="00642041"/>
    <w:rsid w:val="006420DE"/>
    <w:rsid w:val="006422B3"/>
    <w:rsid w:val="00642BFC"/>
    <w:rsid w:val="0064300B"/>
    <w:rsid w:val="00643A7C"/>
    <w:rsid w:val="00643F51"/>
    <w:rsid w:val="00644018"/>
    <w:rsid w:val="00644357"/>
    <w:rsid w:val="006445FD"/>
    <w:rsid w:val="00644719"/>
    <w:rsid w:val="00644E72"/>
    <w:rsid w:val="006453EE"/>
    <w:rsid w:val="00645477"/>
    <w:rsid w:val="006462C3"/>
    <w:rsid w:val="006466D0"/>
    <w:rsid w:val="00646F54"/>
    <w:rsid w:val="0064732E"/>
    <w:rsid w:val="00647456"/>
    <w:rsid w:val="00647519"/>
    <w:rsid w:val="006476DF"/>
    <w:rsid w:val="00647B88"/>
    <w:rsid w:val="00647E7E"/>
    <w:rsid w:val="0065052E"/>
    <w:rsid w:val="0065088B"/>
    <w:rsid w:val="00650942"/>
    <w:rsid w:val="00650AFD"/>
    <w:rsid w:val="00650CA2"/>
    <w:rsid w:val="00651603"/>
    <w:rsid w:val="00652104"/>
    <w:rsid w:val="0065230F"/>
    <w:rsid w:val="00652638"/>
    <w:rsid w:val="00652E97"/>
    <w:rsid w:val="00652FC6"/>
    <w:rsid w:val="00653740"/>
    <w:rsid w:val="00653E81"/>
    <w:rsid w:val="00653F0F"/>
    <w:rsid w:val="006541C3"/>
    <w:rsid w:val="00654762"/>
    <w:rsid w:val="00654FD1"/>
    <w:rsid w:val="00655CAF"/>
    <w:rsid w:val="00656034"/>
    <w:rsid w:val="006562EC"/>
    <w:rsid w:val="00657217"/>
    <w:rsid w:val="00657397"/>
    <w:rsid w:val="0065780A"/>
    <w:rsid w:val="006578A5"/>
    <w:rsid w:val="00657AEA"/>
    <w:rsid w:val="00657BFF"/>
    <w:rsid w:val="00657DFA"/>
    <w:rsid w:val="00660094"/>
    <w:rsid w:val="0066020A"/>
    <w:rsid w:val="00660213"/>
    <w:rsid w:val="00660524"/>
    <w:rsid w:val="006605E3"/>
    <w:rsid w:val="00660B9E"/>
    <w:rsid w:val="00661164"/>
    <w:rsid w:val="0066134A"/>
    <w:rsid w:val="0066178D"/>
    <w:rsid w:val="00661B43"/>
    <w:rsid w:val="00661DB6"/>
    <w:rsid w:val="006625A3"/>
    <w:rsid w:val="00662BE7"/>
    <w:rsid w:val="006638E0"/>
    <w:rsid w:val="00663AE6"/>
    <w:rsid w:val="00664609"/>
    <w:rsid w:val="00664A35"/>
    <w:rsid w:val="006650D8"/>
    <w:rsid w:val="00665320"/>
    <w:rsid w:val="00665A67"/>
    <w:rsid w:val="00665C06"/>
    <w:rsid w:val="00666073"/>
    <w:rsid w:val="00666091"/>
    <w:rsid w:val="00666B2F"/>
    <w:rsid w:val="00666E2E"/>
    <w:rsid w:val="00667839"/>
    <w:rsid w:val="0067080A"/>
    <w:rsid w:val="00670B90"/>
    <w:rsid w:val="00670C22"/>
    <w:rsid w:val="006721E5"/>
    <w:rsid w:val="00672277"/>
    <w:rsid w:val="0067268D"/>
    <w:rsid w:val="00672855"/>
    <w:rsid w:val="00672E8D"/>
    <w:rsid w:val="00673AAE"/>
    <w:rsid w:val="00673B19"/>
    <w:rsid w:val="00674A52"/>
    <w:rsid w:val="00674B4B"/>
    <w:rsid w:val="00675165"/>
    <w:rsid w:val="00675CB8"/>
    <w:rsid w:val="006760E2"/>
    <w:rsid w:val="006768B0"/>
    <w:rsid w:val="0067690D"/>
    <w:rsid w:val="00677179"/>
    <w:rsid w:val="0067760C"/>
    <w:rsid w:val="00677D44"/>
    <w:rsid w:val="00680F5B"/>
    <w:rsid w:val="00681065"/>
    <w:rsid w:val="006810EC"/>
    <w:rsid w:val="0068118C"/>
    <w:rsid w:val="006816FC"/>
    <w:rsid w:val="00682A40"/>
    <w:rsid w:val="00682C1C"/>
    <w:rsid w:val="00683000"/>
    <w:rsid w:val="00683028"/>
    <w:rsid w:val="00683C2C"/>
    <w:rsid w:val="00683CE1"/>
    <w:rsid w:val="0068439E"/>
    <w:rsid w:val="00684B38"/>
    <w:rsid w:val="00684EC5"/>
    <w:rsid w:val="00685F65"/>
    <w:rsid w:val="006865CE"/>
    <w:rsid w:val="006865E4"/>
    <w:rsid w:val="00686ED8"/>
    <w:rsid w:val="00687327"/>
    <w:rsid w:val="00687366"/>
    <w:rsid w:val="006874FD"/>
    <w:rsid w:val="00687668"/>
    <w:rsid w:val="00687C7A"/>
    <w:rsid w:val="006909C3"/>
    <w:rsid w:val="006915B4"/>
    <w:rsid w:val="00691685"/>
    <w:rsid w:val="006919F0"/>
    <w:rsid w:val="00691D3B"/>
    <w:rsid w:val="006924B3"/>
    <w:rsid w:val="00693292"/>
    <w:rsid w:val="00693B37"/>
    <w:rsid w:val="00694388"/>
    <w:rsid w:val="0069450B"/>
    <w:rsid w:val="006947DF"/>
    <w:rsid w:val="0069544A"/>
    <w:rsid w:val="00695472"/>
    <w:rsid w:val="006956F3"/>
    <w:rsid w:val="006966A2"/>
    <w:rsid w:val="00696785"/>
    <w:rsid w:val="00696812"/>
    <w:rsid w:val="00696B54"/>
    <w:rsid w:val="00696E9F"/>
    <w:rsid w:val="00696F74"/>
    <w:rsid w:val="006979B1"/>
    <w:rsid w:val="00697F17"/>
    <w:rsid w:val="006A0362"/>
    <w:rsid w:val="006A071E"/>
    <w:rsid w:val="006A097C"/>
    <w:rsid w:val="006A0BEA"/>
    <w:rsid w:val="006A0F86"/>
    <w:rsid w:val="006A1040"/>
    <w:rsid w:val="006A12CF"/>
    <w:rsid w:val="006A1307"/>
    <w:rsid w:val="006A1343"/>
    <w:rsid w:val="006A15AF"/>
    <w:rsid w:val="006A16DA"/>
    <w:rsid w:val="006A1749"/>
    <w:rsid w:val="006A23B5"/>
    <w:rsid w:val="006A2943"/>
    <w:rsid w:val="006A2C7F"/>
    <w:rsid w:val="006A3073"/>
    <w:rsid w:val="006A30DC"/>
    <w:rsid w:val="006A3293"/>
    <w:rsid w:val="006A33CD"/>
    <w:rsid w:val="006A35C5"/>
    <w:rsid w:val="006A41C1"/>
    <w:rsid w:val="006A4588"/>
    <w:rsid w:val="006A4722"/>
    <w:rsid w:val="006A49DE"/>
    <w:rsid w:val="006A4E1D"/>
    <w:rsid w:val="006A534D"/>
    <w:rsid w:val="006A5534"/>
    <w:rsid w:val="006A5C2B"/>
    <w:rsid w:val="006A5CFD"/>
    <w:rsid w:val="006A5E19"/>
    <w:rsid w:val="006A60A2"/>
    <w:rsid w:val="006A6118"/>
    <w:rsid w:val="006A6B70"/>
    <w:rsid w:val="006A6D38"/>
    <w:rsid w:val="006A6FE8"/>
    <w:rsid w:val="006A6FEB"/>
    <w:rsid w:val="006A7369"/>
    <w:rsid w:val="006B003D"/>
    <w:rsid w:val="006B04C5"/>
    <w:rsid w:val="006B04DC"/>
    <w:rsid w:val="006B08A0"/>
    <w:rsid w:val="006B0A7D"/>
    <w:rsid w:val="006B0E9C"/>
    <w:rsid w:val="006B1C75"/>
    <w:rsid w:val="006B1E25"/>
    <w:rsid w:val="006B1EA8"/>
    <w:rsid w:val="006B202E"/>
    <w:rsid w:val="006B2549"/>
    <w:rsid w:val="006B26E3"/>
    <w:rsid w:val="006B2AC6"/>
    <w:rsid w:val="006B2B61"/>
    <w:rsid w:val="006B335A"/>
    <w:rsid w:val="006B38AD"/>
    <w:rsid w:val="006B38F5"/>
    <w:rsid w:val="006B3AEF"/>
    <w:rsid w:val="006B3DF5"/>
    <w:rsid w:val="006B3EE5"/>
    <w:rsid w:val="006B444C"/>
    <w:rsid w:val="006B4919"/>
    <w:rsid w:val="006B55EA"/>
    <w:rsid w:val="006B5687"/>
    <w:rsid w:val="006B5AE1"/>
    <w:rsid w:val="006B5C87"/>
    <w:rsid w:val="006B5E87"/>
    <w:rsid w:val="006B633B"/>
    <w:rsid w:val="006B68FF"/>
    <w:rsid w:val="006B6BBA"/>
    <w:rsid w:val="006B715D"/>
    <w:rsid w:val="006B7165"/>
    <w:rsid w:val="006B75C3"/>
    <w:rsid w:val="006B76A8"/>
    <w:rsid w:val="006B791F"/>
    <w:rsid w:val="006B7DF1"/>
    <w:rsid w:val="006C0041"/>
    <w:rsid w:val="006C0464"/>
    <w:rsid w:val="006C08B0"/>
    <w:rsid w:val="006C0BBE"/>
    <w:rsid w:val="006C11B7"/>
    <w:rsid w:val="006C15A6"/>
    <w:rsid w:val="006C165F"/>
    <w:rsid w:val="006C16EC"/>
    <w:rsid w:val="006C1955"/>
    <w:rsid w:val="006C1C35"/>
    <w:rsid w:val="006C1C4E"/>
    <w:rsid w:val="006C1CF4"/>
    <w:rsid w:val="006C24C6"/>
    <w:rsid w:val="006C27CA"/>
    <w:rsid w:val="006C2A6C"/>
    <w:rsid w:val="006C2B77"/>
    <w:rsid w:val="006C30E6"/>
    <w:rsid w:val="006C3522"/>
    <w:rsid w:val="006C357E"/>
    <w:rsid w:val="006C38C9"/>
    <w:rsid w:val="006C3E9C"/>
    <w:rsid w:val="006C3F88"/>
    <w:rsid w:val="006C46E9"/>
    <w:rsid w:val="006C6277"/>
    <w:rsid w:val="006C663D"/>
    <w:rsid w:val="006C6875"/>
    <w:rsid w:val="006C70C8"/>
    <w:rsid w:val="006C751C"/>
    <w:rsid w:val="006C759A"/>
    <w:rsid w:val="006C7632"/>
    <w:rsid w:val="006C79B5"/>
    <w:rsid w:val="006C7C6A"/>
    <w:rsid w:val="006C7F47"/>
    <w:rsid w:val="006D032D"/>
    <w:rsid w:val="006D0726"/>
    <w:rsid w:val="006D082B"/>
    <w:rsid w:val="006D10E8"/>
    <w:rsid w:val="006D129D"/>
    <w:rsid w:val="006D1459"/>
    <w:rsid w:val="006D145B"/>
    <w:rsid w:val="006D157C"/>
    <w:rsid w:val="006D1CCB"/>
    <w:rsid w:val="006D1D3F"/>
    <w:rsid w:val="006D1EAB"/>
    <w:rsid w:val="006D24B2"/>
    <w:rsid w:val="006D256A"/>
    <w:rsid w:val="006D2DCD"/>
    <w:rsid w:val="006D2FD0"/>
    <w:rsid w:val="006D3065"/>
    <w:rsid w:val="006D353C"/>
    <w:rsid w:val="006D38CA"/>
    <w:rsid w:val="006D45D4"/>
    <w:rsid w:val="006D494A"/>
    <w:rsid w:val="006D4F4E"/>
    <w:rsid w:val="006D56A1"/>
    <w:rsid w:val="006D5CB8"/>
    <w:rsid w:val="006D5E8C"/>
    <w:rsid w:val="006D6A25"/>
    <w:rsid w:val="006D6C50"/>
    <w:rsid w:val="006D7A87"/>
    <w:rsid w:val="006E0CBD"/>
    <w:rsid w:val="006E18E2"/>
    <w:rsid w:val="006E1CDF"/>
    <w:rsid w:val="006E27EF"/>
    <w:rsid w:val="006E2A2D"/>
    <w:rsid w:val="006E2C14"/>
    <w:rsid w:val="006E2D98"/>
    <w:rsid w:val="006E2E40"/>
    <w:rsid w:val="006E3B11"/>
    <w:rsid w:val="006E3EC5"/>
    <w:rsid w:val="006E42A8"/>
    <w:rsid w:val="006E4899"/>
    <w:rsid w:val="006E4B7A"/>
    <w:rsid w:val="006E4BE9"/>
    <w:rsid w:val="006E4E34"/>
    <w:rsid w:val="006E4E38"/>
    <w:rsid w:val="006E5927"/>
    <w:rsid w:val="006E5A59"/>
    <w:rsid w:val="006E5B75"/>
    <w:rsid w:val="006E691C"/>
    <w:rsid w:val="006E6CE7"/>
    <w:rsid w:val="006E75A4"/>
    <w:rsid w:val="006E7887"/>
    <w:rsid w:val="006E7982"/>
    <w:rsid w:val="006E7A1A"/>
    <w:rsid w:val="006E7FA7"/>
    <w:rsid w:val="006F03CF"/>
    <w:rsid w:val="006F0FDC"/>
    <w:rsid w:val="006F11BD"/>
    <w:rsid w:val="006F190B"/>
    <w:rsid w:val="006F1A3A"/>
    <w:rsid w:val="006F2996"/>
    <w:rsid w:val="006F34C5"/>
    <w:rsid w:val="006F3745"/>
    <w:rsid w:val="006F38D2"/>
    <w:rsid w:val="006F3AD3"/>
    <w:rsid w:val="006F3FDE"/>
    <w:rsid w:val="006F42D7"/>
    <w:rsid w:val="006F4326"/>
    <w:rsid w:val="006F4749"/>
    <w:rsid w:val="006F4925"/>
    <w:rsid w:val="006F4AE3"/>
    <w:rsid w:val="006F563E"/>
    <w:rsid w:val="006F5C40"/>
    <w:rsid w:val="006F5E24"/>
    <w:rsid w:val="006F6A76"/>
    <w:rsid w:val="007001BA"/>
    <w:rsid w:val="0070027E"/>
    <w:rsid w:val="007006AF"/>
    <w:rsid w:val="007006F5"/>
    <w:rsid w:val="007008FF"/>
    <w:rsid w:val="00700E3B"/>
    <w:rsid w:val="0070103A"/>
    <w:rsid w:val="0070178E"/>
    <w:rsid w:val="0070197C"/>
    <w:rsid w:val="00701F92"/>
    <w:rsid w:val="00702C6A"/>
    <w:rsid w:val="00702DE2"/>
    <w:rsid w:val="00702F10"/>
    <w:rsid w:val="0070354F"/>
    <w:rsid w:val="007036D3"/>
    <w:rsid w:val="00703A45"/>
    <w:rsid w:val="007048FC"/>
    <w:rsid w:val="00704909"/>
    <w:rsid w:val="00704B2B"/>
    <w:rsid w:val="00704D25"/>
    <w:rsid w:val="00705848"/>
    <w:rsid w:val="0070589B"/>
    <w:rsid w:val="00705AFF"/>
    <w:rsid w:val="00705EB8"/>
    <w:rsid w:val="0070618E"/>
    <w:rsid w:val="00706408"/>
    <w:rsid w:val="00707CA4"/>
    <w:rsid w:val="00707FA2"/>
    <w:rsid w:val="0071167F"/>
    <w:rsid w:val="00711A7C"/>
    <w:rsid w:val="00711F2C"/>
    <w:rsid w:val="0071304A"/>
    <w:rsid w:val="00713084"/>
    <w:rsid w:val="007137B7"/>
    <w:rsid w:val="00713803"/>
    <w:rsid w:val="007138FE"/>
    <w:rsid w:val="00713E4D"/>
    <w:rsid w:val="00714251"/>
    <w:rsid w:val="0071452A"/>
    <w:rsid w:val="00714768"/>
    <w:rsid w:val="007147E4"/>
    <w:rsid w:val="00714B94"/>
    <w:rsid w:val="00714E68"/>
    <w:rsid w:val="00714FC5"/>
    <w:rsid w:val="00715A5D"/>
    <w:rsid w:val="00715C7A"/>
    <w:rsid w:val="00716739"/>
    <w:rsid w:val="00716768"/>
    <w:rsid w:val="00716B6F"/>
    <w:rsid w:val="00716D33"/>
    <w:rsid w:val="0071753A"/>
    <w:rsid w:val="00717E79"/>
    <w:rsid w:val="0072050D"/>
    <w:rsid w:val="00720B04"/>
    <w:rsid w:val="00720FC6"/>
    <w:rsid w:val="0072133B"/>
    <w:rsid w:val="0072176C"/>
    <w:rsid w:val="0072180B"/>
    <w:rsid w:val="007218F4"/>
    <w:rsid w:val="00721965"/>
    <w:rsid w:val="00722450"/>
    <w:rsid w:val="00722658"/>
    <w:rsid w:val="00722DE9"/>
    <w:rsid w:val="007233F6"/>
    <w:rsid w:val="0072480B"/>
    <w:rsid w:val="00724DBF"/>
    <w:rsid w:val="00724F16"/>
    <w:rsid w:val="007251E6"/>
    <w:rsid w:val="0072557F"/>
    <w:rsid w:val="00725929"/>
    <w:rsid w:val="00725BEC"/>
    <w:rsid w:val="0072729E"/>
    <w:rsid w:val="00727300"/>
    <w:rsid w:val="007304FA"/>
    <w:rsid w:val="00730582"/>
    <w:rsid w:val="00730625"/>
    <w:rsid w:val="00730D7B"/>
    <w:rsid w:val="00730F15"/>
    <w:rsid w:val="007311FB"/>
    <w:rsid w:val="007318A0"/>
    <w:rsid w:val="00732BC0"/>
    <w:rsid w:val="00732F8A"/>
    <w:rsid w:val="00733E8D"/>
    <w:rsid w:val="00734109"/>
    <w:rsid w:val="0073486F"/>
    <w:rsid w:val="00734E0B"/>
    <w:rsid w:val="00735079"/>
    <w:rsid w:val="00735117"/>
    <w:rsid w:val="00735438"/>
    <w:rsid w:val="00735494"/>
    <w:rsid w:val="00735C1B"/>
    <w:rsid w:val="00735E0E"/>
    <w:rsid w:val="00735E25"/>
    <w:rsid w:val="00735E6C"/>
    <w:rsid w:val="00736628"/>
    <w:rsid w:val="00736804"/>
    <w:rsid w:val="0073683D"/>
    <w:rsid w:val="00736E98"/>
    <w:rsid w:val="0073720F"/>
    <w:rsid w:val="00737BC3"/>
    <w:rsid w:val="00737BF0"/>
    <w:rsid w:val="00737CD6"/>
    <w:rsid w:val="00741152"/>
    <w:rsid w:val="00741A05"/>
    <w:rsid w:val="00742128"/>
    <w:rsid w:val="00742230"/>
    <w:rsid w:val="007425C8"/>
    <w:rsid w:val="0074260C"/>
    <w:rsid w:val="00742664"/>
    <w:rsid w:val="007427C0"/>
    <w:rsid w:val="00742C94"/>
    <w:rsid w:val="00742CD8"/>
    <w:rsid w:val="00742D17"/>
    <w:rsid w:val="00742F22"/>
    <w:rsid w:val="007431C0"/>
    <w:rsid w:val="0074342B"/>
    <w:rsid w:val="00743714"/>
    <w:rsid w:val="007437C0"/>
    <w:rsid w:val="00743E67"/>
    <w:rsid w:val="00744430"/>
    <w:rsid w:val="0074453D"/>
    <w:rsid w:val="00744774"/>
    <w:rsid w:val="0074496C"/>
    <w:rsid w:val="007451E3"/>
    <w:rsid w:val="007453C1"/>
    <w:rsid w:val="00745855"/>
    <w:rsid w:val="00745D82"/>
    <w:rsid w:val="00745F34"/>
    <w:rsid w:val="00746913"/>
    <w:rsid w:val="00746ADD"/>
    <w:rsid w:val="00746FAE"/>
    <w:rsid w:val="0074704D"/>
    <w:rsid w:val="0074799C"/>
    <w:rsid w:val="00750282"/>
    <w:rsid w:val="00750A31"/>
    <w:rsid w:val="00751050"/>
    <w:rsid w:val="007519A2"/>
    <w:rsid w:val="00752A39"/>
    <w:rsid w:val="00752FC2"/>
    <w:rsid w:val="00753320"/>
    <w:rsid w:val="0075333B"/>
    <w:rsid w:val="00753590"/>
    <w:rsid w:val="00753B69"/>
    <w:rsid w:val="007548E0"/>
    <w:rsid w:val="00754D16"/>
    <w:rsid w:val="00754D6E"/>
    <w:rsid w:val="00755118"/>
    <w:rsid w:val="007559BE"/>
    <w:rsid w:val="00755B58"/>
    <w:rsid w:val="007569AA"/>
    <w:rsid w:val="00756C13"/>
    <w:rsid w:val="0075713E"/>
    <w:rsid w:val="00757BE0"/>
    <w:rsid w:val="00760784"/>
    <w:rsid w:val="00760BB8"/>
    <w:rsid w:val="0076313B"/>
    <w:rsid w:val="00763150"/>
    <w:rsid w:val="0076370F"/>
    <w:rsid w:val="00763E89"/>
    <w:rsid w:val="00763F06"/>
    <w:rsid w:val="007647DD"/>
    <w:rsid w:val="00764CAA"/>
    <w:rsid w:val="00764DCB"/>
    <w:rsid w:val="00764EFA"/>
    <w:rsid w:val="00764FA4"/>
    <w:rsid w:val="0076516D"/>
    <w:rsid w:val="00765A82"/>
    <w:rsid w:val="00766FA6"/>
    <w:rsid w:val="007670E2"/>
    <w:rsid w:val="00767183"/>
    <w:rsid w:val="007675F3"/>
    <w:rsid w:val="00767665"/>
    <w:rsid w:val="00767AB0"/>
    <w:rsid w:val="0077022A"/>
    <w:rsid w:val="0077058E"/>
    <w:rsid w:val="00770611"/>
    <w:rsid w:val="00770949"/>
    <w:rsid w:val="00770C5A"/>
    <w:rsid w:val="00771430"/>
    <w:rsid w:val="0077173B"/>
    <w:rsid w:val="00771E5A"/>
    <w:rsid w:val="00771EAC"/>
    <w:rsid w:val="007728EF"/>
    <w:rsid w:val="00773117"/>
    <w:rsid w:val="007731DB"/>
    <w:rsid w:val="00773237"/>
    <w:rsid w:val="007740A6"/>
    <w:rsid w:val="00774AB4"/>
    <w:rsid w:val="00774E8E"/>
    <w:rsid w:val="00775247"/>
    <w:rsid w:val="00775A1E"/>
    <w:rsid w:val="007760E1"/>
    <w:rsid w:val="0077671E"/>
    <w:rsid w:val="00776B7F"/>
    <w:rsid w:val="00776D44"/>
    <w:rsid w:val="007803D3"/>
    <w:rsid w:val="0078072E"/>
    <w:rsid w:val="00780977"/>
    <w:rsid w:val="00780B83"/>
    <w:rsid w:val="00781238"/>
    <w:rsid w:val="007813E9"/>
    <w:rsid w:val="00781BE9"/>
    <w:rsid w:val="00781D83"/>
    <w:rsid w:val="00781DCC"/>
    <w:rsid w:val="007820BD"/>
    <w:rsid w:val="00782559"/>
    <w:rsid w:val="00783160"/>
    <w:rsid w:val="00783807"/>
    <w:rsid w:val="0078482F"/>
    <w:rsid w:val="00784944"/>
    <w:rsid w:val="00784A8C"/>
    <w:rsid w:val="007853A1"/>
    <w:rsid w:val="007853F8"/>
    <w:rsid w:val="00785D17"/>
    <w:rsid w:val="007863EB"/>
    <w:rsid w:val="007868EC"/>
    <w:rsid w:val="00786920"/>
    <w:rsid w:val="00786D31"/>
    <w:rsid w:val="0078711D"/>
    <w:rsid w:val="007876C5"/>
    <w:rsid w:val="00787C95"/>
    <w:rsid w:val="00787DDA"/>
    <w:rsid w:val="00787F3F"/>
    <w:rsid w:val="00791084"/>
    <w:rsid w:val="0079122E"/>
    <w:rsid w:val="007914E5"/>
    <w:rsid w:val="00791518"/>
    <w:rsid w:val="007915B2"/>
    <w:rsid w:val="007916EC"/>
    <w:rsid w:val="00791B4F"/>
    <w:rsid w:val="007920A9"/>
    <w:rsid w:val="00792232"/>
    <w:rsid w:val="00792952"/>
    <w:rsid w:val="00792DE2"/>
    <w:rsid w:val="0079328A"/>
    <w:rsid w:val="0079336B"/>
    <w:rsid w:val="00793775"/>
    <w:rsid w:val="00794158"/>
    <w:rsid w:val="007942F5"/>
    <w:rsid w:val="007944DF"/>
    <w:rsid w:val="00794EE5"/>
    <w:rsid w:val="0079529D"/>
    <w:rsid w:val="007957A4"/>
    <w:rsid w:val="007958FC"/>
    <w:rsid w:val="00795CD4"/>
    <w:rsid w:val="00795F81"/>
    <w:rsid w:val="00796148"/>
    <w:rsid w:val="007979F7"/>
    <w:rsid w:val="00797CCB"/>
    <w:rsid w:val="00797D73"/>
    <w:rsid w:val="00797F6E"/>
    <w:rsid w:val="00797FB5"/>
    <w:rsid w:val="007A01A7"/>
    <w:rsid w:val="007A0C0F"/>
    <w:rsid w:val="007A0C22"/>
    <w:rsid w:val="007A0EBE"/>
    <w:rsid w:val="007A0F41"/>
    <w:rsid w:val="007A130E"/>
    <w:rsid w:val="007A1322"/>
    <w:rsid w:val="007A1441"/>
    <w:rsid w:val="007A2393"/>
    <w:rsid w:val="007A44F1"/>
    <w:rsid w:val="007A45CC"/>
    <w:rsid w:val="007A4962"/>
    <w:rsid w:val="007A4AD2"/>
    <w:rsid w:val="007A593B"/>
    <w:rsid w:val="007A5AC9"/>
    <w:rsid w:val="007A602D"/>
    <w:rsid w:val="007A623F"/>
    <w:rsid w:val="007A638C"/>
    <w:rsid w:val="007A66C2"/>
    <w:rsid w:val="007A7025"/>
    <w:rsid w:val="007A7616"/>
    <w:rsid w:val="007A781F"/>
    <w:rsid w:val="007A79B8"/>
    <w:rsid w:val="007A7C23"/>
    <w:rsid w:val="007A7E61"/>
    <w:rsid w:val="007A7EFD"/>
    <w:rsid w:val="007A7FB7"/>
    <w:rsid w:val="007B01FE"/>
    <w:rsid w:val="007B031C"/>
    <w:rsid w:val="007B04C0"/>
    <w:rsid w:val="007B0580"/>
    <w:rsid w:val="007B0D8C"/>
    <w:rsid w:val="007B0E2F"/>
    <w:rsid w:val="007B0E3D"/>
    <w:rsid w:val="007B12FC"/>
    <w:rsid w:val="007B1692"/>
    <w:rsid w:val="007B17E4"/>
    <w:rsid w:val="007B1A4C"/>
    <w:rsid w:val="007B1C1C"/>
    <w:rsid w:val="007B39B9"/>
    <w:rsid w:val="007B3DDE"/>
    <w:rsid w:val="007B3FF7"/>
    <w:rsid w:val="007B4061"/>
    <w:rsid w:val="007B4689"/>
    <w:rsid w:val="007B4F30"/>
    <w:rsid w:val="007B4F72"/>
    <w:rsid w:val="007B51E0"/>
    <w:rsid w:val="007B58C4"/>
    <w:rsid w:val="007B5D43"/>
    <w:rsid w:val="007B5DF9"/>
    <w:rsid w:val="007B62AD"/>
    <w:rsid w:val="007B6BEB"/>
    <w:rsid w:val="007B6DDF"/>
    <w:rsid w:val="007B769C"/>
    <w:rsid w:val="007B7A8A"/>
    <w:rsid w:val="007C0A26"/>
    <w:rsid w:val="007C0A44"/>
    <w:rsid w:val="007C0E3E"/>
    <w:rsid w:val="007C1498"/>
    <w:rsid w:val="007C1C41"/>
    <w:rsid w:val="007C1CFD"/>
    <w:rsid w:val="007C2571"/>
    <w:rsid w:val="007C2AE2"/>
    <w:rsid w:val="007C2DC2"/>
    <w:rsid w:val="007C2FDA"/>
    <w:rsid w:val="007C3189"/>
    <w:rsid w:val="007C38EA"/>
    <w:rsid w:val="007C444F"/>
    <w:rsid w:val="007C4885"/>
    <w:rsid w:val="007C5CE2"/>
    <w:rsid w:val="007C5EB7"/>
    <w:rsid w:val="007C64C4"/>
    <w:rsid w:val="007C6694"/>
    <w:rsid w:val="007C6997"/>
    <w:rsid w:val="007C6F50"/>
    <w:rsid w:val="007C74B0"/>
    <w:rsid w:val="007C75D7"/>
    <w:rsid w:val="007C769F"/>
    <w:rsid w:val="007C7A3D"/>
    <w:rsid w:val="007D02CA"/>
    <w:rsid w:val="007D0F2E"/>
    <w:rsid w:val="007D1305"/>
    <w:rsid w:val="007D13BC"/>
    <w:rsid w:val="007D1491"/>
    <w:rsid w:val="007D168B"/>
    <w:rsid w:val="007D1B3B"/>
    <w:rsid w:val="007D1B81"/>
    <w:rsid w:val="007D1CD5"/>
    <w:rsid w:val="007D1F8E"/>
    <w:rsid w:val="007D2B7D"/>
    <w:rsid w:val="007D3444"/>
    <w:rsid w:val="007D3BF3"/>
    <w:rsid w:val="007D4C33"/>
    <w:rsid w:val="007D5A6D"/>
    <w:rsid w:val="007D5AC1"/>
    <w:rsid w:val="007D5B3E"/>
    <w:rsid w:val="007D6571"/>
    <w:rsid w:val="007D67CC"/>
    <w:rsid w:val="007D694A"/>
    <w:rsid w:val="007D6D03"/>
    <w:rsid w:val="007D6D5E"/>
    <w:rsid w:val="007E07A1"/>
    <w:rsid w:val="007E0AA4"/>
    <w:rsid w:val="007E1013"/>
    <w:rsid w:val="007E1076"/>
    <w:rsid w:val="007E1904"/>
    <w:rsid w:val="007E1925"/>
    <w:rsid w:val="007E2314"/>
    <w:rsid w:val="007E247D"/>
    <w:rsid w:val="007E2659"/>
    <w:rsid w:val="007E2920"/>
    <w:rsid w:val="007E2EDC"/>
    <w:rsid w:val="007E377A"/>
    <w:rsid w:val="007E3CF8"/>
    <w:rsid w:val="007E3DB5"/>
    <w:rsid w:val="007E3FE6"/>
    <w:rsid w:val="007E4934"/>
    <w:rsid w:val="007E4DD9"/>
    <w:rsid w:val="007E5DD9"/>
    <w:rsid w:val="007E6669"/>
    <w:rsid w:val="007E6B7F"/>
    <w:rsid w:val="007E6EEF"/>
    <w:rsid w:val="007E7216"/>
    <w:rsid w:val="007E75FD"/>
    <w:rsid w:val="007E7721"/>
    <w:rsid w:val="007E7C60"/>
    <w:rsid w:val="007F03A3"/>
    <w:rsid w:val="007F0838"/>
    <w:rsid w:val="007F0AD3"/>
    <w:rsid w:val="007F11D4"/>
    <w:rsid w:val="007F14E6"/>
    <w:rsid w:val="007F1B2F"/>
    <w:rsid w:val="007F221E"/>
    <w:rsid w:val="007F303B"/>
    <w:rsid w:val="007F3A6B"/>
    <w:rsid w:val="007F3CC4"/>
    <w:rsid w:val="007F4007"/>
    <w:rsid w:val="007F43DC"/>
    <w:rsid w:val="007F4BE9"/>
    <w:rsid w:val="007F4D93"/>
    <w:rsid w:val="007F5831"/>
    <w:rsid w:val="007F60E8"/>
    <w:rsid w:val="007F61A2"/>
    <w:rsid w:val="007F66DB"/>
    <w:rsid w:val="007F6B7B"/>
    <w:rsid w:val="007F6D20"/>
    <w:rsid w:val="007F70C1"/>
    <w:rsid w:val="007F7216"/>
    <w:rsid w:val="007F7531"/>
    <w:rsid w:val="007F7868"/>
    <w:rsid w:val="007F7968"/>
    <w:rsid w:val="007F7CBD"/>
    <w:rsid w:val="007F7E13"/>
    <w:rsid w:val="00800130"/>
    <w:rsid w:val="0080029D"/>
    <w:rsid w:val="00800981"/>
    <w:rsid w:val="0080118A"/>
    <w:rsid w:val="00801457"/>
    <w:rsid w:val="00801464"/>
    <w:rsid w:val="008014CB"/>
    <w:rsid w:val="0080197C"/>
    <w:rsid w:val="00802208"/>
    <w:rsid w:val="008022CA"/>
    <w:rsid w:val="00802B78"/>
    <w:rsid w:val="00802E12"/>
    <w:rsid w:val="00802E82"/>
    <w:rsid w:val="00803298"/>
    <w:rsid w:val="0080457D"/>
    <w:rsid w:val="008048EF"/>
    <w:rsid w:val="00804AD0"/>
    <w:rsid w:val="008050B3"/>
    <w:rsid w:val="00805439"/>
    <w:rsid w:val="0080558E"/>
    <w:rsid w:val="00805C53"/>
    <w:rsid w:val="0080636B"/>
    <w:rsid w:val="00806A66"/>
    <w:rsid w:val="00806C18"/>
    <w:rsid w:val="008073A4"/>
    <w:rsid w:val="00807A99"/>
    <w:rsid w:val="00807CA1"/>
    <w:rsid w:val="00807CD9"/>
    <w:rsid w:val="00810795"/>
    <w:rsid w:val="00810EE8"/>
    <w:rsid w:val="00811337"/>
    <w:rsid w:val="0081214A"/>
    <w:rsid w:val="0081215D"/>
    <w:rsid w:val="00812369"/>
    <w:rsid w:val="008136EF"/>
    <w:rsid w:val="008138D3"/>
    <w:rsid w:val="0081555F"/>
    <w:rsid w:val="00815578"/>
    <w:rsid w:val="008157D4"/>
    <w:rsid w:val="00815E2B"/>
    <w:rsid w:val="00815FBD"/>
    <w:rsid w:val="008161FA"/>
    <w:rsid w:val="00816524"/>
    <w:rsid w:val="008166EF"/>
    <w:rsid w:val="00816C03"/>
    <w:rsid w:val="00817876"/>
    <w:rsid w:val="008179CC"/>
    <w:rsid w:val="00817B46"/>
    <w:rsid w:val="00817BD1"/>
    <w:rsid w:val="00820CE3"/>
    <w:rsid w:val="008223F1"/>
    <w:rsid w:val="0082248B"/>
    <w:rsid w:val="008225CB"/>
    <w:rsid w:val="0082310F"/>
    <w:rsid w:val="00823476"/>
    <w:rsid w:val="0082379C"/>
    <w:rsid w:val="00823C55"/>
    <w:rsid w:val="00823C59"/>
    <w:rsid w:val="00823EAD"/>
    <w:rsid w:val="0082417F"/>
    <w:rsid w:val="00824C09"/>
    <w:rsid w:val="00824D30"/>
    <w:rsid w:val="00824F69"/>
    <w:rsid w:val="008257CD"/>
    <w:rsid w:val="00826181"/>
    <w:rsid w:val="00826E72"/>
    <w:rsid w:val="008271BD"/>
    <w:rsid w:val="0082731A"/>
    <w:rsid w:val="00827BFE"/>
    <w:rsid w:val="00827DE2"/>
    <w:rsid w:val="008301AA"/>
    <w:rsid w:val="0083034A"/>
    <w:rsid w:val="0083061D"/>
    <w:rsid w:val="00830837"/>
    <w:rsid w:val="00830BC9"/>
    <w:rsid w:val="00830C92"/>
    <w:rsid w:val="008314BA"/>
    <w:rsid w:val="008316D5"/>
    <w:rsid w:val="00831750"/>
    <w:rsid w:val="00831C10"/>
    <w:rsid w:val="0083208C"/>
    <w:rsid w:val="0083211E"/>
    <w:rsid w:val="0083229E"/>
    <w:rsid w:val="00834722"/>
    <w:rsid w:val="0083474C"/>
    <w:rsid w:val="008349B4"/>
    <w:rsid w:val="00834F4D"/>
    <w:rsid w:val="0083507B"/>
    <w:rsid w:val="008350F9"/>
    <w:rsid w:val="0083522B"/>
    <w:rsid w:val="00835D15"/>
    <w:rsid w:val="008360D5"/>
    <w:rsid w:val="00836E04"/>
    <w:rsid w:val="0083732A"/>
    <w:rsid w:val="008377C0"/>
    <w:rsid w:val="00837BDB"/>
    <w:rsid w:val="00837CF6"/>
    <w:rsid w:val="00837D41"/>
    <w:rsid w:val="00837F63"/>
    <w:rsid w:val="00840371"/>
    <w:rsid w:val="008403F8"/>
    <w:rsid w:val="00840EFE"/>
    <w:rsid w:val="0084166D"/>
    <w:rsid w:val="008426B7"/>
    <w:rsid w:val="008428ED"/>
    <w:rsid w:val="00842A3B"/>
    <w:rsid w:val="00842D72"/>
    <w:rsid w:val="00843B46"/>
    <w:rsid w:val="00843B5B"/>
    <w:rsid w:val="00843BB5"/>
    <w:rsid w:val="008440B9"/>
    <w:rsid w:val="00844234"/>
    <w:rsid w:val="008443CD"/>
    <w:rsid w:val="0084597B"/>
    <w:rsid w:val="00846032"/>
    <w:rsid w:val="008462B7"/>
    <w:rsid w:val="008472B4"/>
    <w:rsid w:val="00847969"/>
    <w:rsid w:val="00847E08"/>
    <w:rsid w:val="00850A02"/>
    <w:rsid w:val="00850F38"/>
    <w:rsid w:val="00851543"/>
    <w:rsid w:val="00851DD6"/>
    <w:rsid w:val="00851F84"/>
    <w:rsid w:val="0085290F"/>
    <w:rsid w:val="00852A40"/>
    <w:rsid w:val="00852B48"/>
    <w:rsid w:val="00852BDC"/>
    <w:rsid w:val="00852D3A"/>
    <w:rsid w:val="008537AC"/>
    <w:rsid w:val="008539DF"/>
    <w:rsid w:val="00853F22"/>
    <w:rsid w:val="0085400D"/>
    <w:rsid w:val="00854761"/>
    <w:rsid w:val="00854BF5"/>
    <w:rsid w:val="00854C39"/>
    <w:rsid w:val="00854DD0"/>
    <w:rsid w:val="00854DD9"/>
    <w:rsid w:val="0085538A"/>
    <w:rsid w:val="0085562F"/>
    <w:rsid w:val="00855851"/>
    <w:rsid w:val="008560BA"/>
    <w:rsid w:val="0085759D"/>
    <w:rsid w:val="008603F8"/>
    <w:rsid w:val="00860515"/>
    <w:rsid w:val="00860BA0"/>
    <w:rsid w:val="00860BA3"/>
    <w:rsid w:val="00860E67"/>
    <w:rsid w:val="0086108B"/>
    <w:rsid w:val="0086121E"/>
    <w:rsid w:val="00861298"/>
    <w:rsid w:val="00861A34"/>
    <w:rsid w:val="00861AB4"/>
    <w:rsid w:val="0086266C"/>
    <w:rsid w:val="008626CA"/>
    <w:rsid w:val="00862F20"/>
    <w:rsid w:val="00863E1C"/>
    <w:rsid w:val="00863EF2"/>
    <w:rsid w:val="00864646"/>
    <w:rsid w:val="0086558E"/>
    <w:rsid w:val="0086603D"/>
    <w:rsid w:val="00866248"/>
    <w:rsid w:val="008669C7"/>
    <w:rsid w:val="00866CBA"/>
    <w:rsid w:val="00866D1F"/>
    <w:rsid w:val="008671A0"/>
    <w:rsid w:val="00867300"/>
    <w:rsid w:val="008678E8"/>
    <w:rsid w:val="00870169"/>
    <w:rsid w:val="008701DD"/>
    <w:rsid w:val="00870234"/>
    <w:rsid w:val="008711EC"/>
    <w:rsid w:val="008712EE"/>
    <w:rsid w:val="00871534"/>
    <w:rsid w:val="00871581"/>
    <w:rsid w:val="00871A32"/>
    <w:rsid w:val="00871D3C"/>
    <w:rsid w:val="00872937"/>
    <w:rsid w:val="008729A8"/>
    <w:rsid w:val="00872A0E"/>
    <w:rsid w:val="00872C2B"/>
    <w:rsid w:val="00872C84"/>
    <w:rsid w:val="00872DDC"/>
    <w:rsid w:val="00873396"/>
    <w:rsid w:val="008734F7"/>
    <w:rsid w:val="00874129"/>
    <w:rsid w:val="008742D9"/>
    <w:rsid w:val="0087448F"/>
    <w:rsid w:val="00874F6D"/>
    <w:rsid w:val="0087571F"/>
    <w:rsid w:val="00875ED5"/>
    <w:rsid w:val="008761E4"/>
    <w:rsid w:val="0087621C"/>
    <w:rsid w:val="008764B2"/>
    <w:rsid w:val="008768B0"/>
    <w:rsid w:val="00876D4A"/>
    <w:rsid w:val="00877987"/>
    <w:rsid w:val="00877F94"/>
    <w:rsid w:val="00880CB4"/>
    <w:rsid w:val="00881094"/>
    <w:rsid w:val="00881521"/>
    <w:rsid w:val="008819DB"/>
    <w:rsid w:val="00881B4F"/>
    <w:rsid w:val="00881C52"/>
    <w:rsid w:val="0088253D"/>
    <w:rsid w:val="00883054"/>
    <w:rsid w:val="00883D2C"/>
    <w:rsid w:val="00883EE1"/>
    <w:rsid w:val="00884068"/>
    <w:rsid w:val="00884409"/>
    <w:rsid w:val="0088475A"/>
    <w:rsid w:val="0088487D"/>
    <w:rsid w:val="00884922"/>
    <w:rsid w:val="008852B3"/>
    <w:rsid w:val="0088585D"/>
    <w:rsid w:val="00885AF0"/>
    <w:rsid w:val="00885C93"/>
    <w:rsid w:val="00886079"/>
    <w:rsid w:val="0088643D"/>
    <w:rsid w:val="008864FF"/>
    <w:rsid w:val="00886B4A"/>
    <w:rsid w:val="00886BDE"/>
    <w:rsid w:val="00886D51"/>
    <w:rsid w:val="00887027"/>
    <w:rsid w:val="008873C4"/>
    <w:rsid w:val="00887439"/>
    <w:rsid w:val="0088774A"/>
    <w:rsid w:val="00887E9C"/>
    <w:rsid w:val="008905E9"/>
    <w:rsid w:val="00890DC6"/>
    <w:rsid w:val="0089104C"/>
    <w:rsid w:val="00891145"/>
    <w:rsid w:val="008919FD"/>
    <w:rsid w:val="00891E7F"/>
    <w:rsid w:val="00892B06"/>
    <w:rsid w:val="00892E92"/>
    <w:rsid w:val="00892FBC"/>
    <w:rsid w:val="008930BF"/>
    <w:rsid w:val="00893886"/>
    <w:rsid w:val="008939F6"/>
    <w:rsid w:val="00894186"/>
    <w:rsid w:val="00894328"/>
    <w:rsid w:val="00894AA8"/>
    <w:rsid w:val="00894BAE"/>
    <w:rsid w:val="00895350"/>
    <w:rsid w:val="00895434"/>
    <w:rsid w:val="008954B0"/>
    <w:rsid w:val="008959E5"/>
    <w:rsid w:val="00895CFC"/>
    <w:rsid w:val="00896383"/>
    <w:rsid w:val="0089747C"/>
    <w:rsid w:val="008975C2"/>
    <w:rsid w:val="0089783B"/>
    <w:rsid w:val="00897C89"/>
    <w:rsid w:val="00897E3E"/>
    <w:rsid w:val="00897F40"/>
    <w:rsid w:val="008A0463"/>
    <w:rsid w:val="008A085E"/>
    <w:rsid w:val="008A0EAC"/>
    <w:rsid w:val="008A11AD"/>
    <w:rsid w:val="008A1D4E"/>
    <w:rsid w:val="008A28B7"/>
    <w:rsid w:val="008A2AFD"/>
    <w:rsid w:val="008A2FEC"/>
    <w:rsid w:val="008A3188"/>
    <w:rsid w:val="008A3190"/>
    <w:rsid w:val="008A32C6"/>
    <w:rsid w:val="008A3438"/>
    <w:rsid w:val="008A352C"/>
    <w:rsid w:val="008A37A3"/>
    <w:rsid w:val="008A3A0A"/>
    <w:rsid w:val="008A3B2A"/>
    <w:rsid w:val="008A4442"/>
    <w:rsid w:val="008A4844"/>
    <w:rsid w:val="008A555A"/>
    <w:rsid w:val="008A586B"/>
    <w:rsid w:val="008A60D9"/>
    <w:rsid w:val="008A6388"/>
    <w:rsid w:val="008A67D6"/>
    <w:rsid w:val="008A721C"/>
    <w:rsid w:val="008A748A"/>
    <w:rsid w:val="008A754D"/>
    <w:rsid w:val="008A766B"/>
    <w:rsid w:val="008A76BD"/>
    <w:rsid w:val="008A7C07"/>
    <w:rsid w:val="008A7D11"/>
    <w:rsid w:val="008A7F1B"/>
    <w:rsid w:val="008B050B"/>
    <w:rsid w:val="008B08A5"/>
    <w:rsid w:val="008B0CF1"/>
    <w:rsid w:val="008B0CFA"/>
    <w:rsid w:val="008B1B43"/>
    <w:rsid w:val="008B1EC0"/>
    <w:rsid w:val="008B2405"/>
    <w:rsid w:val="008B29CE"/>
    <w:rsid w:val="008B2C35"/>
    <w:rsid w:val="008B2CA2"/>
    <w:rsid w:val="008B2F85"/>
    <w:rsid w:val="008B3569"/>
    <w:rsid w:val="008B3C32"/>
    <w:rsid w:val="008B3DD0"/>
    <w:rsid w:val="008B400E"/>
    <w:rsid w:val="008B460F"/>
    <w:rsid w:val="008B46F7"/>
    <w:rsid w:val="008B4EC6"/>
    <w:rsid w:val="008B511E"/>
    <w:rsid w:val="008B5B78"/>
    <w:rsid w:val="008B6003"/>
    <w:rsid w:val="008B6718"/>
    <w:rsid w:val="008B71E4"/>
    <w:rsid w:val="008B76F5"/>
    <w:rsid w:val="008B773B"/>
    <w:rsid w:val="008B7BF8"/>
    <w:rsid w:val="008C005E"/>
    <w:rsid w:val="008C007C"/>
    <w:rsid w:val="008C0448"/>
    <w:rsid w:val="008C0498"/>
    <w:rsid w:val="008C0B29"/>
    <w:rsid w:val="008C1159"/>
    <w:rsid w:val="008C119F"/>
    <w:rsid w:val="008C11CF"/>
    <w:rsid w:val="008C173C"/>
    <w:rsid w:val="008C19CC"/>
    <w:rsid w:val="008C2029"/>
    <w:rsid w:val="008C23AD"/>
    <w:rsid w:val="008C258E"/>
    <w:rsid w:val="008C319F"/>
    <w:rsid w:val="008C3327"/>
    <w:rsid w:val="008C398F"/>
    <w:rsid w:val="008C39C9"/>
    <w:rsid w:val="008C3B47"/>
    <w:rsid w:val="008C3D83"/>
    <w:rsid w:val="008C4018"/>
    <w:rsid w:val="008C44D6"/>
    <w:rsid w:val="008C49D0"/>
    <w:rsid w:val="008C4E2E"/>
    <w:rsid w:val="008C5801"/>
    <w:rsid w:val="008C62FA"/>
    <w:rsid w:val="008C63F7"/>
    <w:rsid w:val="008C64B7"/>
    <w:rsid w:val="008C679B"/>
    <w:rsid w:val="008C6A7E"/>
    <w:rsid w:val="008C7029"/>
    <w:rsid w:val="008C75DA"/>
    <w:rsid w:val="008C7AEB"/>
    <w:rsid w:val="008C7FB0"/>
    <w:rsid w:val="008D0564"/>
    <w:rsid w:val="008D0780"/>
    <w:rsid w:val="008D0BAD"/>
    <w:rsid w:val="008D107F"/>
    <w:rsid w:val="008D1199"/>
    <w:rsid w:val="008D1AFB"/>
    <w:rsid w:val="008D1C55"/>
    <w:rsid w:val="008D246B"/>
    <w:rsid w:val="008D2523"/>
    <w:rsid w:val="008D2631"/>
    <w:rsid w:val="008D29C9"/>
    <w:rsid w:val="008D2A64"/>
    <w:rsid w:val="008D2B9F"/>
    <w:rsid w:val="008D2CAC"/>
    <w:rsid w:val="008D30F6"/>
    <w:rsid w:val="008D3160"/>
    <w:rsid w:val="008D3400"/>
    <w:rsid w:val="008D3E08"/>
    <w:rsid w:val="008D3F6A"/>
    <w:rsid w:val="008D4BB7"/>
    <w:rsid w:val="008D5460"/>
    <w:rsid w:val="008D566C"/>
    <w:rsid w:val="008D5E7D"/>
    <w:rsid w:val="008D60B1"/>
    <w:rsid w:val="008D612E"/>
    <w:rsid w:val="008D646A"/>
    <w:rsid w:val="008D67F4"/>
    <w:rsid w:val="008D6AD6"/>
    <w:rsid w:val="008D6D05"/>
    <w:rsid w:val="008D70C9"/>
    <w:rsid w:val="008D774A"/>
    <w:rsid w:val="008E02CF"/>
    <w:rsid w:val="008E0738"/>
    <w:rsid w:val="008E08D2"/>
    <w:rsid w:val="008E0B19"/>
    <w:rsid w:val="008E107F"/>
    <w:rsid w:val="008E10B6"/>
    <w:rsid w:val="008E146F"/>
    <w:rsid w:val="008E147A"/>
    <w:rsid w:val="008E1AF9"/>
    <w:rsid w:val="008E1C00"/>
    <w:rsid w:val="008E1DD9"/>
    <w:rsid w:val="008E30F3"/>
    <w:rsid w:val="008E31AC"/>
    <w:rsid w:val="008E3889"/>
    <w:rsid w:val="008E3B54"/>
    <w:rsid w:val="008E3CD1"/>
    <w:rsid w:val="008E3D29"/>
    <w:rsid w:val="008E4D69"/>
    <w:rsid w:val="008E5295"/>
    <w:rsid w:val="008E5B88"/>
    <w:rsid w:val="008E636C"/>
    <w:rsid w:val="008E6D4C"/>
    <w:rsid w:val="008E6DB4"/>
    <w:rsid w:val="008E7422"/>
    <w:rsid w:val="008E74F2"/>
    <w:rsid w:val="008E776E"/>
    <w:rsid w:val="008E7D39"/>
    <w:rsid w:val="008E7DA0"/>
    <w:rsid w:val="008E7EFF"/>
    <w:rsid w:val="008F02D3"/>
    <w:rsid w:val="008F02DA"/>
    <w:rsid w:val="008F0CC9"/>
    <w:rsid w:val="008F0F3F"/>
    <w:rsid w:val="008F135E"/>
    <w:rsid w:val="008F1DD2"/>
    <w:rsid w:val="008F1F74"/>
    <w:rsid w:val="008F2263"/>
    <w:rsid w:val="008F2548"/>
    <w:rsid w:val="008F2780"/>
    <w:rsid w:val="008F2B60"/>
    <w:rsid w:val="008F2FEE"/>
    <w:rsid w:val="008F47DC"/>
    <w:rsid w:val="008F4C19"/>
    <w:rsid w:val="008F5895"/>
    <w:rsid w:val="008F64A2"/>
    <w:rsid w:val="008F6597"/>
    <w:rsid w:val="008F65B4"/>
    <w:rsid w:val="008F668B"/>
    <w:rsid w:val="008F6788"/>
    <w:rsid w:val="008F68F2"/>
    <w:rsid w:val="008F6A85"/>
    <w:rsid w:val="008F6EBE"/>
    <w:rsid w:val="008F74E6"/>
    <w:rsid w:val="008F7685"/>
    <w:rsid w:val="008F7814"/>
    <w:rsid w:val="008F7902"/>
    <w:rsid w:val="00900382"/>
    <w:rsid w:val="009007E1"/>
    <w:rsid w:val="00900C78"/>
    <w:rsid w:val="00901264"/>
    <w:rsid w:val="009012BE"/>
    <w:rsid w:val="0090154C"/>
    <w:rsid w:val="00901DB4"/>
    <w:rsid w:val="00901F70"/>
    <w:rsid w:val="0090279B"/>
    <w:rsid w:val="00902D0A"/>
    <w:rsid w:val="00902D73"/>
    <w:rsid w:val="0090315B"/>
    <w:rsid w:val="009032E8"/>
    <w:rsid w:val="009034EC"/>
    <w:rsid w:val="009038B9"/>
    <w:rsid w:val="00903983"/>
    <w:rsid w:val="00904259"/>
    <w:rsid w:val="009047E6"/>
    <w:rsid w:val="00904B21"/>
    <w:rsid w:val="009051F4"/>
    <w:rsid w:val="00905994"/>
    <w:rsid w:val="00905AFC"/>
    <w:rsid w:val="009068B6"/>
    <w:rsid w:val="00906997"/>
    <w:rsid w:val="00906C43"/>
    <w:rsid w:val="00907272"/>
    <w:rsid w:val="00907394"/>
    <w:rsid w:val="00907751"/>
    <w:rsid w:val="00907BF5"/>
    <w:rsid w:val="00907E30"/>
    <w:rsid w:val="00907ED6"/>
    <w:rsid w:val="00910272"/>
    <w:rsid w:val="009110B8"/>
    <w:rsid w:val="009119D5"/>
    <w:rsid w:val="00911CC1"/>
    <w:rsid w:val="00911ED0"/>
    <w:rsid w:val="00912107"/>
    <w:rsid w:val="00912636"/>
    <w:rsid w:val="00912943"/>
    <w:rsid w:val="00912D49"/>
    <w:rsid w:val="00912EA8"/>
    <w:rsid w:val="0091305E"/>
    <w:rsid w:val="00913209"/>
    <w:rsid w:val="0091428E"/>
    <w:rsid w:val="009144ED"/>
    <w:rsid w:val="00914943"/>
    <w:rsid w:val="00914B20"/>
    <w:rsid w:val="00915A00"/>
    <w:rsid w:val="00915C12"/>
    <w:rsid w:val="009163F2"/>
    <w:rsid w:val="009169AA"/>
    <w:rsid w:val="00916DAF"/>
    <w:rsid w:val="00916FEE"/>
    <w:rsid w:val="009170B5"/>
    <w:rsid w:val="00917300"/>
    <w:rsid w:val="009176F0"/>
    <w:rsid w:val="00917952"/>
    <w:rsid w:val="00917967"/>
    <w:rsid w:val="00917AFA"/>
    <w:rsid w:val="00917C38"/>
    <w:rsid w:val="00917F22"/>
    <w:rsid w:val="00917F7F"/>
    <w:rsid w:val="00920303"/>
    <w:rsid w:val="00920315"/>
    <w:rsid w:val="009204A2"/>
    <w:rsid w:val="00920C3B"/>
    <w:rsid w:val="00921261"/>
    <w:rsid w:val="009216CF"/>
    <w:rsid w:val="00921F58"/>
    <w:rsid w:val="00922DA5"/>
    <w:rsid w:val="00923394"/>
    <w:rsid w:val="009233DA"/>
    <w:rsid w:val="0092345B"/>
    <w:rsid w:val="009237FB"/>
    <w:rsid w:val="0092412A"/>
    <w:rsid w:val="0092477D"/>
    <w:rsid w:val="00924B72"/>
    <w:rsid w:val="00924E00"/>
    <w:rsid w:val="00925FEB"/>
    <w:rsid w:val="00926C90"/>
    <w:rsid w:val="009270B6"/>
    <w:rsid w:val="009274CD"/>
    <w:rsid w:val="00927503"/>
    <w:rsid w:val="0092790A"/>
    <w:rsid w:val="00927AE2"/>
    <w:rsid w:val="00927B44"/>
    <w:rsid w:val="00927F12"/>
    <w:rsid w:val="00930AA2"/>
    <w:rsid w:val="00930C73"/>
    <w:rsid w:val="00930E80"/>
    <w:rsid w:val="00930E86"/>
    <w:rsid w:val="00931305"/>
    <w:rsid w:val="00931362"/>
    <w:rsid w:val="00931550"/>
    <w:rsid w:val="009317E3"/>
    <w:rsid w:val="009318EB"/>
    <w:rsid w:val="00931EF5"/>
    <w:rsid w:val="00931F7F"/>
    <w:rsid w:val="00931FBB"/>
    <w:rsid w:val="00933953"/>
    <w:rsid w:val="00933F9A"/>
    <w:rsid w:val="00934956"/>
    <w:rsid w:val="00934DFD"/>
    <w:rsid w:val="00935154"/>
    <w:rsid w:val="009359AA"/>
    <w:rsid w:val="00935DB7"/>
    <w:rsid w:val="009362D3"/>
    <w:rsid w:val="00936703"/>
    <w:rsid w:val="00936CB2"/>
    <w:rsid w:val="009379BE"/>
    <w:rsid w:val="00937A19"/>
    <w:rsid w:val="00937BE6"/>
    <w:rsid w:val="00937FC9"/>
    <w:rsid w:val="00940757"/>
    <w:rsid w:val="00941628"/>
    <w:rsid w:val="00941AAF"/>
    <w:rsid w:val="00942831"/>
    <w:rsid w:val="00942D6D"/>
    <w:rsid w:val="0094331E"/>
    <w:rsid w:val="00943D4A"/>
    <w:rsid w:val="009442A1"/>
    <w:rsid w:val="00944DED"/>
    <w:rsid w:val="00945027"/>
    <w:rsid w:val="00945BEC"/>
    <w:rsid w:val="00945F61"/>
    <w:rsid w:val="009465AD"/>
    <w:rsid w:val="009465EC"/>
    <w:rsid w:val="00946B8F"/>
    <w:rsid w:val="00946F21"/>
    <w:rsid w:val="0094717F"/>
    <w:rsid w:val="0094728A"/>
    <w:rsid w:val="009476A1"/>
    <w:rsid w:val="009501B3"/>
    <w:rsid w:val="009508C5"/>
    <w:rsid w:val="00950B3A"/>
    <w:rsid w:val="00950BEE"/>
    <w:rsid w:val="00951411"/>
    <w:rsid w:val="00951CA5"/>
    <w:rsid w:val="00951E06"/>
    <w:rsid w:val="00951E8B"/>
    <w:rsid w:val="0095214C"/>
    <w:rsid w:val="009523AE"/>
    <w:rsid w:val="009529BC"/>
    <w:rsid w:val="009540CB"/>
    <w:rsid w:val="009542AC"/>
    <w:rsid w:val="00954348"/>
    <w:rsid w:val="00954C13"/>
    <w:rsid w:val="00955012"/>
    <w:rsid w:val="00955323"/>
    <w:rsid w:val="00955A39"/>
    <w:rsid w:val="00955AE2"/>
    <w:rsid w:val="00955CED"/>
    <w:rsid w:val="0095643F"/>
    <w:rsid w:val="00956B16"/>
    <w:rsid w:val="00956D6E"/>
    <w:rsid w:val="009579C1"/>
    <w:rsid w:val="00957D73"/>
    <w:rsid w:val="00957EE9"/>
    <w:rsid w:val="00960A08"/>
    <w:rsid w:val="009619E1"/>
    <w:rsid w:val="00961DCE"/>
    <w:rsid w:val="00962A54"/>
    <w:rsid w:val="00962B0A"/>
    <w:rsid w:val="00963111"/>
    <w:rsid w:val="00963867"/>
    <w:rsid w:val="00963A5E"/>
    <w:rsid w:val="00963F54"/>
    <w:rsid w:val="00964119"/>
    <w:rsid w:val="00964B37"/>
    <w:rsid w:val="00964FD4"/>
    <w:rsid w:val="00966CF2"/>
    <w:rsid w:val="00966FA9"/>
    <w:rsid w:val="00966FAC"/>
    <w:rsid w:val="009671C5"/>
    <w:rsid w:val="0096745F"/>
    <w:rsid w:val="0096756A"/>
    <w:rsid w:val="009678CE"/>
    <w:rsid w:val="00967931"/>
    <w:rsid w:val="00967B6C"/>
    <w:rsid w:val="009702D4"/>
    <w:rsid w:val="00970A28"/>
    <w:rsid w:val="00970BDC"/>
    <w:rsid w:val="00971012"/>
    <w:rsid w:val="00971084"/>
    <w:rsid w:val="00971336"/>
    <w:rsid w:val="0097165B"/>
    <w:rsid w:val="0097185C"/>
    <w:rsid w:val="00971D23"/>
    <w:rsid w:val="00972C23"/>
    <w:rsid w:val="009731C9"/>
    <w:rsid w:val="009732BC"/>
    <w:rsid w:val="00973B59"/>
    <w:rsid w:val="009742A2"/>
    <w:rsid w:val="0097465C"/>
    <w:rsid w:val="00974CDE"/>
    <w:rsid w:val="009750AA"/>
    <w:rsid w:val="009758D0"/>
    <w:rsid w:val="00975BCC"/>
    <w:rsid w:val="009760D4"/>
    <w:rsid w:val="009763CC"/>
    <w:rsid w:val="009767CE"/>
    <w:rsid w:val="0097686C"/>
    <w:rsid w:val="009769BD"/>
    <w:rsid w:val="00976B70"/>
    <w:rsid w:val="009772C0"/>
    <w:rsid w:val="00980520"/>
    <w:rsid w:val="009805C2"/>
    <w:rsid w:val="00981494"/>
    <w:rsid w:val="00981ADB"/>
    <w:rsid w:val="00982522"/>
    <w:rsid w:val="00982BC6"/>
    <w:rsid w:val="00982F27"/>
    <w:rsid w:val="009830B0"/>
    <w:rsid w:val="00983BB4"/>
    <w:rsid w:val="00983E75"/>
    <w:rsid w:val="00984056"/>
    <w:rsid w:val="00984375"/>
    <w:rsid w:val="009851FE"/>
    <w:rsid w:val="00985D12"/>
    <w:rsid w:val="00985EB5"/>
    <w:rsid w:val="00986340"/>
    <w:rsid w:val="00986A1C"/>
    <w:rsid w:val="00987C03"/>
    <w:rsid w:val="00987D95"/>
    <w:rsid w:val="00987E2D"/>
    <w:rsid w:val="00990349"/>
    <w:rsid w:val="009908CC"/>
    <w:rsid w:val="00990A7F"/>
    <w:rsid w:val="009923B8"/>
    <w:rsid w:val="00993093"/>
    <w:rsid w:val="00993802"/>
    <w:rsid w:val="00994052"/>
    <w:rsid w:val="00994E38"/>
    <w:rsid w:val="00994F47"/>
    <w:rsid w:val="00995268"/>
    <w:rsid w:val="0099540A"/>
    <w:rsid w:val="00995801"/>
    <w:rsid w:val="00995909"/>
    <w:rsid w:val="00995D53"/>
    <w:rsid w:val="00995ECA"/>
    <w:rsid w:val="009961D3"/>
    <w:rsid w:val="00996303"/>
    <w:rsid w:val="0099649D"/>
    <w:rsid w:val="009964A6"/>
    <w:rsid w:val="00996810"/>
    <w:rsid w:val="00996B05"/>
    <w:rsid w:val="00996C7E"/>
    <w:rsid w:val="00996DE5"/>
    <w:rsid w:val="00997107"/>
    <w:rsid w:val="00997338"/>
    <w:rsid w:val="00997377"/>
    <w:rsid w:val="009A01EA"/>
    <w:rsid w:val="009A11E8"/>
    <w:rsid w:val="009A1243"/>
    <w:rsid w:val="009A19F2"/>
    <w:rsid w:val="009A1BBC"/>
    <w:rsid w:val="009A1E41"/>
    <w:rsid w:val="009A22CB"/>
    <w:rsid w:val="009A2636"/>
    <w:rsid w:val="009A2F7C"/>
    <w:rsid w:val="009A3069"/>
    <w:rsid w:val="009A338D"/>
    <w:rsid w:val="009A3486"/>
    <w:rsid w:val="009A35D2"/>
    <w:rsid w:val="009A378D"/>
    <w:rsid w:val="009A3AAB"/>
    <w:rsid w:val="009A43C6"/>
    <w:rsid w:val="009A442F"/>
    <w:rsid w:val="009A4A84"/>
    <w:rsid w:val="009A51CE"/>
    <w:rsid w:val="009A5319"/>
    <w:rsid w:val="009A592F"/>
    <w:rsid w:val="009A5F81"/>
    <w:rsid w:val="009A5F90"/>
    <w:rsid w:val="009A606E"/>
    <w:rsid w:val="009A6400"/>
    <w:rsid w:val="009A6705"/>
    <w:rsid w:val="009A6B62"/>
    <w:rsid w:val="009A6E0F"/>
    <w:rsid w:val="009A6F3A"/>
    <w:rsid w:val="009A7565"/>
    <w:rsid w:val="009A7D81"/>
    <w:rsid w:val="009B0BE3"/>
    <w:rsid w:val="009B0D93"/>
    <w:rsid w:val="009B0F46"/>
    <w:rsid w:val="009B1180"/>
    <w:rsid w:val="009B11C9"/>
    <w:rsid w:val="009B18E9"/>
    <w:rsid w:val="009B1937"/>
    <w:rsid w:val="009B1E25"/>
    <w:rsid w:val="009B1FC5"/>
    <w:rsid w:val="009B2121"/>
    <w:rsid w:val="009B236B"/>
    <w:rsid w:val="009B265F"/>
    <w:rsid w:val="009B2DCA"/>
    <w:rsid w:val="009B348F"/>
    <w:rsid w:val="009B36D8"/>
    <w:rsid w:val="009B388A"/>
    <w:rsid w:val="009B4B11"/>
    <w:rsid w:val="009B55ED"/>
    <w:rsid w:val="009B56B3"/>
    <w:rsid w:val="009B56F5"/>
    <w:rsid w:val="009B5EDD"/>
    <w:rsid w:val="009B6E8C"/>
    <w:rsid w:val="009B6F97"/>
    <w:rsid w:val="009B7125"/>
    <w:rsid w:val="009B7735"/>
    <w:rsid w:val="009C0A0A"/>
    <w:rsid w:val="009C0E8E"/>
    <w:rsid w:val="009C0ED5"/>
    <w:rsid w:val="009C1306"/>
    <w:rsid w:val="009C1715"/>
    <w:rsid w:val="009C1B46"/>
    <w:rsid w:val="009C2612"/>
    <w:rsid w:val="009C2AC1"/>
    <w:rsid w:val="009C2F72"/>
    <w:rsid w:val="009C36BC"/>
    <w:rsid w:val="009C3DC6"/>
    <w:rsid w:val="009C404B"/>
    <w:rsid w:val="009C42DF"/>
    <w:rsid w:val="009C4321"/>
    <w:rsid w:val="009C44BD"/>
    <w:rsid w:val="009C4629"/>
    <w:rsid w:val="009C4795"/>
    <w:rsid w:val="009C60AE"/>
    <w:rsid w:val="009C6A79"/>
    <w:rsid w:val="009C6A82"/>
    <w:rsid w:val="009C6F1C"/>
    <w:rsid w:val="009C7427"/>
    <w:rsid w:val="009C7A3B"/>
    <w:rsid w:val="009D104B"/>
    <w:rsid w:val="009D14FE"/>
    <w:rsid w:val="009D1524"/>
    <w:rsid w:val="009D2C4C"/>
    <w:rsid w:val="009D2C66"/>
    <w:rsid w:val="009D2E77"/>
    <w:rsid w:val="009D2FB0"/>
    <w:rsid w:val="009D3179"/>
    <w:rsid w:val="009D4CAB"/>
    <w:rsid w:val="009D5017"/>
    <w:rsid w:val="009D5BE5"/>
    <w:rsid w:val="009D5E7D"/>
    <w:rsid w:val="009D684D"/>
    <w:rsid w:val="009D6870"/>
    <w:rsid w:val="009D6D5A"/>
    <w:rsid w:val="009D7782"/>
    <w:rsid w:val="009D7ABB"/>
    <w:rsid w:val="009E0075"/>
    <w:rsid w:val="009E00C5"/>
    <w:rsid w:val="009E0139"/>
    <w:rsid w:val="009E0551"/>
    <w:rsid w:val="009E0748"/>
    <w:rsid w:val="009E0850"/>
    <w:rsid w:val="009E13D7"/>
    <w:rsid w:val="009E1699"/>
    <w:rsid w:val="009E1ED0"/>
    <w:rsid w:val="009E1F8F"/>
    <w:rsid w:val="009E212A"/>
    <w:rsid w:val="009E2215"/>
    <w:rsid w:val="009E26D1"/>
    <w:rsid w:val="009E26EF"/>
    <w:rsid w:val="009E30B5"/>
    <w:rsid w:val="009E3221"/>
    <w:rsid w:val="009E3355"/>
    <w:rsid w:val="009E3736"/>
    <w:rsid w:val="009E3826"/>
    <w:rsid w:val="009E385E"/>
    <w:rsid w:val="009E3DE9"/>
    <w:rsid w:val="009E4023"/>
    <w:rsid w:val="009E4196"/>
    <w:rsid w:val="009E4E7F"/>
    <w:rsid w:val="009E56F6"/>
    <w:rsid w:val="009E58AA"/>
    <w:rsid w:val="009E60E3"/>
    <w:rsid w:val="009E62D4"/>
    <w:rsid w:val="009E656D"/>
    <w:rsid w:val="009E669B"/>
    <w:rsid w:val="009E6B95"/>
    <w:rsid w:val="009E6BBB"/>
    <w:rsid w:val="009E6DC1"/>
    <w:rsid w:val="009E6ECA"/>
    <w:rsid w:val="009E7301"/>
    <w:rsid w:val="009E75D6"/>
    <w:rsid w:val="009F01DA"/>
    <w:rsid w:val="009F0A92"/>
    <w:rsid w:val="009F0B02"/>
    <w:rsid w:val="009F0C2E"/>
    <w:rsid w:val="009F0F4E"/>
    <w:rsid w:val="009F1521"/>
    <w:rsid w:val="009F2A49"/>
    <w:rsid w:val="009F3A3B"/>
    <w:rsid w:val="009F4A57"/>
    <w:rsid w:val="009F4B88"/>
    <w:rsid w:val="009F4C21"/>
    <w:rsid w:val="009F4DB8"/>
    <w:rsid w:val="009F593C"/>
    <w:rsid w:val="009F595B"/>
    <w:rsid w:val="009F5A91"/>
    <w:rsid w:val="009F5AA7"/>
    <w:rsid w:val="009F617F"/>
    <w:rsid w:val="009F6196"/>
    <w:rsid w:val="009F69AF"/>
    <w:rsid w:val="009F6B66"/>
    <w:rsid w:val="009F74CC"/>
    <w:rsid w:val="009F7909"/>
    <w:rsid w:val="009F7A26"/>
    <w:rsid w:val="00A002F4"/>
    <w:rsid w:val="00A0077B"/>
    <w:rsid w:val="00A00BD1"/>
    <w:rsid w:val="00A01220"/>
    <w:rsid w:val="00A01247"/>
    <w:rsid w:val="00A014DC"/>
    <w:rsid w:val="00A01891"/>
    <w:rsid w:val="00A01CA0"/>
    <w:rsid w:val="00A02984"/>
    <w:rsid w:val="00A02CED"/>
    <w:rsid w:val="00A02E0F"/>
    <w:rsid w:val="00A02F0D"/>
    <w:rsid w:val="00A03022"/>
    <w:rsid w:val="00A031CA"/>
    <w:rsid w:val="00A03961"/>
    <w:rsid w:val="00A042B8"/>
    <w:rsid w:val="00A04F08"/>
    <w:rsid w:val="00A05AB8"/>
    <w:rsid w:val="00A06004"/>
    <w:rsid w:val="00A06370"/>
    <w:rsid w:val="00A075F7"/>
    <w:rsid w:val="00A07DD1"/>
    <w:rsid w:val="00A07F9C"/>
    <w:rsid w:val="00A10027"/>
    <w:rsid w:val="00A10109"/>
    <w:rsid w:val="00A101E3"/>
    <w:rsid w:val="00A107EC"/>
    <w:rsid w:val="00A1196E"/>
    <w:rsid w:val="00A124AC"/>
    <w:rsid w:val="00A127CD"/>
    <w:rsid w:val="00A13272"/>
    <w:rsid w:val="00A13592"/>
    <w:rsid w:val="00A135FE"/>
    <w:rsid w:val="00A137F7"/>
    <w:rsid w:val="00A13C93"/>
    <w:rsid w:val="00A13F47"/>
    <w:rsid w:val="00A13F95"/>
    <w:rsid w:val="00A1414D"/>
    <w:rsid w:val="00A14A94"/>
    <w:rsid w:val="00A14D54"/>
    <w:rsid w:val="00A15137"/>
    <w:rsid w:val="00A151DB"/>
    <w:rsid w:val="00A165F7"/>
    <w:rsid w:val="00A16DCE"/>
    <w:rsid w:val="00A16F11"/>
    <w:rsid w:val="00A17710"/>
    <w:rsid w:val="00A17807"/>
    <w:rsid w:val="00A179CE"/>
    <w:rsid w:val="00A17A3E"/>
    <w:rsid w:val="00A17B51"/>
    <w:rsid w:val="00A20BA5"/>
    <w:rsid w:val="00A20BB7"/>
    <w:rsid w:val="00A20C3E"/>
    <w:rsid w:val="00A21145"/>
    <w:rsid w:val="00A2137F"/>
    <w:rsid w:val="00A214B3"/>
    <w:rsid w:val="00A21565"/>
    <w:rsid w:val="00A219D9"/>
    <w:rsid w:val="00A21ACD"/>
    <w:rsid w:val="00A21BBA"/>
    <w:rsid w:val="00A22AF1"/>
    <w:rsid w:val="00A22C08"/>
    <w:rsid w:val="00A2315A"/>
    <w:rsid w:val="00A237A1"/>
    <w:rsid w:val="00A239DF"/>
    <w:rsid w:val="00A24001"/>
    <w:rsid w:val="00A24831"/>
    <w:rsid w:val="00A24B0B"/>
    <w:rsid w:val="00A24D7D"/>
    <w:rsid w:val="00A2500B"/>
    <w:rsid w:val="00A250D7"/>
    <w:rsid w:val="00A25807"/>
    <w:rsid w:val="00A25B9C"/>
    <w:rsid w:val="00A2625C"/>
    <w:rsid w:val="00A263C0"/>
    <w:rsid w:val="00A26A61"/>
    <w:rsid w:val="00A304D2"/>
    <w:rsid w:val="00A30AF1"/>
    <w:rsid w:val="00A30B14"/>
    <w:rsid w:val="00A30F3D"/>
    <w:rsid w:val="00A310DA"/>
    <w:rsid w:val="00A31A92"/>
    <w:rsid w:val="00A3249B"/>
    <w:rsid w:val="00A32D63"/>
    <w:rsid w:val="00A32D96"/>
    <w:rsid w:val="00A331DD"/>
    <w:rsid w:val="00A339C2"/>
    <w:rsid w:val="00A33BE6"/>
    <w:rsid w:val="00A34103"/>
    <w:rsid w:val="00A34972"/>
    <w:rsid w:val="00A355CF"/>
    <w:rsid w:val="00A35DE5"/>
    <w:rsid w:val="00A36E2D"/>
    <w:rsid w:val="00A36E32"/>
    <w:rsid w:val="00A371B3"/>
    <w:rsid w:val="00A37786"/>
    <w:rsid w:val="00A3784E"/>
    <w:rsid w:val="00A378B3"/>
    <w:rsid w:val="00A3793D"/>
    <w:rsid w:val="00A37B8F"/>
    <w:rsid w:val="00A37CA6"/>
    <w:rsid w:val="00A37D56"/>
    <w:rsid w:val="00A37D63"/>
    <w:rsid w:val="00A402C1"/>
    <w:rsid w:val="00A40B71"/>
    <w:rsid w:val="00A40C06"/>
    <w:rsid w:val="00A40DB3"/>
    <w:rsid w:val="00A41633"/>
    <w:rsid w:val="00A422AD"/>
    <w:rsid w:val="00A42AF2"/>
    <w:rsid w:val="00A42CA4"/>
    <w:rsid w:val="00A42FEB"/>
    <w:rsid w:val="00A43041"/>
    <w:rsid w:val="00A43A1C"/>
    <w:rsid w:val="00A43BAE"/>
    <w:rsid w:val="00A43E20"/>
    <w:rsid w:val="00A44216"/>
    <w:rsid w:val="00A44C8D"/>
    <w:rsid w:val="00A452D1"/>
    <w:rsid w:val="00A45B27"/>
    <w:rsid w:val="00A45D25"/>
    <w:rsid w:val="00A45F86"/>
    <w:rsid w:val="00A46CB1"/>
    <w:rsid w:val="00A46E73"/>
    <w:rsid w:val="00A47CFA"/>
    <w:rsid w:val="00A50C85"/>
    <w:rsid w:val="00A50ECA"/>
    <w:rsid w:val="00A510C3"/>
    <w:rsid w:val="00A515BF"/>
    <w:rsid w:val="00A518B8"/>
    <w:rsid w:val="00A51A0E"/>
    <w:rsid w:val="00A51AA7"/>
    <w:rsid w:val="00A51D7B"/>
    <w:rsid w:val="00A51E38"/>
    <w:rsid w:val="00A52A13"/>
    <w:rsid w:val="00A53017"/>
    <w:rsid w:val="00A53192"/>
    <w:rsid w:val="00A531E5"/>
    <w:rsid w:val="00A53450"/>
    <w:rsid w:val="00A5376C"/>
    <w:rsid w:val="00A53A11"/>
    <w:rsid w:val="00A53E59"/>
    <w:rsid w:val="00A541DB"/>
    <w:rsid w:val="00A5451E"/>
    <w:rsid w:val="00A548C8"/>
    <w:rsid w:val="00A54D15"/>
    <w:rsid w:val="00A559C6"/>
    <w:rsid w:val="00A55A28"/>
    <w:rsid w:val="00A55DD1"/>
    <w:rsid w:val="00A5656F"/>
    <w:rsid w:val="00A569C5"/>
    <w:rsid w:val="00A56B5F"/>
    <w:rsid w:val="00A56C3D"/>
    <w:rsid w:val="00A570FE"/>
    <w:rsid w:val="00A578E8"/>
    <w:rsid w:val="00A600B4"/>
    <w:rsid w:val="00A60311"/>
    <w:rsid w:val="00A60AC5"/>
    <w:rsid w:val="00A611C5"/>
    <w:rsid w:val="00A61283"/>
    <w:rsid w:val="00A615E6"/>
    <w:rsid w:val="00A61652"/>
    <w:rsid w:val="00A61832"/>
    <w:rsid w:val="00A62358"/>
    <w:rsid w:val="00A6243A"/>
    <w:rsid w:val="00A6264B"/>
    <w:rsid w:val="00A62A97"/>
    <w:rsid w:val="00A63119"/>
    <w:rsid w:val="00A63268"/>
    <w:rsid w:val="00A64491"/>
    <w:rsid w:val="00A644F2"/>
    <w:rsid w:val="00A6451D"/>
    <w:rsid w:val="00A6634C"/>
    <w:rsid w:val="00A67254"/>
    <w:rsid w:val="00A678FE"/>
    <w:rsid w:val="00A67E1A"/>
    <w:rsid w:val="00A706A0"/>
    <w:rsid w:val="00A70802"/>
    <w:rsid w:val="00A7095A"/>
    <w:rsid w:val="00A70A52"/>
    <w:rsid w:val="00A711DF"/>
    <w:rsid w:val="00A71A95"/>
    <w:rsid w:val="00A71DE6"/>
    <w:rsid w:val="00A7263F"/>
    <w:rsid w:val="00A73109"/>
    <w:rsid w:val="00A73961"/>
    <w:rsid w:val="00A73E29"/>
    <w:rsid w:val="00A741CE"/>
    <w:rsid w:val="00A74BF2"/>
    <w:rsid w:val="00A74F14"/>
    <w:rsid w:val="00A7504D"/>
    <w:rsid w:val="00A753D5"/>
    <w:rsid w:val="00A7544D"/>
    <w:rsid w:val="00A75C25"/>
    <w:rsid w:val="00A75CED"/>
    <w:rsid w:val="00A76202"/>
    <w:rsid w:val="00A76B83"/>
    <w:rsid w:val="00A76E0A"/>
    <w:rsid w:val="00A76FCE"/>
    <w:rsid w:val="00A774DC"/>
    <w:rsid w:val="00A775DC"/>
    <w:rsid w:val="00A77665"/>
    <w:rsid w:val="00A7781B"/>
    <w:rsid w:val="00A779BE"/>
    <w:rsid w:val="00A77BBF"/>
    <w:rsid w:val="00A77FA1"/>
    <w:rsid w:val="00A80C15"/>
    <w:rsid w:val="00A8234B"/>
    <w:rsid w:val="00A82832"/>
    <w:rsid w:val="00A82901"/>
    <w:rsid w:val="00A8307D"/>
    <w:rsid w:val="00A838B7"/>
    <w:rsid w:val="00A83D80"/>
    <w:rsid w:val="00A84324"/>
    <w:rsid w:val="00A848CC"/>
    <w:rsid w:val="00A84A9F"/>
    <w:rsid w:val="00A84EE2"/>
    <w:rsid w:val="00A85121"/>
    <w:rsid w:val="00A853F4"/>
    <w:rsid w:val="00A85505"/>
    <w:rsid w:val="00A85832"/>
    <w:rsid w:val="00A86488"/>
    <w:rsid w:val="00A867A7"/>
    <w:rsid w:val="00A86CB8"/>
    <w:rsid w:val="00A8709F"/>
    <w:rsid w:val="00A87A7E"/>
    <w:rsid w:val="00A87CB9"/>
    <w:rsid w:val="00A90A88"/>
    <w:rsid w:val="00A90FBF"/>
    <w:rsid w:val="00A91023"/>
    <w:rsid w:val="00A914DC"/>
    <w:rsid w:val="00A9156E"/>
    <w:rsid w:val="00A91EE5"/>
    <w:rsid w:val="00A92925"/>
    <w:rsid w:val="00A92BF2"/>
    <w:rsid w:val="00A930DC"/>
    <w:rsid w:val="00A93C9B"/>
    <w:rsid w:val="00A93EA0"/>
    <w:rsid w:val="00A94206"/>
    <w:rsid w:val="00A942A0"/>
    <w:rsid w:val="00A942C9"/>
    <w:rsid w:val="00A9466D"/>
    <w:rsid w:val="00A94D22"/>
    <w:rsid w:val="00A951A1"/>
    <w:rsid w:val="00A95212"/>
    <w:rsid w:val="00A96126"/>
    <w:rsid w:val="00A96918"/>
    <w:rsid w:val="00A96DD8"/>
    <w:rsid w:val="00A9751B"/>
    <w:rsid w:val="00A976DB"/>
    <w:rsid w:val="00A978FE"/>
    <w:rsid w:val="00A97B40"/>
    <w:rsid w:val="00A97BCA"/>
    <w:rsid w:val="00A97EE5"/>
    <w:rsid w:val="00AA0130"/>
    <w:rsid w:val="00AA0196"/>
    <w:rsid w:val="00AA0AFA"/>
    <w:rsid w:val="00AA0C52"/>
    <w:rsid w:val="00AA0C5D"/>
    <w:rsid w:val="00AA0D3F"/>
    <w:rsid w:val="00AA1262"/>
    <w:rsid w:val="00AA1652"/>
    <w:rsid w:val="00AA2035"/>
    <w:rsid w:val="00AA229C"/>
    <w:rsid w:val="00AA296E"/>
    <w:rsid w:val="00AA3282"/>
    <w:rsid w:val="00AA356A"/>
    <w:rsid w:val="00AA3ED7"/>
    <w:rsid w:val="00AA3F53"/>
    <w:rsid w:val="00AA421D"/>
    <w:rsid w:val="00AA507F"/>
    <w:rsid w:val="00AA54B2"/>
    <w:rsid w:val="00AA56F8"/>
    <w:rsid w:val="00AA5EBB"/>
    <w:rsid w:val="00AA61AD"/>
    <w:rsid w:val="00AA66CE"/>
    <w:rsid w:val="00AA685A"/>
    <w:rsid w:val="00AA777F"/>
    <w:rsid w:val="00AA7979"/>
    <w:rsid w:val="00AA7BEB"/>
    <w:rsid w:val="00AA7F28"/>
    <w:rsid w:val="00AB01C0"/>
    <w:rsid w:val="00AB0458"/>
    <w:rsid w:val="00AB08DC"/>
    <w:rsid w:val="00AB0F32"/>
    <w:rsid w:val="00AB16E5"/>
    <w:rsid w:val="00AB192A"/>
    <w:rsid w:val="00AB27BB"/>
    <w:rsid w:val="00AB2AAF"/>
    <w:rsid w:val="00AB2C6C"/>
    <w:rsid w:val="00AB307E"/>
    <w:rsid w:val="00AB3690"/>
    <w:rsid w:val="00AB38CF"/>
    <w:rsid w:val="00AB46F3"/>
    <w:rsid w:val="00AB4EC1"/>
    <w:rsid w:val="00AB5058"/>
    <w:rsid w:val="00AB5123"/>
    <w:rsid w:val="00AB5206"/>
    <w:rsid w:val="00AB58A1"/>
    <w:rsid w:val="00AB5BAD"/>
    <w:rsid w:val="00AB5D8F"/>
    <w:rsid w:val="00AB60CF"/>
    <w:rsid w:val="00AB6816"/>
    <w:rsid w:val="00AB696A"/>
    <w:rsid w:val="00AB7008"/>
    <w:rsid w:val="00AC0572"/>
    <w:rsid w:val="00AC0835"/>
    <w:rsid w:val="00AC0885"/>
    <w:rsid w:val="00AC0A58"/>
    <w:rsid w:val="00AC0EAA"/>
    <w:rsid w:val="00AC1115"/>
    <w:rsid w:val="00AC1136"/>
    <w:rsid w:val="00AC124C"/>
    <w:rsid w:val="00AC14FA"/>
    <w:rsid w:val="00AC15B9"/>
    <w:rsid w:val="00AC1B91"/>
    <w:rsid w:val="00AC21E5"/>
    <w:rsid w:val="00AC2588"/>
    <w:rsid w:val="00AC25C1"/>
    <w:rsid w:val="00AC2B6F"/>
    <w:rsid w:val="00AC2B83"/>
    <w:rsid w:val="00AC2C21"/>
    <w:rsid w:val="00AC2CB0"/>
    <w:rsid w:val="00AC3474"/>
    <w:rsid w:val="00AC3803"/>
    <w:rsid w:val="00AC38E6"/>
    <w:rsid w:val="00AC3C46"/>
    <w:rsid w:val="00AC45B9"/>
    <w:rsid w:val="00AC4882"/>
    <w:rsid w:val="00AC5390"/>
    <w:rsid w:val="00AC53C3"/>
    <w:rsid w:val="00AC5420"/>
    <w:rsid w:val="00AC555A"/>
    <w:rsid w:val="00AC5634"/>
    <w:rsid w:val="00AC5D15"/>
    <w:rsid w:val="00AC5E31"/>
    <w:rsid w:val="00AC609B"/>
    <w:rsid w:val="00AC73D9"/>
    <w:rsid w:val="00AC7ABA"/>
    <w:rsid w:val="00AC7EC3"/>
    <w:rsid w:val="00AD0045"/>
    <w:rsid w:val="00AD007F"/>
    <w:rsid w:val="00AD0423"/>
    <w:rsid w:val="00AD07D7"/>
    <w:rsid w:val="00AD09EF"/>
    <w:rsid w:val="00AD0D2F"/>
    <w:rsid w:val="00AD123B"/>
    <w:rsid w:val="00AD12DB"/>
    <w:rsid w:val="00AD1B07"/>
    <w:rsid w:val="00AD1C5C"/>
    <w:rsid w:val="00AD26E3"/>
    <w:rsid w:val="00AD2F41"/>
    <w:rsid w:val="00AD34F0"/>
    <w:rsid w:val="00AD3C3D"/>
    <w:rsid w:val="00AD40F9"/>
    <w:rsid w:val="00AD4614"/>
    <w:rsid w:val="00AD4ACF"/>
    <w:rsid w:val="00AD5CC5"/>
    <w:rsid w:val="00AD63A8"/>
    <w:rsid w:val="00AD6CA8"/>
    <w:rsid w:val="00AD7EFE"/>
    <w:rsid w:val="00AE057B"/>
    <w:rsid w:val="00AE0882"/>
    <w:rsid w:val="00AE0CD7"/>
    <w:rsid w:val="00AE1699"/>
    <w:rsid w:val="00AE16C4"/>
    <w:rsid w:val="00AE18D4"/>
    <w:rsid w:val="00AE1C39"/>
    <w:rsid w:val="00AE29F8"/>
    <w:rsid w:val="00AE2E04"/>
    <w:rsid w:val="00AE337B"/>
    <w:rsid w:val="00AE36E9"/>
    <w:rsid w:val="00AE3B79"/>
    <w:rsid w:val="00AE3D44"/>
    <w:rsid w:val="00AE4003"/>
    <w:rsid w:val="00AE42AE"/>
    <w:rsid w:val="00AE47B6"/>
    <w:rsid w:val="00AE4EA5"/>
    <w:rsid w:val="00AE4EB9"/>
    <w:rsid w:val="00AE5199"/>
    <w:rsid w:val="00AE61C0"/>
    <w:rsid w:val="00AE6316"/>
    <w:rsid w:val="00AE63E4"/>
    <w:rsid w:val="00AE6954"/>
    <w:rsid w:val="00AE74AD"/>
    <w:rsid w:val="00AE7629"/>
    <w:rsid w:val="00AE7938"/>
    <w:rsid w:val="00AF00ED"/>
    <w:rsid w:val="00AF04B4"/>
    <w:rsid w:val="00AF0BD1"/>
    <w:rsid w:val="00AF10E7"/>
    <w:rsid w:val="00AF162C"/>
    <w:rsid w:val="00AF1922"/>
    <w:rsid w:val="00AF1C5B"/>
    <w:rsid w:val="00AF2134"/>
    <w:rsid w:val="00AF218D"/>
    <w:rsid w:val="00AF2443"/>
    <w:rsid w:val="00AF259D"/>
    <w:rsid w:val="00AF2918"/>
    <w:rsid w:val="00AF2AB8"/>
    <w:rsid w:val="00AF2F96"/>
    <w:rsid w:val="00AF2FE1"/>
    <w:rsid w:val="00AF3787"/>
    <w:rsid w:val="00AF378B"/>
    <w:rsid w:val="00AF3986"/>
    <w:rsid w:val="00AF4ACA"/>
    <w:rsid w:val="00AF4B6F"/>
    <w:rsid w:val="00AF5191"/>
    <w:rsid w:val="00AF5970"/>
    <w:rsid w:val="00AF62CA"/>
    <w:rsid w:val="00AF6F5F"/>
    <w:rsid w:val="00AF700D"/>
    <w:rsid w:val="00AF749D"/>
    <w:rsid w:val="00B00CFD"/>
    <w:rsid w:val="00B00EB0"/>
    <w:rsid w:val="00B0156C"/>
    <w:rsid w:val="00B01D48"/>
    <w:rsid w:val="00B02878"/>
    <w:rsid w:val="00B028DF"/>
    <w:rsid w:val="00B02B68"/>
    <w:rsid w:val="00B02BF1"/>
    <w:rsid w:val="00B0360E"/>
    <w:rsid w:val="00B03876"/>
    <w:rsid w:val="00B03E1F"/>
    <w:rsid w:val="00B044C4"/>
    <w:rsid w:val="00B0451E"/>
    <w:rsid w:val="00B0465B"/>
    <w:rsid w:val="00B0482E"/>
    <w:rsid w:val="00B04B4E"/>
    <w:rsid w:val="00B0524D"/>
    <w:rsid w:val="00B0590B"/>
    <w:rsid w:val="00B0599C"/>
    <w:rsid w:val="00B066F9"/>
    <w:rsid w:val="00B07809"/>
    <w:rsid w:val="00B07A4F"/>
    <w:rsid w:val="00B07E46"/>
    <w:rsid w:val="00B103AB"/>
    <w:rsid w:val="00B107B9"/>
    <w:rsid w:val="00B10942"/>
    <w:rsid w:val="00B109F6"/>
    <w:rsid w:val="00B10D21"/>
    <w:rsid w:val="00B112E5"/>
    <w:rsid w:val="00B11E1F"/>
    <w:rsid w:val="00B12067"/>
    <w:rsid w:val="00B12327"/>
    <w:rsid w:val="00B12D48"/>
    <w:rsid w:val="00B131F5"/>
    <w:rsid w:val="00B13A06"/>
    <w:rsid w:val="00B14144"/>
    <w:rsid w:val="00B141CD"/>
    <w:rsid w:val="00B14986"/>
    <w:rsid w:val="00B14A74"/>
    <w:rsid w:val="00B14C36"/>
    <w:rsid w:val="00B1564D"/>
    <w:rsid w:val="00B15A39"/>
    <w:rsid w:val="00B1627D"/>
    <w:rsid w:val="00B163BB"/>
    <w:rsid w:val="00B16569"/>
    <w:rsid w:val="00B175DA"/>
    <w:rsid w:val="00B176CC"/>
    <w:rsid w:val="00B17F1B"/>
    <w:rsid w:val="00B20006"/>
    <w:rsid w:val="00B2014F"/>
    <w:rsid w:val="00B20504"/>
    <w:rsid w:val="00B20591"/>
    <w:rsid w:val="00B20685"/>
    <w:rsid w:val="00B2159E"/>
    <w:rsid w:val="00B21761"/>
    <w:rsid w:val="00B21A92"/>
    <w:rsid w:val="00B21B2C"/>
    <w:rsid w:val="00B229ED"/>
    <w:rsid w:val="00B234A0"/>
    <w:rsid w:val="00B23B32"/>
    <w:rsid w:val="00B23EF7"/>
    <w:rsid w:val="00B23F0D"/>
    <w:rsid w:val="00B24A81"/>
    <w:rsid w:val="00B24D3D"/>
    <w:rsid w:val="00B25CED"/>
    <w:rsid w:val="00B268C6"/>
    <w:rsid w:val="00B26A99"/>
    <w:rsid w:val="00B273A7"/>
    <w:rsid w:val="00B275B5"/>
    <w:rsid w:val="00B30250"/>
    <w:rsid w:val="00B30603"/>
    <w:rsid w:val="00B30A8E"/>
    <w:rsid w:val="00B31054"/>
    <w:rsid w:val="00B31063"/>
    <w:rsid w:val="00B31168"/>
    <w:rsid w:val="00B312B7"/>
    <w:rsid w:val="00B31E41"/>
    <w:rsid w:val="00B31F61"/>
    <w:rsid w:val="00B3277E"/>
    <w:rsid w:val="00B32A65"/>
    <w:rsid w:val="00B32B95"/>
    <w:rsid w:val="00B32D44"/>
    <w:rsid w:val="00B32E77"/>
    <w:rsid w:val="00B33BC6"/>
    <w:rsid w:val="00B34483"/>
    <w:rsid w:val="00B34BCD"/>
    <w:rsid w:val="00B352CC"/>
    <w:rsid w:val="00B35E37"/>
    <w:rsid w:val="00B361E3"/>
    <w:rsid w:val="00B375EF"/>
    <w:rsid w:val="00B37747"/>
    <w:rsid w:val="00B37A35"/>
    <w:rsid w:val="00B37D03"/>
    <w:rsid w:val="00B37EE5"/>
    <w:rsid w:val="00B37EE7"/>
    <w:rsid w:val="00B37F90"/>
    <w:rsid w:val="00B4033D"/>
    <w:rsid w:val="00B40531"/>
    <w:rsid w:val="00B40571"/>
    <w:rsid w:val="00B40AB9"/>
    <w:rsid w:val="00B40B6E"/>
    <w:rsid w:val="00B413B2"/>
    <w:rsid w:val="00B415A8"/>
    <w:rsid w:val="00B41D50"/>
    <w:rsid w:val="00B41F6E"/>
    <w:rsid w:val="00B42A9E"/>
    <w:rsid w:val="00B42F5A"/>
    <w:rsid w:val="00B43707"/>
    <w:rsid w:val="00B43A6D"/>
    <w:rsid w:val="00B45166"/>
    <w:rsid w:val="00B458F3"/>
    <w:rsid w:val="00B45DFA"/>
    <w:rsid w:val="00B469AB"/>
    <w:rsid w:val="00B46CAE"/>
    <w:rsid w:val="00B47089"/>
    <w:rsid w:val="00B4745E"/>
    <w:rsid w:val="00B4784E"/>
    <w:rsid w:val="00B47AD9"/>
    <w:rsid w:val="00B47C75"/>
    <w:rsid w:val="00B47CF0"/>
    <w:rsid w:val="00B50124"/>
    <w:rsid w:val="00B50549"/>
    <w:rsid w:val="00B50BDB"/>
    <w:rsid w:val="00B50DA7"/>
    <w:rsid w:val="00B52B2D"/>
    <w:rsid w:val="00B52D45"/>
    <w:rsid w:val="00B52F06"/>
    <w:rsid w:val="00B53024"/>
    <w:rsid w:val="00B530CA"/>
    <w:rsid w:val="00B5312C"/>
    <w:rsid w:val="00B532D6"/>
    <w:rsid w:val="00B5332F"/>
    <w:rsid w:val="00B5341A"/>
    <w:rsid w:val="00B53596"/>
    <w:rsid w:val="00B5383A"/>
    <w:rsid w:val="00B54649"/>
    <w:rsid w:val="00B54AE5"/>
    <w:rsid w:val="00B54C76"/>
    <w:rsid w:val="00B54E21"/>
    <w:rsid w:val="00B55014"/>
    <w:rsid w:val="00B569A3"/>
    <w:rsid w:val="00B569F8"/>
    <w:rsid w:val="00B57726"/>
    <w:rsid w:val="00B57A8C"/>
    <w:rsid w:val="00B60172"/>
    <w:rsid w:val="00B6044A"/>
    <w:rsid w:val="00B60642"/>
    <w:rsid w:val="00B61129"/>
    <w:rsid w:val="00B614B0"/>
    <w:rsid w:val="00B616C3"/>
    <w:rsid w:val="00B61AD6"/>
    <w:rsid w:val="00B61D12"/>
    <w:rsid w:val="00B61F4D"/>
    <w:rsid w:val="00B61FE3"/>
    <w:rsid w:val="00B62119"/>
    <w:rsid w:val="00B621FB"/>
    <w:rsid w:val="00B6235F"/>
    <w:rsid w:val="00B62435"/>
    <w:rsid w:val="00B635CE"/>
    <w:rsid w:val="00B63AF9"/>
    <w:rsid w:val="00B64032"/>
    <w:rsid w:val="00B6439B"/>
    <w:rsid w:val="00B645A4"/>
    <w:rsid w:val="00B64E15"/>
    <w:rsid w:val="00B651F9"/>
    <w:rsid w:val="00B65C35"/>
    <w:rsid w:val="00B65E55"/>
    <w:rsid w:val="00B66302"/>
    <w:rsid w:val="00B66E12"/>
    <w:rsid w:val="00B678A1"/>
    <w:rsid w:val="00B67903"/>
    <w:rsid w:val="00B67D22"/>
    <w:rsid w:val="00B70656"/>
    <w:rsid w:val="00B70A36"/>
    <w:rsid w:val="00B70C81"/>
    <w:rsid w:val="00B712E7"/>
    <w:rsid w:val="00B720D6"/>
    <w:rsid w:val="00B72355"/>
    <w:rsid w:val="00B726CF"/>
    <w:rsid w:val="00B73C96"/>
    <w:rsid w:val="00B7402E"/>
    <w:rsid w:val="00B74CA4"/>
    <w:rsid w:val="00B74D85"/>
    <w:rsid w:val="00B75A1E"/>
    <w:rsid w:val="00B75C99"/>
    <w:rsid w:val="00B75CC3"/>
    <w:rsid w:val="00B76619"/>
    <w:rsid w:val="00B76896"/>
    <w:rsid w:val="00B76E10"/>
    <w:rsid w:val="00B775EF"/>
    <w:rsid w:val="00B7764C"/>
    <w:rsid w:val="00B80254"/>
    <w:rsid w:val="00B80723"/>
    <w:rsid w:val="00B80EEA"/>
    <w:rsid w:val="00B810EF"/>
    <w:rsid w:val="00B811FC"/>
    <w:rsid w:val="00B81C06"/>
    <w:rsid w:val="00B81F1C"/>
    <w:rsid w:val="00B82969"/>
    <w:rsid w:val="00B829B9"/>
    <w:rsid w:val="00B83250"/>
    <w:rsid w:val="00B833AB"/>
    <w:rsid w:val="00B8346D"/>
    <w:rsid w:val="00B83B1D"/>
    <w:rsid w:val="00B83B20"/>
    <w:rsid w:val="00B83B76"/>
    <w:rsid w:val="00B83F0E"/>
    <w:rsid w:val="00B8423D"/>
    <w:rsid w:val="00B84783"/>
    <w:rsid w:val="00B84EB2"/>
    <w:rsid w:val="00B84EE7"/>
    <w:rsid w:val="00B84F66"/>
    <w:rsid w:val="00B8542A"/>
    <w:rsid w:val="00B8550A"/>
    <w:rsid w:val="00B859EB"/>
    <w:rsid w:val="00B85A9A"/>
    <w:rsid w:val="00B85D8D"/>
    <w:rsid w:val="00B860A9"/>
    <w:rsid w:val="00B863DC"/>
    <w:rsid w:val="00B86C45"/>
    <w:rsid w:val="00B86C93"/>
    <w:rsid w:val="00B86E4C"/>
    <w:rsid w:val="00B8704A"/>
    <w:rsid w:val="00B87793"/>
    <w:rsid w:val="00B87A48"/>
    <w:rsid w:val="00B905A2"/>
    <w:rsid w:val="00B90A13"/>
    <w:rsid w:val="00B91798"/>
    <w:rsid w:val="00B91B82"/>
    <w:rsid w:val="00B91D4E"/>
    <w:rsid w:val="00B923CB"/>
    <w:rsid w:val="00B92707"/>
    <w:rsid w:val="00B9312B"/>
    <w:rsid w:val="00B93692"/>
    <w:rsid w:val="00B942FA"/>
    <w:rsid w:val="00B94A60"/>
    <w:rsid w:val="00B9579A"/>
    <w:rsid w:val="00B95E96"/>
    <w:rsid w:val="00B965CD"/>
    <w:rsid w:val="00B96848"/>
    <w:rsid w:val="00B96EC7"/>
    <w:rsid w:val="00B97029"/>
    <w:rsid w:val="00BA0377"/>
    <w:rsid w:val="00BA0424"/>
    <w:rsid w:val="00BA06AD"/>
    <w:rsid w:val="00BA070F"/>
    <w:rsid w:val="00BA0BEE"/>
    <w:rsid w:val="00BA0CD9"/>
    <w:rsid w:val="00BA1CC0"/>
    <w:rsid w:val="00BA2165"/>
    <w:rsid w:val="00BA250F"/>
    <w:rsid w:val="00BA2693"/>
    <w:rsid w:val="00BA335C"/>
    <w:rsid w:val="00BA363B"/>
    <w:rsid w:val="00BA36A7"/>
    <w:rsid w:val="00BA3917"/>
    <w:rsid w:val="00BA39DD"/>
    <w:rsid w:val="00BA417E"/>
    <w:rsid w:val="00BA4927"/>
    <w:rsid w:val="00BA500E"/>
    <w:rsid w:val="00BA575A"/>
    <w:rsid w:val="00BA593A"/>
    <w:rsid w:val="00BA5D5F"/>
    <w:rsid w:val="00BA5F4B"/>
    <w:rsid w:val="00BA6165"/>
    <w:rsid w:val="00BA61A1"/>
    <w:rsid w:val="00BA67EE"/>
    <w:rsid w:val="00BA694F"/>
    <w:rsid w:val="00BA711F"/>
    <w:rsid w:val="00BA763A"/>
    <w:rsid w:val="00BA7A01"/>
    <w:rsid w:val="00BA7EE2"/>
    <w:rsid w:val="00BB017A"/>
    <w:rsid w:val="00BB01EB"/>
    <w:rsid w:val="00BB0EE5"/>
    <w:rsid w:val="00BB2C29"/>
    <w:rsid w:val="00BB2CAB"/>
    <w:rsid w:val="00BB31A1"/>
    <w:rsid w:val="00BB3950"/>
    <w:rsid w:val="00BB3A82"/>
    <w:rsid w:val="00BB3BAA"/>
    <w:rsid w:val="00BB428D"/>
    <w:rsid w:val="00BB4659"/>
    <w:rsid w:val="00BB4983"/>
    <w:rsid w:val="00BB573B"/>
    <w:rsid w:val="00BB5987"/>
    <w:rsid w:val="00BB623E"/>
    <w:rsid w:val="00BB65AA"/>
    <w:rsid w:val="00BB6938"/>
    <w:rsid w:val="00BB6EDF"/>
    <w:rsid w:val="00BB73ED"/>
    <w:rsid w:val="00BB75C0"/>
    <w:rsid w:val="00BB77AF"/>
    <w:rsid w:val="00BB7D9E"/>
    <w:rsid w:val="00BB7E47"/>
    <w:rsid w:val="00BC0964"/>
    <w:rsid w:val="00BC0985"/>
    <w:rsid w:val="00BC0E84"/>
    <w:rsid w:val="00BC16A5"/>
    <w:rsid w:val="00BC173C"/>
    <w:rsid w:val="00BC1DF6"/>
    <w:rsid w:val="00BC2491"/>
    <w:rsid w:val="00BC25A6"/>
    <w:rsid w:val="00BC2F63"/>
    <w:rsid w:val="00BC30E9"/>
    <w:rsid w:val="00BC34FD"/>
    <w:rsid w:val="00BC3875"/>
    <w:rsid w:val="00BC4197"/>
    <w:rsid w:val="00BC44D0"/>
    <w:rsid w:val="00BC479F"/>
    <w:rsid w:val="00BC4D8E"/>
    <w:rsid w:val="00BC4EA0"/>
    <w:rsid w:val="00BC4ED2"/>
    <w:rsid w:val="00BC4F68"/>
    <w:rsid w:val="00BC53D0"/>
    <w:rsid w:val="00BC5473"/>
    <w:rsid w:val="00BC549E"/>
    <w:rsid w:val="00BC5C62"/>
    <w:rsid w:val="00BC6750"/>
    <w:rsid w:val="00BC722F"/>
    <w:rsid w:val="00BC7A54"/>
    <w:rsid w:val="00BC7CBC"/>
    <w:rsid w:val="00BC7DAD"/>
    <w:rsid w:val="00BD00BC"/>
    <w:rsid w:val="00BD088F"/>
    <w:rsid w:val="00BD0CC5"/>
    <w:rsid w:val="00BD0D80"/>
    <w:rsid w:val="00BD14EA"/>
    <w:rsid w:val="00BD1507"/>
    <w:rsid w:val="00BD1BF3"/>
    <w:rsid w:val="00BD1E29"/>
    <w:rsid w:val="00BD2940"/>
    <w:rsid w:val="00BD2B83"/>
    <w:rsid w:val="00BD3351"/>
    <w:rsid w:val="00BD37C3"/>
    <w:rsid w:val="00BD3954"/>
    <w:rsid w:val="00BD39F1"/>
    <w:rsid w:val="00BD3C98"/>
    <w:rsid w:val="00BD3FF2"/>
    <w:rsid w:val="00BD4541"/>
    <w:rsid w:val="00BD50F0"/>
    <w:rsid w:val="00BD5E6F"/>
    <w:rsid w:val="00BD5F94"/>
    <w:rsid w:val="00BD6086"/>
    <w:rsid w:val="00BD667A"/>
    <w:rsid w:val="00BD66B5"/>
    <w:rsid w:val="00BD6BD9"/>
    <w:rsid w:val="00BD6FF6"/>
    <w:rsid w:val="00BD7509"/>
    <w:rsid w:val="00BD7715"/>
    <w:rsid w:val="00BD794A"/>
    <w:rsid w:val="00BD7B15"/>
    <w:rsid w:val="00BD7BC2"/>
    <w:rsid w:val="00BE0439"/>
    <w:rsid w:val="00BE0537"/>
    <w:rsid w:val="00BE07EE"/>
    <w:rsid w:val="00BE07F2"/>
    <w:rsid w:val="00BE0880"/>
    <w:rsid w:val="00BE0A7C"/>
    <w:rsid w:val="00BE1001"/>
    <w:rsid w:val="00BE14B4"/>
    <w:rsid w:val="00BE14C0"/>
    <w:rsid w:val="00BE1C1B"/>
    <w:rsid w:val="00BE2C41"/>
    <w:rsid w:val="00BE31B7"/>
    <w:rsid w:val="00BE36C7"/>
    <w:rsid w:val="00BE42A5"/>
    <w:rsid w:val="00BE481B"/>
    <w:rsid w:val="00BE4A2E"/>
    <w:rsid w:val="00BE4A4C"/>
    <w:rsid w:val="00BE4BB7"/>
    <w:rsid w:val="00BE4E03"/>
    <w:rsid w:val="00BE51D8"/>
    <w:rsid w:val="00BE51EA"/>
    <w:rsid w:val="00BE575C"/>
    <w:rsid w:val="00BE60FD"/>
    <w:rsid w:val="00BE63BE"/>
    <w:rsid w:val="00BE68ED"/>
    <w:rsid w:val="00BE6BA0"/>
    <w:rsid w:val="00BE6F50"/>
    <w:rsid w:val="00BE706C"/>
    <w:rsid w:val="00BE7952"/>
    <w:rsid w:val="00BE7FAF"/>
    <w:rsid w:val="00BF0360"/>
    <w:rsid w:val="00BF0EAC"/>
    <w:rsid w:val="00BF145F"/>
    <w:rsid w:val="00BF1AED"/>
    <w:rsid w:val="00BF1E47"/>
    <w:rsid w:val="00BF28BE"/>
    <w:rsid w:val="00BF438F"/>
    <w:rsid w:val="00BF463C"/>
    <w:rsid w:val="00BF47C8"/>
    <w:rsid w:val="00BF4E15"/>
    <w:rsid w:val="00BF4E29"/>
    <w:rsid w:val="00BF4E59"/>
    <w:rsid w:val="00BF56BA"/>
    <w:rsid w:val="00BF56C4"/>
    <w:rsid w:val="00BF5A02"/>
    <w:rsid w:val="00BF5A38"/>
    <w:rsid w:val="00BF5FCA"/>
    <w:rsid w:val="00BF61C5"/>
    <w:rsid w:val="00BF7267"/>
    <w:rsid w:val="00BF73B6"/>
    <w:rsid w:val="00BF761F"/>
    <w:rsid w:val="00BF7B0A"/>
    <w:rsid w:val="00BF7FC5"/>
    <w:rsid w:val="00C0024B"/>
    <w:rsid w:val="00C01288"/>
    <w:rsid w:val="00C0173A"/>
    <w:rsid w:val="00C0194B"/>
    <w:rsid w:val="00C019EF"/>
    <w:rsid w:val="00C02025"/>
    <w:rsid w:val="00C0258B"/>
    <w:rsid w:val="00C02EEF"/>
    <w:rsid w:val="00C03C39"/>
    <w:rsid w:val="00C03E5A"/>
    <w:rsid w:val="00C04203"/>
    <w:rsid w:val="00C04725"/>
    <w:rsid w:val="00C04D32"/>
    <w:rsid w:val="00C0511B"/>
    <w:rsid w:val="00C051F1"/>
    <w:rsid w:val="00C05B4C"/>
    <w:rsid w:val="00C05C52"/>
    <w:rsid w:val="00C062A9"/>
    <w:rsid w:val="00C065A6"/>
    <w:rsid w:val="00C066F9"/>
    <w:rsid w:val="00C068B1"/>
    <w:rsid w:val="00C06A27"/>
    <w:rsid w:val="00C076AE"/>
    <w:rsid w:val="00C07906"/>
    <w:rsid w:val="00C1001B"/>
    <w:rsid w:val="00C106BB"/>
    <w:rsid w:val="00C106C0"/>
    <w:rsid w:val="00C1087F"/>
    <w:rsid w:val="00C10BF8"/>
    <w:rsid w:val="00C11250"/>
    <w:rsid w:val="00C1184F"/>
    <w:rsid w:val="00C11C60"/>
    <w:rsid w:val="00C11D7B"/>
    <w:rsid w:val="00C120DA"/>
    <w:rsid w:val="00C12846"/>
    <w:rsid w:val="00C12A72"/>
    <w:rsid w:val="00C12C83"/>
    <w:rsid w:val="00C13A78"/>
    <w:rsid w:val="00C144B3"/>
    <w:rsid w:val="00C150B5"/>
    <w:rsid w:val="00C152B2"/>
    <w:rsid w:val="00C15DBA"/>
    <w:rsid w:val="00C16341"/>
    <w:rsid w:val="00C166F5"/>
    <w:rsid w:val="00C169B8"/>
    <w:rsid w:val="00C16B79"/>
    <w:rsid w:val="00C16D20"/>
    <w:rsid w:val="00C20310"/>
    <w:rsid w:val="00C209D2"/>
    <w:rsid w:val="00C20A6E"/>
    <w:rsid w:val="00C20B2A"/>
    <w:rsid w:val="00C20EDA"/>
    <w:rsid w:val="00C210BB"/>
    <w:rsid w:val="00C2221B"/>
    <w:rsid w:val="00C22783"/>
    <w:rsid w:val="00C227C7"/>
    <w:rsid w:val="00C2307E"/>
    <w:rsid w:val="00C2332A"/>
    <w:rsid w:val="00C23786"/>
    <w:rsid w:val="00C239F2"/>
    <w:rsid w:val="00C23B89"/>
    <w:rsid w:val="00C23CBB"/>
    <w:rsid w:val="00C24062"/>
    <w:rsid w:val="00C24F3B"/>
    <w:rsid w:val="00C251F5"/>
    <w:rsid w:val="00C25608"/>
    <w:rsid w:val="00C2590D"/>
    <w:rsid w:val="00C26230"/>
    <w:rsid w:val="00C26473"/>
    <w:rsid w:val="00C26EFB"/>
    <w:rsid w:val="00C26F98"/>
    <w:rsid w:val="00C26FC6"/>
    <w:rsid w:val="00C2715E"/>
    <w:rsid w:val="00C30009"/>
    <w:rsid w:val="00C30C25"/>
    <w:rsid w:val="00C30C30"/>
    <w:rsid w:val="00C30C6C"/>
    <w:rsid w:val="00C31172"/>
    <w:rsid w:val="00C313CB"/>
    <w:rsid w:val="00C3241D"/>
    <w:rsid w:val="00C326EF"/>
    <w:rsid w:val="00C328CA"/>
    <w:rsid w:val="00C3293B"/>
    <w:rsid w:val="00C32C7A"/>
    <w:rsid w:val="00C32D5D"/>
    <w:rsid w:val="00C3353B"/>
    <w:rsid w:val="00C335FE"/>
    <w:rsid w:val="00C3562E"/>
    <w:rsid w:val="00C363C7"/>
    <w:rsid w:val="00C36914"/>
    <w:rsid w:val="00C36D74"/>
    <w:rsid w:val="00C36FF3"/>
    <w:rsid w:val="00C37018"/>
    <w:rsid w:val="00C37405"/>
    <w:rsid w:val="00C408D9"/>
    <w:rsid w:val="00C41576"/>
    <w:rsid w:val="00C418F3"/>
    <w:rsid w:val="00C41A29"/>
    <w:rsid w:val="00C41DF0"/>
    <w:rsid w:val="00C41EA1"/>
    <w:rsid w:val="00C42B44"/>
    <w:rsid w:val="00C42BA0"/>
    <w:rsid w:val="00C42D94"/>
    <w:rsid w:val="00C42DE3"/>
    <w:rsid w:val="00C42F9E"/>
    <w:rsid w:val="00C43005"/>
    <w:rsid w:val="00C4300A"/>
    <w:rsid w:val="00C430AB"/>
    <w:rsid w:val="00C440A0"/>
    <w:rsid w:val="00C4468A"/>
    <w:rsid w:val="00C44947"/>
    <w:rsid w:val="00C449D4"/>
    <w:rsid w:val="00C44A44"/>
    <w:rsid w:val="00C453BA"/>
    <w:rsid w:val="00C45E0C"/>
    <w:rsid w:val="00C45F19"/>
    <w:rsid w:val="00C466A8"/>
    <w:rsid w:val="00C46B4D"/>
    <w:rsid w:val="00C47306"/>
    <w:rsid w:val="00C47740"/>
    <w:rsid w:val="00C47942"/>
    <w:rsid w:val="00C47C4C"/>
    <w:rsid w:val="00C50249"/>
    <w:rsid w:val="00C50411"/>
    <w:rsid w:val="00C51D6A"/>
    <w:rsid w:val="00C52158"/>
    <w:rsid w:val="00C52311"/>
    <w:rsid w:val="00C52333"/>
    <w:rsid w:val="00C526A5"/>
    <w:rsid w:val="00C539C1"/>
    <w:rsid w:val="00C53D2E"/>
    <w:rsid w:val="00C53F64"/>
    <w:rsid w:val="00C54442"/>
    <w:rsid w:val="00C54634"/>
    <w:rsid w:val="00C55532"/>
    <w:rsid w:val="00C55558"/>
    <w:rsid w:val="00C55DB8"/>
    <w:rsid w:val="00C5636F"/>
    <w:rsid w:val="00C56BC6"/>
    <w:rsid w:val="00C56C0B"/>
    <w:rsid w:val="00C56EF7"/>
    <w:rsid w:val="00C57C91"/>
    <w:rsid w:val="00C57D84"/>
    <w:rsid w:val="00C60457"/>
    <w:rsid w:val="00C60582"/>
    <w:rsid w:val="00C611EF"/>
    <w:rsid w:val="00C61455"/>
    <w:rsid w:val="00C6151C"/>
    <w:rsid w:val="00C61793"/>
    <w:rsid w:val="00C619A6"/>
    <w:rsid w:val="00C61EDF"/>
    <w:rsid w:val="00C62150"/>
    <w:rsid w:val="00C621F9"/>
    <w:rsid w:val="00C633E3"/>
    <w:rsid w:val="00C6348E"/>
    <w:rsid w:val="00C634BC"/>
    <w:rsid w:val="00C63D47"/>
    <w:rsid w:val="00C63F92"/>
    <w:rsid w:val="00C64016"/>
    <w:rsid w:val="00C64C8A"/>
    <w:rsid w:val="00C64E71"/>
    <w:rsid w:val="00C6501B"/>
    <w:rsid w:val="00C650AA"/>
    <w:rsid w:val="00C65657"/>
    <w:rsid w:val="00C6679F"/>
    <w:rsid w:val="00C6681D"/>
    <w:rsid w:val="00C709E9"/>
    <w:rsid w:val="00C70B4B"/>
    <w:rsid w:val="00C710C0"/>
    <w:rsid w:val="00C714CC"/>
    <w:rsid w:val="00C71973"/>
    <w:rsid w:val="00C71F59"/>
    <w:rsid w:val="00C72090"/>
    <w:rsid w:val="00C721F5"/>
    <w:rsid w:val="00C72F66"/>
    <w:rsid w:val="00C73769"/>
    <w:rsid w:val="00C739A0"/>
    <w:rsid w:val="00C74225"/>
    <w:rsid w:val="00C748BB"/>
    <w:rsid w:val="00C7493D"/>
    <w:rsid w:val="00C74D89"/>
    <w:rsid w:val="00C74E33"/>
    <w:rsid w:val="00C77E6B"/>
    <w:rsid w:val="00C77EA9"/>
    <w:rsid w:val="00C805E8"/>
    <w:rsid w:val="00C80935"/>
    <w:rsid w:val="00C80A30"/>
    <w:rsid w:val="00C812E8"/>
    <w:rsid w:val="00C81B34"/>
    <w:rsid w:val="00C81B49"/>
    <w:rsid w:val="00C81D61"/>
    <w:rsid w:val="00C81ECF"/>
    <w:rsid w:val="00C82003"/>
    <w:rsid w:val="00C82865"/>
    <w:rsid w:val="00C82A97"/>
    <w:rsid w:val="00C833A6"/>
    <w:rsid w:val="00C838C8"/>
    <w:rsid w:val="00C83B7B"/>
    <w:rsid w:val="00C83DC8"/>
    <w:rsid w:val="00C83EF2"/>
    <w:rsid w:val="00C83EFC"/>
    <w:rsid w:val="00C8430B"/>
    <w:rsid w:val="00C845D7"/>
    <w:rsid w:val="00C853F9"/>
    <w:rsid w:val="00C874F3"/>
    <w:rsid w:val="00C87E83"/>
    <w:rsid w:val="00C903CD"/>
    <w:rsid w:val="00C91506"/>
    <w:rsid w:val="00C91A73"/>
    <w:rsid w:val="00C93092"/>
    <w:rsid w:val="00C931EA"/>
    <w:rsid w:val="00C933A3"/>
    <w:rsid w:val="00C936E4"/>
    <w:rsid w:val="00C93D68"/>
    <w:rsid w:val="00C9509D"/>
    <w:rsid w:val="00C95103"/>
    <w:rsid w:val="00C952A6"/>
    <w:rsid w:val="00C95467"/>
    <w:rsid w:val="00C95675"/>
    <w:rsid w:val="00C95CF5"/>
    <w:rsid w:val="00C95E3E"/>
    <w:rsid w:val="00C95E4C"/>
    <w:rsid w:val="00C967EC"/>
    <w:rsid w:val="00C96A00"/>
    <w:rsid w:val="00C972D4"/>
    <w:rsid w:val="00CA014B"/>
    <w:rsid w:val="00CA0A2F"/>
    <w:rsid w:val="00CA0A5B"/>
    <w:rsid w:val="00CA0BBF"/>
    <w:rsid w:val="00CA0CB3"/>
    <w:rsid w:val="00CA116E"/>
    <w:rsid w:val="00CA14FA"/>
    <w:rsid w:val="00CA15AF"/>
    <w:rsid w:val="00CA15B8"/>
    <w:rsid w:val="00CA162E"/>
    <w:rsid w:val="00CA188E"/>
    <w:rsid w:val="00CA277F"/>
    <w:rsid w:val="00CA2BEE"/>
    <w:rsid w:val="00CA315A"/>
    <w:rsid w:val="00CA31D8"/>
    <w:rsid w:val="00CA3677"/>
    <w:rsid w:val="00CA42C0"/>
    <w:rsid w:val="00CA4B76"/>
    <w:rsid w:val="00CA5714"/>
    <w:rsid w:val="00CA586D"/>
    <w:rsid w:val="00CA5AAF"/>
    <w:rsid w:val="00CA5D19"/>
    <w:rsid w:val="00CA5DA5"/>
    <w:rsid w:val="00CA5F2E"/>
    <w:rsid w:val="00CA652A"/>
    <w:rsid w:val="00CA66E2"/>
    <w:rsid w:val="00CA6812"/>
    <w:rsid w:val="00CA6910"/>
    <w:rsid w:val="00CA6C09"/>
    <w:rsid w:val="00CA70FF"/>
    <w:rsid w:val="00CA74F0"/>
    <w:rsid w:val="00CA7A19"/>
    <w:rsid w:val="00CA7C59"/>
    <w:rsid w:val="00CA7F68"/>
    <w:rsid w:val="00CB03C9"/>
    <w:rsid w:val="00CB096D"/>
    <w:rsid w:val="00CB1039"/>
    <w:rsid w:val="00CB139E"/>
    <w:rsid w:val="00CB1EE2"/>
    <w:rsid w:val="00CB21C0"/>
    <w:rsid w:val="00CB22EC"/>
    <w:rsid w:val="00CB287B"/>
    <w:rsid w:val="00CB2B49"/>
    <w:rsid w:val="00CB2C95"/>
    <w:rsid w:val="00CB329E"/>
    <w:rsid w:val="00CB379B"/>
    <w:rsid w:val="00CB3AF5"/>
    <w:rsid w:val="00CB40B1"/>
    <w:rsid w:val="00CB5431"/>
    <w:rsid w:val="00CB59A8"/>
    <w:rsid w:val="00CB5A37"/>
    <w:rsid w:val="00CB5ACE"/>
    <w:rsid w:val="00CB5B1E"/>
    <w:rsid w:val="00CB5C0F"/>
    <w:rsid w:val="00CB6066"/>
    <w:rsid w:val="00CB6466"/>
    <w:rsid w:val="00CB652F"/>
    <w:rsid w:val="00CB662B"/>
    <w:rsid w:val="00CB669B"/>
    <w:rsid w:val="00CB6A9D"/>
    <w:rsid w:val="00CB736B"/>
    <w:rsid w:val="00CB7484"/>
    <w:rsid w:val="00CB765C"/>
    <w:rsid w:val="00CB7DAD"/>
    <w:rsid w:val="00CC001B"/>
    <w:rsid w:val="00CC008E"/>
    <w:rsid w:val="00CC112B"/>
    <w:rsid w:val="00CC13F8"/>
    <w:rsid w:val="00CC16D1"/>
    <w:rsid w:val="00CC187B"/>
    <w:rsid w:val="00CC1D1F"/>
    <w:rsid w:val="00CC2522"/>
    <w:rsid w:val="00CC2525"/>
    <w:rsid w:val="00CC27A8"/>
    <w:rsid w:val="00CC2C41"/>
    <w:rsid w:val="00CC34D0"/>
    <w:rsid w:val="00CC40DC"/>
    <w:rsid w:val="00CC5A92"/>
    <w:rsid w:val="00CC680D"/>
    <w:rsid w:val="00CC6ABB"/>
    <w:rsid w:val="00CC6BEA"/>
    <w:rsid w:val="00CC6C24"/>
    <w:rsid w:val="00CC7BF6"/>
    <w:rsid w:val="00CC7DEE"/>
    <w:rsid w:val="00CD0518"/>
    <w:rsid w:val="00CD08D2"/>
    <w:rsid w:val="00CD1475"/>
    <w:rsid w:val="00CD178E"/>
    <w:rsid w:val="00CD201B"/>
    <w:rsid w:val="00CD2E9E"/>
    <w:rsid w:val="00CD3637"/>
    <w:rsid w:val="00CD3ECD"/>
    <w:rsid w:val="00CD470E"/>
    <w:rsid w:val="00CD4F8C"/>
    <w:rsid w:val="00CD511C"/>
    <w:rsid w:val="00CD531A"/>
    <w:rsid w:val="00CD5923"/>
    <w:rsid w:val="00CD6543"/>
    <w:rsid w:val="00CD68C5"/>
    <w:rsid w:val="00CD6910"/>
    <w:rsid w:val="00CD6989"/>
    <w:rsid w:val="00CD6C5A"/>
    <w:rsid w:val="00CD73CF"/>
    <w:rsid w:val="00CD76F4"/>
    <w:rsid w:val="00CD7764"/>
    <w:rsid w:val="00CD7CF6"/>
    <w:rsid w:val="00CE013E"/>
    <w:rsid w:val="00CE0481"/>
    <w:rsid w:val="00CE1558"/>
    <w:rsid w:val="00CE15A1"/>
    <w:rsid w:val="00CE172B"/>
    <w:rsid w:val="00CE1AAE"/>
    <w:rsid w:val="00CE1C31"/>
    <w:rsid w:val="00CE1ED0"/>
    <w:rsid w:val="00CE2355"/>
    <w:rsid w:val="00CE25A7"/>
    <w:rsid w:val="00CE2607"/>
    <w:rsid w:val="00CE26AC"/>
    <w:rsid w:val="00CE2755"/>
    <w:rsid w:val="00CE28C2"/>
    <w:rsid w:val="00CE2925"/>
    <w:rsid w:val="00CE2FBB"/>
    <w:rsid w:val="00CE31F2"/>
    <w:rsid w:val="00CE39CE"/>
    <w:rsid w:val="00CE4DFA"/>
    <w:rsid w:val="00CE512B"/>
    <w:rsid w:val="00CE5B37"/>
    <w:rsid w:val="00CE5D9E"/>
    <w:rsid w:val="00CE6750"/>
    <w:rsid w:val="00CE6E31"/>
    <w:rsid w:val="00CE6F0A"/>
    <w:rsid w:val="00CE7578"/>
    <w:rsid w:val="00CE75C3"/>
    <w:rsid w:val="00CE78F4"/>
    <w:rsid w:val="00CE793D"/>
    <w:rsid w:val="00CF012E"/>
    <w:rsid w:val="00CF01E5"/>
    <w:rsid w:val="00CF0251"/>
    <w:rsid w:val="00CF03E2"/>
    <w:rsid w:val="00CF09C4"/>
    <w:rsid w:val="00CF0ADB"/>
    <w:rsid w:val="00CF10CE"/>
    <w:rsid w:val="00CF122A"/>
    <w:rsid w:val="00CF1328"/>
    <w:rsid w:val="00CF179B"/>
    <w:rsid w:val="00CF2224"/>
    <w:rsid w:val="00CF2362"/>
    <w:rsid w:val="00CF292B"/>
    <w:rsid w:val="00CF2991"/>
    <w:rsid w:val="00CF2E99"/>
    <w:rsid w:val="00CF396A"/>
    <w:rsid w:val="00CF45CE"/>
    <w:rsid w:val="00CF4DCC"/>
    <w:rsid w:val="00CF58F0"/>
    <w:rsid w:val="00CF5A4C"/>
    <w:rsid w:val="00CF5C75"/>
    <w:rsid w:val="00CF5D88"/>
    <w:rsid w:val="00CF60E1"/>
    <w:rsid w:val="00CF67C4"/>
    <w:rsid w:val="00CF6F88"/>
    <w:rsid w:val="00CF7567"/>
    <w:rsid w:val="00D007AD"/>
    <w:rsid w:val="00D0088B"/>
    <w:rsid w:val="00D008E9"/>
    <w:rsid w:val="00D009FC"/>
    <w:rsid w:val="00D00C36"/>
    <w:rsid w:val="00D00C8B"/>
    <w:rsid w:val="00D00DBB"/>
    <w:rsid w:val="00D00DF4"/>
    <w:rsid w:val="00D01C21"/>
    <w:rsid w:val="00D01DC3"/>
    <w:rsid w:val="00D01E74"/>
    <w:rsid w:val="00D01E80"/>
    <w:rsid w:val="00D0275D"/>
    <w:rsid w:val="00D03152"/>
    <w:rsid w:val="00D03658"/>
    <w:rsid w:val="00D0446B"/>
    <w:rsid w:val="00D05265"/>
    <w:rsid w:val="00D052AE"/>
    <w:rsid w:val="00D05EA7"/>
    <w:rsid w:val="00D06410"/>
    <w:rsid w:val="00D06A4C"/>
    <w:rsid w:val="00D074F9"/>
    <w:rsid w:val="00D07628"/>
    <w:rsid w:val="00D1018C"/>
    <w:rsid w:val="00D1053C"/>
    <w:rsid w:val="00D1069D"/>
    <w:rsid w:val="00D10964"/>
    <w:rsid w:val="00D11628"/>
    <w:rsid w:val="00D11A4D"/>
    <w:rsid w:val="00D129A3"/>
    <w:rsid w:val="00D12D36"/>
    <w:rsid w:val="00D12F84"/>
    <w:rsid w:val="00D13798"/>
    <w:rsid w:val="00D138A4"/>
    <w:rsid w:val="00D1396E"/>
    <w:rsid w:val="00D13F6D"/>
    <w:rsid w:val="00D141F4"/>
    <w:rsid w:val="00D148BF"/>
    <w:rsid w:val="00D14FA0"/>
    <w:rsid w:val="00D152A2"/>
    <w:rsid w:val="00D15981"/>
    <w:rsid w:val="00D161F3"/>
    <w:rsid w:val="00D162C4"/>
    <w:rsid w:val="00D1668E"/>
    <w:rsid w:val="00D17987"/>
    <w:rsid w:val="00D205B5"/>
    <w:rsid w:val="00D207D7"/>
    <w:rsid w:val="00D207F0"/>
    <w:rsid w:val="00D226EB"/>
    <w:rsid w:val="00D228E5"/>
    <w:rsid w:val="00D22C56"/>
    <w:rsid w:val="00D2311E"/>
    <w:rsid w:val="00D233C0"/>
    <w:rsid w:val="00D23560"/>
    <w:rsid w:val="00D23678"/>
    <w:rsid w:val="00D23CAF"/>
    <w:rsid w:val="00D24609"/>
    <w:rsid w:val="00D2480D"/>
    <w:rsid w:val="00D24936"/>
    <w:rsid w:val="00D24A1A"/>
    <w:rsid w:val="00D253E5"/>
    <w:rsid w:val="00D256CB"/>
    <w:rsid w:val="00D25BF5"/>
    <w:rsid w:val="00D260E2"/>
    <w:rsid w:val="00D26269"/>
    <w:rsid w:val="00D266FC"/>
    <w:rsid w:val="00D26929"/>
    <w:rsid w:val="00D26D1A"/>
    <w:rsid w:val="00D2771A"/>
    <w:rsid w:val="00D27918"/>
    <w:rsid w:val="00D305D1"/>
    <w:rsid w:val="00D310B3"/>
    <w:rsid w:val="00D31BDC"/>
    <w:rsid w:val="00D32028"/>
    <w:rsid w:val="00D3229D"/>
    <w:rsid w:val="00D32978"/>
    <w:rsid w:val="00D32A0F"/>
    <w:rsid w:val="00D332C3"/>
    <w:rsid w:val="00D33531"/>
    <w:rsid w:val="00D3379D"/>
    <w:rsid w:val="00D33CDE"/>
    <w:rsid w:val="00D341DB"/>
    <w:rsid w:val="00D343EE"/>
    <w:rsid w:val="00D348F7"/>
    <w:rsid w:val="00D34CE6"/>
    <w:rsid w:val="00D34D85"/>
    <w:rsid w:val="00D34DBA"/>
    <w:rsid w:val="00D357BF"/>
    <w:rsid w:val="00D35983"/>
    <w:rsid w:val="00D35A24"/>
    <w:rsid w:val="00D35AA7"/>
    <w:rsid w:val="00D35B51"/>
    <w:rsid w:val="00D36814"/>
    <w:rsid w:val="00D36F95"/>
    <w:rsid w:val="00D371D8"/>
    <w:rsid w:val="00D3729F"/>
    <w:rsid w:val="00D37544"/>
    <w:rsid w:val="00D37992"/>
    <w:rsid w:val="00D37AC5"/>
    <w:rsid w:val="00D407E0"/>
    <w:rsid w:val="00D4115B"/>
    <w:rsid w:val="00D41431"/>
    <w:rsid w:val="00D4176F"/>
    <w:rsid w:val="00D422CC"/>
    <w:rsid w:val="00D42868"/>
    <w:rsid w:val="00D42BAB"/>
    <w:rsid w:val="00D4569C"/>
    <w:rsid w:val="00D45A20"/>
    <w:rsid w:val="00D45CFA"/>
    <w:rsid w:val="00D465CF"/>
    <w:rsid w:val="00D46F0F"/>
    <w:rsid w:val="00D47351"/>
    <w:rsid w:val="00D473A6"/>
    <w:rsid w:val="00D47696"/>
    <w:rsid w:val="00D47973"/>
    <w:rsid w:val="00D47C03"/>
    <w:rsid w:val="00D50417"/>
    <w:rsid w:val="00D50CD2"/>
    <w:rsid w:val="00D50E33"/>
    <w:rsid w:val="00D50F02"/>
    <w:rsid w:val="00D510A8"/>
    <w:rsid w:val="00D514FA"/>
    <w:rsid w:val="00D5177A"/>
    <w:rsid w:val="00D521F9"/>
    <w:rsid w:val="00D5247C"/>
    <w:rsid w:val="00D52D5E"/>
    <w:rsid w:val="00D52E5C"/>
    <w:rsid w:val="00D5310A"/>
    <w:rsid w:val="00D53316"/>
    <w:rsid w:val="00D53834"/>
    <w:rsid w:val="00D542B4"/>
    <w:rsid w:val="00D54509"/>
    <w:rsid w:val="00D546E9"/>
    <w:rsid w:val="00D548DF"/>
    <w:rsid w:val="00D55044"/>
    <w:rsid w:val="00D55D4C"/>
    <w:rsid w:val="00D55E2C"/>
    <w:rsid w:val="00D562A6"/>
    <w:rsid w:val="00D56429"/>
    <w:rsid w:val="00D57D1C"/>
    <w:rsid w:val="00D57E4E"/>
    <w:rsid w:val="00D57ED2"/>
    <w:rsid w:val="00D60BB3"/>
    <w:rsid w:val="00D60C66"/>
    <w:rsid w:val="00D623E4"/>
    <w:rsid w:val="00D62509"/>
    <w:rsid w:val="00D625FF"/>
    <w:rsid w:val="00D62869"/>
    <w:rsid w:val="00D62D1C"/>
    <w:rsid w:val="00D647BE"/>
    <w:rsid w:val="00D64D00"/>
    <w:rsid w:val="00D6596B"/>
    <w:rsid w:val="00D66018"/>
    <w:rsid w:val="00D66085"/>
    <w:rsid w:val="00D661D9"/>
    <w:rsid w:val="00D662C3"/>
    <w:rsid w:val="00D669E9"/>
    <w:rsid w:val="00D66DB3"/>
    <w:rsid w:val="00D6732F"/>
    <w:rsid w:val="00D6791E"/>
    <w:rsid w:val="00D70969"/>
    <w:rsid w:val="00D70F99"/>
    <w:rsid w:val="00D7175F"/>
    <w:rsid w:val="00D71942"/>
    <w:rsid w:val="00D72173"/>
    <w:rsid w:val="00D72548"/>
    <w:rsid w:val="00D72BFA"/>
    <w:rsid w:val="00D731FE"/>
    <w:rsid w:val="00D73225"/>
    <w:rsid w:val="00D7332D"/>
    <w:rsid w:val="00D736CB"/>
    <w:rsid w:val="00D738A2"/>
    <w:rsid w:val="00D7409C"/>
    <w:rsid w:val="00D74BD8"/>
    <w:rsid w:val="00D75256"/>
    <w:rsid w:val="00D75D42"/>
    <w:rsid w:val="00D76FFC"/>
    <w:rsid w:val="00D776E0"/>
    <w:rsid w:val="00D7794E"/>
    <w:rsid w:val="00D77B93"/>
    <w:rsid w:val="00D77BEC"/>
    <w:rsid w:val="00D77EDF"/>
    <w:rsid w:val="00D80537"/>
    <w:rsid w:val="00D80F43"/>
    <w:rsid w:val="00D811C1"/>
    <w:rsid w:val="00D81425"/>
    <w:rsid w:val="00D81DC2"/>
    <w:rsid w:val="00D81F05"/>
    <w:rsid w:val="00D81FB4"/>
    <w:rsid w:val="00D82404"/>
    <w:rsid w:val="00D82C8D"/>
    <w:rsid w:val="00D82F8B"/>
    <w:rsid w:val="00D830CC"/>
    <w:rsid w:val="00D830E4"/>
    <w:rsid w:val="00D83EEA"/>
    <w:rsid w:val="00D84547"/>
    <w:rsid w:val="00D84607"/>
    <w:rsid w:val="00D84C06"/>
    <w:rsid w:val="00D857D7"/>
    <w:rsid w:val="00D85A16"/>
    <w:rsid w:val="00D860E2"/>
    <w:rsid w:val="00D8638F"/>
    <w:rsid w:val="00D87070"/>
    <w:rsid w:val="00D8713F"/>
    <w:rsid w:val="00D87988"/>
    <w:rsid w:val="00D900A0"/>
    <w:rsid w:val="00D902A7"/>
    <w:rsid w:val="00D90DC0"/>
    <w:rsid w:val="00D91503"/>
    <w:rsid w:val="00D915DA"/>
    <w:rsid w:val="00D916D4"/>
    <w:rsid w:val="00D91B35"/>
    <w:rsid w:val="00D91CBB"/>
    <w:rsid w:val="00D921DB"/>
    <w:rsid w:val="00D931BC"/>
    <w:rsid w:val="00D9341D"/>
    <w:rsid w:val="00D93AB0"/>
    <w:rsid w:val="00D94473"/>
    <w:rsid w:val="00D94695"/>
    <w:rsid w:val="00D948AE"/>
    <w:rsid w:val="00D949EF"/>
    <w:rsid w:val="00D95741"/>
    <w:rsid w:val="00D95CD8"/>
    <w:rsid w:val="00D9633C"/>
    <w:rsid w:val="00D96C6F"/>
    <w:rsid w:val="00D970B0"/>
    <w:rsid w:val="00D972B6"/>
    <w:rsid w:val="00D978B9"/>
    <w:rsid w:val="00DA018A"/>
    <w:rsid w:val="00DA02EA"/>
    <w:rsid w:val="00DA152B"/>
    <w:rsid w:val="00DA1CE9"/>
    <w:rsid w:val="00DA1EC5"/>
    <w:rsid w:val="00DA201B"/>
    <w:rsid w:val="00DA2177"/>
    <w:rsid w:val="00DA249B"/>
    <w:rsid w:val="00DA290F"/>
    <w:rsid w:val="00DA2D77"/>
    <w:rsid w:val="00DA3061"/>
    <w:rsid w:val="00DA3098"/>
    <w:rsid w:val="00DA3667"/>
    <w:rsid w:val="00DA3D2B"/>
    <w:rsid w:val="00DA3F99"/>
    <w:rsid w:val="00DA3FC7"/>
    <w:rsid w:val="00DA4ADF"/>
    <w:rsid w:val="00DA4F4A"/>
    <w:rsid w:val="00DA5973"/>
    <w:rsid w:val="00DA609D"/>
    <w:rsid w:val="00DA661E"/>
    <w:rsid w:val="00DA695F"/>
    <w:rsid w:val="00DA6B63"/>
    <w:rsid w:val="00DA71A6"/>
    <w:rsid w:val="00DA71CC"/>
    <w:rsid w:val="00DA71DA"/>
    <w:rsid w:val="00DA76B0"/>
    <w:rsid w:val="00DA7B86"/>
    <w:rsid w:val="00DB01F7"/>
    <w:rsid w:val="00DB03BD"/>
    <w:rsid w:val="00DB0C2B"/>
    <w:rsid w:val="00DB0E78"/>
    <w:rsid w:val="00DB1C73"/>
    <w:rsid w:val="00DB1F96"/>
    <w:rsid w:val="00DB282D"/>
    <w:rsid w:val="00DB2A04"/>
    <w:rsid w:val="00DB39EC"/>
    <w:rsid w:val="00DB3C60"/>
    <w:rsid w:val="00DB4834"/>
    <w:rsid w:val="00DB4F11"/>
    <w:rsid w:val="00DB50F4"/>
    <w:rsid w:val="00DB52E8"/>
    <w:rsid w:val="00DB539F"/>
    <w:rsid w:val="00DB560E"/>
    <w:rsid w:val="00DB5731"/>
    <w:rsid w:val="00DB61E4"/>
    <w:rsid w:val="00DB7281"/>
    <w:rsid w:val="00DB7576"/>
    <w:rsid w:val="00DB75EE"/>
    <w:rsid w:val="00DB7728"/>
    <w:rsid w:val="00DC132C"/>
    <w:rsid w:val="00DC16A0"/>
    <w:rsid w:val="00DC19C7"/>
    <w:rsid w:val="00DC27CD"/>
    <w:rsid w:val="00DC28E7"/>
    <w:rsid w:val="00DC3595"/>
    <w:rsid w:val="00DC3D04"/>
    <w:rsid w:val="00DC400A"/>
    <w:rsid w:val="00DC45BE"/>
    <w:rsid w:val="00DC585A"/>
    <w:rsid w:val="00DC587B"/>
    <w:rsid w:val="00DC6163"/>
    <w:rsid w:val="00DC6423"/>
    <w:rsid w:val="00DC6EBE"/>
    <w:rsid w:val="00DC735A"/>
    <w:rsid w:val="00DC7459"/>
    <w:rsid w:val="00DC74D6"/>
    <w:rsid w:val="00DC7DD7"/>
    <w:rsid w:val="00DD03DC"/>
    <w:rsid w:val="00DD1978"/>
    <w:rsid w:val="00DD1980"/>
    <w:rsid w:val="00DD1EAA"/>
    <w:rsid w:val="00DD1FAD"/>
    <w:rsid w:val="00DD212B"/>
    <w:rsid w:val="00DD291D"/>
    <w:rsid w:val="00DD3400"/>
    <w:rsid w:val="00DD35FF"/>
    <w:rsid w:val="00DD3653"/>
    <w:rsid w:val="00DD38BA"/>
    <w:rsid w:val="00DD3B19"/>
    <w:rsid w:val="00DD3BCC"/>
    <w:rsid w:val="00DD42F8"/>
    <w:rsid w:val="00DD444C"/>
    <w:rsid w:val="00DD45D0"/>
    <w:rsid w:val="00DD4F73"/>
    <w:rsid w:val="00DD5159"/>
    <w:rsid w:val="00DD51F8"/>
    <w:rsid w:val="00DD520C"/>
    <w:rsid w:val="00DD52DD"/>
    <w:rsid w:val="00DD53D1"/>
    <w:rsid w:val="00DD5409"/>
    <w:rsid w:val="00DD5B74"/>
    <w:rsid w:val="00DD6729"/>
    <w:rsid w:val="00DD70AE"/>
    <w:rsid w:val="00DD7AF0"/>
    <w:rsid w:val="00DD7D0B"/>
    <w:rsid w:val="00DE034D"/>
    <w:rsid w:val="00DE0704"/>
    <w:rsid w:val="00DE0BF6"/>
    <w:rsid w:val="00DE0EF0"/>
    <w:rsid w:val="00DE11F5"/>
    <w:rsid w:val="00DE13FF"/>
    <w:rsid w:val="00DE15E2"/>
    <w:rsid w:val="00DE1AD6"/>
    <w:rsid w:val="00DE1B35"/>
    <w:rsid w:val="00DE2261"/>
    <w:rsid w:val="00DE2AB6"/>
    <w:rsid w:val="00DE2B89"/>
    <w:rsid w:val="00DE2C92"/>
    <w:rsid w:val="00DE2F57"/>
    <w:rsid w:val="00DE343C"/>
    <w:rsid w:val="00DE3536"/>
    <w:rsid w:val="00DE3630"/>
    <w:rsid w:val="00DE37CA"/>
    <w:rsid w:val="00DE3E7E"/>
    <w:rsid w:val="00DE4208"/>
    <w:rsid w:val="00DE46B9"/>
    <w:rsid w:val="00DE4CFF"/>
    <w:rsid w:val="00DE4F29"/>
    <w:rsid w:val="00DE5523"/>
    <w:rsid w:val="00DE56F1"/>
    <w:rsid w:val="00DE6117"/>
    <w:rsid w:val="00DE7713"/>
    <w:rsid w:val="00DE7787"/>
    <w:rsid w:val="00DE7C07"/>
    <w:rsid w:val="00DE7F75"/>
    <w:rsid w:val="00DF094C"/>
    <w:rsid w:val="00DF0FB7"/>
    <w:rsid w:val="00DF176C"/>
    <w:rsid w:val="00DF1915"/>
    <w:rsid w:val="00DF1B63"/>
    <w:rsid w:val="00DF1C0C"/>
    <w:rsid w:val="00DF2076"/>
    <w:rsid w:val="00DF2BD2"/>
    <w:rsid w:val="00DF2CC1"/>
    <w:rsid w:val="00DF2D45"/>
    <w:rsid w:val="00DF33E5"/>
    <w:rsid w:val="00DF3B14"/>
    <w:rsid w:val="00DF4019"/>
    <w:rsid w:val="00DF47CA"/>
    <w:rsid w:val="00DF4BE8"/>
    <w:rsid w:val="00DF4D8E"/>
    <w:rsid w:val="00DF505A"/>
    <w:rsid w:val="00DF53CF"/>
    <w:rsid w:val="00DF56D7"/>
    <w:rsid w:val="00DF5818"/>
    <w:rsid w:val="00DF6577"/>
    <w:rsid w:val="00DF7009"/>
    <w:rsid w:val="00DF7889"/>
    <w:rsid w:val="00DF7D5C"/>
    <w:rsid w:val="00E00170"/>
    <w:rsid w:val="00E00193"/>
    <w:rsid w:val="00E00407"/>
    <w:rsid w:val="00E0092E"/>
    <w:rsid w:val="00E00963"/>
    <w:rsid w:val="00E01155"/>
    <w:rsid w:val="00E01423"/>
    <w:rsid w:val="00E01482"/>
    <w:rsid w:val="00E0165C"/>
    <w:rsid w:val="00E0182F"/>
    <w:rsid w:val="00E0184F"/>
    <w:rsid w:val="00E02153"/>
    <w:rsid w:val="00E02202"/>
    <w:rsid w:val="00E023C6"/>
    <w:rsid w:val="00E02CD4"/>
    <w:rsid w:val="00E03498"/>
    <w:rsid w:val="00E034A1"/>
    <w:rsid w:val="00E03860"/>
    <w:rsid w:val="00E03C5B"/>
    <w:rsid w:val="00E04418"/>
    <w:rsid w:val="00E05096"/>
    <w:rsid w:val="00E050B8"/>
    <w:rsid w:val="00E0516D"/>
    <w:rsid w:val="00E057C6"/>
    <w:rsid w:val="00E0604E"/>
    <w:rsid w:val="00E060E6"/>
    <w:rsid w:val="00E06201"/>
    <w:rsid w:val="00E06743"/>
    <w:rsid w:val="00E070AD"/>
    <w:rsid w:val="00E07380"/>
    <w:rsid w:val="00E079FC"/>
    <w:rsid w:val="00E10058"/>
    <w:rsid w:val="00E10FD9"/>
    <w:rsid w:val="00E111CA"/>
    <w:rsid w:val="00E1143D"/>
    <w:rsid w:val="00E114FE"/>
    <w:rsid w:val="00E11526"/>
    <w:rsid w:val="00E11D10"/>
    <w:rsid w:val="00E1254F"/>
    <w:rsid w:val="00E12657"/>
    <w:rsid w:val="00E126B8"/>
    <w:rsid w:val="00E138C5"/>
    <w:rsid w:val="00E13C4A"/>
    <w:rsid w:val="00E14735"/>
    <w:rsid w:val="00E14A35"/>
    <w:rsid w:val="00E156EA"/>
    <w:rsid w:val="00E15754"/>
    <w:rsid w:val="00E1608B"/>
    <w:rsid w:val="00E1654D"/>
    <w:rsid w:val="00E168B9"/>
    <w:rsid w:val="00E169CD"/>
    <w:rsid w:val="00E17864"/>
    <w:rsid w:val="00E17CB0"/>
    <w:rsid w:val="00E17FC6"/>
    <w:rsid w:val="00E202B6"/>
    <w:rsid w:val="00E2093A"/>
    <w:rsid w:val="00E20A16"/>
    <w:rsid w:val="00E20AC2"/>
    <w:rsid w:val="00E21149"/>
    <w:rsid w:val="00E2155D"/>
    <w:rsid w:val="00E21D24"/>
    <w:rsid w:val="00E21ED3"/>
    <w:rsid w:val="00E21F38"/>
    <w:rsid w:val="00E22058"/>
    <w:rsid w:val="00E22707"/>
    <w:rsid w:val="00E2297A"/>
    <w:rsid w:val="00E23063"/>
    <w:rsid w:val="00E2318B"/>
    <w:rsid w:val="00E2377C"/>
    <w:rsid w:val="00E2385D"/>
    <w:rsid w:val="00E2394A"/>
    <w:rsid w:val="00E2407F"/>
    <w:rsid w:val="00E24F4F"/>
    <w:rsid w:val="00E24F6B"/>
    <w:rsid w:val="00E2509B"/>
    <w:rsid w:val="00E255C3"/>
    <w:rsid w:val="00E25738"/>
    <w:rsid w:val="00E25F35"/>
    <w:rsid w:val="00E25F9C"/>
    <w:rsid w:val="00E261CC"/>
    <w:rsid w:val="00E26260"/>
    <w:rsid w:val="00E2689C"/>
    <w:rsid w:val="00E273CC"/>
    <w:rsid w:val="00E27568"/>
    <w:rsid w:val="00E3021E"/>
    <w:rsid w:val="00E30259"/>
    <w:rsid w:val="00E30902"/>
    <w:rsid w:val="00E30AF0"/>
    <w:rsid w:val="00E31269"/>
    <w:rsid w:val="00E3132B"/>
    <w:rsid w:val="00E31B42"/>
    <w:rsid w:val="00E31BDC"/>
    <w:rsid w:val="00E32238"/>
    <w:rsid w:val="00E327F2"/>
    <w:rsid w:val="00E32929"/>
    <w:rsid w:val="00E32BB0"/>
    <w:rsid w:val="00E32D08"/>
    <w:rsid w:val="00E3347B"/>
    <w:rsid w:val="00E33592"/>
    <w:rsid w:val="00E335FA"/>
    <w:rsid w:val="00E33CA1"/>
    <w:rsid w:val="00E33D33"/>
    <w:rsid w:val="00E3404B"/>
    <w:rsid w:val="00E345CB"/>
    <w:rsid w:val="00E351FC"/>
    <w:rsid w:val="00E35598"/>
    <w:rsid w:val="00E35606"/>
    <w:rsid w:val="00E362AE"/>
    <w:rsid w:val="00E36822"/>
    <w:rsid w:val="00E37107"/>
    <w:rsid w:val="00E3733F"/>
    <w:rsid w:val="00E3738D"/>
    <w:rsid w:val="00E3755A"/>
    <w:rsid w:val="00E37759"/>
    <w:rsid w:val="00E37C4B"/>
    <w:rsid w:val="00E40228"/>
    <w:rsid w:val="00E4039F"/>
    <w:rsid w:val="00E40AD6"/>
    <w:rsid w:val="00E40DAC"/>
    <w:rsid w:val="00E416F6"/>
    <w:rsid w:val="00E428CD"/>
    <w:rsid w:val="00E431FE"/>
    <w:rsid w:val="00E43245"/>
    <w:rsid w:val="00E44264"/>
    <w:rsid w:val="00E44372"/>
    <w:rsid w:val="00E446E5"/>
    <w:rsid w:val="00E451E5"/>
    <w:rsid w:val="00E4521B"/>
    <w:rsid w:val="00E45F92"/>
    <w:rsid w:val="00E46429"/>
    <w:rsid w:val="00E46562"/>
    <w:rsid w:val="00E4697E"/>
    <w:rsid w:val="00E469D7"/>
    <w:rsid w:val="00E46B5E"/>
    <w:rsid w:val="00E474F5"/>
    <w:rsid w:val="00E47E8C"/>
    <w:rsid w:val="00E508A2"/>
    <w:rsid w:val="00E50A36"/>
    <w:rsid w:val="00E51856"/>
    <w:rsid w:val="00E51985"/>
    <w:rsid w:val="00E51EC4"/>
    <w:rsid w:val="00E52147"/>
    <w:rsid w:val="00E5230D"/>
    <w:rsid w:val="00E52E22"/>
    <w:rsid w:val="00E53314"/>
    <w:rsid w:val="00E535F5"/>
    <w:rsid w:val="00E5373F"/>
    <w:rsid w:val="00E537B2"/>
    <w:rsid w:val="00E539C4"/>
    <w:rsid w:val="00E5513B"/>
    <w:rsid w:val="00E5531F"/>
    <w:rsid w:val="00E55628"/>
    <w:rsid w:val="00E56590"/>
    <w:rsid w:val="00E56A7C"/>
    <w:rsid w:val="00E56C4B"/>
    <w:rsid w:val="00E56C81"/>
    <w:rsid w:val="00E5703F"/>
    <w:rsid w:val="00E57465"/>
    <w:rsid w:val="00E5786F"/>
    <w:rsid w:val="00E579C1"/>
    <w:rsid w:val="00E600E2"/>
    <w:rsid w:val="00E60471"/>
    <w:rsid w:val="00E604E4"/>
    <w:rsid w:val="00E611BA"/>
    <w:rsid w:val="00E6161F"/>
    <w:rsid w:val="00E619B9"/>
    <w:rsid w:val="00E61B47"/>
    <w:rsid w:val="00E6209A"/>
    <w:rsid w:val="00E6249B"/>
    <w:rsid w:val="00E62B42"/>
    <w:rsid w:val="00E63B68"/>
    <w:rsid w:val="00E6414E"/>
    <w:rsid w:val="00E64201"/>
    <w:rsid w:val="00E64464"/>
    <w:rsid w:val="00E650B3"/>
    <w:rsid w:val="00E65B7A"/>
    <w:rsid w:val="00E65DE9"/>
    <w:rsid w:val="00E6639C"/>
    <w:rsid w:val="00E66427"/>
    <w:rsid w:val="00E6673B"/>
    <w:rsid w:val="00E67050"/>
    <w:rsid w:val="00E67114"/>
    <w:rsid w:val="00E679DD"/>
    <w:rsid w:val="00E67C6B"/>
    <w:rsid w:val="00E701EA"/>
    <w:rsid w:val="00E702CF"/>
    <w:rsid w:val="00E703A4"/>
    <w:rsid w:val="00E70C75"/>
    <w:rsid w:val="00E70EDE"/>
    <w:rsid w:val="00E71400"/>
    <w:rsid w:val="00E718BF"/>
    <w:rsid w:val="00E718DA"/>
    <w:rsid w:val="00E71903"/>
    <w:rsid w:val="00E72617"/>
    <w:rsid w:val="00E730D0"/>
    <w:rsid w:val="00E73C38"/>
    <w:rsid w:val="00E743CD"/>
    <w:rsid w:val="00E747BE"/>
    <w:rsid w:val="00E74B1C"/>
    <w:rsid w:val="00E75004"/>
    <w:rsid w:val="00E753A3"/>
    <w:rsid w:val="00E754D4"/>
    <w:rsid w:val="00E757D0"/>
    <w:rsid w:val="00E75AF5"/>
    <w:rsid w:val="00E76162"/>
    <w:rsid w:val="00E764E6"/>
    <w:rsid w:val="00E76C9D"/>
    <w:rsid w:val="00E772D7"/>
    <w:rsid w:val="00E7746F"/>
    <w:rsid w:val="00E775CE"/>
    <w:rsid w:val="00E77656"/>
    <w:rsid w:val="00E77E2A"/>
    <w:rsid w:val="00E80727"/>
    <w:rsid w:val="00E80D44"/>
    <w:rsid w:val="00E80ECC"/>
    <w:rsid w:val="00E80FB6"/>
    <w:rsid w:val="00E81487"/>
    <w:rsid w:val="00E815E4"/>
    <w:rsid w:val="00E81670"/>
    <w:rsid w:val="00E816C4"/>
    <w:rsid w:val="00E81739"/>
    <w:rsid w:val="00E81745"/>
    <w:rsid w:val="00E81D53"/>
    <w:rsid w:val="00E82130"/>
    <w:rsid w:val="00E822DD"/>
    <w:rsid w:val="00E82356"/>
    <w:rsid w:val="00E826CC"/>
    <w:rsid w:val="00E827AF"/>
    <w:rsid w:val="00E8291A"/>
    <w:rsid w:val="00E82BD0"/>
    <w:rsid w:val="00E8344D"/>
    <w:rsid w:val="00E83A17"/>
    <w:rsid w:val="00E84300"/>
    <w:rsid w:val="00E8430B"/>
    <w:rsid w:val="00E84487"/>
    <w:rsid w:val="00E844E4"/>
    <w:rsid w:val="00E848DC"/>
    <w:rsid w:val="00E84D6B"/>
    <w:rsid w:val="00E84FA7"/>
    <w:rsid w:val="00E85A81"/>
    <w:rsid w:val="00E85F29"/>
    <w:rsid w:val="00E85FE8"/>
    <w:rsid w:val="00E8630D"/>
    <w:rsid w:val="00E8644E"/>
    <w:rsid w:val="00E86CC0"/>
    <w:rsid w:val="00E87BA2"/>
    <w:rsid w:val="00E900E0"/>
    <w:rsid w:val="00E900F9"/>
    <w:rsid w:val="00E9025F"/>
    <w:rsid w:val="00E903AC"/>
    <w:rsid w:val="00E90606"/>
    <w:rsid w:val="00E90A60"/>
    <w:rsid w:val="00E911CF"/>
    <w:rsid w:val="00E916BF"/>
    <w:rsid w:val="00E92ADB"/>
    <w:rsid w:val="00E932E0"/>
    <w:rsid w:val="00E934F9"/>
    <w:rsid w:val="00E938D7"/>
    <w:rsid w:val="00E93C23"/>
    <w:rsid w:val="00E93CC8"/>
    <w:rsid w:val="00E943A9"/>
    <w:rsid w:val="00E94512"/>
    <w:rsid w:val="00E946C5"/>
    <w:rsid w:val="00E94983"/>
    <w:rsid w:val="00E94AC1"/>
    <w:rsid w:val="00E94BC6"/>
    <w:rsid w:val="00E956E8"/>
    <w:rsid w:val="00E9589D"/>
    <w:rsid w:val="00E95B8D"/>
    <w:rsid w:val="00E95E8A"/>
    <w:rsid w:val="00E96558"/>
    <w:rsid w:val="00E968FA"/>
    <w:rsid w:val="00E96E2F"/>
    <w:rsid w:val="00E96EFA"/>
    <w:rsid w:val="00E96FE9"/>
    <w:rsid w:val="00E970EB"/>
    <w:rsid w:val="00E975E3"/>
    <w:rsid w:val="00EA03F1"/>
    <w:rsid w:val="00EA0A8C"/>
    <w:rsid w:val="00EA0BCB"/>
    <w:rsid w:val="00EA1729"/>
    <w:rsid w:val="00EA1960"/>
    <w:rsid w:val="00EA1CD1"/>
    <w:rsid w:val="00EA2063"/>
    <w:rsid w:val="00EA2254"/>
    <w:rsid w:val="00EA266B"/>
    <w:rsid w:val="00EA28C6"/>
    <w:rsid w:val="00EA2AA5"/>
    <w:rsid w:val="00EA2CB9"/>
    <w:rsid w:val="00EA2D97"/>
    <w:rsid w:val="00EA316C"/>
    <w:rsid w:val="00EA3879"/>
    <w:rsid w:val="00EA39D7"/>
    <w:rsid w:val="00EA3AF6"/>
    <w:rsid w:val="00EA3B51"/>
    <w:rsid w:val="00EA3DE8"/>
    <w:rsid w:val="00EA403C"/>
    <w:rsid w:val="00EA40C9"/>
    <w:rsid w:val="00EA4215"/>
    <w:rsid w:val="00EA42C1"/>
    <w:rsid w:val="00EA4522"/>
    <w:rsid w:val="00EA4CB2"/>
    <w:rsid w:val="00EA4ED6"/>
    <w:rsid w:val="00EA5B1A"/>
    <w:rsid w:val="00EA5BE7"/>
    <w:rsid w:val="00EA6000"/>
    <w:rsid w:val="00EA637C"/>
    <w:rsid w:val="00EA6C16"/>
    <w:rsid w:val="00EA7C82"/>
    <w:rsid w:val="00EA7CC2"/>
    <w:rsid w:val="00EB0860"/>
    <w:rsid w:val="00EB12DF"/>
    <w:rsid w:val="00EB1C17"/>
    <w:rsid w:val="00EB1E36"/>
    <w:rsid w:val="00EB2931"/>
    <w:rsid w:val="00EB2C5D"/>
    <w:rsid w:val="00EB30E3"/>
    <w:rsid w:val="00EB3200"/>
    <w:rsid w:val="00EB35A8"/>
    <w:rsid w:val="00EB370D"/>
    <w:rsid w:val="00EB377F"/>
    <w:rsid w:val="00EB3C9A"/>
    <w:rsid w:val="00EB48A2"/>
    <w:rsid w:val="00EB4E17"/>
    <w:rsid w:val="00EB5102"/>
    <w:rsid w:val="00EB547B"/>
    <w:rsid w:val="00EB565F"/>
    <w:rsid w:val="00EB5727"/>
    <w:rsid w:val="00EB60C1"/>
    <w:rsid w:val="00EB617C"/>
    <w:rsid w:val="00EB696A"/>
    <w:rsid w:val="00EB6CE5"/>
    <w:rsid w:val="00EB70BC"/>
    <w:rsid w:val="00EB74C2"/>
    <w:rsid w:val="00EC017B"/>
    <w:rsid w:val="00EC027A"/>
    <w:rsid w:val="00EC08D0"/>
    <w:rsid w:val="00EC0BD9"/>
    <w:rsid w:val="00EC0D4E"/>
    <w:rsid w:val="00EC0FD4"/>
    <w:rsid w:val="00EC1032"/>
    <w:rsid w:val="00EC1244"/>
    <w:rsid w:val="00EC1850"/>
    <w:rsid w:val="00EC1B53"/>
    <w:rsid w:val="00EC23FD"/>
    <w:rsid w:val="00EC2D11"/>
    <w:rsid w:val="00EC32D1"/>
    <w:rsid w:val="00EC3551"/>
    <w:rsid w:val="00EC35F7"/>
    <w:rsid w:val="00EC37B6"/>
    <w:rsid w:val="00EC3ECE"/>
    <w:rsid w:val="00EC402E"/>
    <w:rsid w:val="00EC4034"/>
    <w:rsid w:val="00EC4621"/>
    <w:rsid w:val="00EC4AD2"/>
    <w:rsid w:val="00EC4FE3"/>
    <w:rsid w:val="00EC4FE7"/>
    <w:rsid w:val="00EC51B1"/>
    <w:rsid w:val="00EC55D3"/>
    <w:rsid w:val="00EC5867"/>
    <w:rsid w:val="00EC587A"/>
    <w:rsid w:val="00EC5C79"/>
    <w:rsid w:val="00EC7AC7"/>
    <w:rsid w:val="00EC7DB9"/>
    <w:rsid w:val="00ED06C5"/>
    <w:rsid w:val="00ED0702"/>
    <w:rsid w:val="00ED0BC4"/>
    <w:rsid w:val="00ED0DDC"/>
    <w:rsid w:val="00ED0E52"/>
    <w:rsid w:val="00ED1386"/>
    <w:rsid w:val="00ED13EC"/>
    <w:rsid w:val="00ED2300"/>
    <w:rsid w:val="00ED252E"/>
    <w:rsid w:val="00ED385E"/>
    <w:rsid w:val="00ED4365"/>
    <w:rsid w:val="00ED43A8"/>
    <w:rsid w:val="00ED4597"/>
    <w:rsid w:val="00ED4677"/>
    <w:rsid w:val="00ED48A4"/>
    <w:rsid w:val="00ED4C07"/>
    <w:rsid w:val="00ED515F"/>
    <w:rsid w:val="00ED5416"/>
    <w:rsid w:val="00ED580F"/>
    <w:rsid w:val="00ED60DC"/>
    <w:rsid w:val="00ED6903"/>
    <w:rsid w:val="00ED6C1F"/>
    <w:rsid w:val="00ED7108"/>
    <w:rsid w:val="00ED7342"/>
    <w:rsid w:val="00ED7508"/>
    <w:rsid w:val="00ED7B18"/>
    <w:rsid w:val="00ED7C35"/>
    <w:rsid w:val="00ED7F2A"/>
    <w:rsid w:val="00EE091D"/>
    <w:rsid w:val="00EE1219"/>
    <w:rsid w:val="00EE1907"/>
    <w:rsid w:val="00EE1FD8"/>
    <w:rsid w:val="00EE256D"/>
    <w:rsid w:val="00EE28AC"/>
    <w:rsid w:val="00EE2DCC"/>
    <w:rsid w:val="00EE3134"/>
    <w:rsid w:val="00EE349C"/>
    <w:rsid w:val="00EE3582"/>
    <w:rsid w:val="00EE35DD"/>
    <w:rsid w:val="00EE3FC9"/>
    <w:rsid w:val="00EE41FD"/>
    <w:rsid w:val="00EE42E2"/>
    <w:rsid w:val="00EE45A5"/>
    <w:rsid w:val="00EE4869"/>
    <w:rsid w:val="00EE4B2D"/>
    <w:rsid w:val="00EE4D41"/>
    <w:rsid w:val="00EE515E"/>
    <w:rsid w:val="00EE5BC4"/>
    <w:rsid w:val="00EE5FF1"/>
    <w:rsid w:val="00EE6592"/>
    <w:rsid w:val="00EE6881"/>
    <w:rsid w:val="00EE6900"/>
    <w:rsid w:val="00EE6FEF"/>
    <w:rsid w:val="00EE7759"/>
    <w:rsid w:val="00EE7906"/>
    <w:rsid w:val="00EE7991"/>
    <w:rsid w:val="00EE7F83"/>
    <w:rsid w:val="00EF00A4"/>
    <w:rsid w:val="00EF02C1"/>
    <w:rsid w:val="00EF035A"/>
    <w:rsid w:val="00EF05B2"/>
    <w:rsid w:val="00EF0693"/>
    <w:rsid w:val="00EF06A8"/>
    <w:rsid w:val="00EF0981"/>
    <w:rsid w:val="00EF0B5B"/>
    <w:rsid w:val="00EF10D5"/>
    <w:rsid w:val="00EF22BB"/>
    <w:rsid w:val="00EF22D2"/>
    <w:rsid w:val="00EF239C"/>
    <w:rsid w:val="00EF26DF"/>
    <w:rsid w:val="00EF2DBE"/>
    <w:rsid w:val="00EF2F8B"/>
    <w:rsid w:val="00EF3FE6"/>
    <w:rsid w:val="00EF50C8"/>
    <w:rsid w:val="00EF6608"/>
    <w:rsid w:val="00EF666E"/>
    <w:rsid w:val="00EF67AE"/>
    <w:rsid w:val="00EF7951"/>
    <w:rsid w:val="00F006A3"/>
    <w:rsid w:val="00F007E8"/>
    <w:rsid w:val="00F008C3"/>
    <w:rsid w:val="00F00917"/>
    <w:rsid w:val="00F00A99"/>
    <w:rsid w:val="00F00D3D"/>
    <w:rsid w:val="00F01141"/>
    <w:rsid w:val="00F012CD"/>
    <w:rsid w:val="00F0144E"/>
    <w:rsid w:val="00F01546"/>
    <w:rsid w:val="00F017BE"/>
    <w:rsid w:val="00F0233F"/>
    <w:rsid w:val="00F02B63"/>
    <w:rsid w:val="00F02BC7"/>
    <w:rsid w:val="00F02E82"/>
    <w:rsid w:val="00F02F5A"/>
    <w:rsid w:val="00F032ED"/>
    <w:rsid w:val="00F047E4"/>
    <w:rsid w:val="00F05836"/>
    <w:rsid w:val="00F0584A"/>
    <w:rsid w:val="00F05857"/>
    <w:rsid w:val="00F05B08"/>
    <w:rsid w:val="00F05C46"/>
    <w:rsid w:val="00F05FA3"/>
    <w:rsid w:val="00F06372"/>
    <w:rsid w:val="00F063E7"/>
    <w:rsid w:val="00F063EC"/>
    <w:rsid w:val="00F07AF4"/>
    <w:rsid w:val="00F1031E"/>
    <w:rsid w:val="00F10C81"/>
    <w:rsid w:val="00F10D07"/>
    <w:rsid w:val="00F11312"/>
    <w:rsid w:val="00F11824"/>
    <w:rsid w:val="00F11A30"/>
    <w:rsid w:val="00F11CA3"/>
    <w:rsid w:val="00F121FE"/>
    <w:rsid w:val="00F1240A"/>
    <w:rsid w:val="00F125DC"/>
    <w:rsid w:val="00F129AA"/>
    <w:rsid w:val="00F12CF4"/>
    <w:rsid w:val="00F12E37"/>
    <w:rsid w:val="00F1315E"/>
    <w:rsid w:val="00F13A17"/>
    <w:rsid w:val="00F13E9B"/>
    <w:rsid w:val="00F14A9E"/>
    <w:rsid w:val="00F14C51"/>
    <w:rsid w:val="00F14E49"/>
    <w:rsid w:val="00F163DF"/>
    <w:rsid w:val="00F1656D"/>
    <w:rsid w:val="00F16FB0"/>
    <w:rsid w:val="00F174E8"/>
    <w:rsid w:val="00F1770F"/>
    <w:rsid w:val="00F17D28"/>
    <w:rsid w:val="00F17D53"/>
    <w:rsid w:val="00F201D4"/>
    <w:rsid w:val="00F20361"/>
    <w:rsid w:val="00F203FD"/>
    <w:rsid w:val="00F20A86"/>
    <w:rsid w:val="00F20B20"/>
    <w:rsid w:val="00F20E68"/>
    <w:rsid w:val="00F210D2"/>
    <w:rsid w:val="00F217A8"/>
    <w:rsid w:val="00F21BAE"/>
    <w:rsid w:val="00F21BC6"/>
    <w:rsid w:val="00F21FA8"/>
    <w:rsid w:val="00F22EEC"/>
    <w:rsid w:val="00F23C89"/>
    <w:rsid w:val="00F23FD9"/>
    <w:rsid w:val="00F240A0"/>
    <w:rsid w:val="00F2521C"/>
    <w:rsid w:val="00F25516"/>
    <w:rsid w:val="00F25566"/>
    <w:rsid w:val="00F256B5"/>
    <w:rsid w:val="00F25C84"/>
    <w:rsid w:val="00F25FA1"/>
    <w:rsid w:val="00F26107"/>
    <w:rsid w:val="00F26B5C"/>
    <w:rsid w:val="00F26EFF"/>
    <w:rsid w:val="00F27E12"/>
    <w:rsid w:val="00F302D2"/>
    <w:rsid w:val="00F30677"/>
    <w:rsid w:val="00F3095D"/>
    <w:rsid w:val="00F30ACD"/>
    <w:rsid w:val="00F30C15"/>
    <w:rsid w:val="00F30C92"/>
    <w:rsid w:val="00F30DF9"/>
    <w:rsid w:val="00F31838"/>
    <w:rsid w:val="00F318E9"/>
    <w:rsid w:val="00F31B66"/>
    <w:rsid w:val="00F31BF3"/>
    <w:rsid w:val="00F3275B"/>
    <w:rsid w:val="00F32B58"/>
    <w:rsid w:val="00F32BF2"/>
    <w:rsid w:val="00F32D00"/>
    <w:rsid w:val="00F3311C"/>
    <w:rsid w:val="00F333A3"/>
    <w:rsid w:val="00F3431E"/>
    <w:rsid w:val="00F34A01"/>
    <w:rsid w:val="00F34B1C"/>
    <w:rsid w:val="00F34E1D"/>
    <w:rsid w:val="00F35656"/>
    <w:rsid w:val="00F35A19"/>
    <w:rsid w:val="00F35D04"/>
    <w:rsid w:val="00F35F30"/>
    <w:rsid w:val="00F3644D"/>
    <w:rsid w:val="00F37E9E"/>
    <w:rsid w:val="00F40181"/>
    <w:rsid w:val="00F40A88"/>
    <w:rsid w:val="00F4105F"/>
    <w:rsid w:val="00F41196"/>
    <w:rsid w:val="00F413D2"/>
    <w:rsid w:val="00F41C6C"/>
    <w:rsid w:val="00F41CF0"/>
    <w:rsid w:val="00F42CAD"/>
    <w:rsid w:val="00F4385B"/>
    <w:rsid w:val="00F445C0"/>
    <w:rsid w:val="00F44CF1"/>
    <w:rsid w:val="00F44CFA"/>
    <w:rsid w:val="00F44F2D"/>
    <w:rsid w:val="00F455EC"/>
    <w:rsid w:val="00F45CD7"/>
    <w:rsid w:val="00F461C5"/>
    <w:rsid w:val="00F46DD1"/>
    <w:rsid w:val="00F46E8F"/>
    <w:rsid w:val="00F4708B"/>
    <w:rsid w:val="00F47C2D"/>
    <w:rsid w:val="00F47D44"/>
    <w:rsid w:val="00F50227"/>
    <w:rsid w:val="00F50303"/>
    <w:rsid w:val="00F505AA"/>
    <w:rsid w:val="00F50847"/>
    <w:rsid w:val="00F50C89"/>
    <w:rsid w:val="00F50D94"/>
    <w:rsid w:val="00F50E04"/>
    <w:rsid w:val="00F51266"/>
    <w:rsid w:val="00F5187D"/>
    <w:rsid w:val="00F518B2"/>
    <w:rsid w:val="00F51B48"/>
    <w:rsid w:val="00F51C56"/>
    <w:rsid w:val="00F51F25"/>
    <w:rsid w:val="00F5345B"/>
    <w:rsid w:val="00F5361E"/>
    <w:rsid w:val="00F53DF1"/>
    <w:rsid w:val="00F54841"/>
    <w:rsid w:val="00F5485D"/>
    <w:rsid w:val="00F54904"/>
    <w:rsid w:val="00F54924"/>
    <w:rsid w:val="00F54935"/>
    <w:rsid w:val="00F54E0C"/>
    <w:rsid w:val="00F54F7B"/>
    <w:rsid w:val="00F557B8"/>
    <w:rsid w:val="00F5587A"/>
    <w:rsid w:val="00F560A3"/>
    <w:rsid w:val="00F56711"/>
    <w:rsid w:val="00F56DE5"/>
    <w:rsid w:val="00F57483"/>
    <w:rsid w:val="00F57718"/>
    <w:rsid w:val="00F57F7B"/>
    <w:rsid w:val="00F6013E"/>
    <w:rsid w:val="00F6026E"/>
    <w:rsid w:val="00F60C9B"/>
    <w:rsid w:val="00F6156C"/>
    <w:rsid w:val="00F625F3"/>
    <w:rsid w:val="00F62886"/>
    <w:rsid w:val="00F62A28"/>
    <w:rsid w:val="00F62A5D"/>
    <w:rsid w:val="00F63302"/>
    <w:rsid w:val="00F6330E"/>
    <w:rsid w:val="00F63434"/>
    <w:rsid w:val="00F63CD7"/>
    <w:rsid w:val="00F63DEC"/>
    <w:rsid w:val="00F643A9"/>
    <w:rsid w:val="00F6455D"/>
    <w:rsid w:val="00F648A1"/>
    <w:rsid w:val="00F655FE"/>
    <w:rsid w:val="00F657C5"/>
    <w:rsid w:val="00F6593B"/>
    <w:rsid w:val="00F65DFD"/>
    <w:rsid w:val="00F66482"/>
    <w:rsid w:val="00F66781"/>
    <w:rsid w:val="00F66D14"/>
    <w:rsid w:val="00F677F5"/>
    <w:rsid w:val="00F67EDF"/>
    <w:rsid w:val="00F71026"/>
    <w:rsid w:val="00F71DAC"/>
    <w:rsid w:val="00F71EA4"/>
    <w:rsid w:val="00F7289C"/>
    <w:rsid w:val="00F72A67"/>
    <w:rsid w:val="00F72B5D"/>
    <w:rsid w:val="00F736A4"/>
    <w:rsid w:val="00F737BB"/>
    <w:rsid w:val="00F74148"/>
    <w:rsid w:val="00F7572D"/>
    <w:rsid w:val="00F7598C"/>
    <w:rsid w:val="00F75B1B"/>
    <w:rsid w:val="00F765E3"/>
    <w:rsid w:val="00F7767D"/>
    <w:rsid w:val="00F77DC7"/>
    <w:rsid w:val="00F80767"/>
    <w:rsid w:val="00F808A1"/>
    <w:rsid w:val="00F8093F"/>
    <w:rsid w:val="00F80D5B"/>
    <w:rsid w:val="00F811CC"/>
    <w:rsid w:val="00F814D1"/>
    <w:rsid w:val="00F81584"/>
    <w:rsid w:val="00F81ADB"/>
    <w:rsid w:val="00F827F8"/>
    <w:rsid w:val="00F82C66"/>
    <w:rsid w:val="00F8393F"/>
    <w:rsid w:val="00F83A46"/>
    <w:rsid w:val="00F83DDE"/>
    <w:rsid w:val="00F843A0"/>
    <w:rsid w:val="00F84870"/>
    <w:rsid w:val="00F85731"/>
    <w:rsid w:val="00F85794"/>
    <w:rsid w:val="00F85BAE"/>
    <w:rsid w:val="00F85FE5"/>
    <w:rsid w:val="00F8615A"/>
    <w:rsid w:val="00F86385"/>
    <w:rsid w:val="00F868D1"/>
    <w:rsid w:val="00F90510"/>
    <w:rsid w:val="00F908BE"/>
    <w:rsid w:val="00F91244"/>
    <w:rsid w:val="00F91289"/>
    <w:rsid w:val="00F91825"/>
    <w:rsid w:val="00F9259B"/>
    <w:rsid w:val="00F92612"/>
    <w:rsid w:val="00F9300F"/>
    <w:rsid w:val="00F93102"/>
    <w:rsid w:val="00F93531"/>
    <w:rsid w:val="00F93C4B"/>
    <w:rsid w:val="00F9423E"/>
    <w:rsid w:val="00F948A5"/>
    <w:rsid w:val="00F94A07"/>
    <w:rsid w:val="00F94CA3"/>
    <w:rsid w:val="00F94CD8"/>
    <w:rsid w:val="00F94EBD"/>
    <w:rsid w:val="00F951B9"/>
    <w:rsid w:val="00F953D0"/>
    <w:rsid w:val="00F95E95"/>
    <w:rsid w:val="00F96B1A"/>
    <w:rsid w:val="00F96CE1"/>
    <w:rsid w:val="00F96D98"/>
    <w:rsid w:val="00F96DE3"/>
    <w:rsid w:val="00F97350"/>
    <w:rsid w:val="00F97F76"/>
    <w:rsid w:val="00FA0624"/>
    <w:rsid w:val="00FA09FB"/>
    <w:rsid w:val="00FA0AC6"/>
    <w:rsid w:val="00FA0DF7"/>
    <w:rsid w:val="00FA0E33"/>
    <w:rsid w:val="00FA103B"/>
    <w:rsid w:val="00FA18A6"/>
    <w:rsid w:val="00FA27A5"/>
    <w:rsid w:val="00FA28D6"/>
    <w:rsid w:val="00FA2ACF"/>
    <w:rsid w:val="00FA2DE7"/>
    <w:rsid w:val="00FA3761"/>
    <w:rsid w:val="00FA3E1F"/>
    <w:rsid w:val="00FA44CD"/>
    <w:rsid w:val="00FA46AE"/>
    <w:rsid w:val="00FA493B"/>
    <w:rsid w:val="00FA5864"/>
    <w:rsid w:val="00FA5C61"/>
    <w:rsid w:val="00FA6EB3"/>
    <w:rsid w:val="00FA7114"/>
    <w:rsid w:val="00FA77A5"/>
    <w:rsid w:val="00FA79E7"/>
    <w:rsid w:val="00FA7E5F"/>
    <w:rsid w:val="00FB08B2"/>
    <w:rsid w:val="00FB0D39"/>
    <w:rsid w:val="00FB245C"/>
    <w:rsid w:val="00FB310F"/>
    <w:rsid w:val="00FB3367"/>
    <w:rsid w:val="00FB3834"/>
    <w:rsid w:val="00FB38B4"/>
    <w:rsid w:val="00FB3A8B"/>
    <w:rsid w:val="00FB3B7B"/>
    <w:rsid w:val="00FB3CD2"/>
    <w:rsid w:val="00FB3ED9"/>
    <w:rsid w:val="00FB4522"/>
    <w:rsid w:val="00FB4BA4"/>
    <w:rsid w:val="00FB504A"/>
    <w:rsid w:val="00FB52A3"/>
    <w:rsid w:val="00FB58FA"/>
    <w:rsid w:val="00FB593C"/>
    <w:rsid w:val="00FB6539"/>
    <w:rsid w:val="00FB65CD"/>
    <w:rsid w:val="00FB6A70"/>
    <w:rsid w:val="00FB6BC8"/>
    <w:rsid w:val="00FB6DD0"/>
    <w:rsid w:val="00FB7379"/>
    <w:rsid w:val="00FB761C"/>
    <w:rsid w:val="00FB7633"/>
    <w:rsid w:val="00FB7B2C"/>
    <w:rsid w:val="00FC0094"/>
    <w:rsid w:val="00FC040A"/>
    <w:rsid w:val="00FC0481"/>
    <w:rsid w:val="00FC0539"/>
    <w:rsid w:val="00FC0922"/>
    <w:rsid w:val="00FC0F7F"/>
    <w:rsid w:val="00FC15B7"/>
    <w:rsid w:val="00FC16D8"/>
    <w:rsid w:val="00FC2122"/>
    <w:rsid w:val="00FC252E"/>
    <w:rsid w:val="00FC2918"/>
    <w:rsid w:val="00FC2F5F"/>
    <w:rsid w:val="00FC3060"/>
    <w:rsid w:val="00FC31E7"/>
    <w:rsid w:val="00FC3809"/>
    <w:rsid w:val="00FC383C"/>
    <w:rsid w:val="00FC3BBC"/>
    <w:rsid w:val="00FC4BB2"/>
    <w:rsid w:val="00FC4D16"/>
    <w:rsid w:val="00FC520D"/>
    <w:rsid w:val="00FC562E"/>
    <w:rsid w:val="00FC6185"/>
    <w:rsid w:val="00FC6484"/>
    <w:rsid w:val="00FC73E0"/>
    <w:rsid w:val="00FC7495"/>
    <w:rsid w:val="00FC7511"/>
    <w:rsid w:val="00FC7ABE"/>
    <w:rsid w:val="00FC7FE9"/>
    <w:rsid w:val="00FD03EA"/>
    <w:rsid w:val="00FD0514"/>
    <w:rsid w:val="00FD1386"/>
    <w:rsid w:val="00FD1CE9"/>
    <w:rsid w:val="00FD2056"/>
    <w:rsid w:val="00FD2497"/>
    <w:rsid w:val="00FD2649"/>
    <w:rsid w:val="00FD2711"/>
    <w:rsid w:val="00FD29E8"/>
    <w:rsid w:val="00FD2C37"/>
    <w:rsid w:val="00FD2E66"/>
    <w:rsid w:val="00FD3272"/>
    <w:rsid w:val="00FD3333"/>
    <w:rsid w:val="00FD34CD"/>
    <w:rsid w:val="00FD4CAC"/>
    <w:rsid w:val="00FD55D5"/>
    <w:rsid w:val="00FD5705"/>
    <w:rsid w:val="00FD58A5"/>
    <w:rsid w:val="00FD5F08"/>
    <w:rsid w:val="00FD60A6"/>
    <w:rsid w:val="00FD6100"/>
    <w:rsid w:val="00FD6B6E"/>
    <w:rsid w:val="00FD6E77"/>
    <w:rsid w:val="00FD7204"/>
    <w:rsid w:val="00FD732E"/>
    <w:rsid w:val="00FE0052"/>
    <w:rsid w:val="00FE0DFA"/>
    <w:rsid w:val="00FE0EBD"/>
    <w:rsid w:val="00FE119C"/>
    <w:rsid w:val="00FE13AE"/>
    <w:rsid w:val="00FE1740"/>
    <w:rsid w:val="00FE1918"/>
    <w:rsid w:val="00FE1B7C"/>
    <w:rsid w:val="00FE1C3D"/>
    <w:rsid w:val="00FE2307"/>
    <w:rsid w:val="00FE262A"/>
    <w:rsid w:val="00FE2787"/>
    <w:rsid w:val="00FE3192"/>
    <w:rsid w:val="00FE4642"/>
    <w:rsid w:val="00FE4E79"/>
    <w:rsid w:val="00FE52FF"/>
    <w:rsid w:val="00FE5593"/>
    <w:rsid w:val="00FE5670"/>
    <w:rsid w:val="00FE59B5"/>
    <w:rsid w:val="00FE6006"/>
    <w:rsid w:val="00FE618D"/>
    <w:rsid w:val="00FE61A8"/>
    <w:rsid w:val="00FE68E3"/>
    <w:rsid w:val="00FE727E"/>
    <w:rsid w:val="00FE7BD1"/>
    <w:rsid w:val="00FE7F9A"/>
    <w:rsid w:val="00FF04B9"/>
    <w:rsid w:val="00FF0D2C"/>
    <w:rsid w:val="00FF0F1C"/>
    <w:rsid w:val="00FF10B5"/>
    <w:rsid w:val="00FF119A"/>
    <w:rsid w:val="00FF16E3"/>
    <w:rsid w:val="00FF1A6C"/>
    <w:rsid w:val="00FF1B62"/>
    <w:rsid w:val="00FF2C1F"/>
    <w:rsid w:val="00FF2C8A"/>
    <w:rsid w:val="00FF386E"/>
    <w:rsid w:val="00FF3A5E"/>
    <w:rsid w:val="00FF42B2"/>
    <w:rsid w:val="00FF4593"/>
    <w:rsid w:val="00FF4992"/>
    <w:rsid w:val="00FF4A65"/>
    <w:rsid w:val="00FF4C26"/>
    <w:rsid w:val="00FF50DE"/>
    <w:rsid w:val="00FF519B"/>
    <w:rsid w:val="00FF528A"/>
    <w:rsid w:val="00FF54CE"/>
    <w:rsid w:val="00FF54EF"/>
    <w:rsid w:val="00FF5D67"/>
    <w:rsid w:val="00FF6658"/>
    <w:rsid w:val="00FF6DDC"/>
    <w:rsid w:val="00FF6EF9"/>
    <w:rsid w:val="00FF7023"/>
    <w:rsid w:val="00FF7658"/>
    <w:rsid w:val="00FF7A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E785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US" w:eastAsia="en-US"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14755"/>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96F02"/>
    <w:rPr>
      <w:sz w:val="20"/>
      <w:szCs w:val="20"/>
    </w:rPr>
  </w:style>
  <w:style w:type="character" w:customStyle="1" w:styleId="FootnoteTextChar">
    <w:name w:val="Footnote Text Char"/>
    <w:link w:val="FootnoteText"/>
    <w:uiPriority w:val="99"/>
    <w:rsid w:val="00596F02"/>
    <w:rPr>
      <w:rFonts w:ascii="Calibri" w:eastAsia="Calibri" w:hAnsi="Calibri" w:cs="Times New Roman"/>
      <w:sz w:val="20"/>
      <w:szCs w:val="20"/>
      <w:lang w:val="en-GB"/>
    </w:rPr>
  </w:style>
  <w:style w:type="character" w:styleId="FootnoteReference">
    <w:name w:val="footnote reference"/>
    <w:uiPriority w:val="99"/>
    <w:unhideWhenUsed/>
    <w:rsid w:val="00596F02"/>
    <w:rPr>
      <w:vertAlign w:val="superscript"/>
    </w:rPr>
  </w:style>
  <w:style w:type="character" w:styleId="Hyperlink">
    <w:name w:val="Hyperlink"/>
    <w:uiPriority w:val="99"/>
    <w:unhideWhenUsed/>
    <w:rsid w:val="00596F02"/>
    <w:rPr>
      <w:color w:val="0000FF"/>
      <w:u w:val="single"/>
    </w:rPr>
  </w:style>
  <w:style w:type="character" w:styleId="CommentReference">
    <w:name w:val="annotation reference"/>
    <w:rsid w:val="0058201C"/>
    <w:rPr>
      <w:sz w:val="16"/>
      <w:szCs w:val="16"/>
    </w:rPr>
  </w:style>
  <w:style w:type="paragraph" w:styleId="CommentText">
    <w:name w:val="annotation text"/>
    <w:basedOn w:val="Normal"/>
    <w:link w:val="CommentTextChar"/>
    <w:rsid w:val="0058201C"/>
    <w:rPr>
      <w:sz w:val="20"/>
      <w:szCs w:val="20"/>
    </w:rPr>
  </w:style>
  <w:style w:type="character" w:customStyle="1" w:styleId="CommentTextChar">
    <w:name w:val="Comment Text Char"/>
    <w:link w:val="CommentText"/>
    <w:rsid w:val="0058201C"/>
    <w:rPr>
      <w:rFonts w:ascii="Calibri" w:eastAsia="Calibri" w:hAnsi="Calibri"/>
      <w:lang w:eastAsia="en-US"/>
    </w:rPr>
  </w:style>
  <w:style w:type="paragraph" w:styleId="CommentSubject">
    <w:name w:val="annotation subject"/>
    <w:basedOn w:val="CommentText"/>
    <w:next w:val="CommentText"/>
    <w:link w:val="CommentSubjectChar"/>
    <w:rsid w:val="0058201C"/>
    <w:rPr>
      <w:b/>
      <w:bCs/>
    </w:rPr>
  </w:style>
  <w:style w:type="character" w:customStyle="1" w:styleId="CommentSubjectChar">
    <w:name w:val="Comment Subject Char"/>
    <w:link w:val="CommentSubject"/>
    <w:rsid w:val="0058201C"/>
    <w:rPr>
      <w:rFonts w:ascii="Calibri" w:eastAsia="Calibri" w:hAnsi="Calibri"/>
      <w:b/>
      <w:bCs/>
      <w:lang w:eastAsia="en-US"/>
    </w:rPr>
  </w:style>
  <w:style w:type="paragraph" w:styleId="BalloonText">
    <w:name w:val="Balloon Text"/>
    <w:basedOn w:val="Normal"/>
    <w:link w:val="BalloonTextChar"/>
    <w:rsid w:val="0058201C"/>
    <w:rPr>
      <w:rFonts w:ascii="Tahoma" w:hAnsi="Tahoma" w:cs="Tahoma"/>
      <w:sz w:val="16"/>
      <w:szCs w:val="16"/>
    </w:rPr>
  </w:style>
  <w:style w:type="character" w:customStyle="1" w:styleId="BalloonTextChar">
    <w:name w:val="Balloon Text Char"/>
    <w:link w:val="BalloonText"/>
    <w:rsid w:val="0058201C"/>
    <w:rPr>
      <w:rFonts w:ascii="Tahoma" w:eastAsia="Calibri" w:hAnsi="Tahoma" w:cs="Tahoma"/>
      <w:sz w:val="16"/>
      <w:szCs w:val="16"/>
      <w:lang w:eastAsia="en-US"/>
    </w:rPr>
  </w:style>
  <w:style w:type="paragraph" w:styleId="Footer">
    <w:name w:val="footer"/>
    <w:basedOn w:val="Normal"/>
    <w:link w:val="FooterChar"/>
    <w:rsid w:val="00C04203"/>
    <w:pPr>
      <w:tabs>
        <w:tab w:val="center" w:pos="4320"/>
        <w:tab w:val="right" w:pos="8640"/>
      </w:tabs>
    </w:pPr>
  </w:style>
  <w:style w:type="character" w:customStyle="1" w:styleId="FooterChar">
    <w:name w:val="Footer Char"/>
    <w:link w:val="Footer"/>
    <w:rsid w:val="00C04203"/>
    <w:rPr>
      <w:rFonts w:ascii="Calibri" w:eastAsia="Calibri" w:hAnsi="Calibri"/>
      <w:sz w:val="22"/>
      <w:szCs w:val="22"/>
    </w:rPr>
  </w:style>
  <w:style w:type="character" w:styleId="PageNumber">
    <w:name w:val="page number"/>
    <w:rsid w:val="00C04203"/>
  </w:style>
  <w:style w:type="paragraph" w:styleId="Header">
    <w:name w:val="header"/>
    <w:basedOn w:val="Normal"/>
    <w:link w:val="HeaderChar"/>
    <w:rsid w:val="00C04203"/>
    <w:pPr>
      <w:tabs>
        <w:tab w:val="center" w:pos="4320"/>
        <w:tab w:val="right" w:pos="8640"/>
      </w:tabs>
    </w:pPr>
  </w:style>
  <w:style w:type="character" w:customStyle="1" w:styleId="HeaderChar">
    <w:name w:val="Header Char"/>
    <w:link w:val="Header"/>
    <w:rsid w:val="00C04203"/>
    <w:rPr>
      <w:rFonts w:ascii="Calibri" w:eastAsia="Calibri" w:hAnsi="Calibri"/>
      <w:sz w:val="22"/>
      <w:szCs w:val="22"/>
    </w:rPr>
  </w:style>
  <w:style w:type="paragraph" w:styleId="ListParagraph">
    <w:name w:val="List Paragraph"/>
    <w:basedOn w:val="Normal"/>
    <w:rsid w:val="002E3DE7"/>
    <w:pPr>
      <w:ind w:left="720"/>
      <w:contextualSpacing/>
    </w:pPr>
  </w:style>
  <w:style w:type="character" w:styleId="UnresolvedMention">
    <w:name w:val="Unresolved Mention"/>
    <w:basedOn w:val="DefaultParagraphFont"/>
    <w:rsid w:val="001747A9"/>
    <w:rPr>
      <w:color w:val="808080"/>
      <w:shd w:val="clear" w:color="auto" w:fill="E6E6E6"/>
    </w:rPr>
  </w:style>
  <w:style w:type="paragraph" w:styleId="NormalWeb">
    <w:name w:val="Normal (Web)"/>
    <w:basedOn w:val="Normal"/>
    <w:semiHidden/>
    <w:unhideWhenUsed/>
    <w:rsid w:val="00C30C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657">
      <w:bodyDiv w:val="1"/>
      <w:marLeft w:val="0"/>
      <w:marRight w:val="0"/>
      <w:marTop w:val="0"/>
      <w:marBottom w:val="0"/>
      <w:divBdr>
        <w:top w:val="none" w:sz="0" w:space="0" w:color="auto"/>
        <w:left w:val="none" w:sz="0" w:space="0" w:color="auto"/>
        <w:bottom w:val="none" w:sz="0" w:space="0" w:color="auto"/>
        <w:right w:val="none" w:sz="0" w:space="0" w:color="auto"/>
      </w:divBdr>
      <w:divsChild>
        <w:div w:id="384332494">
          <w:marLeft w:val="0"/>
          <w:marRight w:val="0"/>
          <w:marTop w:val="0"/>
          <w:marBottom w:val="0"/>
          <w:divBdr>
            <w:top w:val="none" w:sz="0" w:space="0" w:color="auto"/>
            <w:left w:val="none" w:sz="0" w:space="0" w:color="auto"/>
            <w:bottom w:val="none" w:sz="0" w:space="0" w:color="auto"/>
            <w:right w:val="none" w:sz="0" w:space="0" w:color="auto"/>
          </w:divBdr>
          <w:divsChild>
            <w:div w:id="895093604">
              <w:marLeft w:val="0"/>
              <w:marRight w:val="0"/>
              <w:marTop w:val="0"/>
              <w:marBottom w:val="0"/>
              <w:divBdr>
                <w:top w:val="none" w:sz="0" w:space="0" w:color="auto"/>
                <w:left w:val="none" w:sz="0" w:space="0" w:color="auto"/>
                <w:bottom w:val="none" w:sz="0" w:space="0" w:color="auto"/>
                <w:right w:val="none" w:sz="0" w:space="0" w:color="auto"/>
              </w:divBdr>
              <w:divsChild>
                <w:div w:id="6200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0778">
      <w:bodyDiv w:val="1"/>
      <w:marLeft w:val="0"/>
      <w:marRight w:val="0"/>
      <w:marTop w:val="0"/>
      <w:marBottom w:val="0"/>
      <w:divBdr>
        <w:top w:val="none" w:sz="0" w:space="0" w:color="auto"/>
        <w:left w:val="none" w:sz="0" w:space="0" w:color="auto"/>
        <w:bottom w:val="none" w:sz="0" w:space="0" w:color="auto"/>
        <w:right w:val="none" w:sz="0" w:space="0" w:color="auto"/>
      </w:divBdr>
    </w:div>
    <w:div w:id="284822446">
      <w:bodyDiv w:val="1"/>
      <w:marLeft w:val="0"/>
      <w:marRight w:val="0"/>
      <w:marTop w:val="0"/>
      <w:marBottom w:val="0"/>
      <w:divBdr>
        <w:top w:val="none" w:sz="0" w:space="0" w:color="auto"/>
        <w:left w:val="none" w:sz="0" w:space="0" w:color="auto"/>
        <w:bottom w:val="none" w:sz="0" w:space="0" w:color="auto"/>
        <w:right w:val="none" w:sz="0" w:space="0" w:color="auto"/>
      </w:divBdr>
    </w:div>
    <w:div w:id="362558519">
      <w:bodyDiv w:val="1"/>
      <w:marLeft w:val="0"/>
      <w:marRight w:val="0"/>
      <w:marTop w:val="0"/>
      <w:marBottom w:val="0"/>
      <w:divBdr>
        <w:top w:val="none" w:sz="0" w:space="0" w:color="auto"/>
        <w:left w:val="none" w:sz="0" w:space="0" w:color="auto"/>
        <w:bottom w:val="none" w:sz="0" w:space="0" w:color="auto"/>
        <w:right w:val="none" w:sz="0" w:space="0" w:color="auto"/>
      </w:divBdr>
      <w:divsChild>
        <w:div w:id="529076429">
          <w:marLeft w:val="0"/>
          <w:marRight w:val="0"/>
          <w:marTop w:val="0"/>
          <w:marBottom w:val="0"/>
          <w:divBdr>
            <w:top w:val="none" w:sz="0" w:space="0" w:color="auto"/>
            <w:left w:val="none" w:sz="0" w:space="0" w:color="auto"/>
            <w:bottom w:val="none" w:sz="0" w:space="0" w:color="auto"/>
            <w:right w:val="none" w:sz="0" w:space="0" w:color="auto"/>
          </w:divBdr>
          <w:divsChild>
            <w:div w:id="153180467">
              <w:marLeft w:val="0"/>
              <w:marRight w:val="0"/>
              <w:marTop w:val="0"/>
              <w:marBottom w:val="0"/>
              <w:divBdr>
                <w:top w:val="none" w:sz="0" w:space="0" w:color="auto"/>
                <w:left w:val="none" w:sz="0" w:space="0" w:color="auto"/>
                <w:bottom w:val="none" w:sz="0" w:space="0" w:color="auto"/>
                <w:right w:val="none" w:sz="0" w:space="0" w:color="auto"/>
              </w:divBdr>
              <w:divsChild>
                <w:div w:id="111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0136">
      <w:bodyDiv w:val="1"/>
      <w:marLeft w:val="0"/>
      <w:marRight w:val="0"/>
      <w:marTop w:val="0"/>
      <w:marBottom w:val="0"/>
      <w:divBdr>
        <w:top w:val="none" w:sz="0" w:space="0" w:color="auto"/>
        <w:left w:val="none" w:sz="0" w:space="0" w:color="auto"/>
        <w:bottom w:val="none" w:sz="0" w:space="0" w:color="auto"/>
        <w:right w:val="none" w:sz="0" w:space="0" w:color="auto"/>
      </w:divBdr>
    </w:div>
    <w:div w:id="704990887">
      <w:bodyDiv w:val="1"/>
      <w:marLeft w:val="0"/>
      <w:marRight w:val="0"/>
      <w:marTop w:val="0"/>
      <w:marBottom w:val="0"/>
      <w:divBdr>
        <w:top w:val="none" w:sz="0" w:space="0" w:color="auto"/>
        <w:left w:val="none" w:sz="0" w:space="0" w:color="auto"/>
        <w:bottom w:val="none" w:sz="0" w:space="0" w:color="auto"/>
        <w:right w:val="none" w:sz="0" w:space="0" w:color="auto"/>
      </w:divBdr>
      <w:divsChild>
        <w:div w:id="1799565893">
          <w:marLeft w:val="0"/>
          <w:marRight w:val="0"/>
          <w:marTop w:val="0"/>
          <w:marBottom w:val="0"/>
          <w:divBdr>
            <w:top w:val="none" w:sz="0" w:space="0" w:color="auto"/>
            <w:left w:val="none" w:sz="0" w:space="0" w:color="auto"/>
            <w:bottom w:val="none" w:sz="0" w:space="0" w:color="auto"/>
            <w:right w:val="none" w:sz="0" w:space="0" w:color="auto"/>
          </w:divBdr>
          <w:divsChild>
            <w:div w:id="1844392449">
              <w:marLeft w:val="0"/>
              <w:marRight w:val="0"/>
              <w:marTop w:val="0"/>
              <w:marBottom w:val="0"/>
              <w:divBdr>
                <w:top w:val="none" w:sz="0" w:space="0" w:color="auto"/>
                <w:left w:val="none" w:sz="0" w:space="0" w:color="auto"/>
                <w:bottom w:val="none" w:sz="0" w:space="0" w:color="auto"/>
                <w:right w:val="none" w:sz="0" w:space="0" w:color="auto"/>
              </w:divBdr>
              <w:divsChild>
                <w:div w:id="554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1543">
      <w:bodyDiv w:val="1"/>
      <w:marLeft w:val="0"/>
      <w:marRight w:val="0"/>
      <w:marTop w:val="0"/>
      <w:marBottom w:val="0"/>
      <w:divBdr>
        <w:top w:val="none" w:sz="0" w:space="0" w:color="auto"/>
        <w:left w:val="none" w:sz="0" w:space="0" w:color="auto"/>
        <w:bottom w:val="none" w:sz="0" w:space="0" w:color="auto"/>
        <w:right w:val="none" w:sz="0" w:space="0" w:color="auto"/>
      </w:divBdr>
    </w:div>
    <w:div w:id="967779943">
      <w:bodyDiv w:val="1"/>
      <w:marLeft w:val="0"/>
      <w:marRight w:val="0"/>
      <w:marTop w:val="0"/>
      <w:marBottom w:val="0"/>
      <w:divBdr>
        <w:top w:val="none" w:sz="0" w:space="0" w:color="auto"/>
        <w:left w:val="none" w:sz="0" w:space="0" w:color="auto"/>
        <w:bottom w:val="none" w:sz="0" w:space="0" w:color="auto"/>
        <w:right w:val="none" w:sz="0" w:space="0" w:color="auto"/>
      </w:divBdr>
    </w:div>
    <w:div w:id="988441689">
      <w:bodyDiv w:val="1"/>
      <w:marLeft w:val="0"/>
      <w:marRight w:val="0"/>
      <w:marTop w:val="0"/>
      <w:marBottom w:val="0"/>
      <w:divBdr>
        <w:top w:val="none" w:sz="0" w:space="0" w:color="auto"/>
        <w:left w:val="none" w:sz="0" w:space="0" w:color="auto"/>
        <w:bottom w:val="none" w:sz="0" w:space="0" w:color="auto"/>
        <w:right w:val="none" w:sz="0" w:space="0" w:color="auto"/>
      </w:divBdr>
    </w:div>
    <w:div w:id="1245799264">
      <w:bodyDiv w:val="1"/>
      <w:marLeft w:val="0"/>
      <w:marRight w:val="0"/>
      <w:marTop w:val="0"/>
      <w:marBottom w:val="0"/>
      <w:divBdr>
        <w:top w:val="none" w:sz="0" w:space="0" w:color="auto"/>
        <w:left w:val="none" w:sz="0" w:space="0" w:color="auto"/>
        <w:bottom w:val="none" w:sz="0" w:space="0" w:color="auto"/>
        <w:right w:val="none" w:sz="0" w:space="0" w:color="auto"/>
      </w:divBdr>
    </w:div>
    <w:div w:id="1256405476">
      <w:bodyDiv w:val="1"/>
      <w:marLeft w:val="0"/>
      <w:marRight w:val="0"/>
      <w:marTop w:val="0"/>
      <w:marBottom w:val="0"/>
      <w:divBdr>
        <w:top w:val="none" w:sz="0" w:space="0" w:color="auto"/>
        <w:left w:val="none" w:sz="0" w:space="0" w:color="auto"/>
        <w:bottom w:val="none" w:sz="0" w:space="0" w:color="auto"/>
        <w:right w:val="none" w:sz="0" w:space="0" w:color="auto"/>
      </w:divBdr>
    </w:div>
    <w:div w:id="1262910186">
      <w:bodyDiv w:val="1"/>
      <w:marLeft w:val="0"/>
      <w:marRight w:val="0"/>
      <w:marTop w:val="0"/>
      <w:marBottom w:val="0"/>
      <w:divBdr>
        <w:top w:val="none" w:sz="0" w:space="0" w:color="auto"/>
        <w:left w:val="none" w:sz="0" w:space="0" w:color="auto"/>
        <w:bottom w:val="none" w:sz="0" w:space="0" w:color="auto"/>
        <w:right w:val="none" w:sz="0" w:space="0" w:color="auto"/>
      </w:divBdr>
    </w:div>
    <w:div w:id="1395734941">
      <w:bodyDiv w:val="1"/>
      <w:marLeft w:val="0"/>
      <w:marRight w:val="0"/>
      <w:marTop w:val="0"/>
      <w:marBottom w:val="0"/>
      <w:divBdr>
        <w:top w:val="none" w:sz="0" w:space="0" w:color="auto"/>
        <w:left w:val="none" w:sz="0" w:space="0" w:color="auto"/>
        <w:bottom w:val="none" w:sz="0" w:space="0" w:color="auto"/>
        <w:right w:val="none" w:sz="0" w:space="0" w:color="auto"/>
      </w:divBdr>
    </w:div>
    <w:div w:id="1626231728">
      <w:bodyDiv w:val="1"/>
      <w:marLeft w:val="0"/>
      <w:marRight w:val="0"/>
      <w:marTop w:val="0"/>
      <w:marBottom w:val="0"/>
      <w:divBdr>
        <w:top w:val="none" w:sz="0" w:space="0" w:color="auto"/>
        <w:left w:val="none" w:sz="0" w:space="0" w:color="auto"/>
        <w:bottom w:val="none" w:sz="0" w:space="0" w:color="auto"/>
        <w:right w:val="none" w:sz="0" w:space="0" w:color="auto"/>
      </w:divBdr>
    </w:div>
    <w:div w:id="1709640746">
      <w:bodyDiv w:val="1"/>
      <w:marLeft w:val="0"/>
      <w:marRight w:val="0"/>
      <w:marTop w:val="0"/>
      <w:marBottom w:val="0"/>
      <w:divBdr>
        <w:top w:val="none" w:sz="0" w:space="0" w:color="auto"/>
        <w:left w:val="none" w:sz="0" w:space="0" w:color="auto"/>
        <w:bottom w:val="none" w:sz="0" w:space="0" w:color="auto"/>
        <w:right w:val="none" w:sz="0" w:space="0" w:color="auto"/>
      </w:divBdr>
    </w:div>
    <w:div w:id="1877309891">
      <w:bodyDiv w:val="1"/>
      <w:marLeft w:val="0"/>
      <w:marRight w:val="0"/>
      <w:marTop w:val="0"/>
      <w:marBottom w:val="0"/>
      <w:divBdr>
        <w:top w:val="none" w:sz="0" w:space="0" w:color="auto"/>
        <w:left w:val="none" w:sz="0" w:space="0" w:color="auto"/>
        <w:bottom w:val="none" w:sz="0" w:space="0" w:color="auto"/>
        <w:right w:val="none" w:sz="0" w:space="0" w:color="auto"/>
      </w:divBdr>
    </w:div>
    <w:div w:id="1918588871">
      <w:bodyDiv w:val="1"/>
      <w:marLeft w:val="0"/>
      <w:marRight w:val="0"/>
      <w:marTop w:val="0"/>
      <w:marBottom w:val="0"/>
      <w:divBdr>
        <w:top w:val="none" w:sz="0" w:space="0" w:color="auto"/>
        <w:left w:val="none" w:sz="0" w:space="0" w:color="auto"/>
        <w:bottom w:val="none" w:sz="0" w:space="0" w:color="auto"/>
        <w:right w:val="none" w:sz="0" w:space="0" w:color="auto"/>
      </w:divBdr>
    </w:div>
    <w:div w:id="2050566994">
      <w:bodyDiv w:val="1"/>
      <w:marLeft w:val="0"/>
      <w:marRight w:val="0"/>
      <w:marTop w:val="0"/>
      <w:marBottom w:val="0"/>
      <w:divBdr>
        <w:top w:val="none" w:sz="0" w:space="0" w:color="auto"/>
        <w:left w:val="none" w:sz="0" w:space="0" w:color="auto"/>
        <w:bottom w:val="none" w:sz="0" w:space="0" w:color="auto"/>
        <w:right w:val="none" w:sz="0" w:space="0" w:color="auto"/>
      </w:divBdr>
    </w:div>
    <w:div w:id="2100516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0114-E8DF-7543-8B2A-D75327A3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9053</Words>
  <Characters>47061</Characters>
  <Application>Microsoft Office Word</Application>
  <DocSecurity>0</DocSecurity>
  <Lines>954</Lines>
  <Paragraphs>105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56094</CharactersWithSpaces>
  <SharedDoc>false</SharedDoc>
  <HLinks>
    <vt:vector size="6" baseType="variant">
      <vt:variant>
        <vt:i4>8192072</vt:i4>
      </vt:variant>
      <vt:variant>
        <vt:i4>0</vt:i4>
      </vt:variant>
      <vt:variant>
        <vt:i4>0</vt:i4>
      </vt:variant>
      <vt:variant>
        <vt:i4>5</vt:i4>
      </vt:variant>
      <vt:variant>
        <vt:lpwstr>http://plato.stanford.edu/entries/perfectionism-moral/</vt:lpwstr>
      </vt:variant>
      <vt:variant>
        <vt:lpwstr>PriStaNeu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Hameed</dc:creator>
  <cp:keywords/>
  <dc:description/>
  <cp:lastModifiedBy>Hameed A.</cp:lastModifiedBy>
  <cp:revision>4</cp:revision>
  <cp:lastPrinted>2017-05-25T16:22:00Z</cp:lastPrinted>
  <dcterms:created xsi:type="dcterms:W3CDTF">2018-10-03T02:36:00Z</dcterms:created>
  <dcterms:modified xsi:type="dcterms:W3CDTF">2018-11-09T17:38:00Z</dcterms:modified>
</cp:coreProperties>
</file>