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AFD" w:rsidRPr="001A1154" w:rsidRDefault="008E37F0" w:rsidP="00F278E3">
      <w:pPr>
        <w:spacing w:after="120" w:line="276" w:lineRule="auto"/>
        <w:jc w:val="both"/>
        <w:rPr>
          <w:b/>
          <w:bCs/>
        </w:rPr>
      </w:pPr>
      <w:r w:rsidRPr="001A1154">
        <w:rPr>
          <w:b/>
          <w:bCs/>
        </w:rPr>
        <w:t>Text for Parliamentary and Science committee</w:t>
      </w:r>
    </w:p>
    <w:p w:rsidR="001A1154" w:rsidRPr="00214FFE" w:rsidRDefault="00214FFE" w:rsidP="00F278E3">
      <w:pPr>
        <w:spacing w:after="120" w:line="276" w:lineRule="auto"/>
        <w:jc w:val="both"/>
        <w:rPr>
          <w:sz w:val="32"/>
          <w:szCs w:val="32"/>
        </w:rPr>
      </w:pPr>
      <w:r w:rsidRPr="00214FFE">
        <w:rPr>
          <w:sz w:val="32"/>
          <w:szCs w:val="32"/>
        </w:rPr>
        <w:t>Can we end the threat of Anti-Microbial Resistance once and for all?</w:t>
      </w:r>
    </w:p>
    <w:p w:rsidR="00E43D36" w:rsidRPr="000215CD" w:rsidRDefault="00E43D36" w:rsidP="00F278E3">
      <w:pPr>
        <w:spacing w:after="120" w:line="276" w:lineRule="auto"/>
        <w:jc w:val="both"/>
        <w:rPr>
          <w:b/>
          <w:i/>
          <w:iCs/>
        </w:rPr>
      </w:pPr>
      <w:r w:rsidRPr="000215CD">
        <w:rPr>
          <w:b/>
          <w:i/>
          <w:iCs/>
        </w:rPr>
        <w:t>What is Anti-Microbial Resistance?</w:t>
      </w:r>
    </w:p>
    <w:p w:rsidR="006E6A62" w:rsidRDefault="00794A43" w:rsidP="00027DF5">
      <w:pPr>
        <w:spacing w:after="120" w:line="276" w:lineRule="auto"/>
        <w:jc w:val="both"/>
      </w:pPr>
      <w:r>
        <w:t xml:space="preserve">Microbes that exhibit </w:t>
      </w:r>
      <w:r w:rsidR="00B51F22">
        <w:t>Anti</w:t>
      </w:r>
      <w:r w:rsidR="00821B9B">
        <w:t>-</w:t>
      </w:r>
      <w:r w:rsidR="00B51F22">
        <w:t>Microbial Resistance</w:t>
      </w:r>
      <w:r w:rsidR="006E6A62">
        <w:t xml:space="preserve"> (AMR)</w:t>
      </w:r>
      <w:r w:rsidR="00B51F22">
        <w:t xml:space="preserve"> </w:t>
      </w:r>
      <w:r w:rsidR="00214FFE">
        <w:t xml:space="preserve">are resistant to </w:t>
      </w:r>
      <w:r w:rsidR="00027DF5">
        <w:t xml:space="preserve">existing </w:t>
      </w:r>
      <w:r w:rsidR="00CA7F68">
        <w:t xml:space="preserve">disinfection cleaning or </w:t>
      </w:r>
      <w:r w:rsidR="00214FFE">
        <w:t>antimicrobial medication</w:t>
      </w:r>
      <w:r w:rsidR="00027DF5">
        <w:t xml:space="preserve">. Specifically, that is when </w:t>
      </w:r>
      <w:r w:rsidR="00B51F22">
        <w:t>bacteria</w:t>
      </w:r>
      <w:r w:rsidR="00027DF5">
        <w:t xml:space="preserve">, viruses, fungi and parasites (of, for example, the type that cause malaria) becoming respectively resistant to </w:t>
      </w:r>
      <w:r w:rsidR="00035D26">
        <w:t>antibiotics</w:t>
      </w:r>
      <w:r w:rsidR="00027DF5">
        <w:t xml:space="preserve">, </w:t>
      </w:r>
      <w:r w:rsidR="00B51F22">
        <w:t>antiviral</w:t>
      </w:r>
      <w:r w:rsidR="00027DF5">
        <w:t>s,</w:t>
      </w:r>
      <w:r w:rsidR="00035D26">
        <w:t xml:space="preserve"> anti-fungals</w:t>
      </w:r>
      <w:r w:rsidR="00027DF5">
        <w:t>,</w:t>
      </w:r>
      <w:r w:rsidR="00B51F22">
        <w:t xml:space="preserve"> </w:t>
      </w:r>
      <w:r w:rsidR="00027DF5">
        <w:t>and anti-parasite drugs (the four categories of anti-microbial medication)</w:t>
      </w:r>
      <w:r w:rsidR="00B51F22">
        <w:t xml:space="preserve">. </w:t>
      </w:r>
    </w:p>
    <w:p w:rsidR="002D0CB9" w:rsidRDefault="00035D26" w:rsidP="00F278E3">
      <w:pPr>
        <w:spacing w:after="120" w:line="276" w:lineRule="auto"/>
        <w:jc w:val="both"/>
      </w:pPr>
      <w:r>
        <w:t>The</w:t>
      </w:r>
      <w:r w:rsidR="00794A43">
        <w:t xml:space="preserve"> inexorable increase </w:t>
      </w:r>
      <w:r>
        <w:t xml:space="preserve">of AMR </w:t>
      </w:r>
      <w:r w:rsidR="00794A43">
        <w:t xml:space="preserve">threatens us as a society because </w:t>
      </w:r>
      <w:r w:rsidR="002D0CB9">
        <w:t>(i)</w:t>
      </w:r>
      <w:r w:rsidR="00124209">
        <w:t xml:space="preserve"> our </w:t>
      </w:r>
      <w:r>
        <w:t xml:space="preserve">increased </w:t>
      </w:r>
      <w:r w:rsidR="00124209">
        <w:t>expectation</w:t>
      </w:r>
      <w:r w:rsidR="002D0CB9">
        <w:t>s from</w:t>
      </w:r>
      <w:r w:rsidR="00124209">
        <w:t xml:space="preserve"> </w:t>
      </w:r>
      <w:proofErr w:type="gramStart"/>
      <w:r w:rsidR="00124209">
        <w:t>healthcare</w:t>
      </w:r>
      <w:proofErr w:type="gramEnd"/>
      <w:r w:rsidR="00124209">
        <w:t xml:space="preserve"> (e.g.</w:t>
      </w:r>
      <w:r w:rsidR="002D0CB9">
        <w:t xml:space="preserve"> we expect treatments that would not be possible without effective antibiotics) and (ii) our </w:t>
      </w:r>
      <w:r w:rsidR="00DD37A6">
        <w:t>over</w:t>
      </w:r>
      <w:r w:rsidR="002D0CB9">
        <w:t xml:space="preserve">use </w:t>
      </w:r>
      <w:r w:rsidR="00DD37A6">
        <w:t xml:space="preserve">and in appropriate use </w:t>
      </w:r>
      <w:r w:rsidR="002D0CB9">
        <w:t xml:space="preserve">of antimicrobial medication </w:t>
      </w:r>
      <w:r w:rsidR="00794A43">
        <w:t xml:space="preserve">causes us </w:t>
      </w:r>
      <w:r w:rsidR="008679ED">
        <w:t xml:space="preserve">increasingly </w:t>
      </w:r>
      <w:r w:rsidR="00794A43">
        <w:t>to see more infections exhibiting AMR</w:t>
      </w:r>
      <w:r w:rsidR="002D0CB9">
        <w:t>.</w:t>
      </w:r>
    </w:p>
    <w:p w:rsidR="00035D26" w:rsidRDefault="00794A43" w:rsidP="00DD37A6">
      <w:pPr>
        <w:spacing w:after="120" w:line="276" w:lineRule="auto"/>
        <w:jc w:val="both"/>
      </w:pPr>
      <w:r>
        <w:t>F</w:t>
      </w:r>
      <w:r w:rsidR="002D0CB9">
        <w:t xml:space="preserve">or thousands of years we relied on our </w:t>
      </w:r>
      <w:r w:rsidR="00214FFE">
        <w:t xml:space="preserve">skin </w:t>
      </w:r>
      <w:r w:rsidR="002D0CB9">
        <w:t xml:space="preserve">to be </w:t>
      </w:r>
      <w:r w:rsidR="00214FFE">
        <w:t>our shield</w:t>
      </w:r>
      <w:r w:rsidR="002D0CB9">
        <w:t xml:space="preserve"> to protect us from the billions of microbes in our fields, food</w:t>
      </w:r>
      <w:r w:rsidR="00214FFE">
        <w:t xml:space="preserve">, </w:t>
      </w:r>
      <w:r w:rsidR="00035D26">
        <w:t>and water. I</w:t>
      </w:r>
      <w:r w:rsidR="00214FFE">
        <w:t xml:space="preserve">nfections </w:t>
      </w:r>
      <w:r w:rsidR="00035D26">
        <w:t xml:space="preserve">did of course occur, </w:t>
      </w:r>
      <w:r w:rsidR="008679ED">
        <w:t>usually</w:t>
      </w:r>
      <w:r w:rsidR="00035D26">
        <w:t xml:space="preserve"> </w:t>
      </w:r>
      <w:r w:rsidR="00214FFE">
        <w:t xml:space="preserve">when microbes </w:t>
      </w:r>
      <w:r w:rsidR="008679ED">
        <w:t>got past</w:t>
      </w:r>
      <w:r w:rsidR="00214FFE">
        <w:t xml:space="preserve"> the skin barrier via wounds</w:t>
      </w:r>
      <w:r w:rsidR="00027DF5">
        <w:t xml:space="preserve"> and</w:t>
      </w:r>
      <w:r w:rsidR="00035D26">
        <w:t xml:space="preserve"> penetration,</w:t>
      </w:r>
      <w:r w:rsidR="00214FFE">
        <w:t xml:space="preserve"> or when </w:t>
      </w:r>
      <w:r w:rsidR="002D0CB9">
        <w:t xml:space="preserve">ingested or </w:t>
      </w:r>
      <w:r w:rsidR="00214FFE">
        <w:t>carried (often on dirty hands) to natural openings in our body (</w:t>
      </w:r>
      <w:r>
        <w:t>eyes, nose</w:t>
      </w:r>
      <w:r w:rsidR="00027DF5">
        <w:t xml:space="preserve"> </w:t>
      </w:r>
      <w:r>
        <w:t xml:space="preserve">etc.). Prior to the </w:t>
      </w:r>
      <w:r w:rsidR="00DD37A6">
        <w:t xml:space="preserve">second half of the </w:t>
      </w:r>
      <w:r>
        <w:t>20</w:t>
      </w:r>
      <w:r w:rsidRPr="00794A43">
        <w:rPr>
          <w:vertAlign w:val="superscript"/>
        </w:rPr>
        <w:t>th</w:t>
      </w:r>
      <w:r>
        <w:t xml:space="preserve"> century, our use of antimicrobials was not on an industrial scale, so that whilst </w:t>
      </w:r>
      <w:r w:rsidR="008679ED">
        <w:t>treatment</w:t>
      </w:r>
      <w:r>
        <w:t xml:space="preserve"> affected the microbes present </w:t>
      </w:r>
      <w:r w:rsidR="008679ED">
        <w:t>at the site of</w:t>
      </w:r>
      <w:r>
        <w:t xml:space="preserve"> infection, it did not significantly affect the resistance of </w:t>
      </w:r>
      <w:r w:rsidR="00035D26">
        <w:t xml:space="preserve">the billions of </w:t>
      </w:r>
      <w:r>
        <w:t xml:space="preserve">microbes </w:t>
      </w:r>
      <w:r w:rsidR="00035D26">
        <w:t xml:space="preserve">in the reservoirs from which the infection </w:t>
      </w:r>
      <w:r w:rsidR="004D76F4">
        <w:t>usually originated</w:t>
      </w:r>
      <w:r w:rsidR="00035D26">
        <w:t xml:space="preserve"> (fields</w:t>
      </w:r>
      <w:r w:rsidR="007C2E23">
        <w:t xml:space="preserve"> and forests</w:t>
      </w:r>
      <w:r w:rsidR="00035D26">
        <w:t>, water supplies</w:t>
      </w:r>
      <w:r w:rsidR="00DD37A6">
        <w:t>, sewage, food sources, people and animals</w:t>
      </w:r>
      <w:r w:rsidR="00035D26">
        <w:t xml:space="preserve"> etc.). </w:t>
      </w:r>
      <w:r w:rsidR="00CA7F68">
        <w:t xml:space="preserve">Indeed, it could be argued that some bacteria already had some antibiotic resistance characteristics </w:t>
      </w:r>
      <w:r w:rsidR="00DA160F">
        <w:t>because of</w:t>
      </w:r>
      <w:r w:rsidR="00CA7F68">
        <w:t xml:space="preserve"> millions of years co-habiting with and fighting antibiotic</w:t>
      </w:r>
      <w:r w:rsidR="00DA160F">
        <w:t>-</w:t>
      </w:r>
      <w:r w:rsidR="00CA7F68">
        <w:t>producing fungi</w:t>
      </w:r>
      <w:r w:rsidR="00BE47D5">
        <w:t xml:space="preserve">, </w:t>
      </w:r>
      <w:r w:rsidR="00CA7F68">
        <w:t xml:space="preserve">or </w:t>
      </w:r>
      <w:r w:rsidR="00BE47D5">
        <w:t xml:space="preserve">surviving </w:t>
      </w:r>
      <w:r w:rsidR="00CA7F68">
        <w:t>in</w:t>
      </w:r>
      <w:r w:rsidR="00BE47D5">
        <w:t xml:space="preserve"> </w:t>
      </w:r>
      <w:r w:rsidR="00FE7606">
        <w:t xml:space="preserve">environments </w:t>
      </w:r>
      <w:r w:rsidR="00BE47D5">
        <w:t xml:space="preserve">that contained dilute forms of the agents we now use to kill microbes, and that the mechanisms they have to remove such chemicals from their cells </w:t>
      </w:r>
      <w:r w:rsidR="00FE7606">
        <w:t>coincidentally remove antibiotics as well</w:t>
      </w:r>
      <w:r w:rsidR="00CA7F68">
        <w:t>.</w:t>
      </w:r>
    </w:p>
    <w:p w:rsidR="00F93BFC" w:rsidRDefault="00035D26" w:rsidP="00D814F7">
      <w:pPr>
        <w:spacing w:after="120" w:line="276" w:lineRule="auto"/>
        <w:jc w:val="both"/>
      </w:pPr>
      <w:r>
        <w:t>Now, however,</w:t>
      </w:r>
      <w:r w:rsidR="00BE47D5">
        <w:t xml:space="preserve"> modern</w:t>
      </w:r>
      <w:r>
        <w:t xml:space="preserve"> </w:t>
      </w:r>
      <w:r w:rsidR="004D76F4">
        <w:t>treatment</w:t>
      </w:r>
      <w:r>
        <w:t xml:space="preserve"> </w:t>
      </w:r>
      <w:r w:rsidR="00CA7F68">
        <w:t xml:space="preserve">has exacerbated </w:t>
      </w:r>
      <w:r w:rsidR="00BE47D5">
        <w:t>the development of resistance in that</w:t>
      </w:r>
      <w:r>
        <w:t xml:space="preserve"> reservoir, as</w:t>
      </w:r>
      <w:r w:rsidR="00B51F22">
        <w:t xml:space="preserve"> a co</w:t>
      </w:r>
      <w:r>
        <w:t>nsequence of natural selection. W</w:t>
      </w:r>
      <w:r w:rsidR="00B51F22">
        <w:t xml:space="preserve">hen we inject or swallow </w:t>
      </w:r>
      <w:r w:rsidR="006E6A62">
        <w:t>anti</w:t>
      </w:r>
      <w:r w:rsidR="00794A43">
        <w:t>-</w:t>
      </w:r>
      <w:r w:rsidR="006E6A62">
        <w:t>microbials</w:t>
      </w:r>
      <w:r w:rsidR="00B51F22">
        <w:t xml:space="preserve">, or use them </w:t>
      </w:r>
      <w:r>
        <w:t xml:space="preserve">routinely </w:t>
      </w:r>
      <w:r w:rsidR="00B51F22">
        <w:t>to wash hands</w:t>
      </w:r>
      <w:r w:rsidR="006E6A62">
        <w:t xml:space="preserve"> and food</w:t>
      </w:r>
      <w:r w:rsidR="00B51F22">
        <w:t xml:space="preserve"> etc., a dilute form of the chemical </w:t>
      </w:r>
      <w:r>
        <w:t>is urinated or washed</w:t>
      </w:r>
      <w:r w:rsidR="00B51F22">
        <w:t xml:space="preserve"> into the water and sewage system</w:t>
      </w:r>
      <w:r w:rsidR="006C7CBB">
        <w:t>s</w:t>
      </w:r>
      <w:r w:rsidR="005B1971">
        <w:t>. From there it passes</w:t>
      </w:r>
      <w:r w:rsidR="006E6A62">
        <w:t xml:space="preserve"> out into the</w:t>
      </w:r>
      <w:r w:rsidR="005B1971">
        <w:t xml:space="preserve"> vast reservoir of microbes in the wider world. There, </w:t>
      </w:r>
      <w:r w:rsidR="006E6A62">
        <w:t xml:space="preserve">the microbes that are susceptible to that drug </w:t>
      </w:r>
      <w:r w:rsidR="00CA7F68">
        <w:t xml:space="preserve">or disinfectant </w:t>
      </w:r>
      <w:r w:rsidR="006E6A62">
        <w:t xml:space="preserve">are killed, shifting the balance of the surviving </w:t>
      </w:r>
      <w:r w:rsidR="005B1971">
        <w:t xml:space="preserve">reservoir </w:t>
      </w:r>
      <w:r w:rsidR="006E6A62">
        <w:t xml:space="preserve">population so that a greater proportion are resistant to that </w:t>
      </w:r>
      <w:r w:rsidR="00CA7F68">
        <w:t>agent</w:t>
      </w:r>
      <w:r w:rsidR="004D76F4">
        <w:t>, ready to cause future infections</w:t>
      </w:r>
      <w:r w:rsidR="006E6A62">
        <w:t xml:space="preserve">. </w:t>
      </w:r>
      <w:r w:rsidR="005B1971">
        <w:t>Over time we therefore see an increased occurrence of AMR in infections that originate in that reservoir.</w:t>
      </w:r>
      <w:r w:rsidR="00B13ECC">
        <w:t xml:space="preserve"> </w:t>
      </w:r>
      <w:r w:rsidR="004D76F4">
        <w:t>(</w:t>
      </w:r>
      <w:r w:rsidR="00B13ECC">
        <w:t>There are other routes by which a species can develop AMR, including direct transfer of genetic material, but here we will focus on the one outlined above because it is</w:t>
      </w:r>
      <w:r w:rsidR="00D814F7">
        <w:t xml:space="preserve"> the a sufficient springboard for the arguments that follow and</w:t>
      </w:r>
      <w:r w:rsidR="00B13ECC">
        <w:t>, in many ways, an engine that makes these other routes so much more devastating to society</w:t>
      </w:r>
      <w:r w:rsidR="004D76F4">
        <w:t>)</w:t>
      </w:r>
      <w:r w:rsidR="00B13ECC">
        <w:t>.</w:t>
      </w:r>
    </w:p>
    <w:p w:rsidR="00B1084F" w:rsidRDefault="00B1084F" w:rsidP="00D814F7">
      <w:pPr>
        <w:spacing w:after="120" w:line="276" w:lineRule="auto"/>
        <w:jc w:val="both"/>
      </w:pPr>
    </w:p>
    <w:p w:rsidR="00E43D36" w:rsidRPr="000215CD" w:rsidRDefault="00E43D36" w:rsidP="00F278E3">
      <w:pPr>
        <w:spacing w:after="120" w:line="276" w:lineRule="auto"/>
        <w:jc w:val="both"/>
        <w:rPr>
          <w:b/>
          <w:bCs/>
          <w:i/>
          <w:iCs/>
        </w:rPr>
      </w:pPr>
      <w:r w:rsidRPr="000215CD">
        <w:rPr>
          <w:b/>
          <w:bCs/>
          <w:i/>
          <w:iCs/>
        </w:rPr>
        <w:t>What are the implications of AMR?</w:t>
      </w:r>
    </w:p>
    <w:p w:rsidR="001A1154" w:rsidRDefault="006E6A62" w:rsidP="00F278E3">
      <w:pPr>
        <w:spacing w:after="120" w:line="276" w:lineRule="auto"/>
        <w:jc w:val="both"/>
      </w:pPr>
      <w:r>
        <w:t>Government-sponsored studies showed that</w:t>
      </w:r>
      <w:r w:rsidR="004237D5">
        <w:t>,</w:t>
      </w:r>
      <w:r w:rsidR="001A1154">
        <w:t xml:space="preserve"> unless Anti</w:t>
      </w:r>
      <w:r w:rsidR="00821B9B">
        <w:t>-</w:t>
      </w:r>
      <w:r w:rsidR="001A1154">
        <w:t xml:space="preserve">Microbial Resistance is tackled, it will </w:t>
      </w:r>
      <w:r w:rsidR="001A1154" w:rsidRPr="00F935F2">
        <w:rPr>
          <w:b/>
          <w:bCs/>
        </w:rPr>
        <w:t>by 2050 be causing more deaths than cancer</w:t>
      </w:r>
      <w:r w:rsidR="001A1154">
        <w:t xml:space="preserve"> and have cost the world economy </w:t>
      </w:r>
      <w:r w:rsidR="001A1154" w:rsidRPr="00F935F2">
        <w:rPr>
          <w:b/>
          <w:bCs/>
        </w:rPr>
        <w:t>more than the current size of the global economy</w:t>
      </w:r>
      <w:r w:rsidR="00F935F2" w:rsidRPr="00F935F2">
        <w:rPr>
          <w:bCs/>
        </w:rPr>
        <w:t xml:space="preserve"> </w:t>
      </w:r>
      <w:r w:rsidR="00F935F2" w:rsidRPr="000215CD">
        <w:rPr>
          <w:bCs/>
        </w:rPr>
        <w:t>[</w:t>
      </w:r>
      <w:r w:rsidR="000215CD" w:rsidRPr="000215CD">
        <w:rPr>
          <w:rStyle w:val="EndnoteReference"/>
          <w:bCs/>
          <w:vertAlign w:val="baseline"/>
        </w:rPr>
        <w:endnoteReference w:id="1"/>
      </w:r>
      <w:r w:rsidR="00F935F2" w:rsidRPr="000215CD">
        <w:rPr>
          <w:bCs/>
        </w:rPr>
        <w:t>]</w:t>
      </w:r>
      <w:r w:rsidR="001A1154" w:rsidRPr="000215CD">
        <w:t>.</w:t>
      </w:r>
    </w:p>
    <w:p w:rsidR="001A1154" w:rsidRDefault="001A1154" w:rsidP="00B1084F">
      <w:pPr>
        <w:spacing w:after="120" w:line="276" w:lineRule="auto"/>
        <w:jc w:val="both"/>
      </w:pPr>
      <w:r>
        <w:lastRenderedPageBreak/>
        <w:t>In my opinion the most important word in the above paragraph is ‘</w:t>
      </w:r>
      <w:r w:rsidRPr="00496BDB">
        <w:rPr>
          <w:i/>
          <w:iCs/>
        </w:rPr>
        <w:t>unless</w:t>
      </w:r>
      <w:r>
        <w:t xml:space="preserve">’. </w:t>
      </w:r>
      <w:r w:rsidR="00B51F22">
        <w:t xml:space="preserve">One view of ‘unless’ is </w:t>
      </w:r>
      <w:r w:rsidR="00D95BCC">
        <w:t xml:space="preserve">optimistic, containing </w:t>
      </w:r>
      <w:r w:rsidR="00B51F22">
        <w:t>a tacit assumption that scientists will find new a</w:t>
      </w:r>
      <w:r w:rsidR="005E4BF4">
        <w:t>ntibiotics etc., then pharmaceutical</w:t>
      </w:r>
      <w:r w:rsidR="00B51F22">
        <w:t xml:space="preserve"> companies will roll these out to billions of people and animals in an affordable way, and when resistance to these develops (as it will, </w:t>
      </w:r>
      <w:r w:rsidR="00496BDB">
        <w:t>being</w:t>
      </w:r>
      <w:r w:rsidR="004237D5">
        <w:t xml:space="preserve"> prone to natural selection</w:t>
      </w:r>
      <w:r w:rsidR="00496BDB">
        <w:t xml:space="preserve"> as described above</w:t>
      </w:r>
      <w:r w:rsidR="004237D5">
        <w:t xml:space="preserve">), scientists will again find another antimicrobial drug. Note that treatment must be global, since (with for example increased air travel) your next serious infection could have originated from </w:t>
      </w:r>
      <w:r w:rsidR="00B1084F">
        <w:t>elsewhere</w:t>
      </w:r>
      <w:r w:rsidR="004237D5">
        <w:t xml:space="preserve"> on the planet</w:t>
      </w:r>
      <w:r w:rsidR="005955F2" w:rsidRPr="00752719">
        <w:t xml:space="preserve"> [</w:t>
      </w:r>
      <w:bookmarkStart w:id="0" w:name="_Ref522281715"/>
      <w:r w:rsidR="00B1084F" w:rsidRPr="00B1084F">
        <w:rPr>
          <w:rStyle w:val="EndnoteReference"/>
          <w:iCs/>
          <w:shd w:val="clear" w:color="auto" w:fill="FFFFFF"/>
          <w:vertAlign w:val="baseline"/>
        </w:rPr>
        <w:endnoteReference w:id="2"/>
      </w:r>
      <w:bookmarkEnd w:id="0"/>
      <w:r w:rsidR="005955F2" w:rsidRPr="00B1084F">
        <w:t>]</w:t>
      </w:r>
      <w:r w:rsidR="00B1084F">
        <w:t xml:space="preserve"> (Figure 1)</w:t>
      </w:r>
      <w:r w:rsidR="004237D5" w:rsidRPr="00B1084F">
        <w:t>.</w:t>
      </w:r>
      <w:r w:rsidR="004237D5" w:rsidRPr="00752719">
        <w:t xml:space="preserve"> </w:t>
      </w:r>
    </w:p>
    <w:p w:rsidR="00255844" w:rsidRPr="002D2492" w:rsidRDefault="004237D5" w:rsidP="002D2492">
      <w:pPr>
        <w:spacing w:after="120" w:line="276" w:lineRule="auto"/>
        <w:jc w:val="both"/>
      </w:pPr>
      <w:r>
        <w:t>Therefore</w:t>
      </w:r>
      <w:r w:rsidR="00CA7F68">
        <w:t>,</w:t>
      </w:r>
      <w:r>
        <w:t xml:space="preserve"> the yet-to-be-</w:t>
      </w:r>
      <w:r w:rsidR="00F82D4D">
        <w:t>made</w:t>
      </w:r>
      <w:r>
        <w:t xml:space="preserve"> discovery of a future new antibiotic (and news stories of such discoveries tend to be exaggerated) is only the start of the problem: the delivery of this new antibiotic on a global scale faces challenges, and if all this is accomplished, it might shift the 2050 date of the apocalypse </w:t>
      </w:r>
      <w:r w:rsidR="00E43D36">
        <w:t>on to</w:t>
      </w:r>
      <w:r>
        <w:t xml:space="preserve"> perhaps 2065. </w:t>
      </w:r>
      <w:r w:rsidR="007C0484">
        <w:t>As we approach this apocalypse, the political choices b</w:t>
      </w:r>
      <w:r w:rsidR="00D95BCC">
        <w:t>ecome particularly unpalatable: whilst it is excellent practice to avoid the unnecessary use of anti-microbials (to reduce the amount going into the wider wor</w:t>
      </w:r>
      <w:r w:rsidR="00F93BFC">
        <w:t>ld</w:t>
      </w:r>
      <w:r w:rsidR="00D95BCC">
        <w:t xml:space="preserve"> and promoting AMR through the natural selection process outlined above), as the apocalypse looms, logic raises horrific choices that cannot be forever postponed: do we </w:t>
      </w:r>
      <w:r w:rsidR="00821B9B">
        <w:t xml:space="preserve">ban the use of anti-microbials for pets? </w:t>
      </w:r>
      <w:proofErr w:type="gramStart"/>
      <w:r w:rsidR="00667A39">
        <w:t>for</w:t>
      </w:r>
      <w:proofErr w:type="gramEnd"/>
      <w:r w:rsidR="00667A39">
        <w:t xml:space="preserve"> farming and aquaculture? </w:t>
      </w:r>
      <w:proofErr w:type="gramStart"/>
      <w:r w:rsidR="00667A39">
        <w:t>do</w:t>
      </w:r>
      <w:proofErr w:type="gramEnd"/>
      <w:r w:rsidR="00667A39">
        <w:t xml:space="preserve"> some procedures for some patients become unsupported</w:t>
      </w:r>
      <w:r w:rsidR="00821B9B">
        <w:t>? Whilst logic produces these options, they are ethically appalling.</w:t>
      </w:r>
    </w:p>
    <w:p w:rsidR="00255844" w:rsidRDefault="002D2492" w:rsidP="00255844">
      <w:pPr>
        <w:rPr>
          <w:i/>
          <w:iCs/>
        </w:rPr>
      </w:pPr>
      <w:r>
        <w:rPr>
          <w:i/>
          <w:iCs/>
          <w:noProof/>
        </w:rPr>
        <w:drawing>
          <wp:inline distT="0" distB="0" distL="0" distR="0">
            <wp:extent cx="5731510" cy="2052228"/>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Strep pneu 2009 vs 2016) v2.tif"/>
                    <pic:cNvPicPr/>
                  </pic:nvPicPr>
                  <pic:blipFill rotWithShape="1">
                    <a:blip r:embed="rId8">
                      <a:extLst>
                        <a:ext uri="{28A0092B-C50C-407E-A947-70E740481C1C}">
                          <a14:useLocalDpi xmlns:a14="http://schemas.microsoft.com/office/drawing/2010/main" val="0"/>
                        </a:ext>
                      </a:extLst>
                    </a:blip>
                    <a:srcRect b="36343"/>
                    <a:stretch/>
                  </pic:blipFill>
                  <pic:spPr bwMode="auto">
                    <a:xfrm>
                      <a:off x="0" y="0"/>
                      <a:ext cx="5731510" cy="2052228"/>
                    </a:xfrm>
                    <a:prstGeom prst="rect">
                      <a:avLst/>
                    </a:prstGeom>
                    <a:ln>
                      <a:noFill/>
                    </a:ln>
                    <a:extLst>
                      <a:ext uri="{53640926-AAD7-44D8-BBD7-CCE9431645EC}">
                        <a14:shadowObscured xmlns:a14="http://schemas.microsoft.com/office/drawing/2010/main"/>
                      </a:ext>
                    </a:extLst>
                  </pic:spPr>
                </pic:pic>
              </a:graphicData>
            </a:graphic>
          </wp:inline>
        </w:drawing>
      </w:r>
    </w:p>
    <w:p w:rsidR="00255844" w:rsidRDefault="00255844" w:rsidP="00B1084F">
      <w:pPr>
        <w:rPr>
          <w:i/>
          <w:iCs/>
          <w:sz w:val="24"/>
          <w:szCs w:val="24"/>
          <w:shd w:val="clear" w:color="auto" w:fill="FFFFFF"/>
        </w:rPr>
      </w:pPr>
      <w:r w:rsidRPr="00255844">
        <w:rPr>
          <w:i/>
          <w:iCs/>
        </w:rPr>
        <w:t xml:space="preserve">Figure 1. </w:t>
      </w:r>
      <w:r w:rsidR="00B1084F">
        <w:rPr>
          <w:i/>
          <w:iCs/>
        </w:rPr>
        <w:t xml:space="preserve">Maps showing increasing occurrence of resistance to the macrolide class on antibiotic as seen in samples of </w:t>
      </w:r>
      <w:r w:rsidRPr="00255844">
        <w:rPr>
          <w:i/>
          <w:iCs/>
          <w:shd w:val="clear" w:color="auto" w:fill="FFFFFF"/>
        </w:rPr>
        <w:t>Streptococcus pneumoniae</w:t>
      </w:r>
      <w:r w:rsidR="00B1084F">
        <w:rPr>
          <w:i/>
          <w:iCs/>
          <w:shd w:val="clear" w:color="auto" w:fill="FFFFFF"/>
        </w:rPr>
        <w:t>. The maps show the p</w:t>
      </w:r>
      <w:r w:rsidRPr="00255844">
        <w:rPr>
          <w:rFonts w:cs="MetaPro-Bold"/>
          <w:i/>
          <w:iCs/>
        </w:rPr>
        <w:t xml:space="preserve">ercentage (%) </w:t>
      </w:r>
      <w:r w:rsidRPr="00255844">
        <w:rPr>
          <w:i/>
          <w:iCs/>
          <w:shd w:val="clear" w:color="auto" w:fill="FFFFFF"/>
        </w:rPr>
        <w:t xml:space="preserve">of invasive isolates non-susceptible to macrolides, by </w:t>
      </w:r>
      <w:r w:rsidRPr="00255844">
        <w:rPr>
          <w:rFonts w:cs="MetaPro-Bold"/>
          <w:i/>
          <w:iCs/>
        </w:rPr>
        <w:t>EU/EEA</w:t>
      </w:r>
      <w:r w:rsidRPr="00255844">
        <w:rPr>
          <w:i/>
          <w:iCs/>
          <w:shd w:val="clear" w:color="auto" w:fill="FFFFFF"/>
        </w:rPr>
        <w:t xml:space="preserve"> country, in (a) 2009 (from [</w:t>
      </w:r>
      <w:r w:rsidRPr="00255844">
        <w:rPr>
          <w:rStyle w:val="EndnoteReference"/>
          <w:i/>
          <w:iCs/>
          <w:shd w:val="clear" w:color="auto" w:fill="FFFFFF"/>
          <w:vertAlign w:val="baseline"/>
        </w:rPr>
        <w:endnoteReference w:id="3"/>
      </w:r>
      <w:r w:rsidRPr="00255844">
        <w:rPr>
          <w:i/>
          <w:iCs/>
          <w:shd w:val="clear" w:color="auto" w:fill="FFFFFF"/>
        </w:rPr>
        <w:t>]) and (b) in 2016 (from [</w:t>
      </w:r>
      <w:r w:rsidR="00B1084F">
        <w:rPr>
          <w:i/>
          <w:iCs/>
          <w:shd w:val="clear" w:color="auto" w:fill="FFFFFF"/>
        </w:rPr>
        <w:fldChar w:fldCharType="begin"/>
      </w:r>
      <w:r w:rsidR="00B1084F">
        <w:rPr>
          <w:i/>
          <w:iCs/>
          <w:shd w:val="clear" w:color="auto" w:fill="FFFFFF"/>
        </w:rPr>
        <w:instrText xml:space="preserve"> NOTEREF _Ref522281715 \h </w:instrText>
      </w:r>
      <w:r w:rsidR="00B1084F">
        <w:rPr>
          <w:i/>
          <w:iCs/>
          <w:shd w:val="clear" w:color="auto" w:fill="FFFFFF"/>
        </w:rPr>
      </w:r>
      <w:r w:rsidR="00B1084F">
        <w:rPr>
          <w:i/>
          <w:iCs/>
          <w:shd w:val="clear" w:color="auto" w:fill="FFFFFF"/>
        </w:rPr>
        <w:fldChar w:fldCharType="separate"/>
      </w:r>
      <w:r w:rsidR="00B1084F">
        <w:rPr>
          <w:i/>
          <w:iCs/>
          <w:shd w:val="clear" w:color="auto" w:fill="FFFFFF"/>
        </w:rPr>
        <w:t>2</w:t>
      </w:r>
      <w:r w:rsidR="00B1084F">
        <w:rPr>
          <w:i/>
          <w:iCs/>
          <w:shd w:val="clear" w:color="auto" w:fill="FFFFFF"/>
        </w:rPr>
        <w:fldChar w:fldCharType="end"/>
      </w:r>
      <w:r w:rsidRPr="00255844">
        <w:rPr>
          <w:i/>
          <w:iCs/>
          <w:shd w:val="clear" w:color="auto" w:fill="FFFFFF"/>
        </w:rPr>
        <w:t>]</w:t>
      </w:r>
      <w:r w:rsidRPr="00255844">
        <w:rPr>
          <w:i/>
          <w:iCs/>
          <w:sz w:val="24"/>
          <w:szCs w:val="24"/>
          <w:shd w:val="clear" w:color="auto" w:fill="FFFFFF"/>
        </w:rPr>
        <w:t>).</w:t>
      </w:r>
    </w:p>
    <w:p w:rsidR="00B1084F" w:rsidRDefault="00B1084F" w:rsidP="00B1084F">
      <w:pPr>
        <w:rPr>
          <w:i/>
          <w:iCs/>
          <w:sz w:val="24"/>
          <w:szCs w:val="24"/>
          <w:shd w:val="clear" w:color="auto" w:fill="FFFFFF"/>
        </w:rPr>
      </w:pPr>
    </w:p>
    <w:p w:rsidR="00E43D36" w:rsidRDefault="00E43D36" w:rsidP="00F278E3">
      <w:pPr>
        <w:spacing w:after="120" w:line="276" w:lineRule="auto"/>
        <w:jc w:val="both"/>
        <w:rPr>
          <w:b/>
          <w:bCs/>
        </w:rPr>
      </w:pPr>
      <w:r w:rsidRPr="00E43D36">
        <w:rPr>
          <w:b/>
          <w:bCs/>
        </w:rPr>
        <w:t>Can we avoid the apocalypse?</w:t>
      </w:r>
    </w:p>
    <w:p w:rsidR="00D95BCC" w:rsidRDefault="00D95BCC" w:rsidP="004A76EB">
      <w:pPr>
        <w:spacing w:after="120" w:line="276" w:lineRule="auto"/>
        <w:jc w:val="both"/>
        <w:rPr>
          <w:bCs/>
        </w:rPr>
      </w:pPr>
      <w:r>
        <w:rPr>
          <w:bCs/>
        </w:rPr>
        <w:t xml:space="preserve">It is not enough simply to throw money at chemists and pharmaceutical companies, trusting in the optimistic interpretation of ‘unless’ </w:t>
      </w:r>
      <w:r w:rsidR="00F93BFC">
        <w:rPr>
          <w:bCs/>
        </w:rPr>
        <w:t>o</w:t>
      </w:r>
      <w:r>
        <w:rPr>
          <w:bCs/>
        </w:rPr>
        <w:t xml:space="preserve">utlined above. We must address the fact that the 32 years to the 2050 apocalypse is close on the timescale </w:t>
      </w:r>
      <w:r w:rsidR="001C4FD5">
        <w:rPr>
          <w:bCs/>
        </w:rPr>
        <w:t>for</w:t>
      </w:r>
      <w:r>
        <w:rPr>
          <w:bCs/>
        </w:rPr>
        <w:t xml:space="preserve"> scientific discovery and global roll-out: and indeed in 10 years the pain of climbing the foothills of the AMR </w:t>
      </w:r>
      <w:proofErr w:type="gramStart"/>
      <w:r>
        <w:rPr>
          <w:bCs/>
        </w:rPr>
        <w:t>mountain</w:t>
      </w:r>
      <w:proofErr w:type="gramEnd"/>
      <w:r>
        <w:rPr>
          <w:bCs/>
        </w:rPr>
        <w:t xml:space="preserve"> will be obvious to all. After all, it is not the case that the alarm bell has just been rung, so scientists can quickly </w:t>
      </w:r>
      <w:r w:rsidR="00703533">
        <w:rPr>
          <w:bCs/>
        </w:rPr>
        <w:t>marshal</w:t>
      </w:r>
      <w:r>
        <w:rPr>
          <w:bCs/>
        </w:rPr>
        <w:t xml:space="preserve"> solutio</w:t>
      </w:r>
      <w:r w:rsidR="0023020C">
        <w:rPr>
          <w:bCs/>
        </w:rPr>
        <w:t>ns: on his acceptance of the Nob</w:t>
      </w:r>
      <w:r>
        <w:rPr>
          <w:bCs/>
        </w:rPr>
        <w:t xml:space="preserve">el Prize for discovering penicillin, the first antibiotic, in 1945, Fleming spelled out the threat of AMR, saying </w:t>
      </w:r>
      <w:r w:rsidRPr="00D95BCC">
        <w:rPr>
          <w:bCs/>
        </w:rPr>
        <w:t>‘</w:t>
      </w:r>
      <w:r w:rsidRPr="00F93BFC">
        <w:rPr>
          <w:bCs/>
          <w:i/>
          <w:iCs/>
        </w:rPr>
        <w:t>The time may come when penicillin can be bought by anyone in the shops. Then there is the danger that the ignorant man may easily underdose himself and by exposing his microbes to non-lethal quantities of the drug make them resistant</w:t>
      </w:r>
      <w:r w:rsidRPr="00D95BCC">
        <w:rPr>
          <w:bCs/>
        </w:rPr>
        <w:t>’</w:t>
      </w:r>
      <w:r w:rsidR="00F93BFC">
        <w:rPr>
          <w:bCs/>
        </w:rPr>
        <w:t xml:space="preserve"> [</w:t>
      </w:r>
      <w:r w:rsidR="001C4FD5" w:rsidRPr="00710471">
        <w:rPr>
          <w:rStyle w:val="EndnoteReference"/>
          <w:bCs/>
          <w:vertAlign w:val="baseline"/>
        </w:rPr>
        <w:endnoteReference w:id="4"/>
      </w:r>
      <w:r w:rsidR="00F93BFC" w:rsidRPr="00710471">
        <w:rPr>
          <w:bCs/>
        </w:rPr>
        <w:t xml:space="preserve">]. </w:t>
      </w:r>
      <w:r w:rsidRPr="00710471">
        <w:rPr>
          <w:bCs/>
        </w:rPr>
        <w:t>Desp</w:t>
      </w:r>
      <w:r>
        <w:rPr>
          <w:bCs/>
        </w:rPr>
        <w:t>ite that warning</w:t>
      </w:r>
      <w:r w:rsidR="000E6027">
        <w:rPr>
          <w:bCs/>
        </w:rPr>
        <w:t xml:space="preserve"> 73 </w:t>
      </w:r>
      <w:r w:rsidR="000E6027">
        <w:rPr>
          <w:bCs/>
        </w:rPr>
        <w:lastRenderedPageBreak/>
        <w:t>years ago</w:t>
      </w:r>
      <w:r w:rsidR="007553C5">
        <w:rPr>
          <w:bCs/>
        </w:rPr>
        <w:t>, we have no solution, and indeed have discovered we promote AMR in other ways</w:t>
      </w:r>
      <w:r w:rsidR="00531D01">
        <w:rPr>
          <w:bCs/>
        </w:rPr>
        <w:t>. Taking example</w:t>
      </w:r>
      <w:r w:rsidR="004A76EB">
        <w:rPr>
          <w:bCs/>
        </w:rPr>
        <w:t>s only from resistance to</w:t>
      </w:r>
      <w:r w:rsidR="00531D01">
        <w:rPr>
          <w:bCs/>
        </w:rPr>
        <w:t xml:space="preserve"> </w:t>
      </w:r>
      <w:r w:rsidR="007553C5">
        <w:rPr>
          <w:bCs/>
        </w:rPr>
        <w:t xml:space="preserve">antibiotics, we promote AMR through use of antibiotics against viruses, and against bacteria that are not sensitive to that particular antibiotic; by </w:t>
      </w:r>
      <w:r w:rsidR="004A76EB">
        <w:rPr>
          <w:bCs/>
        </w:rPr>
        <w:t>using antibiotics</w:t>
      </w:r>
      <w:r w:rsidR="007553C5">
        <w:rPr>
          <w:bCs/>
        </w:rPr>
        <w:t xml:space="preserve"> as growth promot</w:t>
      </w:r>
      <w:r w:rsidR="004A76EB">
        <w:rPr>
          <w:bCs/>
        </w:rPr>
        <w:t>ers in livestock</w:t>
      </w:r>
      <w:r w:rsidR="007553C5">
        <w:rPr>
          <w:bCs/>
        </w:rPr>
        <w:t xml:space="preserve"> and aquaculture and any changes in behaviour to circumvent</w:t>
      </w:r>
      <w:r w:rsidR="007553C5" w:rsidRPr="00531D01">
        <w:rPr>
          <w:bCs/>
        </w:rPr>
        <w:t xml:space="preserve"> rules against this [</w:t>
      </w:r>
      <w:r w:rsidR="00D33510" w:rsidRPr="00531D01">
        <w:rPr>
          <w:rStyle w:val="EndnoteReference"/>
          <w:bCs/>
          <w:vertAlign w:val="baseline"/>
        </w:rPr>
        <w:endnoteReference w:id="5"/>
      </w:r>
      <w:r w:rsidR="007553C5" w:rsidRPr="00531D01">
        <w:rPr>
          <w:bCs/>
        </w:rPr>
        <w:t xml:space="preserve">]. </w:t>
      </w:r>
      <w:r w:rsidR="009D5508" w:rsidRPr="00531D01">
        <w:rPr>
          <w:bCs/>
        </w:rPr>
        <w:t>Beha</w:t>
      </w:r>
      <w:r w:rsidR="009D5508">
        <w:rPr>
          <w:bCs/>
        </w:rPr>
        <w:t xml:space="preserve">viour, and the social, cultural and financial pressures that drive this, underpin these drivers. </w:t>
      </w:r>
      <w:r w:rsidR="007553C5">
        <w:rPr>
          <w:bCs/>
        </w:rPr>
        <w:t xml:space="preserve">  </w:t>
      </w:r>
    </w:p>
    <w:p w:rsidR="00E01327" w:rsidRDefault="00F93BFC" w:rsidP="00F278E3">
      <w:pPr>
        <w:spacing w:after="120" w:line="276" w:lineRule="auto"/>
        <w:jc w:val="both"/>
        <w:rPr>
          <w:bCs/>
        </w:rPr>
      </w:pPr>
      <w:r>
        <w:rPr>
          <w:bCs/>
        </w:rPr>
        <w:t xml:space="preserve">One way to </w:t>
      </w:r>
      <w:r w:rsidR="00AC01BF">
        <w:rPr>
          <w:bCs/>
        </w:rPr>
        <w:t xml:space="preserve">hinder the </w:t>
      </w:r>
      <w:r>
        <w:rPr>
          <w:bCs/>
        </w:rPr>
        <w:t>development of AMR via natural selection</w:t>
      </w:r>
      <w:r w:rsidR="00FB3D7A">
        <w:rPr>
          <w:bCs/>
        </w:rPr>
        <w:t xml:space="preserve"> is to prevent dilute forms of the agent that kills the microbes from reaching the reservoir population in the wider world</w:t>
      </w:r>
      <w:r>
        <w:rPr>
          <w:bCs/>
        </w:rPr>
        <w:t xml:space="preserve">. </w:t>
      </w:r>
      <w:r w:rsidR="00DB1DF9">
        <w:rPr>
          <w:bCs/>
        </w:rPr>
        <w:t xml:space="preserve">Whilst established internalized infections require drug treatment, one invention, StarStream, is aimed at preventing microbes from passing through our ‘skin shield’ by cleaning food, skin, surgical instruments and open wounds before those infections can become established, without the use of chemicals that act as ‘smoking guns’ in run-off that promote resistance developing in the wider world. </w:t>
      </w:r>
      <w:r w:rsidR="00DC0787">
        <w:rPr>
          <w:bCs/>
        </w:rPr>
        <w:t xml:space="preserve">StarStream is a handheld device </w:t>
      </w:r>
      <w:r w:rsidR="007D146B">
        <w:rPr>
          <w:bCs/>
        </w:rPr>
        <w:t>(Figure 2</w:t>
      </w:r>
      <w:r w:rsidR="00E01327">
        <w:rPr>
          <w:bCs/>
        </w:rPr>
        <w:t xml:space="preserve">) </w:t>
      </w:r>
      <w:r w:rsidR="00DC0787">
        <w:rPr>
          <w:bCs/>
        </w:rPr>
        <w:t>that sends microscopic air bubbles in a gentle stream of water, onto surfaces we wish to clean</w:t>
      </w:r>
      <w:r w:rsidR="00AC01BF">
        <w:rPr>
          <w:bCs/>
        </w:rPr>
        <w:t xml:space="preserve"> [</w:t>
      </w:r>
      <w:r w:rsidR="00AC01BF" w:rsidRPr="00AC01BF">
        <w:rPr>
          <w:rStyle w:val="EndnoteReference"/>
          <w:bCs/>
          <w:vertAlign w:val="baseline"/>
        </w:rPr>
        <w:endnoteReference w:id="6"/>
      </w:r>
      <w:r w:rsidR="00AC01BF">
        <w:rPr>
          <w:bCs/>
        </w:rPr>
        <w:t>]</w:t>
      </w:r>
      <w:r w:rsidR="00DC0787">
        <w:rPr>
          <w:bCs/>
        </w:rPr>
        <w:t xml:space="preserve">. </w:t>
      </w:r>
      <w:r w:rsidR="000E0522">
        <w:rPr>
          <w:bCs/>
        </w:rPr>
        <w:t xml:space="preserve">It is currently </w:t>
      </w:r>
      <w:r w:rsidR="00FE7606">
        <w:rPr>
          <w:bCs/>
        </w:rPr>
        <w:t xml:space="preserve">being used </w:t>
      </w:r>
      <w:r w:rsidR="000E0522">
        <w:rPr>
          <w:bCs/>
        </w:rPr>
        <w:t xml:space="preserve">in an NIHR-funded trial for </w:t>
      </w:r>
      <w:r w:rsidR="006A56F3">
        <w:rPr>
          <w:bCs/>
        </w:rPr>
        <w:t xml:space="preserve">gently </w:t>
      </w:r>
      <w:r w:rsidR="000E0522">
        <w:rPr>
          <w:bCs/>
        </w:rPr>
        <w:t>decontaminating surgical instruments</w:t>
      </w:r>
      <w:r w:rsidR="006A56F3">
        <w:rPr>
          <w:bCs/>
        </w:rPr>
        <w:t xml:space="preserve"> and endoscopes without the need for aggressive chemicals</w:t>
      </w:r>
      <w:r w:rsidR="000E0522">
        <w:rPr>
          <w:bCs/>
        </w:rPr>
        <w:t xml:space="preserve">. </w:t>
      </w:r>
      <w:r w:rsidR="00DC0787">
        <w:rPr>
          <w:bCs/>
        </w:rPr>
        <w:t>Sound</w:t>
      </w:r>
      <w:r w:rsidR="000E0522">
        <w:rPr>
          <w:bCs/>
        </w:rPr>
        <w:t>, produced in the handheld unit,</w:t>
      </w:r>
      <w:r w:rsidR="00DC0787">
        <w:rPr>
          <w:bCs/>
        </w:rPr>
        <w:t xml:space="preserve"> is projected down </w:t>
      </w:r>
      <w:r w:rsidR="000E0522">
        <w:rPr>
          <w:bCs/>
        </w:rPr>
        <w:t xml:space="preserve">StarStream’s stream of water. That sound </w:t>
      </w:r>
      <w:r w:rsidR="00DC0787">
        <w:rPr>
          <w:bCs/>
        </w:rPr>
        <w:t>converts the spherical microbubbles into spiky, shimmering mi</w:t>
      </w:r>
      <w:r w:rsidR="007D146B">
        <w:rPr>
          <w:bCs/>
        </w:rPr>
        <w:t>cro-scrubbing machines (Figure 3</w:t>
      </w:r>
      <w:r w:rsidR="00DC0787">
        <w:rPr>
          <w:bCs/>
        </w:rPr>
        <w:t>) which actively seek out the cracks and crevices that are particular</w:t>
      </w:r>
      <w:r w:rsidR="00DB1DF9">
        <w:rPr>
          <w:bCs/>
        </w:rPr>
        <w:t>ly</w:t>
      </w:r>
      <w:r w:rsidR="00DC0787">
        <w:rPr>
          <w:bCs/>
        </w:rPr>
        <w:t xml:space="preserve"> difficult to clean with chemicals, brushes and wipes. The scrubbing action of the bubbles remove</w:t>
      </w:r>
      <w:r w:rsidR="00DB1DF9">
        <w:rPr>
          <w:bCs/>
        </w:rPr>
        <w:t>s</w:t>
      </w:r>
      <w:r w:rsidR="00DC0787">
        <w:rPr>
          <w:bCs/>
        </w:rPr>
        <w:t xml:space="preserve"> the microbes and dirt from these crevices. </w:t>
      </w:r>
      <w:r w:rsidR="000E0522">
        <w:rPr>
          <w:bCs/>
        </w:rPr>
        <w:t>StarStream’s</w:t>
      </w:r>
      <w:r w:rsidR="00DC0787">
        <w:rPr>
          <w:bCs/>
        </w:rPr>
        <w:t xml:space="preserve"> air, water and sound </w:t>
      </w:r>
      <w:r w:rsidR="00D35894">
        <w:rPr>
          <w:bCs/>
        </w:rPr>
        <w:t xml:space="preserve">are active only when combined at the tip of the </w:t>
      </w:r>
      <w:r w:rsidR="000E0522">
        <w:rPr>
          <w:bCs/>
        </w:rPr>
        <w:t xml:space="preserve">water </w:t>
      </w:r>
      <w:r w:rsidR="00D35894">
        <w:rPr>
          <w:bCs/>
        </w:rPr>
        <w:t>stream</w:t>
      </w:r>
      <w:r w:rsidR="000E0522">
        <w:rPr>
          <w:bCs/>
        </w:rPr>
        <w:t>, when it reaches the surface to be cleaned</w:t>
      </w:r>
      <w:r w:rsidR="00D35894">
        <w:rPr>
          <w:bCs/>
        </w:rPr>
        <w:t>. By the time the</w:t>
      </w:r>
      <w:r w:rsidR="000E0522">
        <w:rPr>
          <w:bCs/>
        </w:rPr>
        <w:t xml:space="preserve">y </w:t>
      </w:r>
      <w:r w:rsidR="00D35894">
        <w:rPr>
          <w:bCs/>
        </w:rPr>
        <w:t>reach the drain, they have reconverted back to simply air and water (with no sound) so that no</w:t>
      </w:r>
      <w:r w:rsidR="00DC0787">
        <w:rPr>
          <w:bCs/>
        </w:rPr>
        <w:t xml:space="preserve"> ‘smokin</w:t>
      </w:r>
      <w:r w:rsidR="00D35894">
        <w:rPr>
          <w:bCs/>
        </w:rPr>
        <w:t>g</w:t>
      </w:r>
      <w:r w:rsidR="00DC0787">
        <w:rPr>
          <w:bCs/>
        </w:rPr>
        <w:t xml:space="preserve"> gun’ clues go down the drains</w:t>
      </w:r>
      <w:r w:rsidR="000E0522">
        <w:rPr>
          <w:bCs/>
        </w:rPr>
        <w:t xml:space="preserve"> to drive natural selection in the wider world’s microbe reservoir</w:t>
      </w:r>
      <w:r w:rsidR="00D35894">
        <w:rPr>
          <w:bCs/>
        </w:rPr>
        <w:t xml:space="preserve">, and therefore no Anti-Microbial Resistance can develop. </w:t>
      </w:r>
    </w:p>
    <w:p w:rsidR="00E01327" w:rsidRPr="00852071" w:rsidRDefault="00E01327" w:rsidP="00F278E3">
      <w:pPr>
        <w:spacing w:after="120" w:line="276" w:lineRule="auto"/>
        <w:jc w:val="center"/>
        <w:rPr>
          <w:i/>
          <w:iCs/>
        </w:rPr>
      </w:pPr>
      <w:r w:rsidRPr="00852071">
        <w:rPr>
          <w:i/>
          <w:iCs/>
          <w:noProof/>
        </w:rPr>
        <w:drawing>
          <wp:inline distT="0" distB="0" distL="0" distR="0" wp14:anchorId="359C37B4" wp14:editId="4511CC82">
            <wp:extent cx="2615610" cy="1735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90" t="11978" r="10045" b="13124"/>
                    <a:stretch/>
                  </pic:blipFill>
                  <pic:spPr bwMode="auto">
                    <a:xfrm>
                      <a:off x="0" y="0"/>
                      <a:ext cx="2643676" cy="1753853"/>
                    </a:xfrm>
                    <a:prstGeom prst="rect">
                      <a:avLst/>
                    </a:prstGeom>
                    <a:ln>
                      <a:noFill/>
                    </a:ln>
                    <a:extLst>
                      <a:ext uri="{53640926-AAD7-44D8-BBD7-CCE9431645EC}">
                        <a14:shadowObscured xmlns:a14="http://schemas.microsoft.com/office/drawing/2010/main"/>
                      </a:ext>
                    </a:extLst>
                  </pic:spPr>
                </pic:pic>
              </a:graphicData>
            </a:graphic>
          </wp:inline>
        </w:drawing>
      </w:r>
    </w:p>
    <w:p w:rsidR="00E01327" w:rsidRPr="00A71D95" w:rsidRDefault="00E01327" w:rsidP="00A71D95">
      <w:pPr>
        <w:spacing w:after="120" w:line="276" w:lineRule="auto"/>
        <w:jc w:val="center"/>
        <w:rPr>
          <w:i/>
          <w:iCs/>
        </w:rPr>
      </w:pPr>
      <w:r w:rsidRPr="00852071">
        <w:rPr>
          <w:i/>
          <w:iCs/>
        </w:rPr>
        <w:t xml:space="preserve">Figure </w:t>
      </w:r>
      <w:r w:rsidR="007D146B">
        <w:rPr>
          <w:i/>
          <w:iCs/>
        </w:rPr>
        <w:t>2</w:t>
      </w:r>
      <w:r w:rsidRPr="00852071">
        <w:rPr>
          <w:i/>
          <w:iCs/>
        </w:rPr>
        <w:t>. Professor Leighton demonstrates his invention by washing his hands with cold water and no soap.</w:t>
      </w:r>
    </w:p>
    <w:p w:rsidR="00A71D95" w:rsidRDefault="00C4185F" w:rsidP="00A71D95">
      <w:pPr>
        <w:spacing w:after="120" w:line="276" w:lineRule="auto"/>
        <w:jc w:val="center"/>
        <w:rPr>
          <w:bCs/>
        </w:rPr>
      </w:pPr>
      <w:r>
        <w:rPr>
          <w:iCs/>
          <w:noProof/>
          <w:color w:val="000000"/>
        </w:rPr>
        <w:drawing>
          <wp:inline distT="0" distB="0" distL="0" distR="0">
            <wp:extent cx="1062990" cy="985520"/>
            <wp:effectExtent l="0" t="0" r="3810" b="5080"/>
            <wp:docPr id="5" name="Picture 5" descr="star bubbl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bubble v2"/>
                    <pic:cNvPicPr>
                      <a:picLocks noChangeAspect="1" noChangeArrowheads="1"/>
                    </pic:cNvPicPr>
                  </pic:nvPicPr>
                  <pic:blipFill>
                    <a:blip r:embed="rId10" cstate="print">
                      <a:extLst>
                        <a:ext uri="{28A0092B-C50C-407E-A947-70E740481C1C}">
                          <a14:useLocalDpi xmlns:a14="http://schemas.microsoft.com/office/drawing/2010/main" val="0"/>
                        </a:ext>
                      </a:extLst>
                    </a:blip>
                    <a:srcRect l="31874" t="20555" r="34219" b="22223"/>
                    <a:stretch>
                      <a:fillRect/>
                    </a:stretch>
                  </pic:blipFill>
                  <pic:spPr bwMode="auto">
                    <a:xfrm>
                      <a:off x="0" y="0"/>
                      <a:ext cx="1062990" cy="985520"/>
                    </a:xfrm>
                    <a:prstGeom prst="rect">
                      <a:avLst/>
                    </a:prstGeom>
                    <a:noFill/>
                    <a:ln>
                      <a:noFill/>
                    </a:ln>
                  </pic:spPr>
                </pic:pic>
              </a:graphicData>
            </a:graphic>
          </wp:inline>
        </w:drawing>
      </w:r>
      <w:bookmarkStart w:id="1" w:name="_GoBack"/>
      <w:bookmarkEnd w:id="1"/>
    </w:p>
    <w:p w:rsidR="00E01327" w:rsidRDefault="007D146B" w:rsidP="00A71D95">
      <w:pPr>
        <w:spacing w:after="120" w:line="276" w:lineRule="auto"/>
        <w:jc w:val="center"/>
        <w:rPr>
          <w:bCs/>
        </w:rPr>
      </w:pPr>
      <w:r>
        <w:rPr>
          <w:i/>
          <w:iCs/>
        </w:rPr>
        <w:t>Figure 3</w:t>
      </w:r>
      <w:r w:rsidR="00E01327" w:rsidRPr="00FC6717">
        <w:rPr>
          <w:i/>
          <w:iCs/>
        </w:rPr>
        <w:t>. A bubble containing ultrasonically-induced surface waves which move rapidly over the bubble surface, ‘scrubbing’ the surroundings</w:t>
      </w:r>
    </w:p>
    <w:p w:rsidR="00D35894" w:rsidRPr="00494F1E" w:rsidRDefault="00D35894" w:rsidP="00F278E3">
      <w:pPr>
        <w:spacing w:after="120" w:line="276" w:lineRule="auto"/>
        <w:jc w:val="both"/>
        <w:rPr>
          <w:bCs/>
        </w:rPr>
      </w:pPr>
      <w:r w:rsidRPr="00494F1E">
        <w:rPr>
          <w:bCs/>
        </w:rPr>
        <w:lastRenderedPageBreak/>
        <w:t xml:space="preserve">The automatic response to, say, </w:t>
      </w:r>
      <w:r w:rsidR="00FE7606">
        <w:rPr>
          <w:bCs/>
        </w:rPr>
        <w:t xml:space="preserve">a </w:t>
      </w:r>
      <w:r w:rsidRPr="00494F1E">
        <w:rPr>
          <w:bCs/>
        </w:rPr>
        <w:t>bacteri</w:t>
      </w:r>
      <w:r w:rsidR="00FE7606">
        <w:rPr>
          <w:bCs/>
        </w:rPr>
        <w:t>um</w:t>
      </w:r>
      <w:r w:rsidRPr="00494F1E">
        <w:rPr>
          <w:bCs/>
        </w:rPr>
        <w:t>, is to think about killing it, but we are in fact used to thinking in terms of beneficial bacteria in the gut, and know that our gut will not work perfectly if we harm these through, for example, taking oral antibiotics. A large proportion of our skin is also made up of beneficial bacteria, and if we harm these our skin will suffer, and we could</w:t>
      </w:r>
      <w:r w:rsidR="00496BDB" w:rsidRPr="00494F1E">
        <w:rPr>
          <w:bCs/>
        </w:rPr>
        <w:t xml:space="preserve"> (ironically) become more open </w:t>
      </w:r>
      <w:r w:rsidRPr="00494F1E">
        <w:rPr>
          <w:bCs/>
        </w:rPr>
        <w:t>to infection. We are working on ultrasonic devices which preserve these beneficial bacteria, whilst dislodging harmful ones from our skin.</w:t>
      </w:r>
    </w:p>
    <w:p w:rsidR="00341C02" w:rsidRPr="004D7F6F" w:rsidRDefault="00D35894" w:rsidP="00A71D95">
      <w:pPr>
        <w:spacing w:after="120" w:line="276" w:lineRule="auto"/>
        <w:jc w:val="both"/>
        <w:rPr>
          <w:rFonts w:cs="Times New Roman"/>
          <w:shd w:val="clear" w:color="auto" w:fill="FFFFFF"/>
        </w:rPr>
      </w:pPr>
      <w:r w:rsidRPr="00494F1E">
        <w:rPr>
          <w:bCs/>
        </w:rPr>
        <w:t>Another device, StarHealer, not only cleans wounds, but also causes skin to grow over the wound very much more rap</w:t>
      </w:r>
      <w:r w:rsidR="00341C02" w:rsidRPr="00494F1E">
        <w:rPr>
          <w:bCs/>
        </w:rPr>
        <w:t xml:space="preserve">idly than would normally occur, restoring the ‘skin shield’ and so preventing infection. Equipped with a StarHealer nozzle that can attach to any bottle of drinking water, an army medic, rescue worker, rural healthcare worker or first responder could not only clean a wound </w:t>
      </w:r>
      <w:r w:rsidR="00494F1E" w:rsidRPr="00494F1E">
        <w:rPr>
          <w:bCs/>
        </w:rPr>
        <w:t>prior to transportation to hospital, but promote rapid regrowth of skin over it, preventing further i</w:t>
      </w:r>
      <w:r w:rsidR="007D146B">
        <w:rPr>
          <w:bCs/>
        </w:rPr>
        <w:t>nfection (Figure 4</w:t>
      </w:r>
      <w:r w:rsidR="00494F1E" w:rsidRPr="00494F1E">
        <w:rPr>
          <w:bCs/>
        </w:rPr>
        <w:t>). This would reduce the likelihood of sepsis setting in in the time between injury and transportation to hospital (</w:t>
      </w:r>
      <w:r w:rsidR="00494F1E" w:rsidRPr="00494F1E">
        <w:rPr>
          <w:rFonts w:cs="Times New Roman"/>
        </w:rPr>
        <w:t>500,000 patients with severe sepsis are treated annually in US emergency department</w:t>
      </w:r>
      <w:r w:rsidR="00494F1E" w:rsidRPr="004D7F6F">
        <w:rPr>
          <w:rFonts w:cs="Times New Roman"/>
        </w:rPr>
        <w:t>s [</w:t>
      </w:r>
      <w:r w:rsidR="00494F1E" w:rsidRPr="004D7F6F">
        <w:rPr>
          <w:rStyle w:val="EndnoteReference"/>
          <w:rFonts w:cs="Times New Roman"/>
          <w:vertAlign w:val="baseline"/>
        </w:rPr>
        <w:endnoteReference w:id="7"/>
      </w:r>
      <w:r w:rsidR="00494F1E" w:rsidRPr="004D7F6F">
        <w:rPr>
          <w:rFonts w:cs="Times New Roman"/>
        </w:rPr>
        <w:t>], 100,000 of which are children [</w:t>
      </w:r>
      <w:r w:rsidR="00494F1E" w:rsidRPr="004D7F6F">
        <w:rPr>
          <w:rStyle w:val="EndnoteReference"/>
          <w:rFonts w:cs="Times New Roman"/>
          <w:vertAlign w:val="baseline"/>
        </w:rPr>
        <w:endnoteReference w:id="8"/>
      </w:r>
      <w:proofErr w:type="gramStart"/>
      <w:r w:rsidR="00494F1E" w:rsidRPr="004D7F6F">
        <w:rPr>
          <w:rFonts w:cs="Times New Roman"/>
        </w:rPr>
        <w:t xml:space="preserve">, </w:t>
      </w:r>
      <w:proofErr w:type="gramEnd"/>
      <w:r w:rsidR="00494F1E" w:rsidRPr="004D7F6F">
        <w:rPr>
          <w:rStyle w:val="EndnoteReference"/>
          <w:rFonts w:cs="Times New Roman"/>
          <w:vertAlign w:val="baseline"/>
        </w:rPr>
        <w:endnoteReference w:id="9"/>
      </w:r>
      <w:r w:rsidR="00494F1E" w:rsidRPr="004D7F6F">
        <w:rPr>
          <w:rFonts w:cs="Times New Roman"/>
        </w:rPr>
        <w:t>]</w:t>
      </w:r>
      <w:r w:rsidR="00494F1E" w:rsidRPr="004D7F6F">
        <w:rPr>
          <w:bCs/>
        </w:rPr>
        <w:t>).</w:t>
      </w:r>
    </w:p>
    <w:tbl>
      <w:tblPr>
        <w:tblStyle w:val="TableGrid"/>
        <w:tblW w:w="0" w:type="auto"/>
        <w:tblLook w:val="04A0" w:firstRow="1" w:lastRow="0" w:firstColumn="1" w:lastColumn="0" w:noHBand="0" w:noVBand="1"/>
      </w:tblPr>
      <w:tblGrid>
        <w:gridCol w:w="2213"/>
        <w:gridCol w:w="2408"/>
        <w:gridCol w:w="4405"/>
      </w:tblGrid>
      <w:tr w:rsidR="00341C02" w:rsidRPr="004D7F6F" w:rsidTr="00364A4D">
        <w:tc>
          <w:tcPr>
            <w:tcW w:w="3095" w:type="dxa"/>
            <w:tcBorders>
              <w:top w:val="nil"/>
              <w:left w:val="nil"/>
              <w:bottom w:val="nil"/>
              <w:right w:val="nil"/>
            </w:tcBorders>
          </w:tcPr>
          <w:p w:rsidR="00341C02" w:rsidRPr="004D7F6F" w:rsidRDefault="00AF7738" w:rsidP="00F278E3">
            <w:pPr>
              <w:pStyle w:val="Section"/>
              <w:numPr>
                <w:ilvl w:val="0"/>
                <w:numId w:val="0"/>
              </w:numPr>
              <w:spacing w:before="0" w:after="120" w:line="276" w:lineRule="auto"/>
              <w:rPr>
                <w:rFonts w:asciiTheme="minorHAnsi" w:hAnsiTheme="minorHAnsi"/>
                <w:sz w:val="22"/>
                <w:szCs w:val="22"/>
              </w:rPr>
            </w:pPr>
            <w:r w:rsidRPr="004D7F6F">
              <w:rPr>
                <w:rFonts w:asciiTheme="minorHAnsi" w:hAnsiTheme="minorHAnsi"/>
                <w:noProof/>
                <w:lang w:eastAsia="zh-TW"/>
              </w:rPr>
              <w:drawing>
                <wp:inline distT="0" distB="0" distL="0" distR="0" wp14:anchorId="20FE771C" wp14:editId="5D2C2E49">
                  <wp:extent cx="1749525" cy="2438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11">
                            <a:extLst>
                              <a:ext uri="{28A0092B-C50C-407E-A947-70E740481C1C}">
                                <a14:useLocalDpi xmlns:a14="http://schemas.microsoft.com/office/drawing/2010/main" val="0"/>
                              </a:ext>
                            </a:extLst>
                          </a:blip>
                          <a:srcRect l="21755" t="12632" r="22104" b="9122"/>
                          <a:stretch/>
                        </pic:blipFill>
                        <pic:spPr bwMode="auto">
                          <a:xfrm>
                            <a:off x="0" y="0"/>
                            <a:ext cx="1749677" cy="2438612"/>
                          </a:xfrm>
                          <a:prstGeom prst="rect">
                            <a:avLst/>
                          </a:prstGeom>
                          <a:ln>
                            <a:noFill/>
                          </a:ln>
                          <a:extLst>
                            <a:ext uri="{53640926-AAD7-44D8-BBD7-CCE9431645EC}">
                              <a14:shadowObscured xmlns:a14="http://schemas.microsoft.com/office/drawing/2010/main"/>
                            </a:ext>
                          </a:extLst>
                        </pic:spPr>
                      </pic:pic>
                    </a:graphicData>
                  </a:graphic>
                </wp:inline>
              </w:drawing>
            </w:r>
          </w:p>
        </w:tc>
        <w:tc>
          <w:tcPr>
            <w:tcW w:w="3096" w:type="dxa"/>
            <w:tcBorders>
              <w:top w:val="nil"/>
              <w:left w:val="nil"/>
              <w:bottom w:val="nil"/>
              <w:right w:val="nil"/>
            </w:tcBorders>
          </w:tcPr>
          <w:p w:rsidR="00341C02" w:rsidRPr="004D7F6F" w:rsidRDefault="00AF7738" w:rsidP="00F278E3">
            <w:pPr>
              <w:pStyle w:val="Section"/>
              <w:numPr>
                <w:ilvl w:val="0"/>
                <w:numId w:val="0"/>
              </w:numPr>
              <w:spacing w:before="0" w:after="120" w:line="276" w:lineRule="auto"/>
              <w:rPr>
                <w:rFonts w:asciiTheme="minorHAnsi" w:hAnsiTheme="minorHAnsi"/>
                <w:sz w:val="22"/>
                <w:szCs w:val="22"/>
              </w:rPr>
            </w:pPr>
            <w:r w:rsidRPr="004D7F6F">
              <w:rPr>
                <w:rFonts w:asciiTheme="minorHAnsi" w:hAnsiTheme="minorHAnsi"/>
                <w:noProof/>
                <w:lang w:eastAsia="zh-TW"/>
              </w:rPr>
              <w:drawing>
                <wp:inline distT="0" distB="0" distL="0" distR="0" wp14:anchorId="690F902E" wp14:editId="151B22A2">
                  <wp:extent cx="1921934" cy="24384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2">
                            <a:extLst>
                              <a:ext uri="{28A0092B-C50C-407E-A947-70E740481C1C}">
                                <a14:useLocalDpi xmlns:a14="http://schemas.microsoft.com/office/drawing/2010/main" val="0"/>
                              </a:ext>
                            </a:extLst>
                          </a:blip>
                          <a:srcRect l="21052" t="12561" r="17193" b="9091"/>
                          <a:stretch/>
                        </pic:blipFill>
                        <pic:spPr bwMode="auto">
                          <a:xfrm>
                            <a:off x="0" y="0"/>
                            <a:ext cx="1924643" cy="2441837"/>
                          </a:xfrm>
                          <a:prstGeom prst="rect">
                            <a:avLst/>
                          </a:prstGeom>
                          <a:ln>
                            <a:noFill/>
                          </a:ln>
                          <a:extLst>
                            <a:ext uri="{53640926-AAD7-44D8-BBD7-CCE9431645EC}">
                              <a14:shadowObscured xmlns:a14="http://schemas.microsoft.com/office/drawing/2010/main"/>
                            </a:ext>
                          </a:extLst>
                        </pic:spPr>
                      </pic:pic>
                    </a:graphicData>
                  </a:graphic>
                </wp:inline>
              </w:drawing>
            </w:r>
          </w:p>
        </w:tc>
        <w:tc>
          <w:tcPr>
            <w:tcW w:w="3096" w:type="dxa"/>
            <w:tcBorders>
              <w:top w:val="nil"/>
              <w:left w:val="nil"/>
              <w:bottom w:val="nil"/>
              <w:right w:val="nil"/>
            </w:tcBorders>
          </w:tcPr>
          <w:p w:rsidR="00341C02" w:rsidRPr="004D7F6F" w:rsidRDefault="00AF7738" w:rsidP="00F278E3">
            <w:pPr>
              <w:pStyle w:val="Section"/>
              <w:numPr>
                <w:ilvl w:val="0"/>
                <w:numId w:val="0"/>
              </w:numPr>
              <w:spacing w:before="0" w:after="120" w:line="276" w:lineRule="auto"/>
              <w:rPr>
                <w:rFonts w:asciiTheme="minorHAnsi" w:hAnsiTheme="minorHAnsi"/>
                <w:sz w:val="22"/>
                <w:szCs w:val="22"/>
              </w:rPr>
            </w:pPr>
            <w:r>
              <w:rPr>
                <w:rFonts w:asciiTheme="minorHAnsi" w:hAnsiTheme="minorHAnsi"/>
                <w:noProof/>
                <w:lang w:eastAsia="zh-TW"/>
              </w:rPr>
              <w:drawing>
                <wp:inline distT="0" distB="0" distL="0" distR="0">
                  <wp:extent cx="3672122" cy="2431265"/>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5561_0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8301" cy="2435356"/>
                          </a:xfrm>
                          <a:prstGeom prst="rect">
                            <a:avLst/>
                          </a:prstGeom>
                        </pic:spPr>
                      </pic:pic>
                    </a:graphicData>
                  </a:graphic>
                </wp:inline>
              </w:drawing>
            </w:r>
          </w:p>
        </w:tc>
      </w:tr>
      <w:tr w:rsidR="00341C02" w:rsidRPr="004D7F6F" w:rsidTr="00364A4D">
        <w:tc>
          <w:tcPr>
            <w:tcW w:w="3095" w:type="dxa"/>
            <w:tcBorders>
              <w:top w:val="nil"/>
              <w:left w:val="nil"/>
              <w:bottom w:val="nil"/>
              <w:right w:val="nil"/>
            </w:tcBorders>
          </w:tcPr>
          <w:p w:rsidR="00341C02" w:rsidRPr="004D7F6F" w:rsidRDefault="00341C02" w:rsidP="00F278E3">
            <w:pPr>
              <w:pStyle w:val="Section"/>
              <w:numPr>
                <w:ilvl w:val="0"/>
                <w:numId w:val="0"/>
              </w:numPr>
              <w:spacing w:before="0" w:after="120" w:line="276" w:lineRule="auto"/>
              <w:jc w:val="center"/>
              <w:rPr>
                <w:rFonts w:asciiTheme="minorHAnsi" w:hAnsiTheme="minorHAnsi"/>
                <w:b w:val="0"/>
                <w:sz w:val="22"/>
                <w:szCs w:val="22"/>
              </w:rPr>
            </w:pPr>
            <w:r w:rsidRPr="004D7F6F">
              <w:rPr>
                <w:rFonts w:asciiTheme="minorHAnsi" w:hAnsiTheme="minorHAnsi"/>
                <w:b w:val="0"/>
                <w:sz w:val="22"/>
                <w:szCs w:val="22"/>
              </w:rPr>
              <w:t>(a)</w:t>
            </w:r>
          </w:p>
        </w:tc>
        <w:tc>
          <w:tcPr>
            <w:tcW w:w="3096" w:type="dxa"/>
            <w:tcBorders>
              <w:top w:val="nil"/>
              <w:left w:val="nil"/>
              <w:bottom w:val="nil"/>
              <w:right w:val="nil"/>
            </w:tcBorders>
          </w:tcPr>
          <w:p w:rsidR="00341C02" w:rsidRPr="004D7F6F" w:rsidRDefault="00341C02" w:rsidP="00F278E3">
            <w:pPr>
              <w:pStyle w:val="Section"/>
              <w:numPr>
                <w:ilvl w:val="0"/>
                <w:numId w:val="0"/>
              </w:numPr>
              <w:spacing w:before="0" w:after="120" w:line="276" w:lineRule="auto"/>
              <w:jc w:val="center"/>
              <w:rPr>
                <w:rFonts w:asciiTheme="minorHAnsi" w:hAnsiTheme="minorHAnsi"/>
                <w:b w:val="0"/>
                <w:sz w:val="22"/>
                <w:szCs w:val="22"/>
              </w:rPr>
            </w:pPr>
            <w:r w:rsidRPr="004D7F6F">
              <w:rPr>
                <w:rFonts w:asciiTheme="minorHAnsi" w:hAnsiTheme="minorHAnsi"/>
                <w:b w:val="0"/>
                <w:sz w:val="22"/>
                <w:szCs w:val="22"/>
              </w:rPr>
              <w:t>(b)</w:t>
            </w:r>
          </w:p>
        </w:tc>
        <w:tc>
          <w:tcPr>
            <w:tcW w:w="3096" w:type="dxa"/>
            <w:tcBorders>
              <w:top w:val="nil"/>
              <w:left w:val="nil"/>
              <w:bottom w:val="nil"/>
              <w:right w:val="nil"/>
            </w:tcBorders>
          </w:tcPr>
          <w:p w:rsidR="00341C02" w:rsidRPr="004D7F6F" w:rsidRDefault="00AF7738" w:rsidP="00F278E3">
            <w:pPr>
              <w:pStyle w:val="Section"/>
              <w:numPr>
                <w:ilvl w:val="0"/>
                <w:numId w:val="0"/>
              </w:numPr>
              <w:spacing w:before="0" w:after="120" w:line="276" w:lineRule="auto"/>
              <w:jc w:val="center"/>
              <w:rPr>
                <w:rFonts w:asciiTheme="minorHAnsi" w:hAnsiTheme="minorHAnsi"/>
                <w:b w:val="0"/>
                <w:sz w:val="22"/>
                <w:szCs w:val="22"/>
              </w:rPr>
            </w:pPr>
            <w:r>
              <w:rPr>
                <w:rFonts w:asciiTheme="minorHAnsi" w:hAnsiTheme="minorHAnsi"/>
                <w:b w:val="0"/>
                <w:sz w:val="22"/>
                <w:szCs w:val="22"/>
              </w:rPr>
              <w:t>(c)</w:t>
            </w:r>
          </w:p>
        </w:tc>
      </w:tr>
      <w:tr w:rsidR="00341C02" w:rsidRPr="004D7F6F" w:rsidTr="004D7F6F">
        <w:trPr>
          <w:trHeight w:val="610"/>
        </w:trPr>
        <w:tc>
          <w:tcPr>
            <w:tcW w:w="9287" w:type="dxa"/>
            <w:gridSpan w:val="3"/>
            <w:tcBorders>
              <w:top w:val="nil"/>
              <w:left w:val="nil"/>
              <w:bottom w:val="nil"/>
              <w:right w:val="nil"/>
            </w:tcBorders>
          </w:tcPr>
          <w:p w:rsidR="00341C02" w:rsidRPr="004D7F6F" w:rsidRDefault="007D146B" w:rsidP="00AF7738">
            <w:pPr>
              <w:pStyle w:val="Section"/>
              <w:numPr>
                <w:ilvl w:val="0"/>
                <w:numId w:val="0"/>
              </w:numPr>
              <w:spacing w:before="0" w:after="120" w:line="276" w:lineRule="auto"/>
              <w:jc w:val="both"/>
              <w:rPr>
                <w:rFonts w:asciiTheme="minorHAnsi" w:hAnsiTheme="minorHAnsi"/>
                <w:b w:val="0"/>
                <w:i/>
                <w:iCs w:val="0"/>
                <w:sz w:val="22"/>
                <w:szCs w:val="22"/>
              </w:rPr>
            </w:pPr>
            <w:r>
              <w:rPr>
                <w:rFonts w:asciiTheme="minorHAnsi" w:hAnsiTheme="minorHAnsi"/>
                <w:b w:val="0"/>
                <w:i/>
                <w:iCs w:val="0"/>
                <w:sz w:val="22"/>
                <w:szCs w:val="22"/>
              </w:rPr>
              <w:t>Figure 4</w:t>
            </w:r>
            <w:r w:rsidR="00341C02" w:rsidRPr="004D7F6F">
              <w:rPr>
                <w:rFonts w:asciiTheme="minorHAnsi" w:hAnsiTheme="minorHAnsi"/>
                <w:b w:val="0"/>
                <w:i/>
                <w:iCs w:val="0"/>
                <w:sz w:val="22"/>
                <w:szCs w:val="22"/>
              </w:rPr>
              <w:t xml:space="preserve">. </w:t>
            </w:r>
            <w:r w:rsidR="00AF7738">
              <w:rPr>
                <w:rFonts w:asciiTheme="minorHAnsi" w:hAnsiTheme="minorHAnsi"/>
                <w:b w:val="0"/>
                <w:i/>
                <w:iCs w:val="0"/>
                <w:sz w:val="22"/>
                <w:szCs w:val="22"/>
              </w:rPr>
              <w:t xml:space="preserve">(a,b) </w:t>
            </w:r>
            <w:r w:rsidR="00341C02" w:rsidRPr="004D7F6F">
              <w:rPr>
                <w:rFonts w:asciiTheme="minorHAnsi" w:hAnsiTheme="minorHAnsi"/>
                <w:b w:val="0"/>
                <w:i/>
                <w:iCs w:val="0"/>
                <w:sz w:val="22"/>
                <w:szCs w:val="22"/>
              </w:rPr>
              <w:t xml:space="preserve">Concept for a battery-powered solar-charged UAS device that can fit onto any bottled drinking water unit. For the video see </w:t>
            </w:r>
            <w:hyperlink r:id="rId14" w:history="1">
              <w:r w:rsidR="00341C02" w:rsidRPr="004D7F6F">
                <w:rPr>
                  <w:rStyle w:val="Hyperlink"/>
                  <w:rFonts w:asciiTheme="minorHAnsi" w:hAnsiTheme="minorHAnsi"/>
                  <w:b w:val="0"/>
                  <w:i/>
                  <w:iCs w:val="0"/>
                  <w:sz w:val="22"/>
                  <w:szCs w:val="22"/>
                </w:rPr>
                <w:t>https://youtu.be/o903Yey71L4</w:t>
              </w:r>
            </w:hyperlink>
            <w:r w:rsidR="00341C02" w:rsidRPr="004D7F6F">
              <w:rPr>
                <w:rFonts w:asciiTheme="minorHAnsi" w:hAnsiTheme="minorHAnsi"/>
                <w:b w:val="0"/>
                <w:i/>
                <w:iCs w:val="0"/>
                <w:sz w:val="22"/>
                <w:szCs w:val="22"/>
              </w:rPr>
              <w:t xml:space="preserve"> </w:t>
            </w:r>
            <w:r w:rsidR="00AF7738">
              <w:rPr>
                <w:rFonts w:asciiTheme="minorHAnsi" w:hAnsiTheme="minorHAnsi"/>
                <w:b w:val="0"/>
                <w:i/>
                <w:iCs w:val="0"/>
                <w:sz w:val="22"/>
                <w:szCs w:val="22"/>
              </w:rPr>
              <w:t xml:space="preserve">(c) Professor Leighton in rural Ghana in March 2018 demonstrating to healthcare and demographic surveillance staff how his technology can clean using just cold water. </w:t>
            </w:r>
          </w:p>
        </w:tc>
      </w:tr>
    </w:tbl>
    <w:p w:rsidR="00341C02" w:rsidRPr="004D7F6F" w:rsidRDefault="00341C02" w:rsidP="00F278E3">
      <w:pPr>
        <w:pStyle w:val="Bodytext"/>
        <w:spacing w:after="120" w:line="276" w:lineRule="auto"/>
        <w:rPr>
          <w:rFonts w:asciiTheme="minorHAnsi" w:hAnsiTheme="minorHAnsi"/>
          <w:lang w:val="en-GB"/>
        </w:rPr>
      </w:pPr>
    </w:p>
    <w:p w:rsidR="00496BDB" w:rsidRPr="00E76C60" w:rsidRDefault="005946D6" w:rsidP="002D0FD3">
      <w:pPr>
        <w:spacing w:after="120" w:line="276" w:lineRule="auto"/>
        <w:jc w:val="both"/>
        <w:rPr>
          <w:rFonts w:eastAsia="Times New Roman"/>
        </w:rPr>
      </w:pPr>
      <w:r w:rsidRPr="00E76C60">
        <w:rPr>
          <w:bCs/>
        </w:rPr>
        <w:t>T</w:t>
      </w:r>
      <w:r w:rsidR="00D35894" w:rsidRPr="00E76C60">
        <w:rPr>
          <w:bCs/>
        </w:rPr>
        <w:t>hese example</w:t>
      </w:r>
      <w:r w:rsidR="003E3E44" w:rsidRPr="00E76C60">
        <w:rPr>
          <w:bCs/>
        </w:rPr>
        <w:t>s</w:t>
      </w:r>
      <w:r w:rsidR="002D0FD3">
        <w:rPr>
          <w:bCs/>
        </w:rPr>
        <w:t>, all of which focus on infection prevention to avoid treatment of an established infection,</w:t>
      </w:r>
      <w:r w:rsidRPr="00E76C60">
        <w:rPr>
          <w:bCs/>
        </w:rPr>
        <w:t xml:space="preserve"> illustrate that there are </w:t>
      </w:r>
      <w:r w:rsidR="00E76C60" w:rsidRPr="00E76C60">
        <w:rPr>
          <w:bCs/>
        </w:rPr>
        <w:t xml:space="preserve">sometimes </w:t>
      </w:r>
      <w:r w:rsidRPr="00E76C60">
        <w:rPr>
          <w:bCs/>
        </w:rPr>
        <w:t xml:space="preserve">options to the use of anti-microbials, options that reduce the risk of </w:t>
      </w:r>
      <w:r w:rsidR="00E76C60" w:rsidRPr="00E76C60">
        <w:rPr>
          <w:bCs/>
        </w:rPr>
        <w:t xml:space="preserve">resistance developing. </w:t>
      </w:r>
      <w:r w:rsidR="00D35894" w:rsidRPr="00E76C60">
        <w:rPr>
          <w:bCs/>
        </w:rPr>
        <w:t>However</w:t>
      </w:r>
      <w:r w:rsidR="006A56F3">
        <w:rPr>
          <w:bCs/>
        </w:rPr>
        <w:t>,</w:t>
      </w:r>
      <w:r w:rsidR="00D35894" w:rsidRPr="00E76C60">
        <w:rPr>
          <w:bCs/>
        </w:rPr>
        <w:t xml:space="preserve"> to enable research breakthroughs to benefit society, they need to be designed </w:t>
      </w:r>
      <w:r w:rsidR="002D0FD3">
        <w:rPr>
          <w:bCs/>
        </w:rPr>
        <w:t>to be</w:t>
      </w:r>
      <w:r w:rsidR="00D35894" w:rsidRPr="00E76C60">
        <w:rPr>
          <w:bCs/>
        </w:rPr>
        <w:t xml:space="preserve"> eas</w:t>
      </w:r>
      <w:r w:rsidR="002D0FD3">
        <w:rPr>
          <w:bCs/>
        </w:rPr>
        <w:t>y-to</w:t>
      </w:r>
      <w:r w:rsidR="00D35894" w:rsidRPr="00E76C60">
        <w:rPr>
          <w:bCs/>
        </w:rPr>
        <w:t xml:space="preserve">-use by the end-user, cost-effective, and </w:t>
      </w:r>
      <w:r w:rsidR="002D0FD3">
        <w:rPr>
          <w:bCs/>
        </w:rPr>
        <w:t xml:space="preserve">amenable for manufacturing </w:t>
      </w:r>
      <w:r w:rsidR="00D35894" w:rsidRPr="00E76C60">
        <w:rPr>
          <w:bCs/>
        </w:rPr>
        <w:t xml:space="preserve">on </w:t>
      </w:r>
      <w:r w:rsidR="002D0FD3">
        <w:rPr>
          <w:bCs/>
        </w:rPr>
        <w:t xml:space="preserve">a </w:t>
      </w:r>
      <w:r w:rsidR="00D35894" w:rsidRPr="00E76C60">
        <w:rPr>
          <w:bCs/>
        </w:rPr>
        <w:t xml:space="preserve">large scale in the form of reliable products. </w:t>
      </w:r>
      <w:r w:rsidR="00E76C60">
        <w:rPr>
          <w:bCs/>
        </w:rPr>
        <w:t xml:space="preserve">Conducting game-changing research and translating it to benefit society are at the core of </w:t>
      </w:r>
      <w:r w:rsidR="00DC0787" w:rsidRPr="00E76C60">
        <w:rPr>
          <w:bCs/>
        </w:rPr>
        <w:t>NAMRIP</w:t>
      </w:r>
      <w:r w:rsidR="008716D5" w:rsidRPr="00E76C60">
        <w:rPr>
          <w:bCs/>
        </w:rPr>
        <w:t xml:space="preserve">, </w:t>
      </w:r>
      <w:r w:rsidR="00E76C60">
        <w:rPr>
          <w:bCs/>
        </w:rPr>
        <w:t>the Network for Anti-Microbial R</w:t>
      </w:r>
      <w:r w:rsidR="008716D5" w:rsidRPr="00E76C60">
        <w:rPr>
          <w:bCs/>
        </w:rPr>
        <w:t>esistance and Infection Prevention</w:t>
      </w:r>
      <w:r w:rsidR="00E76C60">
        <w:rPr>
          <w:bCs/>
        </w:rPr>
        <w:t xml:space="preserve"> [</w:t>
      </w:r>
      <w:r w:rsidR="00E76C60" w:rsidRPr="00E76C60">
        <w:rPr>
          <w:rStyle w:val="EndnoteReference"/>
          <w:bCs/>
          <w:vertAlign w:val="baseline"/>
        </w:rPr>
        <w:endnoteReference w:id="10"/>
      </w:r>
      <w:r w:rsidR="00E76C60">
        <w:rPr>
          <w:bCs/>
        </w:rPr>
        <w:t>], a network of</w:t>
      </w:r>
      <w:r w:rsidR="008716D5" w:rsidRPr="00E76C60">
        <w:rPr>
          <w:bCs/>
        </w:rPr>
        <w:t xml:space="preserve"> over 200 researchers </w:t>
      </w:r>
      <w:r w:rsidR="00BF39CC" w:rsidRPr="00E76C60">
        <w:rPr>
          <w:rFonts w:eastAsia="Times New Roman"/>
        </w:rPr>
        <w:t xml:space="preserve">including </w:t>
      </w:r>
      <w:r w:rsidR="00BF39CC" w:rsidRPr="00E76C60">
        <w:t xml:space="preserve">engineers, chemists, microbiologists, environmental scientists, veterinary and human medics, clinicians, experts in food, ethics and law, crucially networked with economists, geographers, health scientists and experts from other social sciences. Our members also include people from hospitals, veterinarian </w:t>
      </w:r>
      <w:r w:rsidR="00BF39CC" w:rsidRPr="00E76C60">
        <w:lastRenderedPageBreak/>
        <w:t xml:space="preserve">practices, industries, charities and policy-making bodies, because of the imperative to translate research as well as conduct and publish it.  Membership has spread across the UK, and one year ago we formed Global-NAMRIP </w:t>
      </w:r>
      <w:r w:rsidR="00E76C60">
        <w:t>[</w:t>
      </w:r>
      <w:r w:rsidR="00E76C60" w:rsidRPr="00E76C60">
        <w:rPr>
          <w:rStyle w:val="EndnoteReference"/>
          <w:vertAlign w:val="baseline"/>
        </w:rPr>
        <w:endnoteReference w:id="11"/>
      </w:r>
      <w:r w:rsidR="00E76C60">
        <w:t>]</w:t>
      </w:r>
      <w:r w:rsidR="00BF39CC" w:rsidRPr="00E76C60">
        <w:t>, with members across four continents.</w:t>
      </w:r>
      <w:r w:rsidR="00E5130F">
        <w:t xml:space="preserve"> NAMRIP</w:t>
      </w:r>
      <w:r w:rsidR="00BF39CC" w:rsidRPr="00E76C60">
        <w:rPr>
          <w:rFonts w:eastAsia="Times New Roman"/>
        </w:rPr>
        <w:t xml:space="preserve"> build</w:t>
      </w:r>
      <w:r w:rsidR="00E5130F">
        <w:rPr>
          <w:rFonts w:eastAsia="Times New Roman"/>
        </w:rPr>
        <w:t xml:space="preserve">s </w:t>
      </w:r>
      <w:r w:rsidR="00BF39CC" w:rsidRPr="00E76C60">
        <w:rPr>
          <w:rFonts w:eastAsia="Times New Roman"/>
        </w:rPr>
        <w:t>the right multidisciplinary consortium to identify (with end user input) the real problem, and design an effective solution that is not going to be unusable because of end user constraints in terms of training, infrastructure, economics, scalability, culture, social mores etc.</w:t>
      </w:r>
    </w:p>
    <w:p w:rsidR="00D95BCC" w:rsidRPr="00821B9B" w:rsidRDefault="00BF39CC" w:rsidP="00846B24">
      <w:pPr>
        <w:spacing w:after="120" w:line="276" w:lineRule="auto"/>
        <w:jc w:val="both"/>
        <w:rPr>
          <w:bCs/>
        </w:rPr>
      </w:pPr>
      <w:r w:rsidRPr="00E76C60">
        <w:rPr>
          <w:rFonts w:eastAsia="Times New Roman"/>
        </w:rPr>
        <w:t>In NAMRIP, we have a</w:t>
      </w:r>
      <w:r w:rsidR="00E76C60">
        <w:rPr>
          <w:rFonts w:eastAsia="Times New Roman"/>
        </w:rPr>
        <w:t>n award-winning</w:t>
      </w:r>
      <w:r w:rsidRPr="00E76C60">
        <w:rPr>
          <w:rFonts w:eastAsia="Times New Roman"/>
        </w:rPr>
        <w:t xml:space="preserve"> programme for engagement with </w:t>
      </w:r>
      <w:r w:rsidR="00E76C60">
        <w:rPr>
          <w:rFonts w:eastAsia="Times New Roman"/>
        </w:rPr>
        <w:t xml:space="preserve">the Public and </w:t>
      </w:r>
      <w:r w:rsidRPr="00E76C60">
        <w:rPr>
          <w:rFonts w:eastAsia="Times New Roman"/>
        </w:rPr>
        <w:t>Policymakers</w:t>
      </w:r>
      <w:r w:rsidR="00E5130F">
        <w:rPr>
          <w:rFonts w:eastAsia="Times New Roman"/>
        </w:rPr>
        <w:t xml:space="preserve">, </w:t>
      </w:r>
      <w:r w:rsidR="002D0FD3">
        <w:rPr>
          <w:rFonts w:eastAsia="Times New Roman"/>
        </w:rPr>
        <w:t>which includes</w:t>
      </w:r>
      <w:r w:rsidR="00E5130F">
        <w:rPr>
          <w:rFonts w:eastAsia="Times New Roman"/>
        </w:rPr>
        <w:t xml:space="preserve"> a permanent exhibition </w:t>
      </w:r>
      <w:r w:rsidR="00E5130F">
        <w:rPr>
          <w:rFonts w:cs="Arial"/>
          <w:color w:val="333333"/>
          <w:shd w:val="clear" w:color="auto" w:fill="FFFFFF"/>
        </w:rPr>
        <w:t xml:space="preserve">that </w:t>
      </w:r>
      <w:r w:rsidR="00E5130F" w:rsidRPr="00E81AD0">
        <w:rPr>
          <w:rFonts w:cs="Arial"/>
          <w:color w:val="000000"/>
        </w:rPr>
        <w:t xml:space="preserve">was mentioned by </w:t>
      </w:r>
      <w:r w:rsidR="00E5130F" w:rsidRPr="00E5130F">
        <w:rPr>
          <w:rFonts w:cs="Arial"/>
          <w:color w:val="000000"/>
        </w:rPr>
        <w:t>Steve Brine MP</w:t>
      </w:r>
      <w:r w:rsidR="00E5130F" w:rsidRPr="00E81AD0">
        <w:rPr>
          <w:rFonts w:cs="Arial"/>
          <w:color w:val="000000"/>
        </w:rPr>
        <w:t xml:space="preserve">, </w:t>
      </w:r>
      <w:r w:rsidR="00E5130F" w:rsidRPr="00E81AD0">
        <w:rPr>
          <w:rFonts w:cs="Arial"/>
          <w:spacing w:val="-3"/>
          <w:shd w:val="clear" w:color="auto" w:fill="FFFFFF"/>
        </w:rPr>
        <w:t xml:space="preserve">the Under-Secretary of State for Health </w:t>
      </w:r>
      <w:r w:rsidR="00E5130F" w:rsidRPr="00E5130F">
        <w:rPr>
          <w:rFonts w:cs="Arial"/>
          <w:color w:val="373151"/>
        </w:rPr>
        <w:t>[</w:t>
      </w:r>
      <w:r w:rsidR="00B25EC2" w:rsidRPr="00925333">
        <w:rPr>
          <w:rStyle w:val="EndnoteReference"/>
          <w:rFonts w:cs="Arial"/>
          <w:color w:val="373151"/>
          <w:vertAlign w:val="baseline"/>
        </w:rPr>
        <w:endnoteReference w:id="12"/>
      </w:r>
      <w:r w:rsidR="00925333" w:rsidRPr="00925333">
        <w:rPr>
          <w:rFonts w:cs="Arial"/>
          <w:color w:val="373151"/>
        </w:rPr>
        <w:t xml:space="preserve">, </w:t>
      </w:r>
      <w:r w:rsidR="00E5130F" w:rsidRPr="00E5130F">
        <w:rPr>
          <w:rStyle w:val="EndnoteReference"/>
          <w:rFonts w:cs="Arial"/>
          <w:color w:val="373151"/>
          <w:vertAlign w:val="baseline"/>
        </w:rPr>
        <w:endnoteReference w:id="13"/>
      </w:r>
      <w:r w:rsidR="00E5130F">
        <w:rPr>
          <w:rFonts w:cs="Arial"/>
          <w:color w:val="373151"/>
        </w:rPr>
        <w:t>]</w:t>
      </w:r>
      <w:r w:rsidR="007D146B">
        <w:rPr>
          <w:rFonts w:cs="Arial"/>
          <w:color w:val="000000" w:themeColor="text1"/>
        </w:rPr>
        <w:t xml:space="preserve"> (Figure 5</w:t>
      </w:r>
      <w:r w:rsidR="00E5130F" w:rsidRPr="00E5130F">
        <w:rPr>
          <w:rFonts w:cs="Arial"/>
          <w:color w:val="000000" w:themeColor="text1"/>
        </w:rPr>
        <w:t>). Dialogue with the public is vital because</w:t>
      </w:r>
      <w:r w:rsidRPr="00E5130F">
        <w:rPr>
          <w:rFonts w:eastAsia="Times New Roman"/>
          <w:color w:val="000000" w:themeColor="text1"/>
        </w:rPr>
        <w:t xml:space="preserve"> many people outside of science have been poorly educated to believe </w:t>
      </w:r>
      <w:r w:rsidRPr="00E5130F">
        <w:rPr>
          <w:color w:val="000000" w:themeColor="text1"/>
        </w:rPr>
        <w:t xml:space="preserve">AMR is the development of resistance to antibiotics by </w:t>
      </w:r>
      <w:r w:rsidR="00E5130F" w:rsidRPr="00E5130F">
        <w:rPr>
          <w:color w:val="000000" w:themeColor="text1"/>
        </w:rPr>
        <w:t>humans</w:t>
      </w:r>
      <w:r w:rsidRPr="00E5130F">
        <w:rPr>
          <w:color w:val="000000" w:themeColor="text1"/>
        </w:rPr>
        <w:t>. This is not only incorrect, b</w:t>
      </w:r>
      <w:r w:rsidR="00E5130F" w:rsidRPr="00E5130F">
        <w:rPr>
          <w:color w:val="000000" w:themeColor="text1"/>
        </w:rPr>
        <w:t>ut encourages</w:t>
      </w:r>
      <w:r w:rsidRPr="00E5130F">
        <w:rPr>
          <w:color w:val="000000" w:themeColor="text1"/>
        </w:rPr>
        <w:t xml:space="preserve"> the very behaviour that promotes the growth of AMR. </w:t>
      </w:r>
      <w:r w:rsidRPr="00E5130F">
        <w:rPr>
          <w:rFonts w:cs="Arial"/>
          <w:color w:val="000000" w:themeColor="text1"/>
        </w:rPr>
        <w:t>We have not learned the lesson Fleming</w:t>
      </w:r>
      <w:r w:rsidRPr="00E76C60">
        <w:rPr>
          <w:rFonts w:cs="Arial"/>
        </w:rPr>
        <w:t xml:space="preserve"> gave us, </w:t>
      </w:r>
      <w:r w:rsidR="00DF2583" w:rsidRPr="00E76C60">
        <w:rPr>
          <w:rFonts w:cs="Arial"/>
        </w:rPr>
        <w:t>more than 70 years ago</w:t>
      </w:r>
      <w:r w:rsidRPr="00E76C60">
        <w:rPr>
          <w:rFonts w:cs="Arial"/>
        </w:rPr>
        <w:t>, in his 1945 Nobel Prize acceptance speech</w:t>
      </w:r>
      <w:r w:rsidR="00DF2583" w:rsidRPr="00E76C60">
        <w:rPr>
          <w:rFonts w:cs="Arial"/>
        </w:rPr>
        <w:t>.</w:t>
      </w:r>
    </w:p>
    <w:p w:rsidR="004237D5" w:rsidRDefault="004237D5" w:rsidP="00F278E3">
      <w:pPr>
        <w:spacing w:after="120" w:line="276" w:lineRule="auto"/>
        <w:jc w:val="both"/>
      </w:pPr>
    </w:p>
    <w:p w:rsidR="00E43E1F" w:rsidRPr="00E5130F" w:rsidRDefault="00E5130F" w:rsidP="00F278E3">
      <w:pPr>
        <w:spacing w:after="120" w:line="276" w:lineRule="auto"/>
        <w:jc w:val="both"/>
        <w:rPr>
          <w:i/>
          <w:iCs/>
        </w:rPr>
      </w:pPr>
      <w:r w:rsidRPr="00E5130F">
        <w:rPr>
          <w:i/>
          <w:iCs/>
          <w:noProof/>
        </w:rPr>
        <w:drawing>
          <wp:inline distT="0" distB="0" distL="0" distR="0">
            <wp:extent cx="5731510" cy="48120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812030"/>
                    </a:xfrm>
                    <a:prstGeom prst="rect">
                      <a:avLst/>
                    </a:prstGeom>
                  </pic:spPr>
                </pic:pic>
              </a:graphicData>
            </a:graphic>
          </wp:inline>
        </w:drawing>
      </w:r>
    </w:p>
    <w:p w:rsidR="00E5130F" w:rsidRPr="00E5130F" w:rsidRDefault="007D146B" w:rsidP="00F278E3">
      <w:pPr>
        <w:spacing w:after="120" w:line="276" w:lineRule="auto"/>
        <w:jc w:val="both"/>
        <w:rPr>
          <w:i/>
          <w:iCs/>
        </w:rPr>
      </w:pPr>
      <w:r>
        <w:rPr>
          <w:i/>
          <w:iCs/>
        </w:rPr>
        <w:t>Figure 5</w:t>
      </w:r>
      <w:r w:rsidR="00E5130F" w:rsidRPr="00E5130F">
        <w:rPr>
          <w:i/>
          <w:iCs/>
        </w:rPr>
        <w:t>. The public play ‘The Most Dangerous Game in the World’ at the Science Museum to learn about AMR.</w:t>
      </w:r>
    </w:p>
    <w:p w:rsidR="00E43E1F" w:rsidRDefault="00E43E1F" w:rsidP="000215CD">
      <w:pPr>
        <w:jc w:val="both"/>
      </w:pPr>
    </w:p>
    <w:p w:rsidR="008E37F0" w:rsidRDefault="008E37F0" w:rsidP="000215CD">
      <w:pPr>
        <w:jc w:val="both"/>
      </w:pPr>
    </w:p>
    <w:sectPr w:rsidR="008E37F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A18" w:rsidRDefault="00EA4A18" w:rsidP="000215CD">
      <w:pPr>
        <w:spacing w:after="0" w:line="240" w:lineRule="auto"/>
      </w:pPr>
      <w:r>
        <w:separator/>
      </w:r>
    </w:p>
  </w:endnote>
  <w:endnote w:type="continuationSeparator" w:id="0">
    <w:p w:rsidR="00EA4A18" w:rsidRDefault="00EA4A18" w:rsidP="000215CD">
      <w:pPr>
        <w:spacing w:after="0" w:line="240" w:lineRule="auto"/>
      </w:pPr>
      <w:r>
        <w:continuationSeparator/>
      </w:r>
    </w:p>
  </w:endnote>
  <w:endnote w:id="1">
    <w:p w:rsidR="000215CD" w:rsidRPr="00FD5ECD" w:rsidRDefault="000215CD" w:rsidP="00FD5ECD">
      <w:pPr>
        <w:pStyle w:val="EndnoteText"/>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 xml:space="preserve">O’Neill J </w:t>
      </w:r>
      <w:r w:rsidRPr="00FD5ECD">
        <w:rPr>
          <w:i/>
          <w:sz w:val="24"/>
          <w:szCs w:val="24"/>
        </w:rPr>
        <w:t>et al</w:t>
      </w:r>
      <w:r w:rsidRPr="00FD5ECD">
        <w:rPr>
          <w:sz w:val="24"/>
          <w:szCs w:val="24"/>
        </w:rPr>
        <w:t xml:space="preserve">. (2016) </w:t>
      </w:r>
      <w:proofErr w:type="gramStart"/>
      <w:r w:rsidRPr="00FD5ECD">
        <w:rPr>
          <w:sz w:val="24"/>
          <w:szCs w:val="24"/>
        </w:rPr>
        <w:t>Tackling</w:t>
      </w:r>
      <w:proofErr w:type="gramEnd"/>
      <w:r w:rsidRPr="00FD5ECD">
        <w:rPr>
          <w:sz w:val="24"/>
          <w:szCs w:val="24"/>
        </w:rPr>
        <w:t xml:space="preserve"> drug-resistant infections globally: final report and recommendations. </w:t>
      </w:r>
      <w:r w:rsidRPr="00FD5ECD">
        <w:rPr>
          <w:i/>
          <w:sz w:val="24"/>
          <w:szCs w:val="24"/>
        </w:rPr>
        <w:t>Final report of the Review of AntiMicrobial Resistance</w:t>
      </w:r>
      <w:r w:rsidRPr="00FD5ECD">
        <w:rPr>
          <w:sz w:val="24"/>
          <w:szCs w:val="24"/>
        </w:rPr>
        <w:t xml:space="preserve"> (May 2016), </w:t>
      </w:r>
      <w:hyperlink r:id="rId1" w:history="1">
        <w:r w:rsidRPr="00FD5ECD">
          <w:rPr>
            <w:rStyle w:val="Hyperlink"/>
            <w:sz w:val="24"/>
            <w:szCs w:val="24"/>
          </w:rPr>
          <w:t>https://amr-review.org/sites/default/files/160525_Final%20paper_with%20cover.pdf</w:t>
        </w:r>
      </w:hyperlink>
      <w:r w:rsidRPr="00FD5ECD">
        <w:rPr>
          <w:sz w:val="24"/>
          <w:szCs w:val="24"/>
        </w:rPr>
        <w:t xml:space="preserve"> </w:t>
      </w:r>
      <w:r w:rsidRPr="00FD5ECD">
        <w:rPr>
          <w:rFonts w:cs="Arial"/>
          <w:color w:val="000000"/>
          <w:sz w:val="24"/>
          <w:szCs w:val="24"/>
          <w:shd w:val="clear" w:color="auto" w:fill="FFFFFF"/>
        </w:rPr>
        <w:t>(last accessed 11 June 2017).</w:t>
      </w:r>
    </w:p>
  </w:endnote>
  <w:endnote w:id="2">
    <w:p w:rsidR="00B1084F" w:rsidRPr="00FD5ECD" w:rsidRDefault="00B1084F" w:rsidP="00FD5ECD">
      <w:pPr>
        <w:pStyle w:val="EndnoteText"/>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 xml:space="preserve">European Centre for Disease Prevention and Control (2017). Antimicrobial resistance surveillance in Europe 2016. Annual Report of the European Antimicrobial Resistance Surveillance Network (EARS-Net). Stockholm: ECDC; </w:t>
      </w:r>
      <w:r w:rsidRPr="00FD5ECD">
        <w:rPr>
          <w:color w:val="000000" w:themeColor="text1"/>
          <w:sz w:val="24"/>
          <w:szCs w:val="24"/>
        </w:rPr>
        <w:t>2017</w:t>
      </w:r>
      <w:r w:rsidR="00FD5ECD">
        <w:rPr>
          <w:color w:val="000000" w:themeColor="text1"/>
          <w:sz w:val="24"/>
          <w:szCs w:val="24"/>
        </w:rPr>
        <w:t>.</w:t>
      </w:r>
      <w:r w:rsidRPr="00FD5ECD">
        <w:rPr>
          <w:color w:val="000000" w:themeColor="text1"/>
          <w:sz w:val="24"/>
          <w:szCs w:val="24"/>
        </w:rPr>
        <w:t xml:space="preserve"> </w:t>
      </w:r>
      <w:r w:rsidR="00FD5ECD" w:rsidRPr="00FD5ECD">
        <w:rPr>
          <w:color w:val="000000" w:themeColor="text1"/>
          <w:sz w:val="24"/>
          <w:szCs w:val="24"/>
        </w:rPr>
        <w:t xml:space="preserve">doi 10.2900/296939  </w:t>
      </w:r>
      <w:hyperlink r:id="rId2" w:history="1">
        <w:r w:rsidRPr="00FD5ECD">
          <w:rPr>
            <w:rStyle w:val="Hyperlink"/>
            <w:sz w:val="24"/>
            <w:szCs w:val="24"/>
          </w:rPr>
          <w:t>https://ecdc.europa.eu/en/publications-data/antimicrobial-resistance-surveillance-europe-2016</w:t>
        </w:r>
      </w:hyperlink>
      <w:r w:rsidRPr="00FD5ECD">
        <w:rPr>
          <w:sz w:val="24"/>
          <w:szCs w:val="24"/>
        </w:rPr>
        <w:t xml:space="preserve"> </w:t>
      </w:r>
    </w:p>
  </w:endnote>
  <w:endnote w:id="3">
    <w:p w:rsidR="00255844" w:rsidRPr="00FD5ECD" w:rsidRDefault="00255844" w:rsidP="00FD5ECD">
      <w:pPr>
        <w:pStyle w:val="EndnoteText"/>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European Centre for Disease Prevention and Control (2010). Antimicrobial resistance surveillance in Europe 2009. Annual Report of the European Antimicrobial Resistance Surveillance Network (</w:t>
      </w:r>
      <w:r w:rsidR="00FD5ECD">
        <w:rPr>
          <w:sz w:val="24"/>
          <w:szCs w:val="24"/>
        </w:rPr>
        <w:t>EARS-Net). Stockholm: ECDC; 2</w:t>
      </w:r>
      <w:r w:rsidR="00FD5ECD" w:rsidRPr="00FD5ECD">
        <w:rPr>
          <w:color w:val="000000" w:themeColor="text1"/>
          <w:sz w:val="24"/>
          <w:szCs w:val="24"/>
        </w:rPr>
        <w:t>010</w:t>
      </w:r>
      <w:r w:rsidR="00FD5ECD">
        <w:rPr>
          <w:color w:val="000000" w:themeColor="text1"/>
          <w:sz w:val="24"/>
          <w:szCs w:val="24"/>
        </w:rPr>
        <w:t>.</w:t>
      </w:r>
      <w:r w:rsidR="00FD5ECD" w:rsidRPr="00FD5ECD">
        <w:rPr>
          <w:color w:val="000000" w:themeColor="text1"/>
          <w:sz w:val="24"/>
          <w:szCs w:val="24"/>
        </w:rPr>
        <w:t xml:space="preserve"> </w:t>
      </w:r>
      <w:r w:rsidR="00FD5ECD" w:rsidRPr="00FD5ECD">
        <w:rPr>
          <w:rFonts w:cs="MetaPro-Book"/>
          <w:color w:val="000000" w:themeColor="text1"/>
          <w:sz w:val="24"/>
          <w:szCs w:val="24"/>
        </w:rPr>
        <w:t xml:space="preserve">doi 10.2900/35994 </w:t>
      </w:r>
      <w:r w:rsidRPr="00FD5ECD">
        <w:rPr>
          <w:color w:val="000000" w:themeColor="text1"/>
          <w:sz w:val="24"/>
          <w:szCs w:val="24"/>
        </w:rPr>
        <w:t xml:space="preserve"> </w:t>
      </w:r>
      <w:hyperlink r:id="rId3" w:history="1">
        <w:r w:rsidRPr="00FD5ECD">
          <w:rPr>
            <w:rStyle w:val="Hyperlink"/>
            <w:sz w:val="24"/>
            <w:szCs w:val="24"/>
          </w:rPr>
          <w:t>https://ecdc.europa.eu/en/publications-data/antimicrobial-resistance-surveillance-europe-2009</w:t>
        </w:r>
      </w:hyperlink>
      <w:r w:rsidRPr="00FD5ECD">
        <w:rPr>
          <w:sz w:val="24"/>
          <w:szCs w:val="24"/>
        </w:rPr>
        <w:t xml:space="preserve"> </w:t>
      </w:r>
    </w:p>
  </w:endnote>
  <w:endnote w:id="4">
    <w:p w:rsidR="001C4FD5" w:rsidRPr="00FD5ECD" w:rsidRDefault="001C4FD5" w:rsidP="00FD5ECD">
      <w:pPr>
        <w:spacing w:after="120" w:line="240" w:lineRule="auto"/>
        <w:ind w:left="567" w:hanging="567"/>
        <w:jc w:val="both"/>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 xml:space="preserve">Fleming, </w:t>
      </w:r>
      <w:proofErr w:type="gramStart"/>
      <w:r w:rsidRPr="00FD5ECD">
        <w:rPr>
          <w:sz w:val="24"/>
          <w:szCs w:val="24"/>
        </w:rPr>
        <w:t>A</w:t>
      </w:r>
      <w:proofErr w:type="gramEnd"/>
      <w:r w:rsidRPr="00FD5ECD">
        <w:rPr>
          <w:sz w:val="24"/>
          <w:szCs w:val="24"/>
        </w:rPr>
        <w:t xml:space="preserve"> (1945) Penicillin. Nobel Lecture, December 11, 1945. </w:t>
      </w:r>
      <w:hyperlink r:id="rId4" w:history="1">
        <w:r w:rsidRPr="00FD5ECD">
          <w:rPr>
            <w:rStyle w:val="Hyperlink"/>
            <w:sz w:val="24"/>
            <w:szCs w:val="24"/>
          </w:rPr>
          <w:t>https://www.nobelprize.org/nobel_prizes/medicine/laureates/1945/fleming-lecture.pdf</w:t>
        </w:r>
      </w:hyperlink>
    </w:p>
  </w:endnote>
  <w:endnote w:id="5">
    <w:p w:rsidR="00D33510" w:rsidRPr="00FD5ECD" w:rsidRDefault="00D33510" w:rsidP="00FD5ECD">
      <w:pPr>
        <w:pStyle w:val="EndnoteText"/>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 xml:space="preserve">Cogliani, C, Goossens H and Greko C (2011) Restricting Antimicrobial use in food animals: Lessons from Europe. Microbe, 6(6), 274-279 </w:t>
      </w:r>
      <w:hyperlink r:id="rId5" w:history="1">
        <w:r w:rsidRPr="00FD5ECD">
          <w:rPr>
            <w:rStyle w:val="Hyperlink"/>
            <w:sz w:val="24"/>
            <w:szCs w:val="24"/>
          </w:rPr>
          <w:t>http://emerald.tufts.edu/med/apua/about_us/publications_21_3573465644.pdf</w:t>
        </w:r>
      </w:hyperlink>
      <w:r w:rsidRPr="00FD5ECD">
        <w:rPr>
          <w:sz w:val="24"/>
          <w:szCs w:val="24"/>
        </w:rPr>
        <w:t xml:space="preserve"> </w:t>
      </w:r>
    </w:p>
  </w:endnote>
  <w:endnote w:id="6">
    <w:p w:rsidR="00AC01BF" w:rsidRPr="00FD5ECD" w:rsidRDefault="00AC01BF" w:rsidP="00FD5ECD">
      <w:pPr>
        <w:pStyle w:val="EndnoteText"/>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r>
      <w:r w:rsidRPr="00FD5ECD">
        <w:rPr>
          <w:color w:val="000000"/>
          <w:sz w:val="24"/>
          <w:szCs w:val="24"/>
        </w:rPr>
        <w:t>Leighton, T. G. (2018) Cold water cleaning in the preparation of food and beverages: The power of shimmering bubbles.</w:t>
      </w:r>
      <w:r w:rsidRPr="00FD5ECD">
        <w:rPr>
          <w:rStyle w:val="apple-converted-space"/>
          <w:color w:val="000000"/>
          <w:sz w:val="24"/>
          <w:szCs w:val="24"/>
        </w:rPr>
        <w:t> </w:t>
      </w:r>
      <w:r w:rsidRPr="00FD5ECD">
        <w:rPr>
          <w:i/>
          <w:iCs/>
          <w:color w:val="000000"/>
          <w:sz w:val="24"/>
          <w:szCs w:val="24"/>
        </w:rPr>
        <w:t>Baking Europe</w:t>
      </w:r>
      <w:r w:rsidRPr="00FD5ECD">
        <w:rPr>
          <w:rStyle w:val="apple-converted-space"/>
          <w:i/>
          <w:iCs/>
          <w:color w:val="000000"/>
          <w:sz w:val="24"/>
          <w:szCs w:val="24"/>
        </w:rPr>
        <w:t> </w:t>
      </w:r>
      <w:r w:rsidRPr="00FD5ECD">
        <w:rPr>
          <w:color w:val="000000"/>
          <w:sz w:val="24"/>
          <w:szCs w:val="24"/>
        </w:rPr>
        <w:t>Summer 2018, pp. 24-28</w:t>
      </w:r>
      <w:r w:rsidRPr="00FD5ECD">
        <w:rPr>
          <w:rStyle w:val="apple-converted-space"/>
          <w:color w:val="000000"/>
          <w:sz w:val="24"/>
          <w:szCs w:val="24"/>
        </w:rPr>
        <w:t> </w:t>
      </w:r>
      <w:hyperlink r:id="rId6" w:history="1">
        <w:r w:rsidRPr="00FD5ECD">
          <w:rPr>
            <w:rStyle w:val="Hyperlink"/>
            <w:sz w:val="24"/>
            <w:szCs w:val="24"/>
          </w:rPr>
          <w:t>http://www.bakingeurope.eu/previews/2018/BakingEurope-Summer-2018.pdf</w:t>
        </w:r>
      </w:hyperlink>
      <w:r w:rsidRPr="00FD5ECD">
        <w:rPr>
          <w:sz w:val="24"/>
          <w:szCs w:val="24"/>
        </w:rPr>
        <w:t xml:space="preserve"> </w:t>
      </w:r>
    </w:p>
  </w:endnote>
  <w:endnote w:id="7">
    <w:p w:rsidR="00494F1E" w:rsidRPr="00FD5ECD" w:rsidRDefault="00494F1E" w:rsidP="00FD5ECD">
      <w:pPr>
        <w:pStyle w:val="EndnoteText"/>
        <w:tabs>
          <w:tab w:val="left" w:pos="567"/>
        </w:tabs>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00E76C60" w:rsidRPr="00FD5ECD">
        <w:rPr>
          <w:sz w:val="24"/>
          <w:szCs w:val="24"/>
        </w:rPr>
        <w:tab/>
      </w:r>
      <w:r w:rsidRPr="00FD5ECD">
        <w:rPr>
          <w:sz w:val="24"/>
          <w:szCs w:val="24"/>
        </w:rPr>
        <w:t xml:space="preserve">Wang H E, Shapiro N I, Angus D C and Yearly D M </w:t>
      </w:r>
      <w:r w:rsidR="00E76C60" w:rsidRPr="00FD5ECD">
        <w:rPr>
          <w:sz w:val="24"/>
          <w:szCs w:val="24"/>
        </w:rPr>
        <w:t>(</w:t>
      </w:r>
      <w:r w:rsidRPr="00FD5ECD">
        <w:rPr>
          <w:sz w:val="24"/>
          <w:szCs w:val="24"/>
        </w:rPr>
        <w:t>2007</w:t>
      </w:r>
      <w:r w:rsidR="00E76C60" w:rsidRPr="00FD5ECD">
        <w:rPr>
          <w:sz w:val="24"/>
          <w:szCs w:val="24"/>
        </w:rPr>
        <w:t>)</w:t>
      </w:r>
      <w:r w:rsidRPr="00FD5ECD">
        <w:rPr>
          <w:sz w:val="24"/>
          <w:szCs w:val="24"/>
        </w:rPr>
        <w:t xml:space="preserve"> National estimates of severe sepsis in United States emergency departments </w:t>
      </w:r>
      <w:r w:rsidRPr="00FD5ECD">
        <w:rPr>
          <w:i/>
          <w:sz w:val="24"/>
          <w:szCs w:val="24"/>
        </w:rPr>
        <w:t>Crit. Care. Med.</w:t>
      </w:r>
      <w:r w:rsidRPr="00FD5ECD">
        <w:rPr>
          <w:sz w:val="24"/>
          <w:szCs w:val="24"/>
        </w:rPr>
        <w:t xml:space="preserve"> </w:t>
      </w:r>
      <w:r w:rsidRPr="00FD5ECD">
        <w:rPr>
          <w:b/>
          <w:sz w:val="24"/>
          <w:szCs w:val="24"/>
        </w:rPr>
        <w:t>35</w:t>
      </w:r>
      <w:r w:rsidRPr="00FD5ECD">
        <w:rPr>
          <w:sz w:val="24"/>
          <w:szCs w:val="24"/>
        </w:rPr>
        <w:t>(8) 1928–36.</w:t>
      </w:r>
    </w:p>
  </w:endnote>
  <w:endnote w:id="8">
    <w:p w:rsidR="00494F1E" w:rsidRPr="00FD5ECD" w:rsidRDefault="00494F1E" w:rsidP="00FD5ECD">
      <w:pPr>
        <w:pStyle w:val="EndnoteText"/>
        <w:tabs>
          <w:tab w:val="left" w:pos="567"/>
        </w:tabs>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 xml:space="preserve">Singhal S, Allen M W, McAnnally J R, Smith K S, Donnelly J P and Wang H E </w:t>
      </w:r>
      <w:r w:rsidR="00E76C60" w:rsidRPr="00FD5ECD">
        <w:rPr>
          <w:sz w:val="24"/>
          <w:szCs w:val="24"/>
        </w:rPr>
        <w:t>(</w:t>
      </w:r>
      <w:r w:rsidRPr="00FD5ECD">
        <w:rPr>
          <w:sz w:val="24"/>
          <w:szCs w:val="24"/>
        </w:rPr>
        <w:t>2013</w:t>
      </w:r>
      <w:r w:rsidR="00E76C60" w:rsidRPr="00FD5ECD">
        <w:rPr>
          <w:sz w:val="24"/>
          <w:szCs w:val="24"/>
        </w:rPr>
        <w:t>)</w:t>
      </w:r>
      <w:r w:rsidRPr="00FD5ECD">
        <w:rPr>
          <w:sz w:val="24"/>
          <w:szCs w:val="24"/>
        </w:rPr>
        <w:t xml:space="preserve"> National estimates of emergency department visits for pediatric severe sepsis in the United </w:t>
      </w:r>
      <w:proofErr w:type="gramStart"/>
      <w:r w:rsidRPr="00FD5ECD">
        <w:rPr>
          <w:sz w:val="24"/>
          <w:szCs w:val="24"/>
        </w:rPr>
        <w:t xml:space="preserve">States  </w:t>
      </w:r>
      <w:r w:rsidRPr="00FD5ECD">
        <w:rPr>
          <w:i/>
          <w:sz w:val="24"/>
          <w:szCs w:val="24"/>
        </w:rPr>
        <w:t>PeerJ</w:t>
      </w:r>
      <w:proofErr w:type="gramEnd"/>
      <w:r w:rsidRPr="00FD5ECD">
        <w:rPr>
          <w:i/>
          <w:sz w:val="24"/>
          <w:szCs w:val="24"/>
        </w:rPr>
        <w:t>.</w:t>
      </w:r>
      <w:r w:rsidRPr="00FD5ECD">
        <w:rPr>
          <w:sz w:val="24"/>
          <w:szCs w:val="24"/>
        </w:rPr>
        <w:t xml:space="preserve"> </w:t>
      </w:r>
      <w:r w:rsidRPr="00FD5ECD">
        <w:rPr>
          <w:b/>
          <w:sz w:val="24"/>
          <w:szCs w:val="24"/>
        </w:rPr>
        <w:t>1</w:t>
      </w:r>
      <w:r w:rsidRPr="00FD5ECD">
        <w:rPr>
          <w:sz w:val="24"/>
          <w:szCs w:val="24"/>
        </w:rPr>
        <w:t xml:space="preserve"> e79. doi: 10.7717/peerj.7</w:t>
      </w:r>
    </w:p>
  </w:endnote>
  <w:endnote w:id="9">
    <w:p w:rsidR="00494F1E" w:rsidRPr="00FD5ECD" w:rsidRDefault="00494F1E" w:rsidP="00FD5ECD">
      <w:pPr>
        <w:pStyle w:val="EndnoteText"/>
        <w:tabs>
          <w:tab w:val="left" w:pos="567"/>
        </w:tabs>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 xml:space="preserve">Horeczko T, Green J P and Panacek E A </w:t>
      </w:r>
      <w:r w:rsidR="00E76C60" w:rsidRPr="00FD5ECD">
        <w:rPr>
          <w:sz w:val="24"/>
          <w:szCs w:val="24"/>
        </w:rPr>
        <w:t>(</w:t>
      </w:r>
      <w:r w:rsidRPr="00FD5ECD">
        <w:rPr>
          <w:sz w:val="24"/>
          <w:szCs w:val="24"/>
        </w:rPr>
        <w:t>20</w:t>
      </w:r>
      <w:r w:rsidR="00E76C60" w:rsidRPr="00FD5ECD">
        <w:rPr>
          <w:sz w:val="24"/>
          <w:szCs w:val="24"/>
        </w:rPr>
        <w:t>)</w:t>
      </w:r>
      <w:r w:rsidRPr="00FD5ECD">
        <w:rPr>
          <w:sz w:val="24"/>
          <w:szCs w:val="24"/>
        </w:rPr>
        <w:t xml:space="preserve">14 Epidemiology of the Systemic Inflammatory Response Syndrome (SIRS) in the emergency department </w:t>
      </w:r>
      <w:r w:rsidRPr="00FD5ECD">
        <w:rPr>
          <w:i/>
          <w:sz w:val="24"/>
          <w:szCs w:val="24"/>
        </w:rPr>
        <w:t>West J Emerg Med</w:t>
      </w:r>
      <w:r w:rsidRPr="00FD5ECD">
        <w:rPr>
          <w:sz w:val="24"/>
          <w:szCs w:val="24"/>
        </w:rPr>
        <w:t xml:space="preserve">. </w:t>
      </w:r>
      <w:r w:rsidRPr="00FD5ECD">
        <w:rPr>
          <w:b/>
          <w:sz w:val="24"/>
          <w:szCs w:val="24"/>
        </w:rPr>
        <w:t>15</w:t>
      </w:r>
      <w:r w:rsidRPr="00FD5ECD">
        <w:rPr>
          <w:sz w:val="24"/>
          <w:szCs w:val="24"/>
        </w:rPr>
        <w:t>(3) 329-36 doi: 10.5811/westjem.2013.9.18064</w:t>
      </w:r>
    </w:p>
  </w:endnote>
  <w:endnote w:id="10">
    <w:p w:rsidR="00E76C60" w:rsidRPr="00FD5ECD" w:rsidRDefault="00E76C60" w:rsidP="00FD5ECD">
      <w:pPr>
        <w:tabs>
          <w:tab w:val="left" w:pos="1276"/>
        </w:tabs>
        <w:spacing w:after="120" w:line="240" w:lineRule="auto"/>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r>
      <w:r w:rsidRPr="00FD5ECD">
        <w:rPr>
          <w:rFonts w:eastAsia="Times New Roman"/>
          <w:sz w:val="24"/>
          <w:szCs w:val="24"/>
        </w:rPr>
        <w:t xml:space="preserve">NAMRIP (2015) NAMRIP home page </w:t>
      </w:r>
      <w:hyperlink r:id="rId7" w:history="1">
        <w:r w:rsidRPr="00FD5ECD">
          <w:rPr>
            <w:rStyle w:val="Hyperlink"/>
            <w:sz w:val="24"/>
            <w:szCs w:val="24"/>
          </w:rPr>
          <w:t>http://www.southampton.ac.uk/namrip/index.page</w:t>
        </w:r>
      </w:hyperlink>
      <w:r w:rsidRPr="00FD5ECD">
        <w:rPr>
          <w:sz w:val="24"/>
          <w:szCs w:val="24"/>
        </w:rPr>
        <w:t xml:space="preserve"> </w:t>
      </w:r>
      <w:r w:rsidRPr="00FD5ECD">
        <w:rPr>
          <w:rFonts w:eastAsia="Times New Roman"/>
          <w:sz w:val="24"/>
          <w:szCs w:val="24"/>
        </w:rPr>
        <w:t xml:space="preserve"> </w:t>
      </w:r>
      <w:r w:rsidRPr="00FD5ECD">
        <w:rPr>
          <w:rFonts w:cs="Arial"/>
          <w:color w:val="000000"/>
          <w:sz w:val="24"/>
          <w:szCs w:val="24"/>
          <w:shd w:val="clear" w:color="auto" w:fill="FFFFFF"/>
        </w:rPr>
        <w:t>(last accessed 11 June 2017).</w:t>
      </w:r>
    </w:p>
  </w:endnote>
  <w:endnote w:id="11">
    <w:p w:rsidR="00E76C60" w:rsidRPr="00FD5ECD" w:rsidRDefault="00E76C60" w:rsidP="00FD5ECD">
      <w:pPr>
        <w:pStyle w:val="EndnoteText"/>
        <w:tabs>
          <w:tab w:val="left" w:pos="1276"/>
        </w:tabs>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t xml:space="preserve">NAMRIP (2016b) Global NAMRIP web page </w:t>
      </w:r>
      <w:hyperlink r:id="rId8" w:history="1">
        <w:r w:rsidRPr="00FD5ECD">
          <w:rPr>
            <w:rStyle w:val="Hyperlink"/>
            <w:sz w:val="24"/>
            <w:szCs w:val="24"/>
          </w:rPr>
          <w:t>http://www.southampton.ac.uk/namrip/about/globalnamrip.page</w:t>
        </w:r>
      </w:hyperlink>
      <w:r w:rsidRPr="00FD5ECD">
        <w:rPr>
          <w:sz w:val="24"/>
          <w:szCs w:val="24"/>
        </w:rPr>
        <w:t xml:space="preserve">? </w:t>
      </w:r>
      <w:r w:rsidRPr="00FD5ECD">
        <w:rPr>
          <w:rFonts w:cs="Arial"/>
          <w:color w:val="000000"/>
          <w:sz w:val="24"/>
          <w:szCs w:val="24"/>
          <w:shd w:val="clear" w:color="auto" w:fill="FFFFFF"/>
        </w:rPr>
        <w:t>(last accessed 11 June 2017)</w:t>
      </w:r>
    </w:p>
  </w:endnote>
  <w:endnote w:id="12">
    <w:p w:rsidR="00B25EC2" w:rsidRPr="00FD5ECD" w:rsidRDefault="00B25EC2" w:rsidP="00FD5ECD">
      <w:pPr>
        <w:pStyle w:val="EndnoteText"/>
        <w:spacing w:after="120"/>
        <w:ind w:left="567" w:hanging="567"/>
        <w:rPr>
          <w:sz w:val="24"/>
          <w:szCs w:val="24"/>
        </w:rPr>
      </w:pPr>
      <w:r w:rsidRPr="00FD5ECD">
        <w:rPr>
          <w:rStyle w:val="EndnoteReference"/>
          <w:sz w:val="24"/>
          <w:szCs w:val="24"/>
          <w:vertAlign w:val="baseline"/>
        </w:rPr>
        <w:endnoteRef/>
      </w:r>
      <w:r w:rsidRPr="00FD5ECD">
        <w:rPr>
          <w:sz w:val="24"/>
          <w:szCs w:val="24"/>
        </w:rPr>
        <w:t xml:space="preserve">  </w:t>
      </w:r>
      <w:r w:rsidRPr="00FD5ECD">
        <w:rPr>
          <w:sz w:val="24"/>
          <w:szCs w:val="24"/>
        </w:rPr>
        <w:tab/>
      </w:r>
      <w:hyperlink r:id="rId9" w:history="1">
        <w:r w:rsidRPr="00FD5ECD">
          <w:rPr>
            <w:rStyle w:val="Hyperlink"/>
            <w:sz w:val="24"/>
            <w:szCs w:val="24"/>
          </w:rPr>
          <w:t>https://parliamentlive.tv/event/index/0dbfadce-2829-4ed1-b45a-82bb41c4ed70?in=14:34:58&amp;out=14:35:56</w:t>
        </w:r>
      </w:hyperlink>
      <w:r w:rsidRPr="00FD5ECD">
        <w:rPr>
          <w:sz w:val="24"/>
          <w:szCs w:val="24"/>
        </w:rPr>
        <w:t xml:space="preserve"> </w:t>
      </w:r>
    </w:p>
  </w:endnote>
  <w:endnote w:id="13">
    <w:p w:rsidR="00E5130F" w:rsidRDefault="00E5130F" w:rsidP="00FD5ECD">
      <w:pPr>
        <w:pStyle w:val="EndnoteText"/>
        <w:tabs>
          <w:tab w:val="left" w:pos="1276"/>
        </w:tabs>
        <w:spacing w:after="120"/>
        <w:ind w:left="567" w:hanging="567"/>
      </w:pPr>
      <w:r w:rsidRPr="00FD5ECD">
        <w:rPr>
          <w:rStyle w:val="EndnoteReference"/>
          <w:sz w:val="24"/>
          <w:szCs w:val="24"/>
          <w:vertAlign w:val="baseline"/>
        </w:rPr>
        <w:endnoteRef/>
      </w:r>
      <w:r w:rsidRPr="00FD5ECD">
        <w:rPr>
          <w:sz w:val="24"/>
          <w:szCs w:val="24"/>
        </w:rPr>
        <w:t xml:space="preserve">  </w:t>
      </w:r>
      <w:r w:rsidRPr="00FD5ECD">
        <w:rPr>
          <w:sz w:val="24"/>
          <w:szCs w:val="24"/>
        </w:rPr>
        <w:tab/>
      </w:r>
      <w:hyperlink r:id="rId10" w:history="1">
        <w:r w:rsidRPr="00FD5ECD">
          <w:rPr>
            <w:rStyle w:val="Hyperlink"/>
            <w:sz w:val="24"/>
            <w:szCs w:val="24"/>
          </w:rPr>
          <w:t>https://hansard.parliament.uk/Commons/2017-11-16/debates/141BEBCB-C1F8-4BA7-ABF5-9186CAAC49F9/WorldAntibioticsAwarenessWeek</w:t>
        </w:r>
      </w:hyperlink>
      <w:r w:rsidRPr="00FD5ECD">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Pro-Bold">
    <w:altName w:val="MetaPro-Bold"/>
    <w:panose1 w:val="00000000000000000000"/>
    <w:charset w:val="00"/>
    <w:family w:val="swiss"/>
    <w:notTrueType/>
    <w:pitch w:val="default"/>
    <w:sig w:usb0="00000003" w:usb1="00000000" w:usb2="00000000" w:usb3="00000000" w:csb0="00000001" w:csb1="00000000"/>
  </w:font>
  <w:font w:name="MetaPro-Book">
    <w:altName w:val="MetaPro-Boo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A18" w:rsidRDefault="00EA4A18" w:rsidP="000215CD">
      <w:pPr>
        <w:spacing w:after="0" w:line="240" w:lineRule="auto"/>
      </w:pPr>
      <w:r>
        <w:separator/>
      </w:r>
    </w:p>
  </w:footnote>
  <w:footnote w:type="continuationSeparator" w:id="0">
    <w:p w:rsidR="00EA4A18" w:rsidRDefault="00EA4A18" w:rsidP="00021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7F0"/>
    <w:rsid w:val="000215CD"/>
    <w:rsid w:val="00024135"/>
    <w:rsid w:val="00027DF5"/>
    <w:rsid w:val="00035D26"/>
    <w:rsid w:val="00043F33"/>
    <w:rsid w:val="000E0522"/>
    <w:rsid w:val="000E6027"/>
    <w:rsid w:val="00124209"/>
    <w:rsid w:val="001518FF"/>
    <w:rsid w:val="001A1154"/>
    <w:rsid w:val="001C4FD5"/>
    <w:rsid w:val="001D1940"/>
    <w:rsid w:val="001E36BC"/>
    <w:rsid w:val="00214FFE"/>
    <w:rsid w:val="0023020C"/>
    <w:rsid w:val="00255844"/>
    <w:rsid w:val="00287BA5"/>
    <w:rsid w:val="002D0CB9"/>
    <w:rsid w:val="002D0FD3"/>
    <w:rsid w:val="002D2492"/>
    <w:rsid w:val="003031E2"/>
    <w:rsid w:val="00341C02"/>
    <w:rsid w:val="003C5306"/>
    <w:rsid w:val="003E3E44"/>
    <w:rsid w:val="004237D5"/>
    <w:rsid w:val="00494F1E"/>
    <w:rsid w:val="00496BDB"/>
    <w:rsid w:val="004A4E36"/>
    <w:rsid w:val="004A76EB"/>
    <w:rsid w:val="004D76F4"/>
    <w:rsid w:val="004D7F6F"/>
    <w:rsid w:val="004E522D"/>
    <w:rsid w:val="00502D87"/>
    <w:rsid w:val="00504076"/>
    <w:rsid w:val="00531D01"/>
    <w:rsid w:val="00544B7B"/>
    <w:rsid w:val="005946D6"/>
    <w:rsid w:val="005955F2"/>
    <w:rsid w:val="005B1971"/>
    <w:rsid w:val="005C1581"/>
    <w:rsid w:val="005E4BF4"/>
    <w:rsid w:val="00604970"/>
    <w:rsid w:val="00667A39"/>
    <w:rsid w:val="006A56F3"/>
    <w:rsid w:val="006B0930"/>
    <w:rsid w:val="006C7CBB"/>
    <w:rsid w:val="006E6A62"/>
    <w:rsid w:val="006F1E6F"/>
    <w:rsid w:val="00703533"/>
    <w:rsid w:val="00710471"/>
    <w:rsid w:val="007520E2"/>
    <w:rsid w:val="00752719"/>
    <w:rsid w:val="007553C5"/>
    <w:rsid w:val="007849F6"/>
    <w:rsid w:val="00794A43"/>
    <w:rsid w:val="007B0174"/>
    <w:rsid w:val="007C0484"/>
    <w:rsid w:val="007C2E23"/>
    <w:rsid w:val="007D146B"/>
    <w:rsid w:val="00821B9B"/>
    <w:rsid w:val="00846B24"/>
    <w:rsid w:val="008679ED"/>
    <w:rsid w:val="008716D5"/>
    <w:rsid w:val="008A1B7D"/>
    <w:rsid w:val="008C0481"/>
    <w:rsid w:val="008E37F0"/>
    <w:rsid w:val="008F5C14"/>
    <w:rsid w:val="009042E0"/>
    <w:rsid w:val="0092344F"/>
    <w:rsid w:val="00925333"/>
    <w:rsid w:val="00934CCC"/>
    <w:rsid w:val="00944717"/>
    <w:rsid w:val="00986D5C"/>
    <w:rsid w:val="009D5508"/>
    <w:rsid w:val="00A523CB"/>
    <w:rsid w:val="00A71D95"/>
    <w:rsid w:val="00AC01BF"/>
    <w:rsid w:val="00AF7738"/>
    <w:rsid w:val="00B1084F"/>
    <w:rsid w:val="00B13ECC"/>
    <w:rsid w:val="00B23457"/>
    <w:rsid w:val="00B25EC2"/>
    <w:rsid w:val="00B40290"/>
    <w:rsid w:val="00B51F22"/>
    <w:rsid w:val="00B7765E"/>
    <w:rsid w:val="00BE47D5"/>
    <w:rsid w:val="00BF39CC"/>
    <w:rsid w:val="00C4185F"/>
    <w:rsid w:val="00CA7F68"/>
    <w:rsid w:val="00CE737E"/>
    <w:rsid w:val="00CF7286"/>
    <w:rsid w:val="00D33510"/>
    <w:rsid w:val="00D35894"/>
    <w:rsid w:val="00D45D0F"/>
    <w:rsid w:val="00D814F7"/>
    <w:rsid w:val="00D85BD7"/>
    <w:rsid w:val="00D95BCC"/>
    <w:rsid w:val="00DA160F"/>
    <w:rsid w:val="00DB1DF9"/>
    <w:rsid w:val="00DB27CD"/>
    <w:rsid w:val="00DC0787"/>
    <w:rsid w:val="00DD37A6"/>
    <w:rsid w:val="00DF2583"/>
    <w:rsid w:val="00E01327"/>
    <w:rsid w:val="00E43D36"/>
    <w:rsid w:val="00E43E1F"/>
    <w:rsid w:val="00E5130F"/>
    <w:rsid w:val="00E54910"/>
    <w:rsid w:val="00E76C60"/>
    <w:rsid w:val="00EA4A18"/>
    <w:rsid w:val="00EC13AB"/>
    <w:rsid w:val="00EC64EF"/>
    <w:rsid w:val="00ED3E9D"/>
    <w:rsid w:val="00F06E69"/>
    <w:rsid w:val="00F278E3"/>
    <w:rsid w:val="00F8059B"/>
    <w:rsid w:val="00F82D4D"/>
    <w:rsid w:val="00F935F2"/>
    <w:rsid w:val="00F93BFC"/>
    <w:rsid w:val="00FB3D7A"/>
    <w:rsid w:val="00FB5F70"/>
    <w:rsid w:val="00FD5ECD"/>
    <w:rsid w:val="00FE760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21B9B1-825B-4B00-9C32-9380F2FB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CCC"/>
  </w:style>
  <w:style w:type="paragraph" w:styleId="Heading1">
    <w:name w:val="heading 1"/>
    <w:basedOn w:val="Normal"/>
    <w:next w:val="Normal"/>
    <w:link w:val="Heading1Char"/>
    <w:qFormat/>
    <w:rsid w:val="00494F1E"/>
    <w:pPr>
      <w:keepNext/>
      <w:widowControl w:val="0"/>
      <w:numPr>
        <w:numId w:val="2"/>
      </w:numPr>
      <w:spacing w:after="0" w:line="240" w:lineRule="auto"/>
      <w:jc w:val="both"/>
      <w:outlineLvl w:val="0"/>
    </w:pPr>
    <w:rPr>
      <w:rFonts w:ascii="Times New Roman" w:eastAsia="SimSun" w:hAnsi="Times New Roman" w:cs="Times New Roman"/>
      <w:b/>
      <w:kern w:val="2"/>
      <w:sz w:val="24"/>
      <w:szCs w:val="24"/>
      <w:lang w:val="en-US" w:eastAsia="zh-CN"/>
    </w:rPr>
  </w:style>
  <w:style w:type="paragraph" w:styleId="Heading3">
    <w:name w:val="heading 3"/>
    <w:basedOn w:val="Normal"/>
    <w:next w:val="Normal"/>
    <w:link w:val="Heading3Char"/>
    <w:qFormat/>
    <w:rsid w:val="00494F1E"/>
    <w:pPr>
      <w:keepNext/>
      <w:numPr>
        <w:ilvl w:val="2"/>
        <w:numId w:val="2"/>
      </w:numPr>
      <w:spacing w:before="240" w:after="60" w:line="240" w:lineRule="auto"/>
      <w:outlineLvl w:val="2"/>
    </w:pPr>
    <w:rPr>
      <w:rFonts w:ascii="Arial" w:eastAsia="Times New Roman" w:hAnsi="Arial" w:cs="Arial"/>
      <w:b/>
      <w:bCs/>
      <w:sz w:val="26"/>
      <w:szCs w:val="26"/>
      <w:lang w:eastAsia="en-US"/>
    </w:rPr>
  </w:style>
  <w:style w:type="paragraph" w:styleId="Heading4">
    <w:name w:val="heading 4"/>
    <w:basedOn w:val="Normal"/>
    <w:next w:val="Normal"/>
    <w:link w:val="Heading4Char"/>
    <w:qFormat/>
    <w:rsid w:val="00494F1E"/>
    <w:pPr>
      <w:keepNext/>
      <w:numPr>
        <w:ilvl w:val="3"/>
        <w:numId w:val="2"/>
      </w:numPr>
      <w:spacing w:before="240" w:after="60" w:line="240" w:lineRule="auto"/>
      <w:outlineLvl w:val="3"/>
    </w:pPr>
    <w:rPr>
      <w:rFonts w:ascii="Times New Roman" w:eastAsia="Times New Roman" w:hAnsi="Times New Roman" w:cs="Times New Roman"/>
      <w:b/>
      <w:bCs/>
      <w:sz w:val="28"/>
      <w:szCs w:val="28"/>
      <w:lang w:eastAsia="en-US"/>
    </w:rPr>
  </w:style>
  <w:style w:type="paragraph" w:styleId="Heading5">
    <w:name w:val="heading 5"/>
    <w:basedOn w:val="Normal"/>
    <w:next w:val="Normal"/>
    <w:link w:val="Heading5Char"/>
    <w:qFormat/>
    <w:rsid w:val="00494F1E"/>
    <w:pPr>
      <w:numPr>
        <w:ilvl w:val="4"/>
        <w:numId w:val="2"/>
      </w:numPr>
      <w:spacing w:before="240" w:after="60" w:line="240" w:lineRule="auto"/>
      <w:outlineLvl w:val="4"/>
    </w:pPr>
    <w:rPr>
      <w:rFonts w:ascii="Times" w:eastAsia="Times New Roman" w:hAnsi="Times" w:cs="Times New Roman"/>
      <w:b/>
      <w:bCs/>
      <w:i/>
      <w:iCs/>
      <w:sz w:val="26"/>
      <w:szCs w:val="26"/>
      <w:lang w:eastAsia="en-US"/>
    </w:rPr>
  </w:style>
  <w:style w:type="paragraph" w:styleId="Heading6">
    <w:name w:val="heading 6"/>
    <w:basedOn w:val="Normal"/>
    <w:next w:val="Normal"/>
    <w:link w:val="Heading6Char"/>
    <w:qFormat/>
    <w:rsid w:val="00494F1E"/>
    <w:pPr>
      <w:numPr>
        <w:ilvl w:val="5"/>
        <w:numId w:val="2"/>
      </w:numPr>
      <w:spacing w:before="240" w:after="60" w:line="240" w:lineRule="auto"/>
      <w:outlineLvl w:val="5"/>
    </w:pPr>
    <w:rPr>
      <w:rFonts w:ascii="Times New Roman" w:eastAsia="Times New Roman" w:hAnsi="Times New Roman" w:cs="Times New Roman"/>
      <w:b/>
      <w:bCs/>
      <w:lang w:eastAsia="en-US"/>
    </w:rPr>
  </w:style>
  <w:style w:type="paragraph" w:styleId="Heading7">
    <w:name w:val="heading 7"/>
    <w:basedOn w:val="Normal"/>
    <w:next w:val="Normal"/>
    <w:link w:val="Heading7Char"/>
    <w:qFormat/>
    <w:rsid w:val="00494F1E"/>
    <w:pPr>
      <w:numPr>
        <w:ilvl w:val="6"/>
        <w:numId w:val="2"/>
      </w:numPr>
      <w:spacing w:before="240" w:after="60" w:line="240" w:lineRule="auto"/>
      <w:outlineLvl w:val="6"/>
    </w:pPr>
    <w:rPr>
      <w:rFonts w:ascii="Times New Roman" w:eastAsia="Times New Roman" w:hAnsi="Times New Roman" w:cs="Times New Roman"/>
      <w:sz w:val="24"/>
      <w:szCs w:val="24"/>
      <w:lang w:eastAsia="en-US"/>
    </w:rPr>
  </w:style>
  <w:style w:type="paragraph" w:styleId="Heading8">
    <w:name w:val="heading 8"/>
    <w:basedOn w:val="Normal"/>
    <w:next w:val="Normal"/>
    <w:link w:val="Heading8Char"/>
    <w:qFormat/>
    <w:rsid w:val="00494F1E"/>
    <w:pPr>
      <w:numPr>
        <w:ilvl w:val="7"/>
        <w:numId w:val="2"/>
      </w:numPr>
      <w:spacing w:before="240" w:after="60" w:line="240" w:lineRule="auto"/>
      <w:outlineLvl w:val="7"/>
    </w:pPr>
    <w:rPr>
      <w:rFonts w:ascii="Times New Roman" w:eastAsia="Times New Roman" w:hAnsi="Times New Roman" w:cs="Times New Roman"/>
      <w:i/>
      <w:iCs/>
      <w:sz w:val="24"/>
      <w:szCs w:val="24"/>
      <w:lang w:eastAsia="en-US"/>
    </w:rPr>
  </w:style>
  <w:style w:type="paragraph" w:styleId="Heading9">
    <w:name w:val="heading 9"/>
    <w:basedOn w:val="Normal"/>
    <w:next w:val="Normal"/>
    <w:link w:val="Heading9Char"/>
    <w:qFormat/>
    <w:rsid w:val="00494F1E"/>
    <w:pPr>
      <w:numPr>
        <w:ilvl w:val="8"/>
        <w:numId w:val="2"/>
      </w:numPr>
      <w:spacing w:before="240" w:after="60" w:line="240" w:lineRule="auto"/>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5BC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73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37E"/>
    <w:rPr>
      <w:rFonts w:ascii="Segoe UI" w:hAnsi="Segoe UI" w:cs="Segoe UI"/>
      <w:sz w:val="18"/>
      <w:szCs w:val="18"/>
    </w:rPr>
  </w:style>
  <w:style w:type="paragraph" w:styleId="EndnoteText">
    <w:name w:val="endnote text"/>
    <w:basedOn w:val="Normal"/>
    <w:link w:val="EndnoteTextChar"/>
    <w:unhideWhenUsed/>
    <w:rsid w:val="000215CD"/>
    <w:pPr>
      <w:spacing w:after="0" w:line="240" w:lineRule="auto"/>
    </w:pPr>
    <w:rPr>
      <w:sz w:val="20"/>
      <w:szCs w:val="20"/>
    </w:rPr>
  </w:style>
  <w:style w:type="character" w:customStyle="1" w:styleId="EndnoteTextChar">
    <w:name w:val="Endnote Text Char"/>
    <w:basedOn w:val="DefaultParagraphFont"/>
    <w:link w:val="EndnoteText"/>
    <w:rsid w:val="000215CD"/>
    <w:rPr>
      <w:sz w:val="20"/>
      <w:szCs w:val="20"/>
    </w:rPr>
  </w:style>
  <w:style w:type="character" w:styleId="EndnoteReference">
    <w:name w:val="endnote reference"/>
    <w:basedOn w:val="DefaultParagraphFont"/>
    <w:unhideWhenUsed/>
    <w:rsid w:val="000215CD"/>
    <w:rPr>
      <w:vertAlign w:val="superscript"/>
    </w:rPr>
  </w:style>
  <w:style w:type="character" w:styleId="Hyperlink">
    <w:name w:val="Hyperlink"/>
    <w:basedOn w:val="DefaultParagraphFont"/>
    <w:uiPriority w:val="99"/>
    <w:unhideWhenUsed/>
    <w:rsid w:val="000215CD"/>
    <w:rPr>
      <w:color w:val="0563C1"/>
      <w:u w:val="single"/>
    </w:rPr>
  </w:style>
  <w:style w:type="character" w:customStyle="1" w:styleId="apple-converted-space">
    <w:name w:val="apple-converted-space"/>
    <w:basedOn w:val="DefaultParagraphFont"/>
    <w:rsid w:val="00AC01BF"/>
  </w:style>
  <w:style w:type="paragraph" w:customStyle="1" w:styleId="Subsubsection">
    <w:name w:val="Subsubsection"/>
    <w:next w:val="Bodytext"/>
    <w:rsid w:val="00341C02"/>
    <w:pPr>
      <w:numPr>
        <w:ilvl w:val="2"/>
        <w:numId w:val="1"/>
      </w:numPr>
      <w:spacing w:before="240" w:after="0" w:line="240" w:lineRule="auto"/>
      <w:ind w:firstLine="0"/>
    </w:pPr>
    <w:rPr>
      <w:rFonts w:ascii="Times" w:eastAsia="Times New Roman" w:hAnsi="Times" w:cs="Times New Roman"/>
      <w:i/>
      <w:iCs/>
      <w:color w:val="000000"/>
      <w:lang w:eastAsia="en-US"/>
    </w:rPr>
  </w:style>
  <w:style w:type="paragraph" w:customStyle="1" w:styleId="Bodytext">
    <w:name w:val="Bodytext"/>
    <w:next w:val="Normal"/>
    <w:rsid w:val="00341C02"/>
    <w:pPr>
      <w:spacing w:after="0" w:line="240" w:lineRule="auto"/>
      <w:jc w:val="both"/>
    </w:pPr>
    <w:rPr>
      <w:rFonts w:ascii="Times" w:eastAsia="Times New Roman" w:hAnsi="Times" w:cs="Times New Roman"/>
      <w:iCs/>
      <w:color w:val="000000"/>
      <w:lang w:val="en-US" w:eastAsia="en-US"/>
    </w:rPr>
  </w:style>
  <w:style w:type="paragraph" w:customStyle="1" w:styleId="Section">
    <w:name w:val="Section"/>
    <w:next w:val="Bodytext"/>
    <w:rsid w:val="00341C02"/>
    <w:pPr>
      <w:numPr>
        <w:numId w:val="1"/>
      </w:numPr>
      <w:spacing w:before="240" w:after="0" w:line="240" w:lineRule="auto"/>
    </w:pPr>
    <w:rPr>
      <w:rFonts w:ascii="Times" w:eastAsia="Times New Roman" w:hAnsi="Times" w:cs="Times New Roman"/>
      <w:b/>
      <w:iCs/>
      <w:color w:val="000000"/>
      <w:lang w:eastAsia="en-US"/>
    </w:rPr>
  </w:style>
  <w:style w:type="paragraph" w:customStyle="1" w:styleId="Subsection">
    <w:name w:val="Subsection"/>
    <w:next w:val="Bodytext"/>
    <w:rsid w:val="00341C02"/>
    <w:pPr>
      <w:numPr>
        <w:ilvl w:val="1"/>
        <w:numId w:val="1"/>
      </w:numPr>
      <w:spacing w:before="240" w:after="0" w:line="240" w:lineRule="auto"/>
    </w:pPr>
    <w:rPr>
      <w:rFonts w:ascii="Times" w:eastAsia="Times New Roman" w:hAnsi="Times" w:cs="Times New Roman"/>
      <w:iCs/>
      <w:color w:val="000000"/>
      <w:lang w:eastAsia="en-US"/>
    </w:rPr>
  </w:style>
  <w:style w:type="table" w:styleId="TableGrid">
    <w:name w:val="Table Grid"/>
    <w:basedOn w:val="TableNormal"/>
    <w:uiPriority w:val="59"/>
    <w:rsid w:val="00341C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41C02"/>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341C02"/>
    <w:rPr>
      <w:rFonts w:ascii="Calibri" w:eastAsiaTheme="minorHAnsi" w:hAnsi="Calibri"/>
      <w:szCs w:val="21"/>
      <w:lang w:eastAsia="en-US"/>
    </w:rPr>
  </w:style>
  <w:style w:type="character" w:customStyle="1" w:styleId="Heading1Char">
    <w:name w:val="Heading 1 Char"/>
    <w:basedOn w:val="DefaultParagraphFont"/>
    <w:link w:val="Heading1"/>
    <w:rsid w:val="00494F1E"/>
    <w:rPr>
      <w:rFonts w:ascii="Times New Roman" w:eastAsia="SimSun" w:hAnsi="Times New Roman" w:cs="Times New Roman"/>
      <w:b/>
      <w:kern w:val="2"/>
      <w:sz w:val="24"/>
      <w:szCs w:val="24"/>
      <w:lang w:val="en-US" w:eastAsia="zh-CN"/>
    </w:rPr>
  </w:style>
  <w:style w:type="character" w:customStyle="1" w:styleId="Heading3Char">
    <w:name w:val="Heading 3 Char"/>
    <w:basedOn w:val="DefaultParagraphFont"/>
    <w:link w:val="Heading3"/>
    <w:rsid w:val="00494F1E"/>
    <w:rPr>
      <w:rFonts w:ascii="Arial" w:eastAsia="Times New Roman" w:hAnsi="Arial" w:cs="Arial"/>
      <w:b/>
      <w:bCs/>
      <w:sz w:val="26"/>
      <w:szCs w:val="26"/>
      <w:lang w:eastAsia="en-US"/>
    </w:rPr>
  </w:style>
  <w:style w:type="character" w:customStyle="1" w:styleId="Heading4Char">
    <w:name w:val="Heading 4 Char"/>
    <w:basedOn w:val="DefaultParagraphFont"/>
    <w:link w:val="Heading4"/>
    <w:rsid w:val="00494F1E"/>
    <w:rPr>
      <w:rFonts w:ascii="Times New Roman" w:eastAsia="Times New Roman" w:hAnsi="Times New Roman" w:cs="Times New Roman"/>
      <w:b/>
      <w:bCs/>
      <w:sz w:val="28"/>
      <w:szCs w:val="28"/>
      <w:lang w:eastAsia="en-US"/>
    </w:rPr>
  </w:style>
  <w:style w:type="character" w:customStyle="1" w:styleId="Heading5Char">
    <w:name w:val="Heading 5 Char"/>
    <w:basedOn w:val="DefaultParagraphFont"/>
    <w:link w:val="Heading5"/>
    <w:rsid w:val="00494F1E"/>
    <w:rPr>
      <w:rFonts w:ascii="Times" w:eastAsia="Times New Roman" w:hAnsi="Times" w:cs="Times New Roman"/>
      <w:b/>
      <w:bCs/>
      <w:i/>
      <w:iCs/>
      <w:sz w:val="26"/>
      <w:szCs w:val="26"/>
      <w:lang w:eastAsia="en-US"/>
    </w:rPr>
  </w:style>
  <w:style w:type="character" w:customStyle="1" w:styleId="Heading6Char">
    <w:name w:val="Heading 6 Char"/>
    <w:basedOn w:val="DefaultParagraphFont"/>
    <w:link w:val="Heading6"/>
    <w:rsid w:val="00494F1E"/>
    <w:rPr>
      <w:rFonts w:ascii="Times New Roman" w:eastAsia="Times New Roman" w:hAnsi="Times New Roman" w:cs="Times New Roman"/>
      <w:b/>
      <w:bCs/>
      <w:lang w:eastAsia="en-US"/>
    </w:rPr>
  </w:style>
  <w:style w:type="character" w:customStyle="1" w:styleId="Heading7Char">
    <w:name w:val="Heading 7 Char"/>
    <w:basedOn w:val="DefaultParagraphFont"/>
    <w:link w:val="Heading7"/>
    <w:rsid w:val="00494F1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94F1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94F1E"/>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822601">
      <w:bodyDiv w:val="1"/>
      <w:marLeft w:val="0"/>
      <w:marRight w:val="0"/>
      <w:marTop w:val="0"/>
      <w:marBottom w:val="0"/>
      <w:divBdr>
        <w:top w:val="none" w:sz="0" w:space="0" w:color="auto"/>
        <w:left w:val="none" w:sz="0" w:space="0" w:color="auto"/>
        <w:bottom w:val="none" w:sz="0" w:space="0" w:color="auto"/>
        <w:right w:val="none" w:sz="0" w:space="0" w:color="auto"/>
      </w:divBdr>
    </w:div>
    <w:div w:id="845707437">
      <w:bodyDiv w:val="1"/>
      <w:marLeft w:val="0"/>
      <w:marRight w:val="0"/>
      <w:marTop w:val="0"/>
      <w:marBottom w:val="0"/>
      <w:divBdr>
        <w:top w:val="none" w:sz="0" w:space="0" w:color="auto"/>
        <w:left w:val="none" w:sz="0" w:space="0" w:color="auto"/>
        <w:bottom w:val="none" w:sz="0" w:space="0" w:color="auto"/>
        <w:right w:val="none" w:sz="0" w:space="0" w:color="auto"/>
      </w:divBdr>
    </w:div>
    <w:div w:id="1286543538">
      <w:bodyDiv w:val="1"/>
      <w:marLeft w:val="0"/>
      <w:marRight w:val="0"/>
      <w:marTop w:val="0"/>
      <w:marBottom w:val="0"/>
      <w:divBdr>
        <w:top w:val="none" w:sz="0" w:space="0" w:color="auto"/>
        <w:left w:val="none" w:sz="0" w:space="0" w:color="auto"/>
        <w:bottom w:val="none" w:sz="0" w:space="0" w:color="auto"/>
        <w:right w:val="none" w:sz="0" w:space="0" w:color="auto"/>
      </w:divBdr>
    </w:div>
    <w:div w:id="214168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o903Yey71L4"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southampton.ac.uk/namrip/about/globalnamrip.page" TargetMode="External"/><Relationship Id="rId3" Type="http://schemas.openxmlformats.org/officeDocument/2006/relationships/hyperlink" Target="https://ecdc.europa.eu/en/publications-data/antimicrobial-resistance-surveillance-europe-2009" TargetMode="External"/><Relationship Id="rId7" Type="http://schemas.openxmlformats.org/officeDocument/2006/relationships/hyperlink" Target="http://www.southampton.ac.uk/namrip/index.page" TargetMode="External"/><Relationship Id="rId2" Type="http://schemas.openxmlformats.org/officeDocument/2006/relationships/hyperlink" Target="https://ecdc.europa.eu/en/publications-data/antimicrobial-resistance-surveillance-europe-2016" TargetMode="External"/><Relationship Id="rId1" Type="http://schemas.openxmlformats.org/officeDocument/2006/relationships/hyperlink" Target="https://amr-review.org/sites/default/files/160525_Final%20paper_with%20cover.pdf" TargetMode="External"/><Relationship Id="rId6" Type="http://schemas.openxmlformats.org/officeDocument/2006/relationships/hyperlink" Target="http://www.bakingeurope.eu/previews/2018/BakingEurope-Summer-2018.pdf" TargetMode="External"/><Relationship Id="rId5" Type="http://schemas.openxmlformats.org/officeDocument/2006/relationships/hyperlink" Target="http://emerald.tufts.edu/med/apua/about_us/publications_21_3573465644.pdf" TargetMode="External"/><Relationship Id="rId10" Type="http://schemas.openxmlformats.org/officeDocument/2006/relationships/hyperlink" Target="https://hansard.parliament.uk/Commons/2017-11-16/debates/141BEBCB-C1F8-4BA7-ABF5-9186CAAC49F9/WorldAntibioticsAwarenessWeek" TargetMode="External"/><Relationship Id="rId4" Type="http://schemas.openxmlformats.org/officeDocument/2006/relationships/hyperlink" Target="https://www.nobelprize.org/nobel_prizes/medicine/laureates/1945/fleming-lecture.pdf" TargetMode="External"/><Relationship Id="rId9" Type="http://schemas.openxmlformats.org/officeDocument/2006/relationships/hyperlink" Target="https://parliamentlive.tv/event/index/0dbfadce-2829-4ed1-b45a-82bb41c4ed70?in=14:34:58&amp;out=14:35: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0D498-12A9-41E0-A089-D1A08E8D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1883</Words>
  <Characters>10736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12594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 Leighton</dc:creator>
  <cp:keywords/>
  <dc:description/>
  <cp:lastModifiedBy>Professor Leighton</cp:lastModifiedBy>
  <cp:revision>4</cp:revision>
  <cp:lastPrinted>2018-08-13T15:31:00Z</cp:lastPrinted>
  <dcterms:created xsi:type="dcterms:W3CDTF">2018-08-17T14:23:00Z</dcterms:created>
  <dcterms:modified xsi:type="dcterms:W3CDTF">2018-08-17T14:26:00Z</dcterms:modified>
</cp:coreProperties>
</file>