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8E569" w14:textId="77777777" w:rsidR="00B82873" w:rsidRPr="00B378D9" w:rsidRDefault="00D1126F" w:rsidP="005A6868">
      <w:pPr>
        <w:spacing w:line="360" w:lineRule="auto"/>
        <w:ind w:left="0" w:firstLine="0"/>
        <w:jc w:val="center"/>
        <w:rPr>
          <w:b/>
          <w:color w:val="000000" w:themeColor="text1"/>
          <w:sz w:val="24"/>
        </w:rPr>
      </w:pPr>
      <w:bookmarkStart w:id="0" w:name="_GoBack"/>
      <w:bookmarkEnd w:id="0"/>
      <w:r w:rsidRPr="00B378D9">
        <w:rPr>
          <w:b/>
          <w:color w:val="000000" w:themeColor="text1"/>
          <w:sz w:val="24"/>
        </w:rPr>
        <w:t xml:space="preserve">Prevalence and antimicrobial susceptibilities of </w:t>
      </w:r>
      <w:r w:rsidRPr="00B378D9">
        <w:rPr>
          <w:b/>
          <w:i/>
          <w:color w:val="000000" w:themeColor="text1"/>
          <w:sz w:val="24"/>
        </w:rPr>
        <w:t>Acinetobacter baumannii</w:t>
      </w:r>
      <w:r w:rsidRPr="00B378D9">
        <w:rPr>
          <w:b/>
          <w:color w:val="000000" w:themeColor="text1"/>
          <w:sz w:val="24"/>
        </w:rPr>
        <w:t xml:space="preserve"> and non-</w:t>
      </w:r>
      <w:r w:rsidRPr="00B378D9">
        <w:rPr>
          <w:b/>
          <w:i/>
          <w:color w:val="000000" w:themeColor="text1"/>
          <w:sz w:val="24"/>
        </w:rPr>
        <w:t>baumannii</w:t>
      </w:r>
      <w:r w:rsidRPr="00B378D9">
        <w:rPr>
          <w:b/>
          <w:color w:val="000000" w:themeColor="text1"/>
          <w:sz w:val="24"/>
        </w:rPr>
        <w:t xml:space="preserve"> Acinetobacters from Terengganu, Malaysia and their carriage of carbapenemase genes</w:t>
      </w:r>
    </w:p>
    <w:p w14:paraId="4215D96B" w14:textId="77777777" w:rsidR="00D1126F" w:rsidRPr="00B378D9" w:rsidRDefault="00D1126F" w:rsidP="005621A0">
      <w:pPr>
        <w:spacing w:line="360" w:lineRule="auto"/>
        <w:ind w:left="0" w:firstLine="0"/>
        <w:jc w:val="center"/>
        <w:rPr>
          <w:color w:val="000000" w:themeColor="text1"/>
          <w:sz w:val="24"/>
        </w:rPr>
      </w:pPr>
    </w:p>
    <w:p w14:paraId="5B42A37A" w14:textId="77777777" w:rsidR="00D1126F" w:rsidRPr="00B378D9" w:rsidRDefault="00D1126F" w:rsidP="005621A0">
      <w:pPr>
        <w:spacing w:line="360" w:lineRule="auto"/>
        <w:ind w:left="0" w:firstLine="0"/>
        <w:rPr>
          <w:color w:val="000000" w:themeColor="text1"/>
          <w:sz w:val="24"/>
        </w:rPr>
      </w:pPr>
      <w:r w:rsidRPr="00B378D9">
        <w:rPr>
          <w:color w:val="000000" w:themeColor="text1"/>
          <w:sz w:val="24"/>
        </w:rPr>
        <w:t>Farahiyah Mohd Rani</w:t>
      </w:r>
      <w:r w:rsidRPr="00B378D9">
        <w:rPr>
          <w:color w:val="000000" w:themeColor="text1"/>
          <w:sz w:val="24"/>
          <w:vertAlign w:val="superscript"/>
        </w:rPr>
        <w:t>1</w:t>
      </w:r>
      <w:r w:rsidRPr="00B378D9">
        <w:rPr>
          <w:color w:val="000000" w:themeColor="text1"/>
          <w:sz w:val="24"/>
        </w:rPr>
        <w:t>, Nor Iza A. Rahman</w:t>
      </w:r>
      <w:r w:rsidRPr="00B378D9">
        <w:rPr>
          <w:color w:val="000000" w:themeColor="text1"/>
          <w:sz w:val="24"/>
          <w:vertAlign w:val="superscript"/>
        </w:rPr>
        <w:t>1</w:t>
      </w:r>
      <w:r w:rsidRPr="00B378D9">
        <w:rPr>
          <w:color w:val="000000" w:themeColor="text1"/>
          <w:sz w:val="24"/>
        </w:rPr>
        <w:t>, Salwani Ismail</w:t>
      </w:r>
      <w:r w:rsidRPr="00B378D9">
        <w:rPr>
          <w:color w:val="000000" w:themeColor="text1"/>
          <w:sz w:val="24"/>
          <w:vertAlign w:val="superscript"/>
        </w:rPr>
        <w:t>1</w:t>
      </w:r>
      <w:r w:rsidRPr="00B378D9">
        <w:rPr>
          <w:color w:val="000000" w:themeColor="text1"/>
          <w:sz w:val="24"/>
        </w:rPr>
        <w:t>, Fatimah Haslina Abdullah</w:t>
      </w:r>
      <w:r w:rsidRPr="00B378D9">
        <w:rPr>
          <w:color w:val="000000" w:themeColor="text1"/>
          <w:sz w:val="24"/>
          <w:vertAlign w:val="superscript"/>
        </w:rPr>
        <w:t>2</w:t>
      </w:r>
      <w:r w:rsidRPr="00B378D9">
        <w:rPr>
          <w:color w:val="000000" w:themeColor="text1"/>
          <w:sz w:val="24"/>
        </w:rPr>
        <w:t>, Norlela Othman</w:t>
      </w:r>
      <w:r w:rsidRPr="00B378D9">
        <w:rPr>
          <w:color w:val="000000" w:themeColor="text1"/>
          <w:sz w:val="24"/>
          <w:vertAlign w:val="superscript"/>
        </w:rPr>
        <w:t>2</w:t>
      </w:r>
      <w:r w:rsidR="00485898" w:rsidRPr="00B378D9">
        <w:rPr>
          <w:color w:val="000000" w:themeColor="text1"/>
          <w:sz w:val="24"/>
        </w:rPr>
        <w:t xml:space="preserve">, </w:t>
      </w:r>
      <w:r w:rsidR="00CF09FA" w:rsidRPr="00B378D9">
        <w:rPr>
          <w:color w:val="000000" w:themeColor="text1"/>
          <w:sz w:val="24"/>
        </w:rPr>
        <w:t>Ahmed Ghazi Alattraqchi</w:t>
      </w:r>
      <w:r w:rsidR="00CF09FA" w:rsidRPr="00B378D9">
        <w:rPr>
          <w:color w:val="000000" w:themeColor="text1"/>
          <w:sz w:val="24"/>
          <w:vertAlign w:val="superscript"/>
        </w:rPr>
        <w:t>1</w:t>
      </w:r>
      <w:r w:rsidR="00CF09FA" w:rsidRPr="00B378D9">
        <w:rPr>
          <w:color w:val="000000" w:themeColor="text1"/>
          <w:sz w:val="24"/>
        </w:rPr>
        <w:t xml:space="preserve">, </w:t>
      </w:r>
      <w:r w:rsidR="009C7578" w:rsidRPr="00B378D9">
        <w:rPr>
          <w:color w:val="000000" w:themeColor="text1"/>
          <w:sz w:val="24"/>
        </w:rPr>
        <w:t>David W. Cleary</w:t>
      </w:r>
      <w:r w:rsidR="009C7578" w:rsidRPr="00B378D9">
        <w:rPr>
          <w:color w:val="000000" w:themeColor="text1"/>
          <w:sz w:val="24"/>
          <w:vertAlign w:val="superscript"/>
        </w:rPr>
        <w:t>3,4</w:t>
      </w:r>
      <w:r w:rsidR="009C7578" w:rsidRPr="00B378D9">
        <w:rPr>
          <w:color w:val="000000" w:themeColor="text1"/>
          <w:sz w:val="24"/>
        </w:rPr>
        <w:t>, Stuart C. Clarke</w:t>
      </w:r>
      <w:r w:rsidR="009C7578" w:rsidRPr="00B378D9">
        <w:rPr>
          <w:color w:val="000000" w:themeColor="text1"/>
          <w:sz w:val="24"/>
          <w:vertAlign w:val="superscript"/>
        </w:rPr>
        <w:t>3,4,5,6</w:t>
      </w:r>
      <w:r w:rsidR="009C7578" w:rsidRPr="00B378D9">
        <w:rPr>
          <w:color w:val="000000" w:themeColor="text1"/>
          <w:sz w:val="24"/>
        </w:rPr>
        <w:t xml:space="preserve"> </w:t>
      </w:r>
      <w:r w:rsidRPr="00B378D9">
        <w:rPr>
          <w:color w:val="000000" w:themeColor="text1"/>
          <w:sz w:val="24"/>
        </w:rPr>
        <w:t>and Chew Chieng Yeo</w:t>
      </w:r>
      <w:r w:rsidRPr="00B378D9">
        <w:rPr>
          <w:color w:val="000000" w:themeColor="text1"/>
          <w:sz w:val="24"/>
          <w:vertAlign w:val="superscript"/>
        </w:rPr>
        <w:t>1</w:t>
      </w:r>
      <w:r w:rsidR="005621A0" w:rsidRPr="00B378D9">
        <w:rPr>
          <w:color w:val="000000" w:themeColor="text1"/>
          <w:sz w:val="24"/>
        </w:rPr>
        <w:t>*</w:t>
      </w:r>
    </w:p>
    <w:p w14:paraId="268675B5" w14:textId="77777777" w:rsidR="00D1126F" w:rsidRPr="00B378D9" w:rsidRDefault="00D1126F" w:rsidP="005621A0">
      <w:pPr>
        <w:spacing w:line="360" w:lineRule="auto"/>
        <w:ind w:left="0" w:firstLine="0"/>
        <w:rPr>
          <w:color w:val="000000" w:themeColor="text1"/>
          <w:sz w:val="24"/>
        </w:rPr>
      </w:pPr>
    </w:p>
    <w:p w14:paraId="0F5E7A4C" w14:textId="77777777" w:rsidR="005621A0" w:rsidRPr="00B378D9" w:rsidRDefault="005621A0" w:rsidP="005621A0">
      <w:pPr>
        <w:spacing w:line="360" w:lineRule="auto"/>
        <w:ind w:left="0" w:firstLine="0"/>
        <w:rPr>
          <w:color w:val="000000" w:themeColor="text1"/>
          <w:sz w:val="24"/>
        </w:rPr>
      </w:pPr>
      <w:r w:rsidRPr="00B378D9">
        <w:rPr>
          <w:i/>
          <w:color w:val="000000" w:themeColor="text1"/>
          <w:sz w:val="24"/>
          <w:vertAlign w:val="superscript"/>
        </w:rPr>
        <w:t>1</w:t>
      </w:r>
      <w:r w:rsidRPr="00B378D9">
        <w:rPr>
          <w:i/>
          <w:color w:val="000000" w:themeColor="text1"/>
          <w:sz w:val="24"/>
        </w:rPr>
        <w:t xml:space="preserve">Faculty of Medicine, Universiti Sultan Zainal Abidin, Jalan Sultan Mahmud, 20400 Kuala Terengganu, Terengganu, Malaysia; </w:t>
      </w:r>
      <w:r w:rsidRPr="00B378D9">
        <w:rPr>
          <w:i/>
          <w:color w:val="000000" w:themeColor="text1"/>
          <w:sz w:val="24"/>
          <w:vertAlign w:val="superscript"/>
        </w:rPr>
        <w:t>2</w:t>
      </w:r>
      <w:r w:rsidRPr="00B378D9">
        <w:rPr>
          <w:i/>
          <w:color w:val="000000" w:themeColor="text1"/>
          <w:sz w:val="24"/>
        </w:rPr>
        <w:t>Department of Pathology, Hospital Sultanah Nur Zahirah, Jalan Sultan Mahmud, 20400 Kuala Terengganu, Terengganu, Malaysia</w:t>
      </w:r>
      <w:r w:rsidR="009C7578" w:rsidRPr="00B378D9">
        <w:rPr>
          <w:i/>
          <w:color w:val="000000" w:themeColor="text1"/>
          <w:sz w:val="24"/>
        </w:rPr>
        <w:t xml:space="preserve">; </w:t>
      </w:r>
      <w:r w:rsidR="009C7578" w:rsidRPr="00B378D9">
        <w:rPr>
          <w:i/>
          <w:color w:val="000000" w:themeColor="text1"/>
          <w:sz w:val="24"/>
          <w:vertAlign w:val="superscript"/>
        </w:rPr>
        <w:t>3</w:t>
      </w:r>
      <w:r w:rsidR="009C7578" w:rsidRPr="00B378D9">
        <w:rPr>
          <w:i/>
          <w:color w:val="000000" w:themeColor="text1"/>
          <w:sz w:val="24"/>
        </w:rPr>
        <w:t xml:space="preserve">Faculty of Medicine and Institute </w:t>
      </w:r>
      <w:r w:rsidR="00E96EF6" w:rsidRPr="00B378D9">
        <w:rPr>
          <w:i/>
          <w:color w:val="000000" w:themeColor="text1"/>
          <w:sz w:val="24"/>
        </w:rPr>
        <w:t xml:space="preserve">for Life Sciences, University of Southampton, Southampton, United Kingdom; </w:t>
      </w:r>
      <w:r w:rsidR="00E96EF6" w:rsidRPr="00B378D9">
        <w:rPr>
          <w:i/>
          <w:color w:val="000000" w:themeColor="text1"/>
          <w:sz w:val="24"/>
          <w:vertAlign w:val="superscript"/>
        </w:rPr>
        <w:t>4</w:t>
      </w:r>
      <w:r w:rsidR="00E96EF6" w:rsidRPr="00B378D9">
        <w:rPr>
          <w:i/>
          <w:color w:val="000000" w:themeColor="text1"/>
          <w:sz w:val="24"/>
        </w:rPr>
        <w:t xml:space="preserve">NIHR Southampton Biomedical Research Centre, University of Southampton, Southampton, United Kingdom; </w:t>
      </w:r>
      <w:r w:rsidR="00E96EF6" w:rsidRPr="00B378D9">
        <w:rPr>
          <w:i/>
          <w:color w:val="000000" w:themeColor="text1"/>
          <w:sz w:val="24"/>
          <w:vertAlign w:val="superscript"/>
        </w:rPr>
        <w:t>5</w:t>
      </w:r>
      <w:r w:rsidR="00E96EF6" w:rsidRPr="00B378D9">
        <w:rPr>
          <w:i/>
          <w:color w:val="000000" w:themeColor="text1"/>
          <w:sz w:val="24"/>
        </w:rPr>
        <w:t xml:space="preserve">Global Health Research Institute, University of Southampton, Southampton, United Kingdom; </w:t>
      </w:r>
      <w:r w:rsidR="00E96EF6" w:rsidRPr="00B378D9">
        <w:rPr>
          <w:i/>
          <w:color w:val="000000" w:themeColor="text1"/>
          <w:sz w:val="24"/>
          <w:vertAlign w:val="superscript"/>
        </w:rPr>
        <w:t>6</w:t>
      </w:r>
      <w:r w:rsidR="00E96EF6" w:rsidRPr="00B378D9">
        <w:rPr>
          <w:i/>
          <w:color w:val="000000" w:themeColor="text1"/>
          <w:sz w:val="24"/>
        </w:rPr>
        <w:t>International Medical University, Bukit Jalil, Kuala Lumpur, Malaysia</w:t>
      </w:r>
      <w:r w:rsidR="00485898" w:rsidRPr="00B378D9">
        <w:rPr>
          <w:i/>
          <w:color w:val="000000" w:themeColor="text1"/>
          <w:sz w:val="24"/>
        </w:rPr>
        <w:t>.</w:t>
      </w:r>
    </w:p>
    <w:p w14:paraId="36866B69" w14:textId="77777777" w:rsidR="005621A0" w:rsidRPr="00B378D9" w:rsidRDefault="005621A0" w:rsidP="005621A0">
      <w:pPr>
        <w:spacing w:line="360" w:lineRule="auto"/>
        <w:ind w:left="0" w:firstLine="0"/>
        <w:rPr>
          <w:color w:val="000000" w:themeColor="text1"/>
          <w:sz w:val="24"/>
        </w:rPr>
      </w:pPr>
    </w:p>
    <w:p w14:paraId="5DD35EA7" w14:textId="77777777" w:rsidR="005621A0" w:rsidRPr="00B378D9" w:rsidRDefault="005621A0" w:rsidP="005621A0">
      <w:pPr>
        <w:spacing w:line="360" w:lineRule="auto"/>
        <w:ind w:left="0" w:firstLine="0"/>
        <w:rPr>
          <w:color w:val="000000" w:themeColor="text1"/>
          <w:sz w:val="24"/>
        </w:rPr>
      </w:pPr>
      <w:r w:rsidRPr="00B378D9">
        <w:rPr>
          <w:color w:val="000000" w:themeColor="text1"/>
          <w:sz w:val="24"/>
        </w:rPr>
        <w:t xml:space="preserve">*Corresponding author: </w:t>
      </w:r>
    </w:p>
    <w:p w14:paraId="10E31FC3" w14:textId="77777777" w:rsidR="005621A0" w:rsidRPr="00B378D9" w:rsidRDefault="00E96EF6" w:rsidP="005621A0">
      <w:pPr>
        <w:spacing w:line="360" w:lineRule="auto"/>
        <w:ind w:left="0" w:firstLine="0"/>
        <w:rPr>
          <w:color w:val="000000" w:themeColor="text1"/>
          <w:sz w:val="24"/>
        </w:rPr>
      </w:pPr>
      <w:r w:rsidRPr="00B378D9">
        <w:rPr>
          <w:color w:val="000000" w:themeColor="text1"/>
          <w:sz w:val="24"/>
        </w:rPr>
        <w:t xml:space="preserve">Dr </w:t>
      </w:r>
      <w:r w:rsidR="005621A0" w:rsidRPr="00B378D9">
        <w:rPr>
          <w:color w:val="000000" w:themeColor="text1"/>
          <w:sz w:val="24"/>
        </w:rPr>
        <w:t xml:space="preserve">Chew Chieng Yeo, Faculty of Medicine, Universiti Sultan Zainal Abidin, Jalan Sultan Mahmud, 20400 Kuala Terengganu, Terengganu, Malaysia. </w:t>
      </w:r>
    </w:p>
    <w:p w14:paraId="74462F50" w14:textId="77777777" w:rsidR="005621A0" w:rsidRPr="00B378D9" w:rsidRDefault="005621A0" w:rsidP="005621A0">
      <w:pPr>
        <w:spacing w:line="360" w:lineRule="auto"/>
        <w:ind w:left="0" w:firstLine="0"/>
        <w:rPr>
          <w:color w:val="000000" w:themeColor="text1"/>
          <w:sz w:val="24"/>
        </w:rPr>
      </w:pPr>
      <w:r w:rsidRPr="00B378D9">
        <w:rPr>
          <w:color w:val="000000" w:themeColor="text1"/>
          <w:sz w:val="24"/>
        </w:rPr>
        <w:t>email: chewchieng@gmail.com</w:t>
      </w:r>
    </w:p>
    <w:p w14:paraId="43920819" w14:textId="77777777" w:rsidR="005621A0" w:rsidRPr="00B378D9" w:rsidRDefault="005621A0" w:rsidP="005621A0">
      <w:pPr>
        <w:spacing w:line="360" w:lineRule="auto"/>
        <w:ind w:left="0" w:firstLine="0"/>
        <w:rPr>
          <w:color w:val="000000" w:themeColor="text1"/>
          <w:sz w:val="24"/>
        </w:rPr>
      </w:pPr>
      <w:r w:rsidRPr="00B378D9">
        <w:rPr>
          <w:color w:val="000000" w:themeColor="text1"/>
          <w:sz w:val="24"/>
        </w:rPr>
        <w:t xml:space="preserve">Tel: </w:t>
      </w:r>
      <w:r w:rsidR="00834CF9" w:rsidRPr="00B378D9">
        <w:rPr>
          <w:color w:val="000000" w:themeColor="text1"/>
          <w:sz w:val="24"/>
        </w:rPr>
        <w:t>+609-6275506</w:t>
      </w:r>
    </w:p>
    <w:p w14:paraId="544D809F" w14:textId="77777777" w:rsidR="005621A0" w:rsidRPr="00B378D9" w:rsidRDefault="005621A0" w:rsidP="005621A0">
      <w:pPr>
        <w:spacing w:line="360" w:lineRule="auto"/>
        <w:ind w:left="0" w:firstLine="0"/>
        <w:rPr>
          <w:color w:val="000000" w:themeColor="text1"/>
          <w:sz w:val="24"/>
        </w:rPr>
      </w:pPr>
      <w:r w:rsidRPr="00B378D9">
        <w:rPr>
          <w:color w:val="000000" w:themeColor="text1"/>
          <w:sz w:val="24"/>
        </w:rPr>
        <w:t>Fax: +609-6275771 / +609-6275772</w:t>
      </w:r>
    </w:p>
    <w:p w14:paraId="3C4C2FED" w14:textId="77777777" w:rsidR="00433658" w:rsidRPr="00B378D9" w:rsidRDefault="00433658" w:rsidP="005621A0">
      <w:pPr>
        <w:spacing w:line="360" w:lineRule="auto"/>
        <w:ind w:left="0" w:firstLine="0"/>
        <w:rPr>
          <w:color w:val="000000" w:themeColor="text1"/>
          <w:sz w:val="24"/>
        </w:rPr>
      </w:pPr>
    </w:p>
    <w:p w14:paraId="51D75A9B" w14:textId="77777777" w:rsidR="00433658" w:rsidRPr="00B378D9" w:rsidRDefault="00433658" w:rsidP="005621A0">
      <w:pPr>
        <w:spacing w:line="360" w:lineRule="auto"/>
        <w:ind w:left="0" w:firstLine="0"/>
        <w:rPr>
          <w:color w:val="000000" w:themeColor="text1"/>
          <w:sz w:val="24"/>
        </w:rPr>
      </w:pPr>
      <w:r w:rsidRPr="00B378D9">
        <w:rPr>
          <w:b/>
          <w:color w:val="000000" w:themeColor="text1"/>
          <w:sz w:val="24"/>
        </w:rPr>
        <w:t>Keywords:</w:t>
      </w:r>
      <w:r w:rsidRPr="00B378D9">
        <w:rPr>
          <w:color w:val="000000" w:themeColor="text1"/>
          <w:sz w:val="24"/>
        </w:rPr>
        <w:t xml:space="preserve"> </w:t>
      </w:r>
      <w:r w:rsidRPr="00B378D9">
        <w:rPr>
          <w:i/>
          <w:color w:val="000000" w:themeColor="text1"/>
          <w:sz w:val="24"/>
        </w:rPr>
        <w:t>Acinetobacter baumannii</w:t>
      </w:r>
      <w:r w:rsidRPr="00B378D9">
        <w:rPr>
          <w:color w:val="000000" w:themeColor="text1"/>
          <w:sz w:val="24"/>
        </w:rPr>
        <w:t>, non-baumannii Acinetobacter, carbapenem resistance, multidrug resistance, beta-lactamases</w:t>
      </w:r>
    </w:p>
    <w:p w14:paraId="4DBBDF66" w14:textId="77777777" w:rsidR="004E2F0D" w:rsidRPr="00B378D9" w:rsidRDefault="000E0914" w:rsidP="0078539D">
      <w:pPr>
        <w:pStyle w:val="Abstract"/>
        <w:spacing w:before="0" w:line="276" w:lineRule="auto"/>
        <w:ind w:left="0" w:right="289"/>
        <w:jc w:val="left"/>
        <w:rPr>
          <w:b/>
          <w:color w:val="000000" w:themeColor="text1"/>
          <w:sz w:val="24"/>
          <w:szCs w:val="24"/>
        </w:rPr>
      </w:pPr>
      <w:r w:rsidRPr="00B378D9">
        <w:rPr>
          <w:b/>
          <w:color w:val="000000" w:themeColor="text1"/>
          <w:sz w:val="24"/>
          <w:szCs w:val="24"/>
        </w:rPr>
        <w:br w:type="page"/>
      </w:r>
      <w:r w:rsidR="00552EFF" w:rsidRPr="00B378D9">
        <w:rPr>
          <w:b/>
          <w:color w:val="000000" w:themeColor="text1"/>
          <w:sz w:val="24"/>
          <w:szCs w:val="24"/>
        </w:rPr>
        <w:lastRenderedPageBreak/>
        <w:t>ABSTRACT</w:t>
      </w:r>
      <w:r w:rsidR="004B05E1" w:rsidRPr="00B378D9">
        <w:rPr>
          <w:b/>
          <w:color w:val="000000" w:themeColor="text1"/>
          <w:sz w:val="24"/>
          <w:szCs w:val="24"/>
        </w:rPr>
        <w:t xml:space="preserve"> </w:t>
      </w:r>
    </w:p>
    <w:p w14:paraId="3B7625E5" w14:textId="77777777" w:rsidR="004E2F0D" w:rsidRPr="00B378D9" w:rsidRDefault="004E2F0D" w:rsidP="0078539D">
      <w:pPr>
        <w:autoSpaceDE w:val="0"/>
        <w:autoSpaceDN w:val="0"/>
        <w:adjustRightInd w:val="0"/>
        <w:rPr>
          <w:b/>
          <w:color w:val="000000" w:themeColor="text1"/>
          <w:sz w:val="24"/>
          <w:szCs w:val="24"/>
        </w:rPr>
      </w:pPr>
    </w:p>
    <w:p w14:paraId="3E9893DD" w14:textId="05A58F8C" w:rsidR="00CA5A79" w:rsidRPr="00B378D9" w:rsidRDefault="00EF6630" w:rsidP="0078539D">
      <w:pPr>
        <w:autoSpaceDE w:val="0"/>
        <w:autoSpaceDN w:val="0"/>
        <w:adjustRightInd w:val="0"/>
        <w:spacing w:line="480" w:lineRule="auto"/>
        <w:ind w:left="0" w:firstLine="0"/>
        <w:rPr>
          <w:color w:val="000000" w:themeColor="text1"/>
          <w:sz w:val="24"/>
          <w:szCs w:val="24"/>
        </w:rPr>
      </w:pPr>
      <w:r w:rsidRPr="00B378D9">
        <w:rPr>
          <w:color w:val="000000" w:themeColor="text1"/>
          <w:sz w:val="24"/>
          <w:szCs w:val="24"/>
        </w:rPr>
        <w:t xml:space="preserve">A total of 153 non-repeat </w:t>
      </w:r>
      <w:r w:rsidR="004B05E1" w:rsidRPr="00B378D9">
        <w:rPr>
          <w:i/>
          <w:color w:val="000000" w:themeColor="text1"/>
          <w:sz w:val="24"/>
          <w:szCs w:val="24"/>
        </w:rPr>
        <w:t xml:space="preserve">Acinetobacter </w:t>
      </w:r>
      <w:r w:rsidR="004B05E1" w:rsidRPr="00B378D9">
        <w:rPr>
          <w:color w:val="000000" w:themeColor="text1"/>
          <w:sz w:val="24"/>
          <w:szCs w:val="24"/>
        </w:rPr>
        <w:t xml:space="preserve">spp. </w:t>
      </w:r>
      <w:r w:rsidRPr="00B378D9">
        <w:rPr>
          <w:color w:val="000000" w:themeColor="text1"/>
          <w:sz w:val="24"/>
          <w:szCs w:val="24"/>
        </w:rPr>
        <w:t>clinical isolates</w:t>
      </w:r>
      <w:r w:rsidR="00E7035E" w:rsidRPr="00B378D9">
        <w:rPr>
          <w:color w:val="000000" w:themeColor="text1"/>
          <w:sz w:val="24"/>
          <w:szCs w:val="24"/>
        </w:rPr>
        <w:t xml:space="preserve"> obtained in 2015</w:t>
      </w:r>
      <w:r w:rsidRPr="00B378D9">
        <w:rPr>
          <w:color w:val="000000" w:themeColor="text1"/>
          <w:sz w:val="24"/>
          <w:szCs w:val="24"/>
        </w:rPr>
        <w:t xml:space="preserve"> from Hospital Sultanah Nur Zahirah</w:t>
      </w:r>
      <w:r w:rsidR="00433658" w:rsidRPr="00B378D9">
        <w:rPr>
          <w:color w:val="000000" w:themeColor="text1"/>
          <w:sz w:val="24"/>
          <w:szCs w:val="24"/>
        </w:rPr>
        <w:t xml:space="preserve"> (HSNZ)</w:t>
      </w:r>
      <w:r w:rsidRPr="00B378D9">
        <w:rPr>
          <w:color w:val="000000" w:themeColor="text1"/>
          <w:sz w:val="24"/>
          <w:szCs w:val="24"/>
        </w:rPr>
        <w:t xml:space="preserve"> in Terengganu,</w:t>
      </w:r>
      <w:r w:rsidR="00E7035E" w:rsidRPr="00B378D9">
        <w:rPr>
          <w:color w:val="000000" w:themeColor="text1"/>
          <w:sz w:val="24"/>
          <w:szCs w:val="24"/>
        </w:rPr>
        <w:t xml:space="preserve"> Malaysia, were characterised</w:t>
      </w:r>
      <w:r w:rsidRPr="00B378D9">
        <w:rPr>
          <w:color w:val="000000" w:themeColor="text1"/>
          <w:sz w:val="24"/>
          <w:szCs w:val="24"/>
        </w:rPr>
        <w:t xml:space="preserve">. Identification of the </w:t>
      </w:r>
      <w:r w:rsidR="009744B8" w:rsidRPr="00B378D9">
        <w:rPr>
          <w:color w:val="000000" w:themeColor="text1"/>
          <w:sz w:val="24"/>
          <w:szCs w:val="24"/>
        </w:rPr>
        <w:t xml:space="preserve">isolates </w:t>
      </w:r>
      <w:r w:rsidRPr="00B378D9">
        <w:rPr>
          <w:color w:val="000000" w:themeColor="text1"/>
          <w:sz w:val="24"/>
          <w:szCs w:val="24"/>
        </w:rPr>
        <w:t xml:space="preserve">at species level was performed by ribosomal DNA restriction analysis (ARDRA) followed by sequencing of the </w:t>
      </w:r>
      <w:r w:rsidRPr="00B378D9">
        <w:rPr>
          <w:i/>
          <w:color w:val="000000" w:themeColor="text1"/>
          <w:sz w:val="24"/>
          <w:szCs w:val="24"/>
        </w:rPr>
        <w:t>rpoB</w:t>
      </w:r>
      <w:r w:rsidRPr="00B378D9">
        <w:rPr>
          <w:color w:val="000000" w:themeColor="text1"/>
          <w:sz w:val="24"/>
          <w:szCs w:val="24"/>
        </w:rPr>
        <w:t xml:space="preserve"> gene. </w:t>
      </w:r>
      <w:r w:rsidR="00433658" w:rsidRPr="00B378D9">
        <w:rPr>
          <w:color w:val="000000" w:themeColor="text1"/>
          <w:sz w:val="24"/>
          <w:szCs w:val="24"/>
        </w:rPr>
        <w:t>The m</w:t>
      </w:r>
      <w:r w:rsidR="00A6591C" w:rsidRPr="00B378D9">
        <w:rPr>
          <w:color w:val="000000" w:themeColor="text1"/>
          <w:sz w:val="24"/>
          <w:szCs w:val="24"/>
        </w:rPr>
        <w:t>ajority of the isolates</w:t>
      </w:r>
      <w:r w:rsidR="004E2F0D" w:rsidRPr="00B378D9">
        <w:rPr>
          <w:color w:val="000000" w:themeColor="text1"/>
          <w:sz w:val="24"/>
          <w:szCs w:val="24"/>
        </w:rPr>
        <w:t xml:space="preserve"> (</w:t>
      </w:r>
      <w:r w:rsidR="004E2F0D" w:rsidRPr="00B378D9">
        <w:rPr>
          <w:i/>
          <w:color w:val="000000" w:themeColor="text1"/>
          <w:sz w:val="24"/>
          <w:szCs w:val="24"/>
        </w:rPr>
        <w:t>n</w:t>
      </w:r>
      <w:r w:rsidR="00822B81" w:rsidRPr="00B378D9">
        <w:rPr>
          <w:i/>
          <w:color w:val="000000" w:themeColor="text1"/>
          <w:sz w:val="24"/>
          <w:szCs w:val="24"/>
        </w:rPr>
        <w:t xml:space="preserve"> </w:t>
      </w:r>
      <w:r w:rsidR="004E2F0D" w:rsidRPr="00B378D9">
        <w:rPr>
          <w:color w:val="000000" w:themeColor="text1"/>
          <w:sz w:val="24"/>
          <w:szCs w:val="24"/>
        </w:rPr>
        <w:t>=</w:t>
      </w:r>
      <w:r w:rsidR="00822B81" w:rsidRPr="00B378D9">
        <w:rPr>
          <w:color w:val="000000" w:themeColor="text1"/>
          <w:sz w:val="24"/>
          <w:szCs w:val="24"/>
        </w:rPr>
        <w:t xml:space="preserve"> </w:t>
      </w:r>
      <w:r w:rsidR="004E2F0D" w:rsidRPr="00B378D9">
        <w:rPr>
          <w:color w:val="000000" w:themeColor="text1"/>
          <w:sz w:val="24"/>
          <w:szCs w:val="24"/>
        </w:rPr>
        <w:t>12</w:t>
      </w:r>
      <w:r w:rsidR="0082148F" w:rsidRPr="00B378D9">
        <w:rPr>
          <w:color w:val="000000" w:themeColor="text1"/>
          <w:sz w:val="24"/>
          <w:szCs w:val="24"/>
        </w:rPr>
        <w:t>8</w:t>
      </w:r>
      <w:r w:rsidR="005C4C76" w:rsidRPr="00B378D9">
        <w:rPr>
          <w:color w:val="000000" w:themeColor="text1"/>
          <w:sz w:val="24"/>
          <w:szCs w:val="24"/>
        </w:rPr>
        <w:t>; 83.7%</w:t>
      </w:r>
      <w:r w:rsidR="004E2F0D" w:rsidRPr="00B378D9">
        <w:rPr>
          <w:color w:val="000000" w:themeColor="text1"/>
          <w:sz w:val="24"/>
          <w:szCs w:val="24"/>
        </w:rPr>
        <w:t xml:space="preserve">) were </w:t>
      </w:r>
      <w:r w:rsidR="004E2F0D" w:rsidRPr="00B378D9">
        <w:rPr>
          <w:i/>
          <w:color w:val="000000" w:themeColor="text1"/>
          <w:sz w:val="24"/>
          <w:szCs w:val="24"/>
        </w:rPr>
        <w:t>A</w:t>
      </w:r>
      <w:r w:rsidR="009744B8" w:rsidRPr="00B378D9">
        <w:rPr>
          <w:i/>
          <w:color w:val="000000" w:themeColor="text1"/>
          <w:sz w:val="24"/>
          <w:szCs w:val="24"/>
        </w:rPr>
        <w:t>.</w:t>
      </w:r>
      <w:r w:rsidR="004E2F0D" w:rsidRPr="00B378D9">
        <w:rPr>
          <w:i/>
          <w:color w:val="000000" w:themeColor="text1"/>
          <w:sz w:val="24"/>
          <w:szCs w:val="24"/>
        </w:rPr>
        <w:t xml:space="preserve"> baumannii</w:t>
      </w:r>
      <w:r w:rsidR="004E2F0D" w:rsidRPr="00B378D9">
        <w:rPr>
          <w:color w:val="000000" w:themeColor="text1"/>
          <w:sz w:val="24"/>
          <w:szCs w:val="24"/>
        </w:rPr>
        <w:t xml:space="preserve"> while the rest </w:t>
      </w:r>
      <w:r w:rsidR="004E2F0D" w:rsidRPr="00B378D9">
        <w:rPr>
          <w:noProof/>
          <w:color w:val="000000" w:themeColor="text1"/>
          <w:sz w:val="24"/>
          <w:szCs w:val="24"/>
        </w:rPr>
        <w:t xml:space="preserve">were </w:t>
      </w:r>
      <w:r w:rsidRPr="00B378D9">
        <w:rPr>
          <w:color w:val="000000" w:themeColor="text1"/>
          <w:sz w:val="24"/>
          <w:szCs w:val="24"/>
        </w:rPr>
        <w:t xml:space="preserve">identified as </w:t>
      </w:r>
      <w:r w:rsidRPr="00B378D9">
        <w:rPr>
          <w:i/>
          <w:color w:val="000000" w:themeColor="text1"/>
          <w:sz w:val="24"/>
          <w:szCs w:val="24"/>
        </w:rPr>
        <w:t>A. nosocomialis</w:t>
      </w:r>
      <w:r w:rsidRPr="00B378D9">
        <w:rPr>
          <w:color w:val="000000" w:themeColor="text1"/>
          <w:sz w:val="24"/>
          <w:szCs w:val="24"/>
        </w:rPr>
        <w:t xml:space="preserve"> (</w:t>
      </w:r>
      <w:r w:rsidRPr="00B378D9">
        <w:rPr>
          <w:i/>
          <w:color w:val="000000" w:themeColor="text1"/>
          <w:sz w:val="24"/>
          <w:szCs w:val="24"/>
        </w:rPr>
        <w:t>n</w:t>
      </w:r>
      <w:r w:rsidR="00822B81" w:rsidRPr="00B378D9">
        <w:rPr>
          <w:i/>
          <w:color w:val="000000" w:themeColor="text1"/>
          <w:sz w:val="24"/>
          <w:szCs w:val="24"/>
        </w:rPr>
        <w:t xml:space="preserve"> </w:t>
      </w:r>
      <w:r w:rsidRPr="00B378D9">
        <w:rPr>
          <w:color w:val="000000" w:themeColor="text1"/>
          <w:sz w:val="24"/>
          <w:szCs w:val="24"/>
        </w:rPr>
        <w:t>=</w:t>
      </w:r>
      <w:r w:rsidR="00822B81" w:rsidRPr="00B378D9">
        <w:rPr>
          <w:color w:val="000000" w:themeColor="text1"/>
          <w:sz w:val="24"/>
          <w:szCs w:val="24"/>
        </w:rPr>
        <w:t xml:space="preserve"> </w:t>
      </w:r>
      <w:r w:rsidRPr="00B378D9">
        <w:rPr>
          <w:color w:val="000000" w:themeColor="text1"/>
          <w:sz w:val="24"/>
          <w:szCs w:val="24"/>
        </w:rPr>
        <w:t xml:space="preserve">16), </w:t>
      </w:r>
      <w:r w:rsidRPr="00B378D9">
        <w:rPr>
          <w:i/>
          <w:color w:val="000000" w:themeColor="text1"/>
          <w:sz w:val="24"/>
          <w:szCs w:val="24"/>
        </w:rPr>
        <w:t>A. calcoaceticus</w:t>
      </w:r>
      <w:r w:rsidRPr="00B378D9">
        <w:rPr>
          <w:color w:val="000000" w:themeColor="text1"/>
          <w:sz w:val="24"/>
          <w:szCs w:val="24"/>
        </w:rPr>
        <w:t xml:space="preserve"> (</w:t>
      </w:r>
      <w:r w:rsidRPr="00B378D9">
        <w:rPr>
          <w:i/>
          <w:color w:val="000000" w:themeColor="text1"/>
          <w:sz w:val="24"/>
          <w:szCs w:val="24"/>
        </w:rPr>
        <w:t>n</w:t>
      </w:r>
      <w:r w:rsidR="00822B81" w:rsidRPr="00B378D9">
        <w:rPr>
          <w:i/>
          <w:color w:val="000000" w:themeColor="text1"/>
          <w:sz w:val="24"/>
          <w:szCs w:val="24"/>
        </w:rPr>
        <w:t xml:space="preserve"> </w:t>
      </w:r>
      <w:r w:rsidRPr="00B378D9">
        <w:rPr>
          <w:color w:val="000000" w:themeColor="text1"/>
          <w:sz w:val="24"/>
          <w:szCs w:val="24"/>
        </w:rPr>
        <w:t>=</w:t>
      </w:r>
      <w:r w:rsidR="00822B81" w:rsidRPr="00B378D9">
        <w:rPr>
          <w:color w:val="000000" w:themeColor="text1"/>
          <w:sz w:val="24"/>
          <w:szCs w:val="24"/>
        </w:rPr>
        <w:t xml:space="preserve"> </w:t>
      </w:r>
      <w:r w:rsidRPr="00B378D9">
        <w:rPr>
          <w:color w:val="000000" w:themeColor="text1"/>
          <w:sz w:val="24"/>
          <w:szCs w:val="24"/>
        </w:rPr>
        <w:t xml:space="preserve">5), </w:t>
      </w:r>
      <w:r w:rsidRPr="00B378D9">
        <w:rPr>
          <w:i/>
          <w:color w:val="000000" w:themeColor="text1"/>
          <w:sz w:val="24"/>
          <w:szCs w:val="24"/>
        </w:rPr>
        <w:t>A. soli</w:t>
      </w:r>
      <w:r w:rsidRPr="00B378D9">
        <w:rPr>
          <w:color w:val="000000" w:themeColor="text1"/>
          <w:sz w:val="24"/>
          <w:szCs w:val="24"/>
        </w:rPr>
        <w:t xml:space="preserve"> (</w:t>
      </w:r>
      <w:r w:rsidRPr="00B378D9">
        <w:rPr>
          <w:i/>
          <w:color w:val="000000" w:themeColor="text1"/>
          <w:sz w:val="24"/>
          <w:szCs w:val="24"/>
        </w:rPr>
        <w:t>n</w:t>
      </w:r>
      <w:r w:rsidR="00822B81" w:rsidRPr="00B378D9">
        <w:rPr>
          <w:i/>
          <w:color w:val="000000" w:themeColor="text1"/>
          <w:sz w:val="24"/>
          <w:szCs w:val="24"/>
        </w:rPr>
        <w:t xml:space="preserve"> </w:t>
      </w:r>
      <w:r w:rsidRPr="00B378D9">
        <w:rPr>
          <w:color w:val="000000" w:themeColor="text1"/>
          <w:sz w:val="24"/>
          <w:szCs w:val="24"/>
        </w:rPr>
        <w:t>=</w:t>
      </w:r>
      <w:r w:rsidR="00822B81" w:rsidRPr="00B378D9">
        <w:rPr>
          <w:color w:val="000000" w:themeColor="text1"/>
          <w:sz w:val="24"/>
          <w:szCs w:val="24"/>
        </w:rPr>
        <w:t xml:space="preserve"> </w:t>
      </w:r>
      <w:r w:rsidRPr="00B378D9">
        <w:rPr>
          <w:color w:val="000000" w:themeColor="text1"/>
          <w:sz w:val="24"/>
          <w:szCs w:val="24"/>
        </w:rPr>
        <w:t xml:space="preserve">2), </w:t>
      </w:r>
      <w:r w:rsidRPr="00B378D9">
        <w:rPr>
          <w:i/>
          <w:color w:val="000000" w:themeColor="text1"/>
          <w:sz w:val="24"/>
          <w:szCs w:val="24"/>
        </w:rPr>
        <w:t>A. berezeniae</w:t>
      </w:r>
      <w:r w:rsidRPr="00B378D9">
        <w:rPr>
          <w:color w:val="000000" w:themeColor="text1"/>
          <w:sz w:val="24"/>
          <w:szCs w:val="24"/>
        </w:rPr>
        <w:t xml:space="preserve"> (</w:t>
      </w:r>
      <w:r w:rsidRPr="00B378D9">
        <w:rPr>
          <w:i/>
          <w:color w:val="000000" w:themeColor="text1"/>
          <w:sz w:val="24"/>
          <w:szCs w:val="24"/>
        </w:rPr>
        <w:t>n</w:t>
      </w:r>
      <w:r w:rsidR="00822B81" w:rsidRPr="00B378D9">
        <w:rPr>
          <w:i/>
          <w:color w:val="000000" w:themeColor="text1"/>
          <w:sz w:val="24"/>
          <w:szCs w:val="24"/>
        </w:rPr>
        <w:t xml:space="preserve"> </w:t>
      </w:r>
      <w:r w:rsidRPr="00B378D9">
        <w:rPr>
          <w:color w:val="000000" w:themeColor="text1"/>
          <w:sz w:val="24"/>
          <w:szCs w:val="24"/>
        </w:rPr>
        <w:t>=</w:t>
      </w:r>
      <w:r w:rsidR="00822B81" w:rsidRPr="00B378D9">
        <w:rPr>
          <w:color w:val="000000" w:themeColor="text1"/>
          <w:sz w:val="24"/>
          <w:szCs w:val="24"/>
        </w:rPr>
        <w:t xml:space="preserve"> </w:t>
      </w:r>
      <w:r w:rsidRPr="00B378D9">
        <w:rPr>
          <w:color w:val="000000" w:themeColor="text1"/>
          <w:sz w:val="24"/>
          <w:szCs w:val="24"/>
        </w:rPr>
        <w:t xml:space="preserve">1) and </w:t>
      </w:r>
      <w:r w:rsidRPr="00B378D9">
        <w:rPr>
          <w:i/>
          <w:color w:val="000000" w:themeColor="text1"/>
          <w:sz w:val="24"/>
          <w:szCs w:val="24"/>
        </w:rPr>
        <w:t>A. variabilis</w:t>
      </w:r>
      <w:r w:rsidRPr="00B378D9">
        <w:rPr>
          <w:color w:val="000000" w:themeColor="text1"/>
          <w:sz w:val="24"/>
          <w:szCs w:val="24"/>
        </w:rPr>
        <w:t xml:space="preserve"> (</w:t>
      </w:r>
      <w:r w:rsidRPr="00B378D9">
        <w:rPr>
          <w:i/>
          <w:color w:val="000000" w:themeColor="text1"/>
          <w:sz w:val="24"/>
          <w:szCs w:val="24"/>
        </w:rPr>
        <w:t>n</w:t>
      </w:r>
      <w:r w:rsidR="00822B81" w:rsidRPr="00B378D9">
        <w:rPr>
          <w:i/>
          <w:color w:val="000000" w:themeColor="text1"/>
          <w:sz w:val="24"/>
          <w:szCs w:val="24"/>
        </w:rPr>
        <w:t xml:space="preserve"> </w:t>
      </w:r>
      <w:r w:rsidRPr="00B378D9">
        <w:rPr>
          <w:color w:val="000000" w:themeColor="text1"/>
          <w:sz w:val="24"/>
          <w:szCs w:val="24"/>
        </w:rPr>
        <w:t>=</w:t>
      </w:r>
      <w:r w:rsidR="00822B81" w:rsidRPr="00B378D9">
        <w:rPr>
          <w:color w:val="000000" w:themeColor="text1"/>
          <w:sz w:val="24"/>
          <w:szCs w:val="24"/>
        </w:rPr>
        <w:t xml:space="preserve"> </w:t>
      </w:r>
      <w:r w:rsidRPr="00B378D9">
        <w:rPr>
          <w:color w:val="000000" w:themeColor="text1"/>
          <w:sz w:val="24"/>
          <w:szCs w:val="24"/>
        </w:rPr>
        <w:t>1).</w:t>
      </w:r>
      <w:r w:rsidR="004E2F0D" w:rsidRPr="00B378D9">
        <w:rPr>
          <w:color w:val="000000" w:themeColor="text1"/>
          <w:sz w:val="24"/>
          <w:szCs w:val="24"/>
        </w:rPr>
        <w:t xml:space="preserve"> </w:t>
      </w:r>
      <w:r w:rsidR="005C4C76" w:rsidRPr="00B378D9">
        <w:rPr>
          <w:color w:val="000000" w:themeColor="text1"/>
          <w:sz w:val="24"/>
          <w:szCs w:val="24"/>
        </w:rPr>
        <w:t>Multidrug resistance (</w:t>
      </w:r>
      <w:r w:rsidR="0084352F" w:rsidRPr="00B378D9">
        <w:rPr>
          <w:color w:val="000000" w:themeColor="text1"/>
          <w:sz w:val="24"/>
          <w:szCs w:val="24"/>
        </w:rPr>
        <w:t>MDR</w:t>
      </w:r>
      <w:r w:rsidR="00601035" w:rsidRPr="00B378D9">
        <w:rPr>
          <w:color w:val="000000" w:themeColor="text1"/>
          <w:sz w:val="24"/>
          <w:szCs w:val="24"/>
        </w:rPr>
        <w:t>) was</w:t>
      </w:r>
      <w:r w:rsidR="004C7AA9" w:rsidRPr="00B378D9">
        <w:rPr>
          <w:color w:val="000000" w:themeColor="text1"/>
          <w:sz w:val="24"/>
          <w:szCs w:val="24"/>
        </w:rPr>
        <w:t xml:space="preserve"> most </w:t>
      </w:r>
      <w:r w:rsidR="00601035" w:rsidRPr="00B378D9">
        <w:rPr>
          <w:color w:val="000000" w:themeColor="text1"/>
          <w:sz w:val="24"/>
          <w:szCs w:val="24"/>
        </w:rPr>
        <w:t xml:space="preserve">prevalent in </w:t>
      </w:r>
      <w:r w:rsidR="00601035" w:rsidRPr="00B378D9">
        <w:rPr>
          <w:i/>
          <w:color w:val="000000" w:themeColor="text1"/>
          <w:sz w:val="24"/>
          <w:szCs w:val="24"/>
        </w:rPr>
        <w:t>A. baumannnii</w:t>
      </w:r>
      <w:r w:rsidR="00601035" w:rsidRPr="00B378D9">
        <w:rPr>
          <w:color w:val="000000" w:themeColor="text1"/>
          <w:sz w:val="24"/>
          <w:szCs w:val="24"/>
        </w:rPr>
        <w:t xml:space="preserve"> (66.4%) whereas only one non-</w:t>
      </w:r>
      <w:r w:rsidR="00601035" w:rsidRPr="00B378D9">
        <w:rPr>
          <w:i/>
          <w:color w:val="000000" w:themeColor="text1"/>
          <w:sz w:val="24"/>
          <w:szCs w:val="24"/>
        </w:rPr>
        <w:t>baumannii</w:t>
      </w:r>
      <w:r w:rsidR="00601035" w:rsidRPr="00B378D9">
        <w:rPr>
          <w:color w:val="000000" w:themeColor="text1"/>
          <w:sz w:val="24"/>
          <w:szCs w:val="24"/>
        </w:rPr>
        <w:t xml:space="preserve"> isolate (</w:t>
      </w:r>
      <w:r w:rsidR="00601035" w:rsidRPr="00B378D9">
        <w:rPr>
          <w:i/>
          <w:color w:val="000000" w:themeColor="text1"/>
          <w:sz w:val="24"/>
          <w:szCs w:val="24"/>
        </w:rPr>
        <w:t>A. nosocomialis</w:t>
      </w:r>
      <w:r w:rsidR="00601035" w:rsidRPr="00B378D9">
        <w:rPr>
          <w:color w:val="000000" w:themeColor="text1"/>
          <w:sz w:val="24"/>
          <w:szCs w:val="24"/>
        </w:rPr>
        <w:t xml:space="preserve">) was MDR. </w:t>
      </w:r>
      <w:r w:rsidR="009744B8" w:rsidRPr="00B378D9">
        <w:rPr>
          <w:color w:val="000000" w:themeColor="text1"/>
          <w:sz w:val="24"/>
          <w:szCs w:val="24"/>
        </w:rPr>
        <w:t xml:space="preserve">The </w:t>
      </w:r>
      <w:r w:rsidR="009744B8" w:rsidRPr="00B378D9">
        <w:rPr>
          <w:i/>
          <w:color w:val="000000" w:themeColor="text1"/>
          <w:sz w:val="24"/>
          <w:szCs w:val="24"/>
        </w:rPr>
        <w:t>bla</w:t>
      </w:r>
      <w:r w:rsidR="009744B8" w:rsidRPr="00B378D9">
        <w:rPr>
          <w:color w:val="000000" w:themeColor="text1"/>
          <w:sz w:val="24"/>
          <w:szCs w:val="24"/>
          <w:vertAlign w:val="subscript"/>
        </w:rPr>
        <w:t>OXA-23</w:t>
      </w:r>
      <w:r w:rsidR="009744B8" w:rsidRPr="00B378D9">
        <w:rPr>
          <w:color w:val="000000" w:themeColor="text1"/>
          <w:sz w:val="24"/>
          <w:szCs w:val="24"/>
        </w:rPr>
        <w:t xml:space="preserve"> gene was the </w:t>
      </w:r>
      <w:r w:rsidR="004C7AA9" w:rsidRPr="00B378D9">
        <w:rPr>
          <w:color w:val="000000" w:themeColor="text1"/>
          <w:sz w:val="24"/>
          <w:szCs w:val="24"/>
        </w:rPr>
        <w:t>predominant</w:t>
      </w:r>
      <w:r w:rsidR="009744B8" w:rsidRPr="00B378D9">
        <w:rPr>
          <w:color w:val="000000" w:themeColor="text1"/>
          <w:sz w:val="24"/>
          <w:szCs w:val="24"/>
        </w:rPr>
        <w:t xml:space="preserve"> acquired carbapenemase gene (56.2%) and was significantly associated (</w:t>
      </w:r>
      <w:r w:rsidR="009744B8" w:rsidRPr="00B378D9">
        <w:rPr>
          <w:i/>
          <w:color w:val="000000" w:themeColor="text1"/>
          <w:sz w:val="24"/>
          <w:szCs w:val="24"/>
        </w:rPr>
        <w:t>p</w:t>
      </w:r>
      <w:r w:rsidR="009744B8" w:rsidRPr="00B378D9">
        <w:rPr>
          <w:color w:val="000000" w:themeColor="text1"/>
          <w:sz w:val="24"/>
          <w:szCs w:val="24"/>
        </w:rPr>
        <w:t xml:space="preserve"> &lt; 0.001) with carbapenem resistance. However, no significant association was found for carbapenem resistance and isolates that contained the IS</w:t>
      </w:r>
      <w:r w:rsidR="009744B8" w:rsidRPr="00B378D9">
        <w:rPr>
          <w:i/>
          <w:color w:val="000000" w:themeColor="text1"/>
          <w:sz w:val="24"/>
          <w:szCs w:val="24"/>
        </w:rPr>
        <w:t>Aba1</w:t>
      </w:r>
      <w:r w:rsidR="009744B8" w:rsidRPr="00B378D9">
        <w:rPr>
          <w:color w:val="000000" w:themeColor="text1"/>
          <w:sz w:val="24"/>
          <w:szCs w:val="24"/>
        </w:rPr>
        <w:t>-</w:t>
      </w:r>
      <w:r w:rsidR="009744B8" w:rsidRPr="00B378D9">
        <w:rPr>
          <w:i/>
          <w:color w:val="000000" w:themeColor="text1"/>
          <w:sz w:val="24"/>
          <w:szCs w:val="24"/>
        </w:rPr>
        <w:t>bla</w:t>
      </w:r>
      <w:r w:rsidR="009744B8" w:rsidRPr="00B378D9">
        <w:rPr>
          <w:color w:val="000000" w:themeColor="text1"/>
          <w:sz w:val="24"/>
          <w:szCs w:val="24"/>
          <w:vertAlign w:val="subscript"/>
        </w:rPr>
        <w:t>OXA-51</w:t>
      </w:r>
      <w:r w:rsidR="009744B8" w:rsidRPr="00B378D9">
        <w:rPr>
          <w:color w:val="000000" w:themeColor="text1"/>
          <w:sz w:val="24"/>
          <w:szCs w:val="24"/>
        </w:rPr>
        <w:t xml:space="preserve"> configuration.</w:t>
      </w:r>
    </w:p>
    <w:p w14:paraId="7E6D5EAC" w14:textId="2EC24587" w:rsidR="00BE3720" w:rsidRPr="00B378D9" w:rsidRDefault="004E2F0D" w:rsidP="00D53AAA">
      <w:pPr>
        <w:ind w:left="0" w:firstLine="0"/>
        <w:rPr>
          <w:b/>
          <w:color w:val="000000" w:themeColor="text1"/>
          <w:sz w:val="24"/>
          <w:szCs w:val="24"/>
        </w:rPr>
      </w:pPr>
      <w:r w:rsidRPr="00B378D9">
        <w:rPr>
          <w:b/>
          <w:color w:val="000000" w:themeColor="text1"/>
          <w:sz w:val="24"/>
        </w:rPr>
        <w:br w:type="page"/>
      </w:r>
      <w:r w:rsidR="00A01D7F" w:rsidRPr="00B378D9">
        <w:rPr>
          <w:b/>
          <w:color w:val="000000" w:themeColor="text1"/>
          <w:sz w:val="24"/>
        </w:rPr>
        <w:lastRenderedPageBreak/>
        <w:t>MAIN TEXT</w:t>
      </w:r>
      <w:r w:rsidR="005A6868" w:rsidRPr="00B378D9">
        <w:rPr>
          <w:b/>
          <w:color w:val="000000" w:themeColor="text1"/>
          <w:sz w:val="24"/>
        </w:rPr>
        <w:t xml:space="preserve"> </w:t>
      </w:r>
    </w:p>
    <w:p w14:paraId="44D5E113" w14:textId="77777777" w:rsidR="00D53AAA" w:rsidRPr="00B378D9" w:rsidRDefault="00D53AAA" w:rsidP="00BE3720">
      <w:pPr>
        <w:spacing w:line="480" w:lineRule="auto"/>
        <w:ind w:left="0" w:firstLine="0"/>
        <w:jc w:val="both"/>
        <w:rPr>
          <w:noProof/>
          <w:color w:val="000000" w:themeColor="text1"/>
          <w:sz w:val="24"/>
          <w:szCs w:val="24"/>
        </w:rPr>
      </w:pPr>
    </w:p>
    <w:p w14:paraId="5C2861A7" w14:textId="2E9DC989" w:rsidR="00575F7D" w:rsidRPr="00B378D9" w:rsidRDefault="00B9791C" w:rsidP="00B9791C">
      <w:pPr>
        <w:spacing w:line="480" w:lineRule="auto"/>
        <w:ind w:left="0" w:firstLine="708"/>
        <w:rPr>
          <w:noProof/>
          <w:color w:val="000000" w:themeColor="text1"/>
          <w:sz w:val="24"/>
          <w:szCs w:val="24"/>
        </w:rPr>
      </w:pPr>
      <w:r w:rsidRPr="00B378D9">
        <w:rPr>
          <w:i/>
          <w:noProof/>
          <w:color w:val="000000" w:themeColor="text1"/>
          <w:sz w:val="24"/>
          <w:szCs w:val="24"/>
        </w:rPr>
        <w:t>Acinetobacter baumannii</w:t>
      </w:r>
      <w:r w:rsidRPr="00B378D9">
        <w:rPr>
          <w:noProof/>
          <w:color w:val="000000" w:themeColor="text1"/>
          <w:sz w:val="24"/>
          <w:szCs w:val="24"/>
        </w:rPr>
        <w:t xml:space="preserve"> is an important hospital-acquired pathogen that causes substantial mortality and economic burden, being responsible for a significant proportion of infections especially among patients in intensive care units </w:t>
      </w:r>
      <w:r w:rsidR="002E2737" w:rsidRPr="00B378D9">
        <w:rPr>
          <w:noProof/>
          <w:color w:val="000000" w:themeColor="text1"/>
          <w:sz w:val="24"/>
          <w:szCs w:val="24"/>
        </w:rPr>
        <w:fldChar w:fldCharType="begin" w:fldLock="1"/>
      </w:r>
      <w:r w:rsidR="00520242" w:rsidRPr="00B378D9">
        <w:rPr>
          <w:noProof/>
          <w:color w:val="000000" w:themeColor="text1"/>
          <w:sz w:val="24"/>
          <w:szCs w:val="24"/>
        </w:rPr>
        <w:instrText>ADDIN CSL_CITATION {"citationItems":[{"id":"ITEM-1","itemData":{"DOI":"10.1111/2049-632X.12125","ISBN":"2049-632X","ISSN":"2049632X","PMID":"24376225","abstract":"Acinetobacter baumannii is an opportunistic nosocomial pathogen and one of the six most important multidrug-resistant microorganisms in hospitals worldwide. This human pathogen is responsible for a vast array of infections, of which ventilator-associated pneumonia and bloodstream infections are the most common, and mortality rates can reach 35%. Community-acquired infections have also been reported, but few strains have been recovered from environmental sources and infection reservoirs external to the hospital have not been identified. The majority of A. baumannii infections are caused by two main population clones with worldwide distribution. Infection outbreaks are often associated with multidrug resistance, including the recent emergence of strains resistant to all available antibiotics. Nevertheless, A. baumannii virulence traits and pathogenic potential have mostly remained elusive. The recent expansion of A. baumannii sequenced genomes has permitted the development of large-array phylogenomic and phenotypic analyses, which can offer valuable insights into the evolution and adaptation of A. baumannii as a human pathogen. This review summarises these recent advances, with particular focus on A. baumannii evolutionary and genomic aspects, and proposes new avenues of research.","author":[{"dropping-particle":"","family":"Antunes","given":"Luísa C.S.","non-dropping-particle":"","parse-names":false,"suffix":""},{"dropping-particle":"","family":"Visca","given":"Paolo","non-dropping-particle":"","parse-names":false,"suffix":""},{"dropping-particle":"","family":"Towner","given":"Kevin J.","non-dropping-particle":"","parse-names":false,"suffix":""}],"container-title":"Pathogens and Disease","id":"ITEM-1","issue":"3","issued":{"date-parts":[["2014"]]},"page":"292-301","title":"Acinetobacter baumannii: Evolution of a global pathogen","type":"article-journal","volume":"71"},"uris":["http://www.mendeley.com/documents/?uuid=b568acd0-b9b5-498b-a0c4-96e524fc8799"]},{"id":"ITEM-2","itemData":{"DOI":"10.1128/CMR.00058-07","ISSN":"1098-6618","PMID":"18625687","abstract":"Acinetobacter baumannii has emerged as a highly troublesome pathogen for many institutions globally. As a consequence of its immense ability to acquire or upregulate antibiotic drug resistance determinants, it has justifiably been propelled to the forefront of scientific attention. Apart from its predilection for the seriously ill within intensive care units, A. baumannii has more recently caused a range of infectious syndromes in military personnel injured in the Iraq and Afghanistan conflicts. This review details the significant advances that have been made in our understanding of this remarkable organism over the last 10 years, including current taxonomy and species identification, issues with susceptibility testing, mechanisms of antibiotic resistance, global epidemiology, clinical impact of infection, host-pathogen interactions, and infection control and therapeutic considerations.","author":[{"dropping-particle":"","family":"Peleg","given":"Anton Y","non-dropping-particle":"","parse-names":false,"suffix":""},{"dropping-particle":"","family":"Seifert","given":"Harald","non-dropping-particle":"","parse-names":false,"suffix":""},{"dropping-particle":"","family":"Paterson","given":"David L","non-dropping-particle":"","parse-names":false,"suffix":""}],"container-title":"Clinical microbiology reviews","id":"ITEM-2","issue":"3","issued":{"date-parts":[["2008","7"]]},"page":"538-82","title":"Acinetobacter baumannii: emergence of a successful pathogen.","type":"article-journal","volume":"21"},"uris":["http://www.mendeley.com/documents/?uuid=430a6849-8c97-41d2-b07b-9dff04bf97fd"]}],"mendeley":{"formattedCitation":"[1, 2]","plainTextFormattedCitation":"[1, 2]","previouslyFormattedCitation":"[1, 2]"},"properties":{"noteIndex":0},"schema":"https://github.com/citation-style-language/schema/raw/master/csl-citation.json"}</w:instrText>
      </w:r>
      <w:r w:rsidR="002E2737" w:rsidRPr="00B378D9">
        <w:rPr>
          <w:noProof/>
          <w:color w:val="000000" w:themeColor="text1"/>
          <w:sz w:val="24"/>
          <w:szCs w:val="24"/>
        </w:rPr>
        <w:fldChar w:fldCharType="separate"/>
      </w:r>
      <w:r w:rsidR="005C4C76" w:rsidRPr="00B378D9">
        <w:rPr>
          <w:noProof/>
          <w:color w:val="000000" w:themeColor="text1"/>
          <w:sz w:val="24"/>
          <w:szCs w:val="24"/>
        </w:rPr>
        <w:t>[1, 2]</w:t>
      </w:r>
      <w:r w:rsidR="002E2737" w:rsidRPr="00B378D9">
        <w:rPr>
          <w:noProof/>
          <w:color w:val="000000" w:themeColor="text1"/>
          <w:sz w:val="24"/>
          <w:szCs w:val="24"/>
        </w:rPr>
        <w:fldChar w:fldCharType="end"/>
      </w:r>
      <w:r w:rsidR="009E6287" w:rsidRPr="00B378D9">
        <w:rPr>
          <w:noProof/>
          <w:color w:val="000000" w:themeColor="text1"/>
          <w:sz w:val="24"/>
          <w:szCs w:val="24"/>
        </w:rPr>
        <w:t>.</w:t>
      </w:r>
      <w:r w:rsidR="00AC3B1F" w:rsidRPr="00B378D9">
        <w:rPr>
          <w:noProof/>
          <w:color w:val="000000" w:themeColor="text1"/>
          <w:sz w:val="24"/>
          <w:szCs w:val="24"/>
        </w:rPr>
        <w:t xml:space="preserve"> The major problem with </w:t>
      </w:r>
      <w:r w:rsidR="00AC3B1F" w:rsidRPr="00B378D9">
        <w:rPr>
          <w:i/>
          <w:noProof/>
          <w:color w:val="000000" w:themeColor="text1"/>
          <w:sz w:val="24"/>
          <w:szCs w:val="24"/>
        </w:rPr>
        <w:t>A. baumannii</w:t>
      </w:r>
      <w:r w:rsidR="00481532" w:rsidRPr="00B378D9">
        <w:rPr>
          <w:noProof/>
          <w:color w:val="000000" w:themeColor="text1"/>
          <w:sz w:val="24"/>
          <w:szCs w:val="24"/>
        </w:rPr>
        <w:t xml:space="preserve"> is its extraordinary capacity to accumulate antimicrobial resistance genes and its potential to spread epidemically.</w:t>
      </w:r>
      <w:r w:rsidR="009E6287" w:rsidRPr="00B378D9">
        <w:rPr>
          <w:noProof/>
          <w:color w:val="000000" w:themeColor="text1"/>
          <w:sz w:val="24"/>
          <w:szCs w:val="24"/>
        </w:rPr>
        <w:t xml:space="preserve"> Besides </w:t>
      </w:r>
      <w:r w:rsidR="009E6287" w:rsidRPr="00B378D9">
        <w:rPr>
          <w:i/>
          <w:noProof/>
          <w:color w:val="000000" w:themeColor="text1"/>
          <w:sz w:val="24"/>
          <w:szCs w:val="24"/>
        </w:rPr>
        <w:t>A. baumannii</w:t>
      </w:r>
      <w:r w:rsidR="009E6287" w:rsidRPr="00B378D9">
        <w:rPr>
          <w:noProof/>
          <w:color w:val="000000" w:themeColor="text1"/>
          <w:sz w:val="24"/>
          <w:szCs w:val="24"/>
        </w:rPr>
        <w:t xml:space="preserve">, four </w:t>
      </w:r>
      <w:r w:rsidR="004C7AA9" w:rsidRPr="00B378D9">
        <w:rPr>
          <w:noProof/>
          <w:color w:val="000000" w:themeColor="text1"/>
          <w:sz w:val="24"/>
          <w:szCs w:val="24"/>
        </w:rPr>
        <w:t>closely related</w:t>
      </w:r>
      <w:r w:rsidR="009E6287" w:rsidRPr="00B378D9">
        <w:rPr>
          <w:noProof/>
          <w:color w:val="000000" w:themeColor="text1"/>
          <w:sz w:val="24"/>
          <w:szCs w:val="24"/>
        </w:rPr>
        <w:t xml:space="preserve"> </w:t>
      </w:r>
      <w:r w:rsidR="009E6287" w:rsidRPr="00B378D9">
        <w:rPr>
          <w:i/>
          <w:noProof/>
          <w:color w:val="000000" w:themeColor="text1"/>
          <w:sz w:val="24"/>
          <w:szCs w:val="24"/>
        </w:rPr>
        <w:t>Acinetobacter</w:t>
      </w:r>
      <w:r w:rsidR="009E6287" w:rsidRPr="00B378D9">
        <w:rPr>
          <w:noProof/>
          <w:color w:val="000000" w:themeColor="text1"/>
          <w:sz w:val="24"/>
          <w:szCs w:val="24"/>
        </w:rPr>
        <w:t xml:space="preserve"> genomospecies, </w:t>
      </w:r>
      <w:r w:rsidR="009E6287" w:rsidRPr="00B378D9">
        <w:rPr>
          <w:i/>
          <w:noProof/>
          <w:color w:val="000000" w:themeColor="text1"/>
          <w:sz w:val="24"/>
          <w:szCs w:val="24"/>
        </w:rPr>
        <w:t>A. nosocomialis</w:t>
      </w:r>
      <w:r w:rsidR="00E922E3" w:rsidRPr="00B378D9">
        <w:rPr>
          <w:noProof/>
          <w:color w:val="000000" w:themeColor="text1"/>
          <w:sz w:val="24"/>
          <w:szCs w:val="24"/>
        </w:rPr>
        <w:t>,</w:t>
      </w:r>
      <w:r w:rsidR="009E6287" w:rsidRPr="00B378D9">
        <w:rPr>
          <w:noProof/>
          <w:color w:val="000000" w:themeColor="text1"/>
          <w:sz w:val="24"/>
          <w:szCs w:val="24"/>
        </w:rPr>
        <w:t xml:space="preserve"> </w:t>
      </w:r>
      <w:r w:rsidR="009E6287" w:rsidRPr="00B378D9">
        <w:rPr>
          <w:i/>
          <w:noProof/>
          <w:color w:val="000000" w:themeColor="text1"/>
          <w:sz w:val="24"/>
          <w:szCs w:val="24"/>
        </w:rPr>
        <w:t>A. pittii</w:t>
      </w:r>
      <w:r w:rsidR="00E922E3" w:rsidRPr="00B378D9">
        <w:rPr>
          <w:noProof/>
          <w:color w:val="000000" w:themeColor="text1"/>
          <w:sz w:val="24"/>
          <w:szCs w:val="24"/>
        </w:rPr>
        <w:t>,</w:t>
      </w:r>
      <w:r w:rsidR="009E6287" w:rsidRPr="00B378D9">
        <w:rPr>
          <w:noProof/>
          <w:color w:val="000000" w:themeColor="text1"/>
          <w:sz w:val="24"/>
          <w:szCs w:val="24"/>
        </w:rPr>
        <w:t xml:space="preserve"> </w:t>
      </w:r>
      <w:r w:rsidR="009E6287" w:rsidRPr="00B378D9">
        <w:rPr>
          <w:i/>
          <w:noProof/>
          <w:color w:val="000000" w:themeColor="text1"/>
          <w:sz w:val="24"/>
          <w:szCs w:val="24"/>
        </w:rPr>
        <w:t>A. seifertii</w:t>
      </w:r>
      <w:r w:rsidR="00E922E3" w:rsidRPr="00B378D9">
        <w:rPr>
          <w:noProof/>
          <w:color w:val="000000" w:themeColor="text1"/>
          <w:sz w:val="24"/>
          <w:szCs w:val="24"/>
        </w:rPr>
        <w:t>,</w:t>
      </w:r>
      <w:r w:rsidR="009E6287" w:rsidRPr="00B378D9">
        <w:rPr>
          <w:noProof/>
          <w:color w:val="000000" w:themeColor="text1"/>
          <w:sz w:val="24"/>
          <w:szCs w:val="24"/>
        </w:rPr>
        <w:t xml:space="preserve"> and </w:t>
      </w:r>
      <w:r w:rsidR="009E6287" w:rsidRPr="00B378D9">
        <w:rPr>
          <w:i/>
          <w:noProof/>
          <w:color w:val="000000" w:themeColor="text1"/>
          <w:sz w:val="24"/>
          <w:szCs w:val="24"/>
        </w:rPr>
        <w:t xml:space="preserve">A. </w:t>
      </w:r>
      <w:r w:rsidR="004C7AA9" w:rsidRPr="00B378D9">
        <w:rPr>
          <w:i/>
          <w:noProof/>
          <w:color w:val="000000" w:themeColor="text1"/>
          <w:sz w:val="24"/>
          <w:szCs w:val="24"/>
        </w:rPr>
        <w:t>dij</w:t>
      </w:r>
      <w:r w:rsidR="009E6287" w:rsidRPr="00B378D9">
        <w:rPr>
          <w:i/>
          <w:noProof/>
          <w:color w:val="000000" w:themeColor="text1"/>
          <w:sz w:val="24"/>
          <w:szCs w:val="24"/>
        </w:rPr>
        <w:t>kshoorniae</w:t>
      </w:r>
      <w:r w:rsidR="009E6287" w:rsidRPr="00B378D9">
        <w:rPr>
          <w:noProof/>
          <w:color w:val="000000" w:themeColor="text1"/>
          <w:sz w:val="24"/>
          <w:szCs w:val="24"/>
        </w:rPr>
        <w:t>, have been associated with nosocomial infections</w:t>
      </w:r>
      <w:r w:rsidR="002E2737" w:rsidRPr="00B378D9">
        <w:rPr>
          <w:noProof/>
          <w:color w:val="000000" w:themeColor="text1"/>
          <w:sz w:val="24"/>
          <w:szCs w:val="24"/>
        </w:rPr>
        <w:t xml:space="preserve"> </w:t>
      </w:r>
      <w:r w:rsidR="002E2737"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{"citationItems":[{"id":"ITEM-1","itemData":{"DOI":"10.1128/AAC.02992-14","ISSN":"0066-4804","PMID":"24820079","abstract":"The role of Acinetobacter nosocomialis and Acinetobacter pittii, which belong to the A. calcoaceticus-A. baumannii complex, in hospital-acquired infections is increasingly recognized. Here we describe a retrospective cohort study of hospital-acquired A. calcoaceticus-A. baumannii complex infections at a university hospital in Thailand. A total of 222 unique cases were identified between January 2010 and December 2011. The genomospecies of the A. calcoaceticus-A. baumannii complex isolates were classified as follows: A. baumannii, 197 (89%); A. nosocomialis, 18 (8%); and A. pittii, 7 (3%). All A. nosocomialis and A. pittii isolates were susceptible to imipenem and meropenem. The patients infected with A. nosocomialis and A. pittii had lower 30-day mortality than those infected with carbapenem-susceptible A. baumannii (P = 0.025) and carbapenem-resistant A. baumannii (P = 0.013). The factors influencing 30-day mortality were infection with non-baumannii A. calcoaceticus-A. baumannii complex (hazard ratio [HR], 0.12; 95% confidence interval [CI], 0.03 to 0.51; P = 0.004), infection with carbapenem-resistant A. baumannii (HR, 1.57; 95% CI, 0.89 to 2.79; P = 0.105), appropriate empirical antimicrobial therapy (HR, 0.38; 95% CI, 0.23 to 0.61; P &lt; 0.001), and higher acute physiology and chronic health evaluation II (APACHE II) score (HR, 1.15; 95% CI, 1.10 to 1.19; P &lt; 0.001). In Galleria mellonella assays, the survival rates were significantly higher for the larvae infected with A. nosocomialis or A. pittii than for those infected with either carbapenem-susceptible A. baumannii or carbapenem-resistant A. baumannii, but no differences in survival rates were observed between carbapenem-susceptible A. baumannii and carbapenem-resistant A. baumannii. These findings suggest intrinsic differences in virulence between non-baumannii A. calcoaceticus-A. baumannii complex species and A. baumannii but not between carbapenem-susceptible and resistant A. baumannii.","author":[{"dropping-particle":"","family":"Chusri","given":"S.","non-dropping-particle":"","parse-names":false,"suffix":""},{"dropping-particle":"","family":"Chongsuvivatwong","given":"V.","non-dropping-particle":"","parse-names":false,"suffix":""},{"dropping-particle":"","family":"Rivera","given":"J. I.","non-dropping-particle":"","parse-names":false,"suffix":""},{"dropping-particle":"","family":"Silpapojakul","given":"K.","non-dropping-particle":"","parse-names":false,"suffix":""},{"dropping-particle":"","family":"Singkhamanan","given":"K.","non-dropping-particle":"","parse-names":false,"suffix":""},{"dropping-particle":"","family":"McNeil","given":"E.","non-dropping-particle":"","parse-names":false,"suffix":""},{"dropping-particle":"","family":"Doi","given":"Y.","non-dropping-particle":"","parse-names":false,"suffix":""}],"container-title":"Antimicrobial Agents and Chemotherapy","id":"ITEM-1","issue":"7","issued":{"date-parts":[["2014","7","1"]]},"page":"4172-4179","title":"Clinical Outcomes of Hospital-Acquired Infection with Acinetobacter nosocomialis and Acinetobacter pittii","type":"article-journal","volume":"58"},"uris":["http://www.mendeley.com/documents/?uuid=af00be63-3cf7-39d2-9707-645e979858c4"]},{"id":"ITEM-2","itemData":{"DOI":"10.1097/MCC.0000000000000337","ISSN":"1070-5295","PMID":"27552304","abstract":"PURPOSE OF REVIEW Bacteria within the genus Acinetobacter [principally Acinetobacter baumannii-calcoaceticus complex (ABC)] are Gram-negative coccobacilli that may cause serious nosocomial infections (particularly ventilator-associated pneumonia and infections of the bloodstream, urinary tract, and wounds) as well as community-acquired infections (often skin/soft tissue infections in the context of trauma). Within the past two decades, Acinetobacter spp. have been responsible for an increasing number of infections in intensive care units (ICUs) globally. Treatment of Acinetobacter infections is difficult, as Acinetobacter spp. are intrinsically resistant to multiple antimicrobial agents, and have a remarkable ability to acquire new resistance determinants via multiple mechanisms. RECENT FINDINGS Since the 1990s, global resistance to antimicrobials has escalated dramatically among ABC. Global spread of multidrug-resistant (MDR) A. baumannii strains reflects dissemination of a few clones between hospitals, geographic regions, and continents; this spread is amplified by excessive use of antibiotics. Many isolates are resistant to all antimicrobials except colistin (polymyxin E), and some infections are untreatable with existing antimicrobial agents. SUMMARY Antimicrobial resistance poses a serious threat to control infections due to ABC. Strategies to curtail environmental colonization with MDR-ABD will require aggressive infection control efforts and cohorting of infected patients. Thoughtful antibiotic strategies are essential to limit the consequences and spread of MDR-ABC. Optimal therapy will likely require combination antimicrobial therapy of existing antibiotics as well as development of novel antibiotic classes.","author":[{"dropping-particle":"","family":"Clark","given":"Nina M.","non-dropping-particle":"","parse-names":false,"suffix":""},{"dropping-particle":"","family":"Zhanel","given":"George G.","non-dropping-particle":"","parse-names":false,"suffix":""},{"dropping-particle":"","family":"Lynch","given":"Joseph P.","non-dropping-particle":"","parse-names":false,"suffix":""}],"container-title":"Current Opinion in Critical Care","id":"ITEM-2","issue":"5","issued":{"date-parts":[["2016","10"]]},"page":"491-499","title":"Emergence of antimicrobial resistance among Acinetobacter species","type":"article-journal","volume":"22"},"uris":["http://www.mendeley.com/documents/?uuid=c599a853-8eeb-30fe-8134-1dabdfd09e13"]},{"id":"ITEM-3","itemData":{"DOI":"10.1016/j.cmi.2016.11.020","ISSN":"14690691","PMID":"27919649","abstract":"Objectives Rapid identification of Acinetobacter species is critical as members of the A.??baumannii (Ab) group differ in antibiotic susceptibility and clinical outcomes. A.??baumannii, A.??pittii, and A.??nosocomialis can be identified by MALDI-TOF/MS, while the novel species A.??seifertii and A.??dijkshoorniae cannot. Low identification rates for A.??nosocomialis also have been reported. We evaluated the use of MALDI-TOF/MS to identify isolates of A.??seifertii and A.??dijkshoorniae and revisited the identification of A.??nosocomialis to update the Bruker taxonomy database. Methods Species characterization was performed by rpoB-clustering and MLSA. MALDI-TOF/MS spectra were recovered from formic acid/acetonitrile bacterial extracts overlaid with ??-cyano-4-hydroxy-cinnamic acid matrix on a MicroflexLT in linear positive mode and 2000???20 000 m/z range mass. Spectra were examined with the ClinProTools v2.2 software. Mean spectra (MSP) were created with the BioTyper software. Results Seventy-eight Acinetobacter isolates representative of the Ab group were used to calculate the average spectra/species and generate pattern recognition models. Species-specific peaks were identified for all species, and MSPs derived from three A.??seifertii, two A.??dijkshoorniae, and two A.??nosocomialis strains were added to the Bruker taxonomy database, allowing successful identification of all isolates using spectra from either bacterial extracts or direct colonies, resulting in a positive predictive value (PPV) of 99.6% (777/780) and 96.8% (302/312), respectively. Conclusions The use of post-processing data software identified statistically significant species-specific peaks to generate reference signatures for rapid accurate identification of species within the Ab group, providing relevant information for the clinical management of Acinetobacter infections.","author":[{"dropping-particle":"","family":"Marí-Almirall","given":"M.","non-dropping-particle":"","parse-names":false,"suffix":""},{"dropping-particle":"","family":"Cosgaya","given":"C.","non-dropping-particle":"","parse-names":false,"suffix":""},{"dropping-particle":"","family":"Higgins","given":"P. G.","non-dropping-particle":"","parse-names":false,"suffix":""},{"dropping-particle":"","family":"Assche","given":"A.","non-dropping-particle":"Van","parse-names":false,"suffix":""},{"dropping-particle":"","family":"Telli","given":"M.","non-dropping-particle":"","parse-names":false,"suffix":""},{"dropping-particle":"","family":"Huys","given":"G.","non-dropping-particle":"","parse-names":false,"suffix":""},{"dropping-particle":"","family":"Lievens","given":"B.","non-dropping-particle":"","parse-names":false,"suffix":""},{"dropping-particle":"","family":"Seifert","given":"H.","non-dropping-particle":"","parse-names":false,"suffix":""},{"dropping-particle":"","family":"Dijkshoorn","given":"L.","non-dropping-particle":"","parse-names":false,"suffix":""},{"dropping-particle":"","family":"Roca","given":"I.","non-dropping-particle":"","parse-names":false,"suffix":""},{"dropping-particle":"","family":"Vila","given":"Jordi","non-dropping-particle":"","parse-names":false,"suffix":""}],"container-title":"Clinical Microbiology and Infection","id":"ITEM-3","issue":"3","issued":{"date-parts":[["2017","12","3"]]},"page":"210.e1-210.e9","title":"MALDI-TOF/MS identification of species from the Acinetobacter baumannii (Ab) group revisited: inclusion of the novel A. seifertii and A. dijkshoorniae species","type":"article-journal","volume":"23"},"uris":["http://www.mendeley.com/documents/?uuid=81bba6df-a1e7-4f4c-8a08-9537b0720d96"]},{"id":"ITEM-4","itemData":{"DOI":"10.1099/ijs.0.000043","ISSN":"1466-5026","PMID":"25563912","abstract":"This study aimed to define the taxonomic status of a phenetically distinct group of 16 strains that corresponds to Acinetobacter genomic species 'close to 13TU', a provisional genomic species of the Acinetobacter calcoaceticus-Acinetobacter baumannii (ACB) complex recognized by Gerner-Smidt and Tjernberg in 1993. These strains have been isolated in different countries since the early 1990s and were mostly recovered from human clinical specimens. They were compared with 45 reference strains representing the known taxa of the ACB complex using taxonomic methods relevant to the genus Acinetobacter. Based on sequence analysis of the concatenated partial sequences (2976 bp) of seven housekeeping genes, the 16 strains formed a tight and well-supported cluster (intracluster sequence identity of ≥98.4 %) that was clearly separated from the other members of the ACB complex (≤94.7 %). The species status of the group was supported by average nucleotide identity values of ≤91.7 % between the whole genome sequence of representative strain NIPH 973(T) (NCBI accession no. APOO00000000) and those of the other species. In addition, whole-cell matrix-assisted laser desorption ionization-time-of-flight (MALDI-TOF) MS analyses indicated the distinctness of the group at the protein level. Metabolic and physiological tests revealed several typical features of the group, although they did not allow its reliable differentiation from the other members of the ACB complex. We conclude that the 16 strains represent a distinct novel species, for which we propose the name Acinetobacter seifertii sp. nov. The type strain is NIPH 973(T) ( = CIP 110471(T) = CCUG 34785(T) = CCM 8535(T)).","author":[{"dropping-particle":"","family":"Nemec","given":"A.","non-dropping-particle":"","parse-names":false,"suffix":""},{"dropping-particle":"","family":"Krizova","given":"L.","non-dropping-particle":"","parse-names":false,"suffix":""},{"dropping-particle":"","family":"Maixnerova","given":"M.","non-dropping-particle":"","parse-names":false,"suffix":""},{"dropping-particle":"","family":"Sedo","given":"O.","non-dropping-particle":"","parse-names":false,"suffix":""},{"dropping-particle":"","family":"Brisse","given":"S.","non-dropping-particle":"","parse-names":false,"suffix":""},{"dropping-particle":"","family":"Higgins","given":"P. G.","non-dropping-particle":"","parse-names":false,"suffix":""}],"container-title":"International Journal of Systematic and Evolutionary Microbiology","id":"ITEM-4","issue":"Pt 3","issued":{"date-parts":[["2015","3","1"]]},"page":"934-942","title":"Acinetobacter seifertii sp. nov., a member of the Acinetobacter calcoaceticus-Acinetobacter baumannii complex isolated from human clinical specimens","type":"article-journal","volume":"65"},"uris":["http://www.mendeley.com/documents/?uuid=cdda6084-a36f-39f0-8e0f-e6852b6cab1d"]},{"id":"ITEM-5","itemData":{"DOI":"10.1099/ijsem.0.001318","ISSN":"1466-5026","PMID":"27432448","abstract":"The recent advances in bacterial species identification methods have led to the rapid taxonomic diversification of the genus Acinetobacter. In the present study, phenotypic and molecular methods have been used to determine the taxonomic position of a group of 12 genotypically distinct strains belonging to the Acinetobacter calcoaceticus-Acinetobacter baumannii (ACB) complex, initially described by Gerner-Smidt and Tjernberg in 1993, that are closely related to Acinetobacter pittii. Strains characterized in this study originated mostly from human samples obtained in different countries over a period of 15 years. rpoB gene sequences and multilocus sequence typing were used for comparisons against 94 strains representing all species included in the ACB complex. Cluster analysis based on such sequences showed that all 12 strains grouped together in a distinct clade closest to Acinetobacter pittiithat was supported by bootstrap values of 99 %. Values of average nucleotide identity based on blast between the genome sequence of strain JVAP01T (NCBI accession no. LJPG00000000) and those of other species from the ACB complex were always &lt;91.2 %, supporting the species status of the group. In addition, the metabolic characteristics of the group matched those of the ACB complex and the analysis of their protein signatures by matrix-assisted laser desorption ionization time-of-flight MS identified some specific peaks. Our results support the designation of these strains as representing a novel species, for which the name Acinetobacter dijkshoorniae sp. nov. is proposed. The type strain is JVAP01T (=CECT 9134T=LMG 29605T).","author":[{"dropping-particle":"","family":"Cosgaya","given":"Clara","non-dropping-particle":"","parse-names":false,"suffix":""},{"dropping-particle":"","family":"Marí-Almirall","given":"Marta","non-dropping-particle":"","parse-names":false,"suffix":""},{"dropping-particle":"","family":"Assche","given":"Ado","non-dropping-particle":"Van","parse-names":false,"suffix":""},{"dropping-particle":"","family":"Fernández-Orth","given":"Dietmar","non-dropping-particle":"","parse-names":false,"suffix":""},{"dropping-particle":"","family":"Mosqueda","given":"Noraida","non-dropping-particle":"","parse-names":false,"suffix":""},{"dropping-particle":"","family":"Telli","given":"Murat","non-dropping-particle":"","parse-names":false,"suffix":""},{"dropping-particle":"","family":"Huys","given":"Geert","non-dropping-particle":"","parse-names":false,"suffix":""},{"dropping-particle":"","family":"Higgins","given":"Paul G","non-dropping-particle":"","parse-names":false,"suffix":""},{"dropping-particle":"","family":"Seifert","given":"Harald","non-dropping-particle":"","parse-names":false,"suffix":""},{"dropping-particle":"","family":"Lievens","given":"Bart","non-dropping-particle":"","parse-names":false,"suffix":""},{"dropping-particle":"","family":"Roca","given":"Ignasi","non-dropping-particle":"","parse-names":false,"suffix":""},{"dropping-particle":"","family":"Vila","given":"Jordi","non-dropping-particle":"","parse-names":false,"suffix":""}],"container-title":"International Journal of Systematic and Evolutionary Microbiology","id":"ITEM-5","issue":"10","issued":{"date-parts":[["2016","10","1"]]},"page":"4105-4111","title":"Acinetobacter dijkshoorniae sp. nov., a member of the Acinetobacter calcoaceticus-Acinetobacter baumannii complex mainly recovered from clinical samples in different countries","type":"article-journal","volume":"66"},"uris":["http://www.mendeley.com/documents/?uuid=7c305a8b-4274-31ea-8301-a8d4d447af87"]}],"mendeley":{"formattedCitation":"[3–7]","plainTextFormattedCitation":"[3–7]","previouslyFormattedCitation":"[3–7]"},"properties":{"noteIndex":0},"schema":"https://github.com/citation-style-language/schema/raw/master/csl-citation.json"}</w:instrText>
      </w:r>
      <w:r w:rsidR="002E2737" w:rsidRPr="00B378D9">
        <w:rPr>
          <w:noProof/>
          <w:color w:val="000000" w:themeColor="text1"/>
          <w:sz w:val="24"/>
          <w:szCs w:val="24"/>
        </w:rPr>
        <w:fldChar w:fldCharType="separate"/>
      </w:r>
      <w:r w:rsidR="00575F7D" w:rsidRPr="00B378D9">
        <w:rPr>
          <w:noProof/>
          <w:color w:val="000000" w:themeColor="text1"/>
          <w:sz w:val="24"/>
          <w:szCs w:val="24"/>
        </w:rPr>
        <w:t>[3–7]</w:t>
      </w:r>
      <w:r w:rsidR="002E2737" w:rsidRPr="00B378D9">
        <w:rPr>
          <w:noProof/>
          <w:color w:val="000000" w:themeColor="text1"/>
          <w:sz w:val="24"/>
          <w:szCs w:val="24"/>
        </w:rPr>
        <w:fldChar w:fldCharType="end"/>
      </w:r>
      <w:r w:rsidR="00575F7D" w:rsidRPr="00B378D9">
        <w:rPr>
          <w:noProof/>
          <w:color w:val="000000" w:themeColor="text1"/>
          <w:sz w:val="24"/>
          <w:szCs w:val="24"/>
        </w:rPr>
        <w:t>. A</w:t>
      </w:r>
      <w:r w:rsidR="009E6287" w:rsidRPr="00B378D9">
        <w:rPr>
          <w:noProof/>
          <w:color w:val="000000" w:themeColor="text1"/>
          <w:sz w:val="24"/>
          <w:szCs w:val="24"/>
        </w:rPr>
        <w:t xml:space="preserve">long with </w:t>
      </w:r>
      <w:r w:rsidR="009E6287" w:rsidRPr="00B378D9">
        <w:rPr>
          <w:i/>
          <w:noProof/>
          <w:color w:val="000000" w:themeColor="text1"/>
          <w:sz w:val="24"/>
          <w:szCs w:val="24"/>
        </w:rPr>
        <w:t>A. baumannii</w:t>
      </w:r>
      <w:r w:rsidR="009E6287" w:rsidRPr="00B378D9">
        <w:rPr>
          <w:noProof/>
          <w:color w:val="000000" w:themeColor="text1"/>
          <w:sz w:val="24"/>
          <w:szCs w:val="24"/>
        </w:rPr>
        <w:t xml:space="preserve"> and the soil bacterium </w:t>
      </w:r>
      <w:r w:rsidR="009E6287" w:rsidRPr="00B378D9">
        <w:rPr>
          <w:i/>
          <w:noProof/>
          <w:color w:val="000000" w:themeColor="text1"/>
          <w:sz w:val="24"/>
          <w:szCs w:val="24"/>
        </w:rPr>
        <w:t>A. calcoaceticus</w:t>
      </w:r>
      <w:r w:rsidR="009E6287" w:rsidRPr="00B378D9">
        <w:rPr>
          <w:noProof/>
          <w:color w:val="000000" w:themeColor="text1"/>
          <w:sz w:val="24"/>
          <w:szCs w:val="24"/>
        </w:rPr>
        <w:t>, these non-</w:t>
      </w:r>
      <w:r w:rsidR="009E6287" w:rsidRPr="00B378D9">
        <w:rPr>
          <w:i/>
          <w:noProof/>
          <w:color w:val="000000" w:themeColor="text1"/>
          <w:sz w:val="24"/>
          <w:szCs w:val="24"/>
        </w:rPr>
        <w:t>baumannii</w:t>
      </w:r>
      <w:r w:rsidR="009E6287" w:rsidRPr="00B378D9">
        <w:rPr>
          <w:noProof/>
          <w:color w:val="000000" w:themeColor="text1"/>
          <w:sz w:val="24"/>
          <w:szCs w:val="24"/>
        </w:rPr>
        <w:t xml:space="preserve"> acinetobacters are often grouped together as part of the </w:t>
      </w:r>
      <w:r w:rsidR="009E6287" w:rsidRPr="00B378D9">
        <w:rPr>
          <w:i/>
          <w:noProof/>
          <w:color w:val="000000" w:themeColor="text1"/>
          <w:sz w:val="24"/>
          <w:szCs w:val="24"/>
        </w:rPr>
        <w:t xml:space="preserve">A. baumannii-A. calcoaceticus </w:t>
      </w:r>
      <w:r w:rsidR="009E6287" w:rsidRPr="00B378D9">
        <w:rPr>
          <w:noProof/>
          <w:color w:val="000000" w:themeColor="text1"/>
          <w:sz w:val="24"/>
          <w:szCs w:val="24"/>
        </w:rPr>
        <w:t>(Abc) complex due to difficulties in identifying these bacteria by routine biochemical methods</w:t>
      </w:r>
      <w:r w:rsidR="002E2737" w:rsidRPr="00B378D9">
        <w:rPr>
          <w:noProof/>
          <w:color w:val="000000" w:themeColor="text1"/>
          <w:sz w:val="24"/>
          <w:szCs w:val="24"/>
        </w:rPr>
        <w:t xml:space="preserve"> </w:t>
      </w:r>
      <w:r w:rsidR="002E2737" w:rsidRPr="00B378D9">
        <w:rPr>
          <w:noProof/>
          <w:color w:val="000000" w:themeColor="text1"/>
          <w:sz w:val="24"/>
          <w:szCs w:val="24"/>
        </w:rPr>
        <w:fldChar w:fldCharType="begin" w:fldLock="1"/>
      </w:r>
      <w:r w:rsidR="00520242" w:rsidRPr="00B378D9">
        <w:rPr>
          <w:noProof/>
          <w:color w:val="000000" w:themeColor="text1"/>
          <w:sz w:val="24"/>
          <w:szCs w:val="24"/>
        </w:rPr>
        <w:instrText>ADDIN CSL_CITATION {"citationItems":[{"id":"ITEM-1","itemData":{"DOI":"10.1128/AAC.02992-14","ISSN":"0066-4804","PMID":"24820079","abstract":"The role of Acinetobacter nosocomialis and Acinetobacter pittii, which belong to the A. calcoaceticus-A. baumannii complex, in hospital-acquired infections is increasingly recognized. Here we describe a retrospective cohort study of hospital-acquired A. calcoaceticus-A. baumannii complex infections at a university hospital in Thailand. A total of 222 unique cases were identified between January 2010 and December 2011. The genomospecies of the A. calcoaceticus-A. baumannii complex isolates were classified as follows: A. baumannii, 197 (89%); A. nosocomialis, 18 (8%); and A. pittii, 7 (3%). All A. nosocomialis and A. pittii isolates were susceptible to imipenem and meropenem. The patients infected with A. nosocomialis and A. pittii had lower 30-day mortality than those infected with carbapenem-susceptible A. baumannii (P = 0.025) and carbapenem-resistant A. baumannii (P = 0.013). The factors influencing 30-day mortality were infection with non-baumannii A. calcoaceticus-A. baumannii complex (hazard ratio [HR], 0.12; 95% confidence interval [CI], 0.03 to 0.51; P = 0.004), infection with carbapenem-resistant A. baumannii (HR, 1.57; 95% CI, 0.89 to 2.79; P = 0.105), appropriate empirical antimicrobial therapy (HR, 0.38; 95% CI, 0.23 to 0.61; P &lt; 0.001), and higher acute physiology and chronic health evaluation II (APACHE II) score (HR, 1.15; 95% CI, 1.10 to 1.19; P &lt; 0.001). In Galleria mellonella assays, the survival rates were significantly higher for the larvae infected with A. nosocomialis or A. pittii than for those infected with either carbapenem-susceptible A. baumannii or carbapenem-resistant A. baumannii, but no differences in survival rates were observed between carbapenem-susceptible A. baumannii and carbapenem-resistant A. baumannii. These findings suggest intrinsic differences in virulence between non-baumannii A. calcoaceticus-A. baumannii complex species and A. baumannii but not between carbapenem-susceptible and resistant A. baumannii.","author":[{"dropping-particle":"","family":"Chusri","given":"S.","non-dropping-particle":"","parse-names":false,"suffix":""},{"dropping-particle":"","family":"Chongsuvivatwong","given":"V.","non-dropping-particle":"","parse-names":false,"suffix":""},{"dropping-particle":"","family":"Rivera","given":"J. I.","non-dropping-particle":"","parse-names":false,"suffix":""},{"dropping-particle":"","family":"Silpapojakul","given":"K.","non-dropping-particle":"","parse-names":false,"suffix":""},{"dropping-particle":"","family":"Singkhamanan","given":"K.","non-dropping-particle":"","parse-names":false,"suffix":""},{"dropping-particle":"","family":"McNeil","given":"E.","non-dropping-particle":"","parse-names":false,"suffix":""},{"dropping-particle":"","family":"Doi","given":"Y.","non-dropping-particle":"","parse-names":false,"suffix":""}],"container-title":"Antimicrobial Agents and Chemotherapy","id":"ITEM-1","issue":"7","issued":{"date-parts":[["2014","7","1"]]},"page":"4172-4179","title":"Clinical Outcomes of Hospital-Acquired Infection with Acinetobacter nosocomialis and Acinetobacter pittii","type":"article-journal","volume":"58"},"uris":["http://www.mendeley.com/documents/?uuid=af00be63-3cf7-39d2-9707-645e979858c4"]},{"id":"ITEM-2","itemData":{"DOI":"10.1016/j.cmi.2016.11.020","ISSN":"14690691","PMID":"27919649","abstract":"Objectives Rapid identification of Acinetobacter species is critical as members of the A.??baumannii (Ab) group differ in antibiotic susceptibility and clinical outcomes. A.??baumannii, A.??pittii, and A.??nosocomialis can be identified by MALDI-TOF/MS, while the novel species A.??seifertii and A.??dijkshoorniae cannot. Low identification rates for A.??nosocomialis also have been reported. We evaluated the use of MALDI-TOF/MS to identify isolates of A.??seifertii and A.??dijkshoorniae and revisited the identification of A.??nosocomialis to update the Bruker taxonomy database. Methods Species characterization was performed by rpoB-clustering and MLSA. MALDI-TOF/MS spectra were recovered from formic acid/acetonitrile bacterial extracts overlaid with ??-cyano-4-hydroxy-cinnamic acid matrix on a MicroflexLT in linear positive mode and 2000???20 000 m/z range mass. Spectra were examined with the ClinProTools v2.2 software. Mean spectra (MSP) were created with the BioTyper software. Results Seventy-eight Acinetobacter isolates representative of the Ab group were used to calculate the average spectra/species and generate pattern recognition models. Species-specific peaks were identified for all species, and MSPs derived from three A.??seifertii, two A.??dijkshoorniae, and two A.??nosocomialis strains were added to the Bruker taxonomy database, allowing successful identification of all isolates using spectra from either bacterial extracts or direct colonies, resulting in a positive predictive value (PPV) of 99.6% (777/780) and 96.8% (302/312), respectively. Conclusions The use of post-processing data software identified statistically significant species-specific peaks to generate reference signatures for rapid accurate identification of species within the Ab group, providing relevant information for the clinical management of Acinetobacter infections.","author":[{"dropping-particle":"","family":"Marí-Almirall","given":"M.","non-dropping-particle":"","parse-names":false,"suffix":""},{"dropping-particle":"","family":"Cosgaya","given":"C.","non-dropping-particle":"","parse-names":false,"suffix":""},{"dropping-particle":"","family":"Higgins","given":"P. G.","non-dropping-particle":"","parse-names":false,"suffix":""},{"dropping-particle":"","family":"Assche","given":"A.","non-dropping-particle":"Van","parse-names":false,"suffix":""},{"dropping-particle":"","family":"Telli","given":"M.","non-dropping-particle":"","parse-names":false,"suffix":""},{"dropping-particle":"","family":"Huys","given":"G.","non-dropping-particle":"","parse-names":false,"suffix":""},{"dropping-particle":"","family":"Lievens","given":"B.","non-dropping-particle":"","parse-names":false,"suffix":""},{"dropping-particle":"","family":"Seifert","given":"H.","non-dropping-particle":"","parse-names":false,"suffix":""},{"dropping-particle":"","family":"Dijkshoorn","given":"L.","non-dropping-particle":"","parse-names":false,"suffix":""},{"dropping-particle":"","family":"Roca","given":"I.","non-dropping-particle":"","parse-names":false,"suffix":""},{"dropping-particle":"","family":"Vila","given":"Jordi","non-dropping-particle":"","parse-names":false,"suffix":""}],"container-title":"Clinical Microbiology and Infection","id":"ITEM-2","issue":"3","issued":{"date-parts":[["2017","12","3"]]},"page":"210.e1-210.e9","title":"MALDI-TOF/MS identification of species from the Acinetobacter baumannii (Ab) group revisited: inclusion of the novel A. seifertii and A. dijkshoorniae species","type":"article-journal","volume":"23"},"uris":["http://www.mendeley.com/documents/?uuid=81bba6df-a1e7-4f4c-8a08-9537b0720d96"]}],"mendeley":{"formattedCitation":"[3, 5]","plainTextFormattedCitation":"[3, 5]","previouslyFormattedCitation":"[3, 5]"},"properties":{"noteIndex":0},"schema":"https://github.com/citation-style-language/schema/raw/master/csl-citation.json"}</w:instrText>
      </w:r>
      <w:r w:rsidR="002E2737" w:rsidRPr="00B378D9">
        <w:rPr>
          <w:noProof/>
          <w:color w:val="000000" w:themeColor="text1"/>
          <w:sz w:val="24"/>
          <w:szCs w:val="24"/>
        </w:rPr>
        <w:fldChar w:fldCharType="separate"/>
      </w:r>
      <w:r w:rsidR="005C4C76" w:rsidRPr="00B378D9">
        <w:rPr>
          <w:noProof/>
          <w:color w:val="000000" w:themeColor="text1"/>
          <w:sz w:val="24"/>
          <w:szCs w:val="24"/>
        </w:rPr>
        <w:t>[3, 5]</w:t>
      </w:r>
      <w:r w:rsidR="002E2737" w:rsidRPr="00B378D9">
        <w:rPr>
          <w:noProof/>
          <w:color w:val="000000" w:themeColor="text1"/>
          <w:sz w:val="24"/>
          <w:szCs w:val="24"/>
        </w:rPr>
        <w:fldChar w:fldCharType="end"/>
      </w:r>
      <w:r w:rsidR="009E6287" w:rsidRPr="00B378D9">
        <w:rPr>
          <w:noProof/>
          <w:color w:val="000000" w:themeColor="text1"/>
          <w:sz w:val="24"/>
          <w:szCs w:val="24"/>
        </w:rPr>
        <w:t xml:space="preserve">. </w:t>
      </w:r>
      <w:r w:rsidR="00B91794" w:rsidRPr="00B378D9">
        <w:rPr>
          <w:noProof/>
          <w:color w:val="000000" w:themeColor="text1"/>
          <w:sz w:val="24"/>
          <w:szCs w:val="24"/>
        </w:rPr>
        <w:t>Besides the Abc complex, other non-</w:t>
      </w:r>
      <w:r w:rsidR="00B91794" w:rsidRPr="00B378D9">
        <w:rPr>
          <w:i/>
          <w:noProof/>
          <w:color w:val="000000" w:themeColor="text1"/>
          <w:sz w:val="24"/>
          <w:szCs w:val="24"/>
        </w:rPr>
        <w:t>baumannii</w:t>
      </w:r>
      <w:r w:rsidR="004A2462" w:rsidRPr="00B378D9">
        <w:rPr>
          <w:noProof/>
          <w:color w:val="000000" w:themeColor="text1"/>
          <w:sz w:val="24"/>
          <w:szCs w:val="24"/>
        </w:rPr>
        <w:t xml:space="preserve"> a</w:t>
      </w:r>
      <w:r w:rsidR="00B91794" w:rsidRPr="00B378D9">
        <w:rPr>
          <w:noProof/>
          <w:color w:val="000000" w:themeColor="text1"/>
          <w:sz w:val="24"/>
          <w:szCs w:val="24"/>
        </w:rPr>
        <w:t xml:space="preserve">cinetobacters such as </w:t>
      </w:r>
      <w:r w:rsidR="00B91794" w:rsidRPr="00B378D9">
        <w:rPr>
          <w:i/>
          <w:noProof/>
          <w:color w:val="000000" w:themeColor="text1"/>
          <w:sz w:val="24"/>
          <w:szCs w:val="24"/>
        </w:rPr>
        <w:t>A. lwoffii</w:t>
      </w:r>
      <w:r w:rsidR="00B91794" w:rsidRPr="00B378D9">
        <w:rPr>
          <w:noProof/>
          <w:color w:val="000000" w:themeColor="text1"/>
          <w:sz w:val="24"/>
          <w:szCs w:val="24"/>
        </w:rPr>
        <w:t xml:space="preserve">, </w:t>
      </w:r>
      <w:r w:rsidR="00B91794" w:rsidRPr="00B378D9">
        <w:rPr>
          <w:i/>
          <w:noProof/>
          <w:color w:val="000000" w:themeColor="text1"/>
          <w:sz w:val="24"/>
          <w:szCs w:val="24"/>
        </w:rPr>
        <w:t>A. ursingii</w:t>
      </w:r>
      <w:r w:rsidR="00B91794" w:rsidRPr="00B378D9">
        <w:rPr>
          <w:noProof/>
          <w:color w:val="000000" w:themeColor="text1"/>
          <w:sz w:val="24"/>
          <w:szCs w:val="24"/>
        </w:rPr>
        <w:t xml:space="preserve">, </w:t>
      </w:r>
      <w:r w:rsidR="00B91794" w:rsidRPr="00B378D9">
        <w:rPr>
          <w:i/>
          <w:noProof/>
          <w:color w:val="000000" w:themeColor="text1"/>
          <w:sz w:val="24"/>
          <w:szCs w:val="24"/>
        </w:rPr>
        <w:t>A. johnsonii</w:t>
      </w:r>
      <w:r w:rsidR="00B91794" w:rsidRPr="00B378D9">
        <w:rPr>
          <w:noProof/>
          <w:color w:val="000000" w:themeColor="text1"/>
          <w:sz w:val="24"/>
          <w:szCs w:val="24"/>
        </w:rPr>
        <w:t xml:space="preserve">, </w:t>
      </w:r>
      <w:r w:rsidR="00B91794" w:rsidRPr="00B378D9">
        <w:rPr>
          <w:i/>
          <w:noProof/>
          <w:color w:val="000000" w:themeColor="text1"/>
          <w:sz w:val="24"/>
          <w:szCs w:val="24"/>
        </w:rPr>
        <w:t>A. haemolyticus</w:t>
      </w:r>
      <w:r w:rsidR="00B91794" w:rsidRPr="00B378D9">
        <w:rPr>
          <w:noProof/>
          <w:color w:val="000000" w:themeColor="text1"/>
          <w:sz w:val="24"/>
          <w:szCs w:val="24"/>
        </w:rPr>
        <w:t xml:space="preserve">, </w:t>
      </w:r>
      <w:r w:rsidR="00B91794" w:rsidRPr="00B378D9">
        <w:rPr>
          <w:i/>
          <w:noProof/>
          <w:color w:val="000000" w:themeColor="text1"/>
          <w:sz w:val="24"/>
          <w:szCs w:val="24"/>
        </w:rPr>
        <w:t>A. berezeniae</w:t>
      </w:r>
      <w:r w:rsidR="00B91794" w:rsidRPr="00B378D9">
        <w:rPr>
          <w:noProof/>
          <w:color w:val="000000" w:themeColor="text1"/>
          <w:sz w:val="24"/>
          <w:szCs w:val="24"/>
        </w:rPr>
        <w:t xml:space="preserve"> and </w:t>
      </w:r>
      <w:r w:rsidR="00171821" w:rsidRPr="00B378D9">
        <w:rPr>
          <w:i/>
          <w:noProof/>
          <w:color w:val="000000" w:themeColor="text1"/>
          <w:sz w:val="24"/>
          <w:szCs w:val="24"/>
        </w:rPr>
        <w:t>A. parvu</w:t>
      </w:r>
      <w:r w:rsidR="00B91794" w:rsidRPr="00B378D9">
        <w:rPr>
          <w:i/>
          <w:noProof/>
          <w:color w:val="000000" w:themeColor="text1"/>
          <w:sz w:val="24"/>
          <w:szCs w:val="24"/>
        </w:rPr>
        <w:t>s</w:t>
      </w:r>
      <w:r w:rsidR="00B91794" w:rsidRPr="00B378D9">
        <w:rPr>
          <w:noProof/>
          <w:color w:val="000000" w:themeColor="text1"/>
          <w:sz w:val="24"/>
          <w:szCs w:val="24"/>
        </w:rPr>
        <w:t xml:space="preserve"> have been found to be clinically relevant</w:t>
      </w:r>
      <w:r w:rsidR="002E2737" w:rsidRPr="00B378D9">
        <w:rPr>
          <w:noProof/>
          <w:color w:val="000000" w:themeColor="text1"/>
          <w:sz w:val="24"/>
          <w:szCs w:val="24"/>
        </w:rPr>
        <w:t xml:space="preserve"> </w:t>
      </w:r>
      <w:r w:rsidR="002E2737"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{"citationItems":[{"id":"ITEM-1","itemData":{"DOI":"10.1128/JCM.02467-09","ISSN":"1098-660X","PMID":"20181894","abstract":"Six hundred ninety nonduplicate isolates of Acinetobacter species were identified using a combination of detection of bla(OXA-51-like) and rpoB sequence cluster analysis. Although most isolates were identified as A. baumannii (78%), significant numbers of other species, particularly A. lwoffii/genomic species 9 (8.8%), A. ursingii (4%), genomic species 3 (1.7%), and A. johnsonii (1.7%), were received, often associated with bacteremias.","author":[{"dropping-particle":"","family":"Turton","given":"Jane F","non-dropping-particle":"","parse-names":false,"suffix":""},{"dropping-particle":"","family":"Shah","given":"Jayesh","non-dropping-particle":"","parse-names":false,"suffix":""},{"dropping-particle":"","family":"Ozongwu","given":"Chika","non-dropping-particle":"","parse-names":false,"suffix":""},{"dropping-particle":"","family":"Pike","given":"Rachel","non-dropping-particle":"","parse-names":false,"suffix":""}],"container-title":"Journal of clinical microbiology","id":"ITEM-1","issue":"4","issued":{"date-parts":[["2010","4"]]},"page":"1445-1449","publisher":"American Society for Microbiology (ASM)","title":"Incidence of Acinetobacter species other than A. baumannii among clinical isolates of Acinetobacter: evidence for emerging species.","type":"article-journal","volume":"48"},"uris":["http://www.mendeley.com/documents/?uuid=a2427413-c04e-37d5-aaf0-1bf14c1b2bb5"]},{"id":"ITEM-2","itemData":{"PMID":"27312551","abstract":"Molecular methods have the potential to improve the speed and accuracy of Acinetobacter species identification in clinical settings. The goal of this study is to develop species-specific PCR assays based on differences in the RNA polymerase beta-subunit gene (rpoB) to detect nine commonly isolated Acinetobacter species including Acinetobacter baumannii, Acinetobacter calcoaceticus, Acinetobacter pittii, Acinetobacter nosocomialis, Acinetobacter lwoffii, Acinetobacter ursingii, Acinetobacter bereziniae, Acinetobacter haemolyticus, and Acinetobacter schindleri. The sensitivity and specificity of these nine assays were measured using genomic DNA templates from 55 reference strains and from 474 Acinetobacter clinical isolates. The sensitivity of A. baumannii-specific PCR assay was 98.9%, and the sensitivity of species-specific PCR assays for all other species was 100%. The specificities of A. lwoffii- and A. schindleri-specific PCR were 97.8 and 98.9%, respectively. The specificity of species-specific PCR for all other tested Acinetobacter species was 100%. The lower limit of detection for the nine species-specific PCR assays developed in this study was 20 or 200 pg of genomic DNA from type strains of each species. The Acinetobacter species-specific PCR assay would be useful to determine the correct species among suggested candidate Acinetobacter species when conventional methods including MALDI-TOF MS identify Acinetobacter only to the genus level. The species-specific assay can be used to screen large numbers of clinical and environmental samples obtained for epidemiologic study of Acinetobacter for the presence of target species.","author":[{"dropping-particle":"","family":"Li","given":"Xue Min","non-dropping-particle":"","parse-names":false,"suffix":""},{"dropping-particle":"","family":"Choi","given":"Ji Ae","non-dropping-particle":"","parse-names":false,"suffix":""},{"dropping-particle":"","family":"Choi","given":"In Sun","non-dropping-particle":"","parse-names":false,"suffix":""},{"dropping-particle":"","family":"Kook","given":"Joong Ki","non-dropping-particle":"","parse-names":false,"suffix":""},{"dropping-particle":"","family":"Chang","given":"Young-Hyo","non-dropping-particle":"","parse-names":false,"suffix":""},{"dropping-particle":"","family":"Park","given":"Geon","non-dropping-particle":"","parse-names":false,"suffix":""},{"dropping-particle":"","family":"Jang","given":"Sook Jin","non-dropping-particle":"","parse-names":false,"suffix":""},{"dropping-particle":"","family":"Kang","given":"Seong Ho","non-dropping-particle":"","parse-names":false,"suffix":""},{"dropping-particle":"","family":"Moon","given":"Dae Soo","non-dropping-particle":"","parse-names":false,"suffix":""}],"container-title":"Annals of clinical and laboratory science","id":"ITEM-2","issue":"3","issued":{"date-parts":[["2016","5"]]},"page":"270-278","title":"Development and Evaluation of Species-Specific PCR for Detection of Nine Acinetobacter Species.","type":"article-journal","volume":"46"},"uris":["http://www.mendeley.com/documents/?uuid=b9c0869e-7c5b-36de-891a-787d41d240bb"]}],"mendeley":{"formattedCitation":"[8, 9]","plainTextFormattedCitation":"[8, 9]","previouslyFormattedCitation":"[8, 9]"},"properties":{"noteIndex":0},"schema":"https://github.com/citation-style-language/schema/raw/master/csl-citation.json"}</w:instrText>
      </w:r>
      <w:r w:rsidR="002E2737" w:rsidRPr="00B378D9">
        <w:rPr>
          <w:noProof/>
          <w:color w:val="000000" w:themeColor="text1"/>
          <w:sz w:val="24"/>
          <w:szCs w:val="24"/>
        </w:rPr>
        <w:fldChar w:fldCharType="separate"/>
      </w:r>
      <w:r w:rsidR="00575F7D" w:rsidRPr="00B378D9">
        <w:rPr>
          <w:noProof/>
          <w:color w:val="000000" w:themeColor="text1"/>
          <w:sz w:val="24"/>
          <w:szCs w:val="24"/>
        </w:rPr>
        <w:t>[8, 9]</w:t>
      </w:r>
      <w:r w:rsidR="002E2737" w:rsidRPr="00B378D9">
        <w:rPr>
          <w:noProof/>
          <w:color w:val="000000" w:themeColor="text1"/>
          <w:sz w:val="24"/>
          <w:szCs w:val="24"/>
        </w:rPr>
        <w:fldChar w:fldCharType="end"/>
      </w:r>
      <w:r w:rsidR="002E2737" w:rsidRPr="00B378D9">
        <w:rPr>
          <w:noProof/>
          <w:color w:val="000000" w:themeColor="text1"/>
          <w:sz w:val="24"/>
          <w:szCs w:val="24"/>
        </w:rPr>
        <w:t xml:space="preserve">. </w:t>
      </w:r>
      <w:r w:rsidR="00397000" w:rsidRPr="00B378D9">
        <w:rPr>
          <w:noProof/>
          <w:color w:val="000000" w:themeColor="text1"/>
          <w:sz w:val="24"/>
          <w:szCs w:val="24"/>
        </w:rPr>
        <w:t>The List of Prokaryotic names with Standing in Nomenclature (LPSN)</w:t>
      </w:r>
      <w:r w:rsidR="007F148C" w:rsidRPr="00B378D9">
        <w:rPr>
          <w:noProof/>
          <w:color w:val="000000" w:themeColor="text1"/>
          <w:sz w:val="24"/>
          <w:szCs w:val="24"/>
        </w:rPr>
        <w:t xml:space="preserve"> </w:t>
      </w:r>
      <w:r w:rsidR="007F148C"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{"citationItems":[{"id":"ITEM-1","itemData":{"DOI":"10.1099/ijsem.0.002786","ISSN":"1466-5026","PMID":"29724269","abstract":"The List of Prokaryotic Names with Standing in Nomenclature (LPSN) was established in 1997 as the List of Bacterial Names with Standing in Nomenclature (LBSN); it quickly became a key online resource for anyone interested in bacterial and archaeal nomenclature and classification. This review looks at numbers of prokaryotic names published since the Approved Lists of Bacterial Names, current usage of LPSN and future developments.","author":[{"dropping-particle":"","family":"Parte","given":"Aidan C.","non-dropping-particle":"","parse-names":false,"suffix":""}],"container-title":"International Journal of Systematic and Evolutionary Microbiology","id":"ITEM-1","issue":"6","issued":{"date-parts":[["2018"]]},"page":"1825-1829","title":"LPSN – List of Prokaryotic names with Standing in Nomenclature (bacterio.net), 20 years on","type":"article-journal","volume":"68"},"uris":["http://www.mendeley.com/documents/?uuid=a5b96aab-e171-4a16-9afe-f2d99faf1845"]}],"mendeley":{"formattedCitation":"[10]","plainTextFormattedCitation":"[10]","previouslyFormattedCitation":"[10]"},"properties":{"noteIndex":0},"schema":"https://github.com/citation-style-language/schema/raw/master/csl-citation.json"}</w:instrText>
      </w:r>
      <w:r w:rsidR="007F148C" w:rsidRPr="00B378D9">
        <w:rPr>
          <w:noProof/>
          <w:color w:val="000000" w:themeColor="text1"/>
          <w:sz w:val="24"/>
          <w:szCs w:val="24"/>
        </w:rPr>
        <w:fldChar w:fldCharType="separate"/>
      </w:r>
      <w:r w:rsidR="00575F7D" w:rsidRPr="00B378D9">
        <w:rPr>
          <w:noProof/>
          <w:color w:val="000000" w:themeColor="text1"/>
          <w:sz w:val="24"/>
          <w:szCs w:val="24"/>
        </w:rPr>
        <w:t>[10]</w:t>
      </w:r>
      <w:r w:rsidR="007F148C" w:rsidRPr="00B378D9">
        <w:rPr>
          <w:noProof/>
          <w:color w:val="000000" w:themeColor="text1"/>
          <w:sz w:val="24"/>
          <w:szCs w:val="24"/>
        </w:rPr>
        <w:fldChar w:fldCharType="end"/>
      </w:r>
      <w:r w:rsidR="007F148C" w:rsidRPr="00B378D9">
        <w:rPr>
          <w:noProof/>
          <w:color w:val="000000" w:themeColor="text1"/>
          <w:sz w:val="24"/>
          <w:szCs w:val="24"/>
        </w:rPr>
        <w:t xml:space="preserve"> currently </w:t>
      </w:r>
      <w:r w:rsidR="007F148C" w:rsidRPr="00B378D9">
        <w:rPr>
          <w:noProof/>
          <w:color w:val="000000" w:themeColor="text1"/>
          <w:sz w:val="24"/>
          <w:szCs w:val="24"/>
          <w:lang w:val="en-GB"/>
        </w:rPr>
        <w:t>lists</w:t>
      </w:r>
      <w:r w:rsidR="007F148C" w:rsidRPr="00B378D9">
        <w:rPr>
          <w:noProof/>
          <w:color w:val="000000" w:themeColor="text1"/>
          <w:sz w:val="24"/>
          <w:szCs w:val="24"/>
        </w:rPr>
        <w:t xml:space="preserve"> a total of 62 described </w:t>
      </w:r>
      <w:r w:rsidR="007F148C" w:rsidRPr="00B378D9">
        <w:rPr>
          <w:i/>
          <w:noProof/>
          <w:color w:val="000000" w:themeColor="text1"/>
          <w:sz w:val="24"/>
          <w:szCs w:val="24"/>
        </w:rPr>
        <w:t>Acinetobacter</w:t>
      </w:r>
      <w:r w:rsidR="007F148C" w:rsidRPr="00B378D9">
        <w:rPr>
          <w:noProof/>
          <w:color w:val="000000" w:themeColor="text1"/>
          <w:sz w:val="24"/>
          <w:szCs w:val="24"/>
        </w:rPr>
        <w:t xml:space="preserve"> species (including synonyms) </w:t>
      </w:r>
      <w:r w:rsidR="007F148C"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URL":"http://www.bacterio.net/acinetobacter.html","accessed":{"date-parts":[["2018","7","18"]]},"author":[{"dropping-particle":"","family":"LPSN","given":"","non-dropping-particle":"","parse-names":false,"suffix":""}],"container-title":"List of prokaryotic names with standing in nomenclature","id":"ITEM-1","issued":{"date-parts":[["2018"]]},"title":"Genus Acinetobacter","type":"webpage"},"uris":["http://www.mendeley.com/documents/?uuid=971668c4-fc97-4ef6-a727-d27a24c90520"]}],"mendeley":{"formattedCitation":"[11]","plainTextFormattedCitation":"[11]","previouslyFormattedCitation":"[11]"},"properties":{"noteIndex":0},"schema":"https://github.com/citation-style-language/schema/raw/master/csl-citation.json"}</w:instrText>
      </w:r>
      <w:r w:rsidR="007F148C" w:rsidRPr="00B378D9">
        <w:rPr>
          <w:noProof/>
          <w:color w:val="000000" w:themeColor="text1"/>
          <w:sz w:val="24"/>
          <w:szCs w:val="24"/>
        </w:rPr>
        <w:fldChar w:fldCharType="separate"/>
      </w:r>
      <w:r w:rsidR="00575F7D" w:rsidRPr="00B378D9">
        <w:rPr>
          <w:noProof/>
          <w:color w:val="000000" w:themeColor="text1"/>
          <w:sz w:val="24"/>
          <w:szCs w:val="24"/>
        </w:rPr>
        <w:t>[11]</w:t>
      </w:r>
      <w:r w:rsidR="007F148C" w:rsidRPr="00B378D9">
        <w:rPr>
          <w:noProof/>
          <w:color w:val="000000" w:themeColor="text1"/>
          <w:sz w:val="24"/>
          <w:szCs w:val="24"/>
        </w:rPr>
        <w:fldChar w:fldCharType="end"/>
      </w:r>
      <w:r w:rsidR="007F148C" w:rsidRPr="00B378D9">
        <w:rPr>
          <w:noProof/>
          <w:color w:val="000000" w:themeColor="text1"/>
          <w:sz w:val="24"/>
          <w:szCs w:val="24"/>
        </w:rPr>
        <w:t>.</w:t>
      </w:r>
      <w:r w:rsidR="00575F7D" w:rsidRPr="00B378D9">
        <w:rPr>
          <w:noProof/>
          <w:color w:val="000000" w:themeColor="text1"/>
          <w:sz w:val="24"/>
          <w:szCs w:val="24"/>
        </w:rPr>
        <w:t xml:space="preserve"> </w:t>
      </w:r>
      <w:r w:rsidR="00473601" w:rsidRPr="00B378D9">
        <w:rPr>
          <w:noProof/>
          <w:color w:val="000000" w:themeColor="text1"/>
          <w:sz w:val="24"/>
          <w:szCs w:val="24"/>
        </w:rPr>
        <w:t xml:space="preserve">Precise knowledge on </w:t>
      </w:r>
      <w:r w:rsidR="003B0901" w:rsidRPr="00B378D9">
        <w:rPr>
          <w:noProof/>
          <w:color w:val="000000" w:themeColor="text1"/>
          <w:sz w:val="24"/>
          <w:szCs w:val="24"/>
        </w:rPr>
        <w:t xml:space="preserve">the </w:t>
      </w:r>
      <w:r w:rsidR="00473601" w:rsidRPr="00B378D9">
        <w:rPr>
          <w:noProof/>
          <w:color w:val="000000" w:themeColor="text1"/>
          <w:sz w:val="24"/>
          <w:szCs w:val="24"/>
        </w:rPr>
        <w:t>pathogenicity and occu</w:t>
      </w:r>
      <w:r w:rsidR="003B0901" w:rsidRPr="00B378D9">
        <w:rPr>
          <w:noProof/>
          <w:color w:val="000000" w:themeColor="text1"/>
          <w:sz w:val="24"/>
          <w:szCs w:val="24"/>
        </w:rPr>
        <w:t>r</w:t>
      </w:r>
      <w:r w:rsidR="00473601" w:rsidRPr="00B378D9">
        <w:rPr>
          <w:noProof/>
          <w:color w:val="000000" w:themeColor="text1"/>
          <w:sz w:val="24"/>
          <w:szCs w:val="24"/>
        </w:rPr>
        <w:t xml:space="preserve">rence of </w:t>
      </w:r>
      <w:r w:rsidR="00473601" w:rsidRPr="00B378D9">
        <w:rPr>
          <w:i/>
          <w:noProof/>
          <w:color w:val="000000" w:themeColor="text1"/>
          <w:sz w:val="24"/>
          <w:szCs w:val="24"/>
        </w:rPr>
        <w:t>Acinetobacter</w:t>
      </w:r>
      <w:r w:rsidR="00473601" w:rsidRPr="00B378D9">
        <w:rPr>
          <w:noProof/>
          <w:color w:val="000000" w:themeColor="text1"/>
          <w:sz w:val="24"/>
          <w:szCs w:val="24"/>
        </w:rPr>
        <w:t xml:space="preserve"> species is </w:t>
      </w:r>
      <w:r w:rsidR="003B0901" w:rsidRPr="00B378D9">
        <w:rPr>
          <w:noProof/>
          <w:color w:val="000000" w:themeColor="text1"/>
          <w:sz w:val="24"/>
          <w:szCs w:val="24"/>
        </w:rPr>
        <w:t xml:space="preserve">currently </w:t>
      </w:r>
      <w:r w:rsidR="00473601" w:rsidRPr="00B378D9">
        <w:rPr>
          <w:noProof/>
          <w:color w:val="000000" w:themeColor="text1"/>
          <w:sz w:val="24"/>
          <w:szCs w:val="24"/>
        </w:rPr>
        <w:t xml:space="preserve">limited due to the fact that </w:t>
      </w:r>
      <w:r w:rsidR="003E4EF0" w:rsidRPr="00B378D9">
        <w:rPr>
          <w:noProof/>
          <w:color w:val="000000" w:themeColor="text1"/>
          <w:sz w:val="24"/>
          <w:szCs w:val="24"/>
        </w:rPr>
        <w:t xml:space="preserve">its </w:t>
      </w:r>
      <w:r w:rsidR="00473601" w:rsidRPr="00B378D9">
        <w:rPr>
          <w:noProof/>
          <w:color w:val="000000" w:themeColor="text1"/>
          <w:sz w:val="24"/>
          <w:szCs w:val="24"/>
        </w:rPr>
        <w:t>taxonom</w:t>
      </w:r>
      <w:r w:rsidR="003B0901" w:rsidRPr="00B378D9">
        <w:rPr>
          <w:noProof/>
          <w:color w:val="000000" w:themeColor="text1"/>
          <w:sz w:val="24"/>
          <w:szCs w:val="24"/>
        </w:rPr>
        <w:t>ic description</w:t>
      </w:r>
      <w:r w:rsidR="00473601" w:rsidRPr="00B378D9">
        <w:rPr>
          <w:noProof/>
          <w:color w:val="000000" w:themeColor="text1"/>
          <w:sz w:val="24"/>
          <w:szCs w:val="24"/>
        </w:rPr>
        <w:t xml:space="preserve"> has undergone many changes over recent decades, while methods</w:t>
      </w:r>
      <w:r w:rsidR="00797CF7" w:rsidRPr="00B378D9">
        <w:rPr>
          <w:noProof/>
          <w:color w:val="000000" w:themeColor="text1"/>
          <w:sz w:val="24"/>
          <w:szCs w:val="24"/>
        </w:rPr>
        <w:t xml:space="preserve"> for </w:t>
      </w:r>
      <w:r w:rsidR="003B0901" w:rsidRPr="00B378D9">
        <w:rPr>
          <w:noProof/>
          <w:color w:val="000000" w:themeColor="text1"/>
          <w:sz w:val="24"/>
          <w:szCs w:val="24"/>
        </w:rPr>
        <w:t xml:space="preserve">the </w:t>
      </w:r>
      <w:r w:rsidR="00797CF7" w:rsidRPr="00B378D9">
        <w:rPr>
          <w:noProof/>
          <w:color w:val="000000" w:themeColor="text1"/>
          <w:sz w:val="24"/>
          <w:szCs w:val="24"/>
        </w:rPr>
        <w:t xml:space="preserve">identification of newly described species have lagged behind or were not applicable in applied microbiology. </w:t>
      </w:r>
    </w:p>
    <w:p w14:paraId="14373603" w14:textId="184B1FC6" w:rsidR="002C518B" w:rsidRPr="00B378D9" w:rsidRDefault="00436044" w:rsidP="00B91794">
      <w:pPr>
        <w:spacing w:line="480" w:lineRule="auto"/>
        <w:ind w:left="0" w:firstLine="708"/>
        <w:rPr>
          <w:noProof/>
          <w:color w:val="000000" w:themeColor="text1"/>
          <w:sz w:val="24"/>
          <w:szCs w:val="24"/>
        </w:rPr>
      </w:pPr>
      <w:r w:rsidRPr="00B378D9">
        <w:rPr>
          <w:noProof/>
          <w:color w:val="000000" w:themeColor="text1"/>
          <w:sz w:val="24"/>
          <w:szCs w:val="24"/>
        </w:rPr>
        <w:t xml:space="preserve">Epidemiological and clinical studies of </w:t>
      </w:r>
      <w:r w:rsidRPr="00B378D9">
        <w:rPr>
          <w:i/>
          <w:noProof/>
          <w:color w:val="000000" w:themeColor="text1"/>
          <w:sz w:val="24"/>
          <w:szCs w:val="24"/>
        </w:rPr>
        <w:t>Acinetobacter</w:t>
      </w:r>
      <w:r w:rsidRPr="00B378D9">
        <w:rPr>
          <w:noProof/>
          <w:color w:val="000000" w:themeColor="text1"/>
          <w:sz w:val="24"/>
          <w:szCs w:val="24"/>
        </w:rPr>
        <w:t xml:space="preserve"> spp. often investigate the Abc complex as a single entity, which is practical, but limits the ability to differentiate the clinical features of infections due to </w:t>
      </w:r>
      <w:r w:rsidRPr="00B378D9">
        <w:rPr>
          <w:i/>
          <w:noProof/>
          <w:color w:val="000000" w:themeColor="text1"/>
          <w:sz w:val="24"/>
          <w:szCs w:val="24"/>
        </w:rPr>
        <w:t>A. baumannii</w:t>
      </w:r>
      <w:r w:rsidRPr="00B378D9">
        <w:rPr>
          <w:noProof/>
          <w:color w:val="000000" w:themeColor="text1"/>
          <w:sz w:val="24"/>
          <w:szCs w:val="24"/>
        </w:rPr>
        <w:t xml:space="preserve"> and non</w:t>
      </w:r>
      <w:r w:rsidRPr="00B378D9">
        <w:rPr>
          <w:noProof/>
          <w:color w:val="000000" w:themeColor="text1"/>
          <w:sz w:val="24"/>
          <w:szCs w:val="24"/>
        </w:rPr>
        <w:softHyphen/>
        <w:t>-</w:t>
      </w:r>
      <w:r w:rsidRPr="00B378D9">
        <w:rPr>
          <w:i/>
          <w:noProof/>
          <w:color w:val="000000" w:themeColor="text1"/>
          <w:sz w:val="24"/>
          <w:szCs w:val="24"/>
        </w:rPr>
        <w:t>baumannii</w:t>
      </w:r>
      <w:r w:rsidRPr="00B378D9">
        <w:rPr>
          <w:noProof/>
          <w:color w:val="000000" w:themeColor="text1"/>
          <w:sz w:val="24"/>
          <w:szCs w:val="24"/>
        </w:rPr>
        <w:t xml:space="preserve"> isolates </w:t>
      </w:r>
      <w:r w:rsidRPr="00B378D9">
        <w:rPr>
          <w:noProof/>
          <w:color w:val="000000" w:themeColor="text1"/>
          <w:sz w:val="24"/>
          <w:szCs w:val="24"/>
        </w:rPr>
        <w:fldChar w:fldCharType="begin" w:fldLock="1"/>
      </w:r>
      <w:r w:rsidR="00520242" w:rsidRPr="00B378D9">
        <w:rPr>
          <w:noProof/>
          <w:color w:val="000000" w:themeColor="text1"/>
          <w:sz w:val="24"/>
          <w:szCs w:val="24"/>
        </w:rPr>
        <w:instrText>ADDIN CSL_CITATION {"citationItems":[{"id":"ITEM-1","itemData":{"DOI":"10.1128/AAC.02992-14","ISSN":"0066-4804","PMID":"24820079","abstract":"The role of Acinetobacter nosocomialis and Acinetobacter pittii, which belong to the A. calcoaceticus-A. baumannii complex, in hospital-acquired infections is increasingly recognized. Here we describe a retrospective cohort study of hospital-acquired A. calcoaceticus-A. baumannii complex infections at a university hospital in Thailand. A total of 222 unique cases were identified between January 2010 and December 2011. The genomospecies of the A. calcoaceticus-A. baumannii complex isolates were classified as follows: A. baumannii, 197 (89%); A. nosocomialis, 18 (8%); and A. pittii, 7 (3%). All A. nosocomialis and A. pittii isolates were susceptible to imipenem and meropenem. The patients infected with A. nosocomialis and A. pittii had lower 30-day mortality than those infected with carbapenem-susceptible A. baumannii (P = 0.025) and carbapenem-resistant A. baumannii (P = 0.013). The factors influencing 30-day mortality were infection with non-baumannii A. calcoaceticus-A. baumannii complex (hazard ratio [HR], 0.12; 95% confidence interval [CI], 0.03 to 0.51; P = 0.004), infection with carbapenem-resistant A. baumannii (HR, 1.57; 95% CI, 0.89 to 2.79; P = 0.105), appropriate empirical antimicrobial therapy (HR, 0.38; 95% CI, 0.23 to 0.61; P &lt; 0.001), and higher acute physiology and chronic health evaluation II (APACHE II) score (HR, 1.15; 95% CI, 1.10 to 1.19; P &lt; 0.001). In Galleria mellonella assays, the survival rates were significantly higher for the larvae infected with A. nosocomialis or A. pittii than for those infected with either carbapenem-susceptible A. baumannii or carbapenem-resistant A. baumannii, but no differences in survival rates were observed between carbapenem-susceptible A. baumannii and carbapenem-resistant A. baumannii. These findings suggest intrinsic differences in virulence between non-baumannii A. calcoaceticus-A. baumannii complex species and A. baumannii but not between carbapenem-susceptible and resistant A. baumannii.","author":[{"dropping-particle":"","family":"Chusri","given":"S.","non-dropping-particle":"","parse-names":false,"suffix":""},{"dropping-particle":"","family":"Chongsuvivatwong","given":"V.","non-dropping-particle":"","parse-names":false,"suffix":""},{"dropping-particle":"","family":"Rivera","given":"J. I.","non-dropping-particle":"","parse-names":false,"suffix":""},{"dropping-particle":"","family":"Silpapojakul","given":"K.","non-dropping-particle":"","parse-names":false,"suffix":""},{"dropping-particle":"","family":"Singkhamanan","given":"K.","non-dropping-particle":"","parse-names":false,"suffix":""},{"dropping-particle":"","family":"McNeil","given":"E.","non-dropping-particle":"","parse-names":false,"suffix":""},{"dropping-particle":"","family":"Doi","given":"Y.","non-dropping-particle":"","parse-names":false,"suffix":""}],"container-title":"Antimicrobial Agents and Chemotherapy","id":"ITEM-1","issue":"7","issued":{"date-parts":[["2014","7","1"]]},"page":"4172-4179","title":"Clinical Outcomes of Hospital-Acquired Infection with Acinetobacter nosocomialis and Acinetobacter pittii","type":"article-journal","volume":"58"},"uris":["http://www.mendeley.com/documents/?uuid=af00be63-3cf7-39d2-9707-645e979858c4"]}],"mendeley":{"formattedCitation":"[3]","plainTextFormattedCitation":"[3]","previouslyFormattedCitation":"[3]"},"properties":{"noteIndex":0},"schema":"https://github.com/citation-style-language/schema/raw/master/csl-citation.json"}</w:instrText>
      </w:r>
      <w:r w:rsidRPr="00B378D9">
        <w:rPr>
          <w:noProof/>
          <w:color w:val="000000" w:themeColor="text1"/>
          <w:sz w:val="24"/>
          <w:szCs w:val="24"/>
        </w:rPr>
        <w:fldChar w:fldCharType="separate"/>
      </w:r>
      <w:r w:rsidR="00CF09FA" w:rsidRPr="00B378D9">
        <w:rPr>
          <w:noProof/>
          <w:color w:val="000000" w:themeColor="text1"/>
          <w:sz w:val="24"/>
          <w:szCs w:val="24"/>
        </w:rPr>
        <w:t>[3]</w:t>
      </w:r>
      <w:r w:rsidRPr="00B378D9">
        <w:rPr>
          <w:noProof/>
          <w:color w:val="000000" w:themeColor="text1"/>
          <w:sz w:val="24"/>
          <w:szCs w:val="24"/>
        </w:rPr>
        <w:fldChar w:fldCharType="end"/>
      </w:r>
      <w:r w:rsidRPr="00B378D9">
        <w:rPr>
          <w:noProof/>
          <w:color w:val="000000" w:themeColor="text1"/>
          <w:sz w:val="24"/>
          <w:szCs w:val="24"/>
        </w:rPr>
        <w:t xml:space="preserve">. Amplified ribosomal DNA restriction analysis of the 16S rRNA gene (or ARDRA) was found to be sufficient to distinguish between </w:t>
      </w:r>
      <w:r w:rsidRPr="00B378D9">
        <w:rPr>
          <w:i/>
          <w:noProof/>
          <w:color w:val="000000" w:themeColor="text1"/>
          <w:sz w:val="24"/>
          <w:szCs w:val="24"/>
        </w:rPr>
        <w:t>A. baumannii</w:t>
      </w:r>
      <w:r w:rsidRPr="00B378D9">
        <w:rPr>
          <w:noProof/>
          <w:color w:val="000000" w:themeColor="text1"/>
          <w:sz w:val="24"/>
          <w:szCs w:val="24"/>
        </w:rPr>
        <w:t xml:space="preserve"> and non-</w:t>
      </w:r>
      <w:r w:rsidRPr="00B378D9">
        <w:rPr>
          <w:i/>
          <w:noProof/>
          <w:color w:val="000000" w:themeColor="text1"/>
          <w:sz w:val="24"/>
          <w:szCs w:val="24"/>
        </w:rPr>
        <w:t xml:space="preserve">baumannii </w:t>
      </w:r>
      <w:r w:rsidR="004A2462" w:rsidRPr="00B378D9">
        <w:rPr>
          <w:noProof/>
          <w:color w:val="000000" w:themeColor="text1"/>
          <w:sz w:val="24"/>
          <w:szCs w:val="24"/>
        </w:rPr>
        <w:lastRenderedPageBreak/>
        <w:t>a</w:t>
      </w:r>
      <w:r w:rsidRPr="00B378D9">
        <w:rPr>
          <w:noProof/>
          <w:color w:val="000000" w:themeColor="text1"/>
          <w:sz w:val="24"/>
          <w:szCs w:val="24"/>
        </w:rPr>
        <w:t xml:space="preserve">cinetobacters </w:t>
      </w:r>
      <w:r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{"citationItems":[{"id":"ITEM-1","itemData":{"ISSN":"1884-2836","PMID":"21788713","abstract":"The resistance phenotypes and genomic diversity of 185 Acinetobacter baumannii isolates obtained from the intensive care unit (ICU) of a local teaching hospital in Kuala Lumpur from 2006 to 2009 were determined using antimicrobial susceptibility testing and pulsed-field gel electrophoresis (PFGE). Antibiogram analyses showed that the isolates were fully resistant to β-lactam antimicrobials and had high resistance rates to the other antimicrobial agents tested. However, the isolates were susceptible to polymyxin B. Resistance to cefoperazone/sulbactam was only detected in strains isolated from 2007 to 2009. Some environmental isolates and an isolate from the hands of a healthcare worker (HCW) had identical resistance profiles and PFGE profiles that were closely related to patient isolates. Cluster analyses based on the PFGE profiles showed there was a persistent clone of endemic isolates in the ICU environment. The transmission route from HCWs to fomites to patients, which caused a long-term infection in the ICU of the University Malaya Medical Centre, was observed in this study. These data provide a better understanding of A. baumannii epidemiology within the hospital and the possible transmission routes. Knowledge of changes in the resistance rates of A. baumannii in our local hospital will improve antimicrobial therapy.","author":[{"dropping-particle":"","family":"Kong","given":"Boon Hong","non-dropping-particle":"","parse-names":false,"suffix":""},{"dropping-particle":"","family":"Hanifah","given":"Yasmin Abu","non-dropping-particle":"","parse-names":false,"suffix":""},{"dropping-particle":"","family":"Yusof","given":"Mohd Yasim Mohd","non-dropping-particle":"","parse-names":false,"suffix":""},{"dropping-particle":"","family":"Thong","given":"Kwai Lin","non-dropping-particle":"","parse-names":false,"suffix":""}],"container-title":"Japanese journal of infectious diseases","id":"ITEM-1","issue":"4","issued":{"date-parts":[["2011","1"]]},"page":"337-340","title":"Antimicrobial susceptibility profiling and genomic diversity of multidrug-resistant Acinetobacter baumannii isolates from a teaching hospital in Malaysia.","type":"article-journal","volume":"64"},"uris":["http://www.mendeley.com/documents/?uuid=5cfbe5fc-a2f6-4686-9386-c62824d444c1"]}],"mendeley":{"formattedCitation":"[12]","plainTextFormattedCitation":"[12]","previouslyFormattedCitation":"[12]"},"properties":{"noteIndex":0},"schema":"https://github.com/citation-style-language/schema/raw/master/csl-citation.json"}</w:instrText>
      </w:r>
      <w:r w:rsidRPr="00B378D9">
        <w:rPr>
          <w:noProof/>
          <w:color w:val="000000" w:themeColor="text1"/>
          <w:sz w:val="24"/>
          <w:szCs w:val="24"/>
        </w:rPr>
        <w:fldChar w:fldCharType="separate"/>
      </w:r>
      <w:r w:rsidR="00575F7D" w:rsidRPr="00B378D9">
        <w:rPr>
          <w:noProof/>
          <w:color w:val="000000" w:themeColor="text1"/>
          <w:sz w:val="24"/>
          <w:szCs w:val="24"/>
        </w:rPr>
        <w:t>[12]</w:t>
      </w:r>
      <w:r w:rsidRPr="00B378D9">
        <w:rPr>
          <w:noProof/>
          <w:color w:val="000000" w:themeColor="text1"/>
          <w:sz w:val="24"/>
          <w:szCs w:val="24"/>
        </w:rPr>
        <w:fldChar w:fldCharType="end"/>
      </w:r>
      <w:r w:rsidRPr="00B378D9">
        <w:rPr>
          <w:noProof/>
          <w:color w:val="000000" w:themeColor="text1"/>
          <w:sz w:val="24"/>
          <w:szCs w:val="24"/>
        </w:rPr>
        <w:t xml:space="preserve"> although further identities of the non</w:t>
      </w:r>
      <w:r w:rsidRPr="00B378D9">
        <w:rPr>
          <w:noProof/>
          <w:color w:val="000000" w:themeColor="text1"/>
          <w:sz w:val="24"/>
          <w:szCs w:val="24"/>
        </w:rPr>
        <w:softHyphen/>
        <w:t>-</w:t>
      </w:r>
      <w:r w:rsidRPr="00B378D9">
        <w:rPr>
          <w:i/>
          <w:noProof/>
          <w:color w:val="000000" w:themeColor="text1"/>
          <w:sz w:val="24"/>
          <w:szCs w:val="24"/>
        </w:rPr>
        <w:t>baumannii</w:t>
      </w:r>
      <w:r w:rsidRPr="00B378D9">
        <w:rPr>
          <w:noProof/>
          <w:color w:val="000000" w:themeColor="text1"/>
          <w:sz w:val="24"/>
          <w:szCs w:val="24"/>
        </w:rPr>
        <w:t xml:space="preserve"> isolates were </w:t>
      </w:r>
      <w:r w:rsidR="00F851D9" w:rsidRPr="00B378D9">
        <w:rPr>
          <w:noProof/>
          <w:color w:val="000000" w:themeColor="text1"/>
          <w:sz w:val="24"/>
          <w:szCs w:val="24"/>
        </w:rPr>
        <w:t>difficult</w:t>
      </w:r>
      <w:r w:rsidRPr="00B378D9">
        <w:rPr>
          <w:noProof/>
          <w:color w:val="000000" w:themeColor="text1"/>
          <w:sz w:val="24"/>
          <w:szCs w:val="24"/>
        </w:rPr>
        <w:t xml:space="preserve"> to determine using this method.</w:t>
      </w:r>
      <w:r w:rsidR="002A21E2" w:rsidRPr="00B378D9">
        <w:rPr>
          <w:noProof/>
          <w:color w:val="000000" w:themeColor="text1"/>
          <w:sz w:val="24"/>
          <w:szCs w:val="24"/>
        </w:rPr>
        <w:t xml:space="preserve"> Methods for reliable species identification including </w:t>
      </w:r>
      <w:r w:rsidR="002A21E2" w:rsidRPr="00B378D9">
        <w:rPr>
          <w:i/>
          <w:noProof/>
          <w:color w:val="000000" w:themeColor="text1"/>
          <w:sz w:val="24"/>
          <w:szCs w:val="24"/>
        </w:rPr>
        <w:t>rpoB</w:t>
      </w:r>
      <w:r w:rsidR="002A21E2" w:rsidRPr="00B378D9">
        <w:rPr>
          <w:noProof/>
          <w:color w:val="000000" w:themeColor="text1"/>
          <w:sz w:val="24"/>
          <w:szCs w:val="24"/>
        </w:rPr>
        <w:t xml:space="preserve"> sequencing</w:t>
      </w:r>
      <w:r w:rsidRPr="00B378D9">
        <w:rPr>
          <w:noProof/>
          <w:color w:val="000000" w:themeColor="text1"/>
          <w:sz w:val="24"/>
          <w:szCs w:val="24"/>
        </w:rPr>
        <w:t xml:space="preserve"> </w:t>
      </w:r>
      <w:r w:rsidR="002A21E2"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{"citationItems":[{"id":"ITEM-1","itemData":{"DOI":"10.1016/j.diagmicrobio.2013.07.013","ISSN":"07328893","abstract":"Since accurate identification of species is necessary for proper treatment of Acinetobacter infections, we compared the performances of 4 bacterial identification methods using 167 Acinetobacter clinical isolates to identify the best identification method. To secure more non-baumannii Acinetobacter (NBA) strains as target strains, we first identified Acinetobacter baumannii in a total of 495 Acinetobacter clinical isolates identified using the VITEK 2 system. Because 371 of 495 strains were identified as A. baumannii using gyrB multiplex 1 PCR and blaOXA51-like PCR, we performed rpoB gene sequencing and 16S rRNA gene sequencing on remaining 124 strains belonging to NBA and 52 strains of A. baumannii. For identification of Acinetobacter at the species level, the accuracy rates of rpoB gene sequencing, 16S rRNA gene sequencing, gyrB multiplex PCR, and the VITEK 2 were 98.2%, 93.4%, 77.2%, and 35.9%, respectively. The gyrB multiplex PCR seems to be very useful for the detection of ACB complex because its concordance rates to the final identification of strains of ACB complex were 100%. Both the rpoB gene sequencing and the 16S rRNA gene sequencing may be useful in identifying Acinetobacter.","author":[{"dropping-particle":"","family":"Lee","given":"Min Jung","non-dropping-particle":"","parse-names":false,"suffix":""},{"dropping-particle":"","family":"Jang","given":"Sook Jin","non-dropping-particle":"","parse-names":false,"suffix":""},{"dropping-particle":"","family":"Li","given":"Xue Min","non-dropping-particle":"","parse-names":false,"suffix":""},{"dropping-particle":"","family":"Park","given":"Geon","non-dropping-particle":"","parse-names":false,"suffix":""},{"dropping-particle":"","family":"Kook","given":"Joong-Ki","non-dropping-particle":"","parse-names":false,"suffix":""},{"dropping-particle":"","family":"Kim","given":"Min Jung","non-dropping-particle":"","parse-names":false,"suffix":""},{"dropping-particle":"","family":"Chang","given":"Young-Hyo","non-dropping-particle":"","parse-names":false,"suffix":""},{"dropping-particle":"","family":"Shin","given":"Jong Hee","non-dropping-particle":"","parse-names":false,"suffix":""},{"dropping-particle":"","family":"Kim","given":"Soo Hyun","non-dropping-particle":"","parse-names":false,"suffix":""},{"dropping-particle":"","family":"Kim","given":"Dong-Min","non-dropping-particle":"","parse-names":false,"suffix":""},{"dropping-particle":"","family":"Kang","given":"Seong-Ho","non-dropping-particle":"","parse-names":false,"suffix":""},{"dropping-particle":"","family":"Moon","given":"Dae-Soo","non-dropping-particle":"","parse-names":false,"suffix":""}],"container-title":"Diagnostic Microbiology and Infectious Disease","id":"ITEM-1","issue":"1","issued":{"date-parts":[["2014"]]},"page":"29-34","title":"Comparison of rpoB gene sequencing, 16S rRNA gene sequencing, gyrB multiplex PCR, and the VITEK2 system for identification of Acinetobacter clinical isolates","type":"article-journal","volume":"78"},"uris":["http://www.mendeley.com/documents/?uuid=41d45374-bfb3-371e-85b3-09b9ed8d0f0a"]},{"id":"ITEM-2","itemData":{"DOI":"10.1128/JCM.44.3.827-832.2006","ISSN":"0095-1137","PMID":"16517861","abstract":"Acinetobacter species are defined on the basis of several phenotypic characters, results of DNA-DNA homology, and more recently, similarities or dissimilarities in 16S rRNA gene sequences. However, the 16S rRNA gene is not polymorphic enough to clearly distinguish all Acinetobacter species. We used an RNA polymerase beta-subunit gene (rpoB)-based identification scheme for the delineation of species within the genus Acinetobacter, and towards that end, we determined the complete rpoB gene and flanking spacer (rplL-rpoB and rpoB-rpoC) sequences of the 17 reference strains of Acinetobacter species and 7 unnamed genomospecies. By using complete gene sequences (4,089 bp), we clearly separated all species and grouped them into different clusters. A phylogenetic tree constructed using these sequences was supported by bootstrap values higher than those obtained with 16S rRNA or the gyrB or recA gene. Four pairs of primers enabled us to amplify and sequence two highly polymorphic partial sequences (350 and 450 bp) of the rpoB gene. These and flanking spacers were designed and tested for rapid identification of the 17 reference strains of Acinetobacter species and 7 unnamed genomospecies. Each of these four variable sequences enabled us to delineate most species. Sequences of at least two polymorphic sequences should be used to distinguish Acinetobacter grimontii, Acinetobacter junii, Acinetobacter baylyi, and genomic species 9 from one another. Finally, 21 clinical isolates of Acinetobacter baumannii were tested for intraspecies relationships and assigned correctly to the same species by comparing the partial sequences of the rpoB gene and its flanking spacers.","author":[{"dropping-particle":"","family":"Scola","given":"Bernard","non-dropping-particle":"La","parse-names":false,"suffix":""},{"dropping-particle":"","family":"Gundi","given":"Vijay A K B","non-dropping-particle":"","parse-names":false,"suffix":""},{"dropping-particle":"","family":"Khamis","given":"Atieh","non-dropping-particle":"","parse-names":false,"suffix":""},{"dropping-particle":"","family":"Raoult","given":"Didier","non-dropping-particle":"","parse-names":false,"suffix":""}],"container-title":"Journal of clinical microbiology","id":"ITEM-2","issue":"3","issued":{"date-parts":[["2006","3"]]},"page":"827-832","publisher":"American Society for Microbiology","title":"Sequencing of the rpoB gene and flanking spacers for molecular identification of Acinetobacter species.","type":"article-journal","volume":"44"},"uris":["http://www.mendeley.com/documents/?uuid=37414158-220d-3e6f-a2eb-a964d9f09b19"]},{"id":"ITEM-3","itemData":{"DOI":"10.1099/mic.0.026054-0","ISSN":"1350-0872","abstract":"Bacteria belonging to the genus Acinetobacter are ubiquitous in soil and water. Only a few species, including Acinetobacter baumannii, and the unnamed Acinetobacter genomic species (gen. sp.) 3 and 13TU, which together with the soil organism Acinetobacter calcoaceticus are combined in the A. calcoaceticus–A. baumannii (Acb) complex, have been recognized as important nosocomial infectious agents. The ecology, epidemiology and pathology of most species are not yet well established. Lack of practical and accurate methods limits routine identification of clinical isolates and thus hampers precise identification of those of the Acb complex and other Acinetobacter species of possible clinical significance. We previously identified a 350 bp highly variable zone on the rpoB gene which appeared to be a promising target for rapid molecular identification. In the present study, we validated this method for accuracy on a collection of reference strains belonging to A. calcoaceticus (5 strains), Acinetobacter gen. sp. 3 (29 strains), A. gen. sp. 13TU (18 strains), A. baumannii (30 strains) and one strain each of A. radioresistens, A. gen. sp. 15TU, A. gen. sp. 10, A. gen. sp. 11, A. gen. sp. ‘between 1 and 3’ and A. gen. sp. 14TU=13BJ. This represents the largest analysis to date that compares a large number of well-identified strains of the Acb complex to assess the intra- and interspecies variation within this complex. All were correctly identified with 98.9–100 % intraspecies relatedness based on partial rpoB sequence analysis. We then applied this tool to identify 99 Acinetobacter clinical isolates from four public hospitals in Marseille, France. All isolates could easily be identified to species as they were separated into 13 species sequence types with a sequence variance of 0–2.6 % from their respective type strains. Of these 99 isolates, 10 were A. haemolyticus, 52 were A. baumannii, 27 were A. gen. sp. 3, 5 were A. schindleri, 1 was A. lwoffii, and 1 was A. gen. sp. 13TU. Three were provisionally identified as A. gen. sp. 9. This is the first work to identify all specimens of a set of clinical Acinetobacter isolates at species level using rpoB sequence analysis. Our data emphasize the recognition of A. schindleri as an emerging cause of Acinetobacter-related infection and confirm that A. gen. sp. 3 is the second most commonly isolated Acinetobacter species after A. baumannii in patients.","author":[{"dropping-particle":"","family":"Gundi","given":"V. A. K. B.","non-dropping-particle":"","parse-names":false,"suffix":""},{"dropping-particle":"","family":"Dijkshoorn","given":"L.","non-dropping-particle":"","parse-names":false,"suffix":""},{"dropping-particle":"","family":"Burignat","given":"S.","non-dropping-particle":"","parse-names":false,"suffix":""},{"dropping-particle":"","family":"Raoult","given":"D.","non-dropping-particle":"","parse-names":false,"suffix":""},{"dropping-particle":"","family":"Scola","given":"B.","non-dropping-particle":"La","parse-names":false,"suffix":""}],"container-title":"Microbiology","id":"ITEM-3","issue":"7","issued":{"date-parts":[["2009","7","1"]]},"page":"2333-2341","publisher":"Microbiology Society","title":"Validation of partial rpoB gene sequence analysis for the identification of clinically important and emerging Acinetobacter species","type":"article-journal","volume":"155"},"uris":["http://www.mendeley.com/documents/?uuid=e09ef96e-a992-3a70-8f4a-7b054eab0c87"]}],"mendeley":{"formattedCitation":"[13–15]","plainTextFormattedCitation":"[13–15]","previouslyFormattedCitation":"[13–15]"},"properties":{"noteIndex":0},"schema":"https://github.com/citation-style-language/schema/raw/master/csl-citation.json"}</w:instrText>
      </w:r>
      <w:r w:rsidR="002A21E2" w:rsidRPr="00B378D9">
        <w:rPr>
          <w:noProof/>
          <w:color w:val="000000" w:themeColor="text1"/>
          <w:sz w:val="24"/>
          <w:szCs w:val="24"/>
        </w:rPr>
        <w:fldChar w:fldCharType="separate"/>
      </w:r>
      <w:r w:rsidR="002A21E2" w:rsidRPr="00B378D9">
        <w:rPr>
          <w:noProof/>
          <w:color w:val="000000" w:themeColor="text1"/>
          <w:sz w:val="24"/>
          <w:szCs w:val="24"/>
        </w:rPr>
        <w:t>[13–15]</w:t>
      </w:r>
      <w:r w:rsidR="002A21E2" w:rsidRPr="00B378D9">
        <w:rPr>
          <w:noProof/>
          <w:color w:val="000000" w:themeColor="text1"/>
          <w:sz w:val="24"/>
          <w:szCs w:val="24"/>
        </w:rPr>
        <w:fldChar w:fldCharType="end"/>
      </w:r>
      <w:r w:rsidR="002A21E2" w:rsidRPr="00B378D9">
        <w:rPr>
          <w:noProof/>
          <w:color w:val="000000" w:themeColor="text1"/>
          <w:sz w:val="24"/>
          <w:szCs w:val="24"/>
        </w:rPr>
        <w:t xml:space="preserve"> and matrix-assisted laser desorption-time of flight mass spectroscopy (MALDI-TOF MS) </w:t>
      </w:r>
      <w:r w:rsidR="002A21E2"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{"citationItems":[{"id":"ITEM-1","itemData":{"DOI":"10.1016/j.cmi.2016.11.020","ISSN":"14690691","PMID":"27919649","abstract":"Objectives Rapid identification of Acinetobacter species is critical as members of the A.??baumannii (Ab) group differ in antibiotic susceptibility and clinical outcomes. A.??baumannii, A.??pittii, and A.??nosocomialis can be identified by MALDI-TOF/MS, while the novel species A.??seifertii and A.??dijkshoorniae cannot. Low identification rates for A.??nosocomialis also have been reported. We evaluated the use of MALDI-TOF/MS to identify isolates of A.??seifertii and A.??dijkshoorniae and revisited the identification of A.??nosocomialis to update the Bruker taxonomy database. Methods Species characterization was performed by rpoB-clustering and MLSA. MALDI-TOF/MS spectra were recovered from formic acid/acetonitrile bacterial extracts overlaid with ??-cyano-4-hydroxy-cinnamic acid matrix on a MicroflexLT in linear positive mode and 2000???20 000 m/z range mass. Spectra were examined with the ClinProTools v2.2 software. Mean spectra (MSP) were created with the BioTyper software. Results Seventy-eight Acinetobacter isolates representative of the Ab group were used to calculate the average spectra/species and generate pattern recognition models. Species-specific peaks were identified for all species, and MSPs derived from three A.??seifertii, two A.??dijkshoorniae, and two A.??nosocomialis strains were added to the Bruker taxonomy database, allowing successful identification of all isolates using spectra from either bacterial extracts or direct colonies, resulting in a positive predictive value (PPV) of 99.6% (777/780) and 96.8% (302/312), respectively. Conclusions The use of post-processing data software identified statistically significant species-specific peaks to generate reference signatures for rapid accurate identification of species within the Ab group, providing relevant information for the clinical management of Acinetobacter infections.","author":[{"dropping-particle":"","family":"Marí-Almirall","given":"M.","non-dropping-particle":"","parse-names":false,"suffix":""},{"dropping-particle":"","family":"Cosgaya","given":"C.","non-dropping-particle":"","parse-names":false,"suffix":""},{"dropping-particle":"","family":"Higgins","given":"P. G.","non-dropping-particle":"","parse-names":false,"suffix":""},{"dropping-particle":"","family":"Assche","given":"A.","non-dropping-particle":"Van","parse-names":false,"suffix":""},{"dropping-particle":"","family":"Telli","given":"M.","non-dropping-particle":"","parse-names":false,"suffix":""},{"dropping-particle":"","family":"Huys","given":"G.","non-dropping-particle":"","parse-names":false,"suffix":""},{"dropping-particle":"","family":"Lievens","given":"B.","non-dropping-particle":"","parse-names":false,"suffix":""},{"dropping-particle":"","family":"Seifert","given":"H.","non-dropping-particle":"","parse-names":false,"suffix":""},{"dropping-particle":"","family":"Dijkshoorn","given":"L.","non-dropping-particle":"","parse-names":false,"suffix":""},{"dropping-particle":"","family":"Roca","given":"I.","non-dropping-particle":"","parse-names":false,"suffix":""},{"dropping-particle":"","family":"Vila","given":"Jordi","non-dropping-particle":"","parse-names":false,"suffix":""}],"container-title":"Clinical Microbiology and Infection","id":"ITEM-1","issue":"3","issued":{"date-parts":[["2017","12","3"]]},"page":"210.e1-210.e9","title":"MALDI-TOF/MS identification of species from the Acinetobacter baumannii (Ab) group revisited: inclusion of the novel A. seifertii and A. dijkshoorniae species","type":"article-journal","volume":"23"},"uris":["http://www.mendeley.com/documents/?uuid=81bba6df-a1e7-4f4c-8a08-9537b0720d96"]}],"mendeley":{"formattedCitation":"[5]","plainTextFormattedCitation":"[5]","previouslyFormattedCitation":"[5]"},"properties":{"noteIndex":0},"schema":"https://github.com/citation-style-language/schema/raw/master/csl-citation.json"}</w:instrText>
      </w:r>
      <w:r w:rsidR="002A21E2" w:rsidRPr="00B378D9">
        <w:rPr>
          <w:noProof/>
          <w:color w:val="000000" w:themeColor="text1"/>
          <w:sz w:val="24"/>
          <w:szCs w:val="24"/>
        </w:rPr>
        <w:fldChar w:fldCharType="separate"/>
      </w:r>
      <w:r w:rsidR="002A21E2" w:rsidRPr="00B378D9">
        <w:rPr>
          <w:noProof/>
          <w:color w:val="000000" w:themeColor="text1"/>
          <w:sz w:val="24"/>
          <w:szCs w:val="24"/>
        </w:rPr>
        <w:t>[5]</w:t>
      </w:r>
      <w:r w:rsidR="002A21E2" w:rsidRPr="00B378D9">
        <w:rPr>
          <w:noProof/>
          <w:color w:val="000000" w:themeColor="text1"/>
          <w:sz w:val="24"/>
          <w:szCs w:val="24"/>
        </w:rPr>
        <w:fldChar w:fldCharType="end"/>
      </w:r>
      <w:r w:rsidR="002A21E2" w:rsidRPr="00B378D9">
        <w:rPr>
          <w:noProof/>
          <w:color w:val="000000" w:themeColor="text1"/>
          <w:sz w:val="24"/>
          <w:szCs w:val="24"/>
        </w:rPr>
        <w:t xml:space="preserve"> have only recently been developed</w:t>
      </w:r>
      <w:r w:rsidR="006409AA" w:rsidRPr="00B378D9">
        <w:rPr>
          <w:noProof/>
          <w:color w:val="000000" w:themeColor="text1"/>
          <w:sz w:val="24"/>
          <w:szCs w:val="24"/>
        </w:rPr>
        <w:t>. These methods</w:t>
      </w:r>
      <w:r w:rsidR="002A21E2" w:rsidRPr="00B378D9">
        <w:rPr>
          <w:noProof/>
          <w:color w:val="000000" w:themeColor="text1"/>
          <w:sz w:val="24"/>
          <w:szCs w:val="24"/>
        </w:rPr>
        <w:t xml:space="preserve"> are now increasingly used, but </w:t>
      </w:r>
      <w:r w:rsidR="006409AA" w:rsidRPr="00B378D9">
        <w:rPr>
          <w:noProof/>
          <w:color w:val="000000" w:themeColor="text1"/>
          <w:sz w:val="24"/>
          <w:szCs w:val="24"/>
        </w:rPr>
        <w:t xml:space="preserve">are </w:t>
      </w:r>
      <w:r w:rsidR="002A21E2" w:rsidRPr="00B378D9">
        <w:rPr>
          <w:noProof/>
          <w:color w:val="000000" w:themeColor="text1"/>
          <w:sz w:val="24"/>
          <w:szCs w:val="24"/>
        </w:rPr>
        <w:t>not yet widely available in diagnostic laboratories worldwide. Implementation of these methods will establish the clinical significance and epidemiology of non-</w:t>
      </w:r>
      <w:r w:rsidR="002A21E2" w:rsidRPr="00B378D9">
        <w:rPr>
          <w:i/>
          <w:noProof/>
          <w:color w:val="000000" w:themeColor="text1"/>
          <w:sz w:val="24"/>
          <w:szCs w:val="24"/>
        </w:rPr>
        <w:t>baumannii</w:t>
      </w:r>
      <w:r w:rsidR="002A21E2" w:rsidRPr="00B378D9">
        <w:rPr>
          <w:noProof/>
          <w:color w:val="000000" w:themeColor="text1"/>
          <w:sz w:val="24"/>
          <w:szCs w:val="24"/>
        </w:rPr>
        <w:t xml:space="preserve"> </w:t>
      </w:r>
      <w:r w:rsidR="002A21E2" w:rsidRPr="00B378D9">
        <w:rPr>
          <w:i/>
          <w:noProof/>
          <w:color w:val="000000" w:themeColor="text1"/>
          <w:sz w:val="24"/>
          <w:szCs w:val="24"/>
        </w:rPr>
        <w:t>Acinetobacter</w:t>
      </w:r>
      <w:r w:rsidR="00950145" w:rsidRPr="00B378D9">
        <w:rPr>
          <w:noProof/>
          <w:color w:val="000000" w:themeColor="text1"/>
          <w:sz w:val="24"/>
          <w:szCs w:val="24"/>
        </w:rPr>
        <w:t xml:space="preserve"> species</w:t>
      </w:r>
      <w:r w:rsidR="002A21E2" w:rsidRPr="00B378D9">
        <w:rPr>
          <w:noProof/>
          <w:color w:val="000000" w:themeColor="text1"/>
          <w:sz w:val="24"/>
          <w:szCs w:val="24"/>
        </w:rPr>
        <w:t xml:space="preserve"> </w:t>
      </w:r>
      <w:r w:rsidR="007C595D"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{"citationItems":[{"id":"ITEM-1","itemData":{"DOI":"10.1128/AAC.02992-14","ISSN":"0066-4804","PMID":"24820079","abstract":"The role of Acinetobacter nosocomialis and Acinetobacter pittii, which belong to the A. calcoaceticus-A. baumannii complex, in hospital-acquired infections is increasingly recognized. Here we describe a retrospective cohort study of hospital-acquired A. calcoaceticus-A. baumannii complex infections at a university hospital in Thailand. A total of 222 unique cases were identified between January 2010 and December 2011. The genomospecies of the A. calcoaceticus-A. baumannii complex isolates were classified as follows: A. baumannii, 197 (89%); A. nosocomialis, 18 (8%); and A. pittii, 7 (3%). All A. nosocomialis and A. pittii isolates were susceptible to imipenem and meropenem. The patients infected with A. nosocomialis and A. pittii had lower 30-day mortality than those infected with carbapenem-susceptible A. baumannii (P = 0.025) and carbapenem-resistant A. baumannii (P = 0.013). The factors influencing 30-day mortality were infection with non-baumannii A. calcoaceticus-A. baumannii complex (hazard ratio [HR], 0.12; 95% confidence interval [CI], 0.03 to 0.51; P = 0.004), infection with carbapenem-resistant A. baumannii (HR, 1.57; 95% CI, 0.89 to 2.79; P = 0.105), appropriate empirical antimicrobial therapy (HR, 0.38; 95% CI, 0.23 to 0.61; P &lt; 0.001), and higher acute physiology and chronic health evaluation II (APACHE II) score (HR, 1.15; 95% CI, 1.10 to 1.19; P &lt; 0.001). In Galleria mellonella assays, the survival rates were significantly higher for the larvae infected with A. nosocomialis or A. pittii than for those infected with either carbapenem-susceptible A. baumannii or carbapenem-resistant A. baumannii, but no differences in survival rates were observed between carbapenem-susceptible A. baumannii and carbapenem-resistant A. baumannii. These findings suggest intrinsic differences in virulence between non-baumannii A. calcoaceticus-A. baumannii complex species and A. baumannii but not between carbapenem-susceptible and resistant A. baumannii.","author":[{"dropping-particle":"","family":"Chusri","given":"S.","non-dropping-particle":"","parse-names":false,"suffix":""},{"dropping-particle":"","family":"Chongsuvivatwong","given":"V.","non-dropping-particle":"","parse-names":false,"suffix":""},{"dropping-particle":"","family":"Rivera","given":"J. I.","non-dropping-particle":"","parse-names":false,"suffix":""},{"dropping-particle":"","family":"Silpapojakul","given":"K.","non-dropping-particle":"","parse-names":false,"suffix":""},{"dropping-particle":"","family":"Singkhamanan","given":"K.","non-dropping-particle":"","parse-names":false,"suffix":""},{"dropping-particle":"","family":"McNeil","given":"E.","non-dropping-particle":"","parse-names":false,"suffix":""},{"dropping-particle":"","family":"Doi","given":"Y.","non-dropping-particle":"","parse-names":false,"suffix":""}],"container-title":"Antimicrobial Agents and Chemotherapy","id":"ITEM-1","issue":"7","issued":{"date-parts":[["2014","7","1"]]},"page":"4172-4179","title":"Clinical Outcomes of Hospital-Acquired Infection with Acinetobacter nosocomialis and Acinetobacter pittii","type":"article-journal","volume":"58"},"uris":["http://www.mendeley.com/documents/?uuid=af00be63-3cf7-39d2-9707-645e979858c4"]},{"id":"ITEM-2","itemData":{"DOI":"10.1111/j.1469-0691.2012.03988.x","ISSN":"1198743X","author":[{"dropping-particle":"","family":"Lee","given":"Y.-T.","non-dropping-particle":"","parse-names":false,"suffix":""},{"dropping-particle":"","family":"Kuo","given":"S.-C.","non-dropping-particle":"","parse-names":false,"suffix":""},{"dropping-particle":"","family":"Yang","given":"S.-P.","non-dropping-particle":"","parse-names":false,"suffix":""},{"dropping-particle":"","family":"Lin","given":"Y.-T.","non-dropping-particle":"","parse-names":false,"suffix":""},{"dropping-particle":"","family":"Chiang","given":"D.-H.","non-dropping-particle":"","parse-names":false,"suffix":""},{"dropping-particle":"","family":"Tseng","given":"F.-C.","non-dropping-particle":"","parse-names":false,"suffix":""},{"dropping-particle":"","family":"Chen","given":"T.-L.","non-dropping-particle":"","parse-names":false,"suffix":""},{"dropping-particle":"","family":"Fung","given":"C.-P.","non-dropping-particle":"","parse-names":false,"suffix":""}],"container-title":"Clinical Microbiology and Infection","id":"ITEM-2","issue":"7","issued":{"date-parts":[["2013","7"]]},"page":"640-645","publisher":"Blackwell Publishing Ltd","title":"Bacteremic nosocomial pneumonia caused by Acinetobacter baumannii and Acinetobacter nosocomialis: a single or two distinct clinical entities?","type":"article-journal","volume":"19"},"uris":["http://www.mendeley.com/documents/?uuid=6b53952e-bc1d-359d-8456-af6dc6c51923"]},{"id":"ITEM-3","itemData":{"DOI":"10.1371/journal.pone.0065026","ISSN":"1932-6203","author":[{"dropping-particle":"","family":"Park","given":"Kyung-Hwa","non-dropping-particle":"","parse-names":false,"suffix":""},{"dropping-particle":"","family":"Shin","given":"Jong-Hee","non-dropping-particle":"","parse-names":false,"suffix":""},{"dropping-particle":"","family":"Lee","given":"Seung Yeop","non-dropping-particle":"","parse-names":false,"suffix":""},{"dropping-particle":"","family":"Kim","given":"Soo Hyun","non-dropping-particle":"","parse-names":false,"suffix":""},{"dropping-particle":"","family":"Jang","given":"Mi Ok","non-dropping-particle":"","parse-names":false,"suffix":""},{"dropping-particle":"","family":"Kang","given":"Seung-Ji","non-dropping-particle":"","parse-names":false,"suffix":""},{"dropping-particle":"","family":"Jung","given":"Sook-In","non-dropping-particle":"","parse-names":false,"suffix":""},{"dropping-particle":"","family":"Chung","given":"Eun-Kyung","non-dropping-particle":"","parse-names":false,"suffix":""},{"dropping-particle":"","family":"Ko","given":"Kwan Soo","non-dropping-particle":"","parse-names":false,"suffix":""},{"dropping-particle":"","family":"Jang","given":"Hee-Chang","non-dropping-particle":"","parse-names":false,"suffix":""}],"container-title":"PLoS ONE","editor":[{"dropping-particle":"","family":"Manganelli","given":"Riccardo","non-dropping-particle":"","parse-names":false,"suffix":""}],"id":"ITEM-3","issue":"6","issued":{"date-parts":[["2013","6","3"]]},"page":"e65026","publisher":"Public Library of Science","title":"The Clinical Characteristics, Carbapenem Resistance, and Outcome of Acinetobacter Bacteremia According to Genospecies","type":"article-journal","volume":"8"},"uris":["http://www.mendeley.com/documents/?uuid=8d36c8db-da03-3d60-a302-ccd7a130b563"]}],"mendeley":{"formattedCitation":"[3, 16, 17]","plainTextFormattedCitation":"[3, 16, 17]","previouslyFormattedCitation":"[3, 16, 17]"},"properties":{"noteIndex":0},"schema":"https://github.com/citation-style-language/schema/raw/master/csl-citation.json"}</w:instrText>
      </w:r>
      <w:r w:rsidR="007C595D" w:rsidRPr="00B378D9">
        <w:rPr>
          <w:noProof/>
          <w:color w:val="000000" w:themeColor="text1"/>
          <w:sz w:val="24"/>
          <w:szCs w:val="24"/>
        </w:rPr>
        <w:fldChar w:fldCharType="separate"/>
      </w:r>
      <w:r w:rsidR="00575F7D" w:rsidRPr="00B378D9">
        <w:rPr>
          <w:noProof/>
          <w:color w:val="000000" w:themeColor="text1"/>
          <w:sz w:val="24"/>
          <w:szCs w:val="24"/>
        </w:rPr>
        <w:t>[3, 16, 17]</w:t>
      </w:r>
      <w:r w:rsidR="007C595D" w:rsidRPr="00B378D9">
        <w:rPr>
          <w:noProof/>
          <w:color w:val="000000" w:themeColor="text1"/>
          <w:sz w:val="24"/>
          <w:szCs w:val="24"/>
        </w:rPr>
        <w:fldChar w:fldCharType="end"/>
      </w:r>
      <w:r w:rsidR="007C595D" w:rsidRPr="00B378D9">
        <w:rPr>
          <w:noProof/>
          <w:color w:val="000000" w:themeColor="text1"/>
          <w:sz w:val="24"/>
          <w:szCs w:val="24"/>
        </w:rPr>
        <w:t>.</w:t>
      </w:r>
    </w:p>
    <w:p w14:paraId="251FCB9C" w14:textId="71B73BED" w:rsidR="0078136F" w:rsidRPr="00B378D9" w:rsidRDefault="00485318" w:rsidP="00861D87">
      <w:pPr>
        <w:spacing w:line="480" w:lineRule="auto"/>
        <w:ind w:left="0" w:firstLine="708"/>
        <w:rPr>
          <w:noProof/>
          <w:color w:val="000000" w:themeColor="text1"/>
          <w:sz w:val="24"/>
          <w:szCs w:val="24"/>
        </w:rPr>
      </w:pPr>
      <w:r w:rsidRPr="00B378D9">
        <w:rPr>
          <w:noProof/>
          <w:color w:val="000000" w:themeColor="text1"/>
          <w:sz w:val="24"/>
          <w:szCs w:val="24"/>
        </w:rPr>
        <w:t xml:space="preserve">Although Malaysia has an active national antimicrobial surveillance program, very few publications and little comprehensive data are available for </w:t>
      </w:r>
      <w:r w:rsidRPr="00B378D9">
        <w:rPr>
          <w:i/>
          <w:noProof/>
          <w:color w:val="000000" w:themeColor="text1"/>
          <w:sz w:val="24"/>
          <w:szCs w:val="24"/>
        </w:rPr>
        <w:t>Acinetobacter</w:t>
      </w:r>
      <w:r w:rsidRPr="00B378D9">
        <w:rPr>
          <w:noProof/>
          <w:color w:val="000000" w:themeColor="text1"/>
          <w:sz w:val="24"/>
          <w:szCs w:val="24"/>
        </w:rPr>
        <w:t xml:space="preserve"> spp. infections </w:t>
      </w:r>
      <w:r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{"citationItems":[{"id":"ITEM-1","itemData":{"DOI":"10.3389/fmicb.2017.02479","ISSN":"1664-302X","abstract":"Acinetobacter spp. are important nosocomial pathogens, in particular the Acinetobacter baumannii-calcoaceticus complex, which have become a global public health threat due to increasing resistance to carbapenems and almost all other antimicrobial compounds. High rates of resistance have been reported among countries in Southeast Asia, including Malaysia. In this review, we examine the antimicrobial resistance profiles of Acinetobacter spp. hospital isolates from Malaysia over a period of nearly three decades (1987–2016) with data obtained from various peer-reviewed publications as well as the Malaysian National Surveillance on Antibiotic Resistance (NSAR). NSAR data indicated that for most antimicrobial compounds, including carbapenems, the peak resistance rates were reached around 2008–2009 and thereafter, rates have remained fairly constant (e.g., 50–60% for carbapenems). Individual reports from various hospitals in Peninsular Malaysia do not always reflect the nationwide resistance rates and often showed higher rates of resistance.We also reviewed the epidemiology and mechanisms of resistance that have been investigated in Malaysian Acinetobacter spp. isolates, particularly carbapenem resistance and found that blaOXA−23 is the most prevalent acquired carbapenemase-encoding gene. From the very few published reports and whole genome sequences that are available, most of the Acinetobacter spp. isolates from Malaysia belonged to the Global Clone 2 (GC2) CC92 group with ST195 being the predominant sequence type. The quality of data and analysis in the national surveillance reports could be improved and more molecular epidemiology and genomics studies need to be carried out for further in-depth understanding of Malaysian Acinetobacter spp. isolates.","author":[{"dropping-particle":"","family":"Mohd. Rani","given":"Farahiyah","non-dropping-particle":"","parse-names":false,"suffix":""},{"dropping-particle":"","family":"A. Rahman","given":"Nor Iza","non-dropping-particle":"","parse-names":false,"suffix":""},{"dropping-particle":"","family":"Ismail","given":"Salwani","non-dropping-particle":"","parse-names":false,"suffix":""},{"dropping-particle":"","family":"Alattraqchi","given":"Ahmed Ghazi","non-dropping-particle":"","parse-names":false,"suffix":""},{"dropping-particle":"","family":"Cleary","given":"David W.","non-dropping-particle":"","parse-names":false,"suffix":""},{"dropping-particle":"","family":"Clarke","given":"Stuart C.","non-dropping-particle":"","parse-names":false,"suffix":""},{"dropping-particle":"","family":"Yeo","given":"Chew Chieng","non-dropping-particle":"","parse-names":false,"suffix":""}],"container-title":"Frontiers in Microbiology","id":"ITEM-1","issued":{"date-parts":[["2017"]]},"page":"2479","title":"Acinetobacter spp. Infections in Malaysia: A Review of Antimicrobial Resistance Trends, Mechanisms and Epidemiology","type":"article-journal","volume":"8"},"uris":["http://www.mendeley.com/documents/?uuid=81f1dda7-a46c-42d1-b1eb-25cddd07b054"]}],"mendeley":{"formattedCitation":"[18]","plainTextFormattedCitation":"[18]","previouslyFormattedCitation":"[18]"},"properties":{"noteIndex":0},"schema":"https://github.com/citation-style-language/schema/raw/master/csl-citation.json"}</w:instrText>
      </w:r>
      <w:r w:rsidRPr="00B378D9">
        <w:rPr>
          <w:noProof/>
          <w:color w:val="000000" w:themeColor="text1"/>
          <w:sz w:val="24"/>
          <w:szCs w:val="24"/>
        </w:rPr>
        <w:fldChar w:fldCharType="separate"/>
      </w:r>
      <w:r w:rsidR="00575F7D" w:rsidRPr="00B378D9">
        <w:rPr>
          <w:noProof/>
          <w:color w:val="000000" w:themeColor="text1"/>
          <w:sz w:val="24"/>
          <w:szCs w:val="24"/>
        </w:rPr>
        <w:t>[18]</w:t>
      </w:r>
      <w:r w:rsidRPr="00B378D9">
        <w:rPr>
          <w:noProof/>
          <w:color w:val="000000" w:themeColor="text1"/>
          <w:sz w:val="24"/>
          <w:szCs w:val="24"/>
        </w:rPr>
        <w:fldChar w:fldCharType="end"/>
      </w:r>
      <w:r w:rsidR="00F851D9" w:rsidRPr="00B378D9">
        <w:rPr>
          <w:noProof/>
          <w:color w:val="000000" w:themeColor="text1"/>
          <w:sz w:val="24"/>
          <w:szCs w:val="24"/>
        </w:rPr>
        <w:t>, with non</w:t>
      </w:r>
      <w:r w:rsidR="0078136F" w:rsidRPr="00B378D9">
        <w:rPr>
          <w:noProof/>
          <w:color w:val="000000" w:themeColor="text1"/>
          <w:sz w:val="24"/>
          <w:szCs w:val="24"/>
        </w:rPr>
        <w:t>e</w:t>
      </w:r>
      <w:r w:rsidR="00F851D9" w:rsidRPr="00B378D9">
        <w:rPr>
          <w:noProof/>
          <w:color w:val="000000" w:themeColor="text1"/>
          <w:sz w:val="24"/>
          <w:szCs w:val="24"/>
        </w:rPr>
        <w:t xml:space="preserve"> so far reporting on non-</w:t>
      </w:r>
      <w:r w:rsidR="00F851D9" w:rsidRPr="00B378D9">
        <w:rPr>
          <w:i/>
          <w:noProof/>
          <w:color w:val="000000" w:themeColor="text1"/>
          <w:sz w:val="24"/>
          <w:szCs w:val="24"/>
        </w:rPr>
        <w:t>baumannii</w:t>
      </w:r>
      <w:r w:rsidR="00F851D9" w:rsidRPr="00B378D9">
        <w:rPr>
          <w:noProof/>
          <w:color w:val="000000" w:themeColor="text1"/>
          <w:sz w:val="24"/>
          <w:szCs w:val="24"/>
        </w:rPr>
        <w:t xml:space="preserve"> acinetobacters</w:t>
      </w:r>
      <w:r w:rsidR="00F8287D" w:rsidRPr="00B378D9">
        <w:rPr>
          <w:noProof/>
          <w:color w:val="000000" w:themeColor="text1"/>
          <w:sz w:val="24"/>
          <w:szCs w:val="24"/>
        </w:rPr>
        <w:t xml:space="preserve">. Our previous study of </w:t>
      </w:r>
      <w:r w:rsidR="00F8287D" w:rsidRPr="00B378D9">
        <w:rPr>
          <w:i/>
          <w:noProof/>
          <w:color w:val="000000" w:themeColor="text1"/>
          <w:sz w:val="24"/>
          <w:szCs w:val="24"/>
        </w:rPr>
        <w:t>A. baumannii</w:t>
      </w:r>
      <w:r w:rsidR="00F8287D" w:rsidRPr="00B378D9">
        <w:rPr>
          <w:noProof/>
          <w:color w:val="000000" w:themeColor="text1"/>
          <w:sz w:val="24"/>
          <w:szCs w:val="24"/>
        </w:rPr>
        <w:t xml:space="preserve"> isolated from</w:t>
      </w:r>
      <w:r w:rsidR="00861D87" w:rsidRPr="00B378D9">
        <w:rPr>
          <w:noProof/>
          <w:color w:val="000000" w:themeColor="text1"/>
          <w:sz w:val="24"/>
          <w:szCs w:val="24"/>
        </w:rPr>
        <w:t xml:space="preserve"> Hospital Sultanah Nur Zahirah (HSNZ),</w:t>
      </w:r>
      <w:r w:rsidR="00F8287D" w:rsidRPr="00B378D9">
        <w:rPr>
          <w:noProof/>
          <w:color w:val="000000" w:themeColor="text1"/>
          <w:sz w:val="24"/>
          <w:szCs w:val="24"/>
        </w:rPr>
        <w:t xml:space="preserve"> the main tertiary hospital in the state of Terengganu, Malaysia in 2011</w:t>
      </w:r>
      <w:r w:rsidR="00E96DED" w:rsidRPr="00B378D9">
        <w:rPr>
          <w:noProof/>
          <w:color w:val="000000" w:themeColor="text1"/>
          <w:sz w:val="24"/>
          <w:szCs w:val="24"/>
        </w:rPr>
        <w:t>,</w:t>
      </w:r>
      <w:r w:rsidR="00F8287D" w:rsidRPr="00B378D9">
        <w:rPr>
          <w:noProof/>
          <w:color w:val="000000" w:themeColor="text1"/>
          <w:sz w:val="24"/>
          <w:szCs w:val="24"/>
        </w:rPr>
        <w:t xml:space="preserve"> indicated a high incidence of multidrug resistance (&gt;70%) with about 25% of the isolates categorized as extensive drug resistant </w:t>
      </w:r>
      <w:r w:rsidR="00A50608" w:rsidRPr="00B378D9">
        <w:rPr>
          <w:noProof/>
          <w:color w:val="000000" w:themeColor="text1"/>
          <w:sz w:val="24"/>
          <w:szCs w:val="24"/>
        </w:rPr>
        <w:t xml:space="preserve">(XDR) </w:t>
      </w:r>
      <w:r w:rsidR="00F8287D" w:rsidRPr="00B378D9">
        <w:rPr>
          <w:noProof/>
          <w:color w:val="000000" w:themeColor="text1"/>
          <w:sz w:val="24"/>
          <w:szCs w:val="24"/>
        </w:rPr>
        <w:t>and displaying resistance to polymyxin B</w:t>
      </w:r>
      <w:r w:rsidR="00520242" w:rsidRPr="00B378D9">
        <w:rPr>
          <w:noProof/>
          <w:color w:val="000000" w:themeColor="text1"/>
          <w:sz w:val="24"/>
          <w:szCs w:val="24"/>
        </w:rPr>
        <w:t xml:space="preserve">, considered one of the drugs of “last resort” for </w:t>
      </w:r>
      <w:r w:rsidR="00520242" w:rsidRPr="00B378D9">
        <w:rPr>
          <w:i/>
          <w:noProof/>
          <w:color w:val="000000" w:themeColor="text1"/>
          <w:sz w:val="24"/>
          <w:szCs w:val="24"/>
        </w:rPr>
        <w:t>Acinetobacter</w:t>
      </w:r>
      <w:r w:rsidR="00520242" w:rsidRPr="00B378D9">
        <w:rPr>
          <w:noProof/>
          <w:color w:val="000000" w:themeColor="text1"/>
          <w:sz w:val="24"/>
          <w:szCs w:val="24"/>
        </w:rPr>
        <w:t xml:space="preserve"> infections</w:t>
      </w:r>
      <w:r w:rsidR="00F8287D" w:rsidRPr="00B378D9">
        <w:rPr>
          <w:noProof/>
          <w:color w:val="000000" w:themeColor="text1"/>
          <w:sz w:val="24"/>
          <w:szCs w:val="24"/>
        </w:rPr>
        <w:t xml:space="preserve"> </w:t>
      </w:r>
      <w:r w:rsidR="00F8287D"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Malaysia.","type":"article-journal","volume":"2014"},"uris":["http://www.mendeley.com/documents/?uuid=f46a3671-3c01-4b9a-80d4-a5d7deed4c7a"]},{"id":"ITEM-2","itemData":{"DOI":"10.3389/fmicb.2015.01445","ISSN":"1664302X","abstract":"© 2016 Lean, Yeo, Suhaili and Thong. Acinetobacter baumannii is a Gram-negative nosocomial pathogen of importance due to its uncanny ability to acquire resistance to most antimicrobials. These include carbapenems, which are the drugs of choice for treating A. baumannii infections, and polymyxins, the drugs of last resort. Whole genome sequencing was performed on two clinical carbapenem-resistant A. baumannii AC29 and AC30 strains which had an indistinguishable ApaI pulsotype but different susceptibilities to polymyxin. Both genomes consisted of an approximately 3.8 Mbp circular chromosome each and several plasmids. AC29 (susceptible to polymyxin) and AC30 (resistant to polymyxin) belonged to the ST195 lineage and are phylogenetically clustered under the International Clone II (IC-II) group. An AbaR4-type resistance island (RI) interrupted the comM gene in the chromosomes of both strains and contained the blaOXA-23 carbapenemase gene and determinants for tetracycline and streptomycin resistance. AC29 harbored another copy of blaOXA-23 in a large (~74 kb) conjugative plasmid, pAC29b, but this gene was absent in a similar plasmid (pAC30c) found in AC30. A 7 kb Tn1548::armA RI which encodes determinants for aminoglycoside and macrolide resistance, is chromosomally-located in AC29 but found in a 16 kb plasmid in AC30, pAC30b. Analysis of known determinants for polymyxin resistance in AC30 showed mutations in the pmrA gene encoding the response regulator of the two-component pmrAB signal transduction system as well as in the lpxD, lpxC, and lpsB genes that encode enzymes involved in the biosynthesis of lipopolysaccharide (LPS). Experimental evidence indicated that impairment of LPS along with overexpression of pmrAB may have contributed to the development of polymyxin resistance in AC30. Cloning of a novel variant of the blaAmpC gene from AC29 and AC30, and its subsequent expression in E. coli also indicated its likely function as an extended-spectrum cephalosporinase.","author":[{"dropping-particle":"","family":"Lean","given":"S.-S.","non-dropping-particle":"","parse-names":false,"suffix":""},{"dropping-particle":"","family":"Yeo","given":"C.C.","non-dropping-particle":"","parse-names":false,"suffix":""},{"dropping-particle":"","family":"Suhaili","given":"Z.","non-dropping-particle":"","parse-names":false,"suffix":""},{"dropping-particle":"","family":"Thong","given":"K.-L.","non-dropping-particle":"","parse-names":false,"suffix":""}],"container-title":"Frontiers in Microbiology","id":"ITEM-2","issued":{"date-parts":[["2016"]]},"page":"1445","title":"Comparative genomics of two ST 195 carbapenem-resistant Acinetobacter baumannii with different susceptibility to polymyxin revealed underlying resistance mechanism","type":"article-journal","volume":"6"},"uris":["http://www.mendeley.com/documents/?uuid=8aa29719-0e94-3125-b768-6856a4ece60a"]}],"mendeley":{"formattedCitation":"[19, 20]","plainTextFormattedCitation":"[19, 20]","previouslyFormattedCitation":"[19, 20]"},"properties":{"noteIndex":0},"schema":"https://github.com/citation-style-language/schema/raw/master/csl-citation.json"}</w:instrText>
      </w:r>
      <w:r w:rsidR="00F8287D" w:rsidRPr="00B378D9">
        <w:rPr>
          <w:noProof/>
          <w:color w:val="000000" w:themeColor="text1"/>
          <w:sz w:val="24"/>
          <w:szCs w:val="24"/>
        </w:rPr>
        <w:fldChar w:fldCharType="separate"/>
      </w:r>
      <w:r w:rsidR="00575F7D" w:rsidRPr="00B378D9">
        <w:rPr>
          <w:noProof/>
          <w:color w:val="000000" w:themeColor="text1"/>
          <w:sz w:val="24"/>
          <w:szCs w:val="24"/>
        </w:rPr>
        <w:t>[19, 20]</w:t>
      </w:r>
      <w:r w:rsidR="00F8287D" w:rsidRPr="00B378D9">
        <w:rPr>
          <w:noProof/>
          <w:color w:val="000000" w:themeColor="text1"/>
          <w:sz w:val="24"/>
          <w:szCs w:val="24"/>
        </w:rPr>
        <w:fldChar w:fldCharType="end"/>
      </w:r>
      <w:r w:rsidR="00F8287D" w:rsidRPr="00B378D9">
        <w:rPr>
          <w:noProof/>
          <w:color w:val="000000" w:themeColor="text1"/>
          <w:sz w:val="24"/>
          <w:szCs w:val="24"/>
        </w:rPr>
        <w:t xml:space="preserve">. </w:t>
      </w:r>
      <w:r w:rsidR="00A50608" w:rsidRPr="00B378D9">
        <w:rPr>
          <w:noProof/>
          <w:color w:val="000000" w:themeColor="text1"/>
          <w:sz w:val="24"/>
          <w:szCs w:val="24"/>
        </w:rPr>
        <w:t xml:space="preserve">In this study, we examined </w:t>
      </w:r>
      <w:r w:rsidR="00A50608" w:rsidRPr="00B378D9">
        <w:rPr>
          <w:i/>
          <w:noProof/>
          <w:color w:val="000000" w:themeColor="text1"/>
          <w:sz w:val="24"/>
          <w:szCs w:val="24"/>
        </w:rPr>
        <w:t>Acinetobacter</w:t>
      </w:r>
      <w:r w:rsidR="00A50608" w:rsidRPr="00B378D9">
        <w:rPr>
          <w:noProof/>
          <w:color w:val="000000" w:themeColor="text1"/>
          <w:sz w:val="24"/>
          <w:szCs w:val="24"/>
        </w:rPr>
        <w:t xml:space="preserve"> spp. isolates from the same tertiary hospital obtained throughout 2015 and identified the non-</w:t>
      </w:r>
      <w:r w:rsidR="00A50608" w:rsidRPr="00B378D9">
        <w:rPr>
          <w:i/>
          <w:noProof/>
          <w:color w:val="000000" w:themeColor="text1"/>
          <w:sz w:val="24"/>
          <w:szCs w:val="24"/>
        </w:rPr>
        <w:t>baumannii</w:t>
      </w:r>
      <w:r w:rsidR="00F851D9" w:rsidRPr="00B378D9">
        <w:rPr>
          <w:noProof/>
          <w:color w:val="000000" w:themeColor="text1"/>
          <w:sz w:val="24"/>
          <w:szCs w:val="24"/>
        </w:rPr>
        <w:t xml:space="preserve"> </w:t>
      </w:r>
      <w:r w:rsidR="00A50608" w:rsidRPr="00B378D9">
        <w:rPr>
          <w:noProof/>
          <w:color w:val="000000" w:themeColor="text1"/>
          <w:sz w:val="24"/>
          <w:szCs w:val="24"/>
        </w:rPr>
        <w:t xml:space="preserve">isolates by </w:t>
      </w:r>
      <w:r w:rsidR="00A50608" w:rsidRPr="00B378D9">
        <w:rPr>
          <w:i/>
          <w:noProof/>
          <w:color w:val="000000" w:themeColor="text1"/>
          <w:sz w:val="24"/>
          <w:szCs w:val="24"/>
        </w:rPr>
        <w:t>rpoB</w:t>
      </w:r>
      <w:r w:rsidR="00A50608" w:rsidRPr="00B378D9">
        <w:rPr>
          <w:noProof/>
          <w:color w:val="000000" w:themeColor="text1"/>
          <w:sz w:val="24"/>
          <w:szCs w:val="24"/>
        </w:rPr>
        <w:t xml:space="preserve"> sequencing. Their antimicrobial susceptibility profiles were determined</w:t>
      </w:r>
      <w:r w:rsidR="00950145" w:rsidRPr="00B378D9">
        <w:rPr>
          <w:noProof/>
          <w:color w:val="000000" w:themeColor="text1"/>
          <w:sz w:val="24"/>
          <w:szCs w:val="24"/>
        </w:rPr>
        <w:t>. Furthermore, carriage of carbapenemase-encoding genes was investigated since acquisition of these genes is the most important mechanism for dissemination of carbapenem resistance</w:t>
      </w:r>
      <w:r w:rsidR="00E33BAB" w:rsidRPr="00B378D9">
        <w:rPr>
          <w:noProof/>
          <w:color w:val="000000" w:themeColor="text1"/>
          <w:sz w:val="24"/>
          <w:szCs w:val="24"/>
        </w:rPr>
        <w:t xml:space="preserve"> </w:t>
      </w:r>
      <w:r w:rsidR="005E1808" w:rsidRPr="00B378D9">
        <w:rPr>
          <w:noProof/>
          <w:color w:val="000000" w:themeColor="text1"/>
          <w:sz w:val="24"/>
          <w:szCs w:val="24"/>
        </w:rPr>
        <w:fldChar w:fldCharType="begin" w:fldLock="1"/>
      </w:r>
      <w:r w:rsidR="002A21E2" w:rsidRPr="00B378D9">
        <w:rPr>
          <w:noProof/>
          <w:color w:val="000000" w:themeColor="text1"/>
          <w:sz w:val="24"/>
          <w:szCs w:val="24"/>
        </w:rPr>
        <w:instrText>ADDIN CSL_CITATION {"citationItems":[{"id":"ITEM-1","itemData":{"DOI":"10.1002/iub.532","ISBN":"3314521634","ISSN":"15216543","PMID":"21990280","abstract":"Antibiotic resistance in Acinetobacter spp., particularly Acinetobacter baumannii, is increasing rapidly. A. baumannii possesses two intrinsic β-lactamase genes, in addition to weak permeability and efflux systems, that together confer a natural reduced susceptibility to antibiotics. In addition, numerous acquired mechanisms of resistance have been identified in A. baumannii. The very high genetic plasticity of A. baumannii allows an accumulation of resistance determinants that give rise to multidrug resistance at an alarming rate. The role of novel genetic elements, such as resistance islands, in concentrating antibiotic resistance genes in A. baumannii requires detailed investigation in the near future.","author":[{"dropping-particle":"","family":"Poirel","given":"Laurent","non-dropping-particle":"","parse-names":false,"suffix":""},{"dropping-particle":"","family":"Bonnin","given":"Remy A.","non-dropping-particle":"","parse-names":false,"suffix":""},{"dropping-particle":"","family":"Nordmann","given":"Patrice","non-dropping-particle":"","parse-names":false,"suffix":""}],"container-title":"IUBMB Life","id":"ITEM-1","issue":"12","issued":{"date-parts":[["2011"]]},"page":"1061-1067","title":"Genetic basis of antibiotic resistance in pathogenic Acinetobacter species","type":"article-journal","volume":"63"},"uris":["http://www.mendeley.com/documents/?uuid=a0860125-edd6-4262-95d3-e707daac311f"]},{"id":"ITEM-2","itemData":{"DOI":"10.1128/CMR.00042-16","ISBN":"0893-8512","ISSN":"1098-6618","PMID":"27795305","abstract":"Carbapenem-resistant Gram-negative bacteria, in particular the Acinetobacter baumannii-calcoaceticus complex and Enterobacteriaceae, are escalating global public health threats. We review the epidemiology and prevalence of these carbapenem-resistant Gram-negative bacteria among countries in South and Southeast Asia, where the rates of resistance are some of the highest in the world. These countries house more than a third of the world's population, and several are also major medical tourism destinations. There are significant data gaps, and the almost universal lack of comprehensive surveillance programs that include molecular epidemiologic testing has made it difficult to understand the origins and extent of the problem in depth. A complex combination of factors such as inappropriate prescription of antibiotics, overstretched health systems, and international travel (including the phenomenon of medical tourism) probably led to the rapid rise and spread of these bacteria in hospitals in South and Southeast Asia. In India, Pakistan, and Vietnam, carbapenem-resistant Enterobacteriaceae have also been found in the environment and community, likely as a consequence of poor environmental hygiene and sanitation. Considerable political will and effort, including from countries outside these regions, are vital in order to reduce the prevalence of such bacteria in South and Southeast Asia and prevent their global spread.","author":[{"dropping-particle":"","family":"Hsu","given":"Li-Yang","non-dropping-particle":"","parse-names":false,"suffix":""},{"dropping-particle":"","family":"Apisarnthanarak","given":"Anucha","non-dropping-particle":"","parse-names":false,"suffix":""},{"dropping-particle":"","family":"Khan","given":"Erum","non-dropping-particle":"","parse-names":false,"suffix":""},{"dropping-particle":"","family":"Suwantarat","given":"Nuntra","non-dropping-particle":"","parse-names":false,"suffix":""},{"dropping-particle":"","family":"Ghafur","given":"Abdul","non-dropping-particle":"","parse-names":false,"suffix":""},{"dropping-particle":"","family":"Tambyah","given":"Paul Anantharajah","non-dropping-particle":"","parse-names":false,"suffix":""}],"container-title":"Clinical microbiology reviews","id":"ITEM-2","issue":"1","issued":{"date-parts":[["2017"]]},"page":"1-22","title":"Carbapenem-Resistant Acinetobacter baumannii and Enterobacteriaceae in South and Southeast Asia.","type":"article-journal","volume":"30"},"uris":["http://www.mendeley.com/documents/?uuid=26d0dba8-3d7b-4673-b564-ed1624089944"]}],"mendeley":{"formattedCitation":"[21, 22]","plainTextFormattedCitation":"[21, 22]","previouslyFormattedCitation":"[21, 22]"},"properties":{"noteIndex":0},"schema":"https://github.com/citation-style-language/schema/raw/master/csl-citation.json"}</w:instrText>
      </w:r>
      <w:r w:rsidR="005E1808" w:rsidRPr="00B378D9">
        <w:rPr>
          <w:noProof/>
          <w:color w:val="000000" w:themeColor="text1"/>
          <w:sz w:val="24"/>
          <w:szCs w:val="24"/>
        </w:rPr>
        <w:fldChar w:fldCharType="separate"/>
      </w:r>
      <w:r w:rsidR="00575F7D" w:rsidRPr="00B378D9">
        <w:rPr>
          <w:noProof/>
          <w:color w:val="000000" w:themeColor="text1"/>
          <w:sz w:val="24"/>
          <w:szCs w:val="24"/>
        </w:rPr>
        <w:t>[21, 22]</w:t>
      </w:r>
      <w:r w:rsidR="005E1808" w:rsidRPr="00B378D9">
        <w:rPr>
          <w:noProof/>
          <w:color w:val="000000" w:themeColor="text1"/>
          <w:sz w:val="24"/>
          <w:szCs w:val="24"/>
        </w:rPr>
        <w:fldChar w:fldCharType="end"/>
      </w:r>
      <w:r w:rsidR="00224153" w:rsidRPr="00B378D9">
        <w:rPr>
          <w:noProof/>
          <w:color w:val="000000" w:themeColor="text1"/>
          <w:sz w:val="24"/>
          <w:szCs w:val="24"/>
        </w:rPr>
        <w:t>.</w:t>
      </w:r>
      <w:r w:rsidR="005E1808" w:rsidRPr="00B378D9">
        <w:rPr>
          <w:noProof/>
          <w:color w:val="000000" w:themeColor="text1"/>
          <w:sz w:val="24"/>
          <w:szCs w:val="24"/>
        </w:rPr>
        <w:t xml:space="preserve"> </w:t>
      </w:r>
      <w:r w:rsidR="00224153" w:rsidRPr="00B378D9">
        <w:rPr>
          <w:noProof/>
          <w:color w:val="000000" w:themeColor="text1"/>
          <w:sz w:val="24"/>
          <w:szCs w:val="24"/>
        </w:rPr>
        <w:t>This gives</w:t>
      </w:r>
      <w:r w:rsidR="00632E71" w:rsidRPr="00B378D9">
        <w:rPr>
          <w:noProof/>
          <w:color w:val="000000" w:themeColor="text1"/>
          <w:sz w:val="24"/>
          <w:szCs w:val="24"/>
        </w:rPr>
        <w:t xml:space="preserve"> us</w:t>
      </w:r>
      <w:r w:rsidR="00657A43" w:rsidRPr="00B378D9">
        <w:rPr>
          <w:noProof/>
          <w:color w:val="000000" w:themeColor="text1"/>
          <w:sz w:val="24"/>
          <w:szCs w:val="24"/>
        </w:rPr>
        <w:t xml:space="preserve"> a first comparative characteris</w:t>
      </w:r>
      <w:r w:rsidR="00632E71" w:rsidRPr="00B378D9">
        <w:rPr>
          <w:noProof/>
          <w:color w:val="000000" w:themeColor="text1"/>
          <w:sz w:val="24"/>
          <w:szCs w:val="24"/>
        </w:rPr>
        <w:t>ation</w:t>
      </w:r>
      <w:r w:rsidR="00F851D9" w:rsidRPr="00B378D9">
        <w:rPr>
          <w:noProof/>
          <w:color w:val="000000" w:themeColor="text1"/>
          <w:sz w:val="24"/>
          <w:szCs w:val="24"/>
        </w:rPr>
        <w:t xml:space="preserve"> of </w:t>
      </w:r>
      <w:r w:rsidR="00F851D9" w:rsidRPr="00B378D9">
        <w:rPr>
          <w:i/>
          <w:noProof/>
          <w:color w:val="000000" w:themeColor="text1"/>
          <w:sz w:val="24"/>
          <w:szCs w:val="24"/>
        </w:rPr>
        <w:t>A.baumannii</w:t>
      </w:r>
      <w:r w:rsidR="00F851D9" w:rsidRPr="00B378D9">
        <w:rPr>
          <w:noProof/>
          <w:color w:val="000000" w:themeColor="text1"/>
          <w:sz w:val="24"/>
          <w:szCs w:val="24"/>
        </w:rPr>
        <w:t xml:space="preserve"> and non-</w:t>
      </w:r>
      <w:r w:rsidR="00F851D9" w:rsidRPr="00B378D9">
        <w:rPr>
          <w:i/>
          <w:noProof/>
          <w:color w:val="000000" w:themeColor="text1"/>
          <w:sz w:val="24"/>
          <w:szCs w:val="24"/>
        </w:rPr>
        <w:t>baumannii</w:t>
      </w:r>
      <w:r w:rsidR="00F851D9" w:rsidRPr="00B378D9">
        <w:rPr>
          <w:noProof/>
          <w:color w:val="000000" w:themeColor="text1"/>
          <w:sz w:val="24"/>
          <w:szCs w:val="24"/>
        </w:rPr>
        <w:t xml:space="preserve"> acinetobacters from a tertiary healthcare institution in Malaysia. </w:t>
      </w:r>
      <w:r w:rsidR="00A50608" w:rsidRPr="00B378D9">
        <w:rPr>
          <w:noProof/>
          <w:color w:val="000000" w:themeColor="text1"/>
          <w:sz w:val="24"/>
          <w:szCs w:val="24"/>
        </w:rPr>
        <w:t xml:space="preserve"> </w:t>
      </w:r>
    </w:p>
    <w:p w14:paraId="4FD2F431" w14:textId="77777777" w:rsidR="0078136F" w:rsidRPr="00B378D9" w:rsidRDefault="0078136F" w:rsidP="009A4402">
      <w:pPr>
        <w:spacing w:line="480" w:lineRule="auto"/>
        <w:ind w:left="0" w:firstLine="0"/>
        <w:rPr>
          <w:b/>
          <w:color w:val="000000" w:themeColor="text1"/>
          <w:sz w:val="24"/>
          <w:szCs w:val="24"/>
          <w:lang w:val="en-MY"/>
        </w:rPr>
      </w:pPr>
    </w:p>
    <w:p w14:paraId="6AEED171" w14:textId="77777777" w:rsidR="00D616B0" w:rsidRPr="00B378D9" w:rsidRDefault="005E1808" w:rsidP="009A4402">
      <w:pPr>
        <w:spacing w:line="480" w:lineRule="auto"/>
        <w:ind w:left="0" w:firstLine="708"/>
        <w:rPr>
          <w:color w:val="000000" w:themeColor="text1"/>
          <w:sz w:val="24"/>
          <w:szCs w:val="24"/>
          <w:lang w:val="en-MY"/>
        </w:rPr>
      </w:pPr>
      <w:r w:rsidRPr="00B378D9">
        <w:rPr>
          <w:color w:val="000000" w:themeColor="text1"/>
          <w:sz w:val="24"/>
          <w:szCs w:val="24"/>
          <w:lang w:val="en-MY"/>
        </w:rPr>
        <w:t xml:space="preserve">Ethical approval for this study was obtained from the Medical Research &amp; Ethics Committee of the Malaysian Ministry of Health’s National Medical Research Register </w:t>
      </w:r>
      <w:r w:rsidRPr="00B378D9">
        <w:rPr>
          <w:color w:val="000000" w:themeColor="text1"/>
          <w:sz w:val="24"/>
          <w:szCs w:val="24"/>
          <w:lang w:val="en-MY"/>
        </w:rPr>
        <w:lastRenderedPageBreak/>
        <w:t xml:space="preserve">(approval no. NMRR-14-1650-23625-IIR). </w:t>
      </w:r>
      <w:r w:rsidR="003C6432" w:rsidRPr="00B378D9">
        <w:rPr>
          <w:color w:val="000000" w:themeColor="text1"/>
          <w:sz w:val="24"/>
          <w:szCs w:val="24"/>
          <w:lang w:val="en-MY"/>
        </w:rPr>
        <w:t xml:space="preserve">A total of 153 non-repeat </w:t>
      </w:r>
      <w:r w:rsidR="003C6432" w:rsidRPr="00B378D9">
        <w:rPr>
          <w:i/>
          <w:color w:val="000000" w:themeColor="text1"/>
          <w:sz w:val="24"/>
          <w:szCs w:val="24"/>
          <w:lang w:val="en-MY"/>
        </w:rPr>
        <w:t xml:space="preserve">Acinetobacter </w:t>
      </w:r>
      <w:r w:rsidR="003C6432" w:rsidRPr="00B378D9">
        <w:rPr>
          <w:color w:val="000000" w:themeColor="text1"/>
          <w:sz w:val="24"/>
          <w:szCs w:val="24"/>
          <w:lang w:val="en-MY"/>
        </w:rPr>
        <w:t xml:space="preserve">spp. isolates </w:t>
      </w:r>
      <w:r w:rsidR="00D616B0" w:rsidRPr="00B378D9">
        <w:rPr>
          <w:noProof/>
          <w:color w:val="000000" w:themeColor="text1"/>
          <w:sz w:val="24"/>
          <w:szCs w:val="24"/>
          <w:lang w:val="en-MY"/>
        </w:rPr>
        <w:t xml:space="preserve">were </w:t>
      </w:r>
      <w:r w:rsidR="004513A9" w:rsidRPr="00B378D9">
        <w:rPr>
          <w:noProof/>
          <w:color w:val="000000" w:themeColor="text1"/>
          <w:sz w:val="24"/>
          <w:szCs w:val="24"/>
          <w:lang w:val="en-MY"/>
        </w:rPr>
        <w:t>collected</w:t>
      </w:r>
      <w:r w:rsidR="00D616B0" w:rsidRPr="00B378D9">
        <w:rPr>
          <w:color w:val="000000" w:themeColor="text1"/>
          <w:sz w:val="24"/>
          <w:szCs w:val="24"/>
          <w:lang w:val="en-MY"/>
        </w:rPr>
        <w:t xml:space="preserve"> from</w:t>
      </w:r>
      <w:r w:rsidR="00485898" w:rsidRPr="00B378D9">
        <w:rPr>
          <w:color w:val="000000" w:themeColor="text1"/>
          <w:sz w:val="24"/>
          <w:szCs w:val="24"/>
          <w:lang w:val="en-MY"/>
        </w:rPr>
        <w:t xml:space="preserve"> the Microbiology Laboratory, Department of Pathology,</w:t>
      </w:r>
      <w:r w:rsidR="00D616B0" w:rsidRPr="00B378D9">
        <w:rPr>
          <w:color w:val="000000" w:themeColor="text1"/>
          <w:sz w:val="24"/>
          <w:szCs w:val="24"/>
          <w:lang w:val="en-MY"/>
        </w:rPr>
        <w:t xml:space="preserve"> Hospital Sultanah Nur Zahirah (HSNZ), Kuala Terengganu, throughout 2015</w:t>
      </w:r>
      <w:r w:rsidR="00354EF6" w:rsidRPr="00B378D9">
        <w:rPr>
          <w:color w:val="000000" w:themeColor="text1"/>
          <w:sz w:val="24"/>
          <w:szCs w:val="24"/>
          <w:lang w:val="en-MY"/>
        </w:rPr>
        <w:t xml:space="preserve">, and </w:t>
      </w:r>
      <w:r w:rsidR="00063103" w:rsidRPr="00B378D9">
        <w:rPr>
          <w:color w:val="000000" w:themeColor="text1"/>
          <w:sz w:val="24"/>
          <w:szCs w:val="24"/>
          <w:lang w:val="en-MY"/>
        </w:rPr>
        <w:t xml:space="preserve">these </w:t>
      </w:r>
      <w:r w:rsidR="00354EF6" w:rsidRPr="00B378D9">
        <w:rPr>
          <w:color w:val="000000" w:themeColor="text1"/>
          <w:sz w:val="24"/>
          <w:szCs w:val="24"/>
          <w:lang w:val="en-MY"/>
        </w:rPr>
        <w:t xml:space="preserve">were </w:t>
      </w:r>
      <w:r w:rsidR="00E96DED" w:rsidRPr="00B378D9">
        <w:rPr>
          <w:color w:val="000000" w:themeColor="text1"/>
          <w:sz w:val="24"/>
          <w:szCs w:val="24"/>
          <w:lang w:val="en-MY"/>
        </w:rPr>
        <w:t xml:space="preserve">isolated </w:t>
      </w:r>
      <w:r w:rsidR="00354EF6" w:rsidRPr="00B378D9">
        <w:rPr>
          <w:color w:val="000000" w:themeColor="text1"/>
          <w:sz w:val="24"/>
          <w:szCs w:val="24"/>
          <w:lang w:val="en-MY"/>
        </w:rPr>
        <w:t>from HSNZ as well as other district hospitals in the state</w:t>
      </w:r>
      <w:r w:rsidR="00861D87" w:rsidRPr="00B378D9">
        <w:rPr>
          <w:color w:val="000000" w:themeColor="text1"/>
          <w:sz w:val="24"/>
          <w:szCs w:val="24"/>
          <w:lang w:val="en-MY"/>
        </w:rPr>
        <w:t xml:space="preserve"> of Terengganu</w:t>
      </w:r>
      <w:r w:rsidR="00D616B0" w:rsidRPr="00B378D9">
        <w:rPr>
          <w:color w:val="000000" w:themeColor="text1"/>
          <w:sz w:val="24"/>
          <w:szCs w:val="24"/>
          <w:lang w:val="en-MY"/>
        </w:rPr>
        <w:t xml:space="preserve">. The strains </w:t>
      </w:r>
      <w:r w:rsidR="00D616B0" w:rsidRPr="00B378D9">
        <w:rPr>
          <w:noProof/>
          <w:color w:val="000000" w:themeColor="text1"/>
          <w:sz w:val="24"/>
          <w:szCs w:val="24"/>
          <w:lang w:val="en-MY"/>
        </w:rPr>
        <w:t>were identified</w:t>
      </w:r>
      <w:r w:rsidR="00D616B0" w:rsidRPr="00B378D9">
        <w:rPr>
          <w:color w:val="000000" w:themeColor="text1"/>
          <w:sz w:val="24"/>
          <w:szCs w:val="24"/>
          <w:lang w:val="en-MY"/>
        </w:rPr>
        <w:t xml:space="preserve"> as </w:t>
      </w:r>
      <w:r w:rsidR="00D616B0" w:rsidRPr="00B378D9">
        <w:rPr>
          <w:i/>
          <w:color w:val="000000" w:themeColor="text1"/>
          <w:sz w:val="24"/>
          <w:szCs w:val="24"/>
          <w:lang w:val="en-MY"/>
        </w:rPr>
        <w:t>Acinetobacter</w:t>
      </w:r>
      <w:r w:rsidR="00D616B0" w:rsidRPr="00B378D9">
        <w:rPr>
          <w:color w:val="000000" w:themeColor="text1"/>
          <w:sz w:val="24"/>
          <w:szCs w:val="24"/>
          <w:lang w:val="en-MY"/>
        </w:rPr>
        <w:t xml:space="preserve"> </w:t>
      </w:r>
      <w:r w:rsidR="00D616B0" w:rsidRPr="00B378D9">
        <w:rPr>
          <w:noProof/>
          <w:color w:val="000000" w:themeColor="text1"/>
          <w:sz w:val="24"/>
          <w:szCs w:val="24"/>
          <w:lang w:val="en-MY"/>
        </w:rPr>
        <w:t>spp</w:t>
      </w:r>
      <w:r w:rsidR="00D616B0" w:rsidRPr="00B378D9">
        <w:rPr>
          <w:color w:val="000000" w:themeColor="text1"/>
          <w:sz w:val="24"/>
          <w:szCs w:val="24"/>
          <w:lang w:val="en-MY"/>
        </w:rPr>
        <w:t xml:space="preserve">. </w:t>
      </w:r>
      <w:r w:rsidR="00D616B0" w:rsidRPr="00B378D9">
        <w:rPr>
          <w:noProof/>
          <w:color w:val="000000" w:themeColor="text1"/>
          <w:sz w:val="24"/>
          <w:szCs w:val="24"/>
          <w:lang w:val="en-MY"/>
        </w:rPr>
        <w:t>by</w:t>
      </w:r>
      <w:r w:rsidR="00D616B0" w:rsidRPr="00B378D9">
        <w:rPr>
          <w:color w:val="000000" w:themeColor="text1"/>
          <w:sz w:val="24"/>
          <w:szCs w:val="24"/>
          <w:lang w:val="en-MY"/>
        </w:rPr>
        <w:t xml:space="preserve"> </w:t>
      </w:r>
      <w:r w:rsidR="0061181A" w:rsidRPr="00B378D9">
        <w:rPr>
          <w:color w:val="000000" w:themeColor="text1"/>
          <w:sz w:val="24"/>
          <w:szCs w:val="24"/>
          <w:lang w:val="en-MY"/>
        </w:rPr>
        <w:t>the Vitek 2 system (bioMérieux)</w:t>
      </w:r>
      <w:r w:rsidR="00D616B0" w:rsidRPr="00B378D9">
        <w:rPr>
          <w:color w:val="000000" w:themeColor="text1"/>
          <w:sz w:val="24"/>
          <w:szCs w:val="24"/>
          <w:lang w:val="en-MY"/>
        </w:rPr>
        <w:t xml:space="preserve"> at the</w:t>
      </w:r>
      <w:r w:rsidR="00485898" w:rsidRPr="00B378D9">
        <w:rPr>
          <w:color w:val="000000" w:themeColor="text1"/>
          <w:sz w:val="24"/>
          <w:szCs w:val="24"/>
          <w:lang w:val="en-MY"/>
        </w:rPr>
        <w:t xml:space="preserve"> hospital laboratory.</w:t>
      </w:r>
      <w:r w:rsidR="00D616B0" w:rsidRPr="00B378D9">
        <w:rPr>
          <w:color w:val="000000" w:themeColor="text1"/>
          <w:sz w:val="24"/>
          <w:szCs w:val="24"/>
          <w:lang w:val="en-MY"/>
        </w:rPr>
        <w:t xml:space="preserve"> </w:t>
      </w:r>
    </w:p>
    <w:p w14:paraId="66E5CD7D" w14:textId="25E98FF3" w:rsidR="00D616B0" w:rsidRPr="00B378D9" w:rsidRDefault="008B3304" w:rsidP="008B3304">
      <w:pPr>
        <w:tabs>
          <w:tab w:val="left" w:pos="720"/>
        </w:tabs>
        <w:spacing w:line="480" w:lineRule="auto"/>
        <w:ind w:left="0" w:firstLine="0"/>
        <w:rPr>
          <w:color w:val="000000" w:themeColor="text1"/>
          <w:sz w:val="24"/>
          <w:szCs w:val="24"/>
          <w:lang w:val="en-MY"/>
        </w:rPr>
      </w:pPr>
      <w:r w:rsidRPr="00B378D9">
        <w:rPr>
          <w:b/>
          <w:color w:val="000000" w:themeColor="text1"/>
          <w:sz w:val="24"/>
          <w:szCs w:val="24"/>
          <w:lang w:val="en-MY"/>
        </w:rPr>
        <w:tab/>
      </w:r>
      <w:r w:rsidR="00C04DDF" w:rsidRPr="00B378D9">
        <w:rPr>
          <w:color w:val="000000" w:themeColor="text1"/>
          <w:sz w:val="24"/>
          <w:szCs w:val="24"/>
        </w:rPr>
        <w:t xml:space="preserve">To determine if the isolates were </w:t>
      </w:r>
      <w:r w:rsidR="00C04DDF" w:rsidRPr="00B378D9">
        <w:rPr>
          <w:i/>
          <w:color w:val="000000" w:themeColor="text1"/>
          <w:sz w:val="24"/>
          <w:szCs w:val="24"/>
        </w:rPr>
        <w:t>A. baumannii</w:t>
      </w:r>
      <w:r w:rsidR="00C04DDF" w:rsidRPr="00B378D9">
        <w:rPr>
          <w:color w:val="000000" w:themeColor="text1"/>
          <w:sz w:val="24"/>
          <w:szCs w:val="24"/>
        </w:rPr>
        <w:t xml:space="preserve"> or non-</w:t>
      </w:r>
      <w:r w:rsidR="00C04DDF" w:rsidRPr="00B378D9">
        <w:rPr>
          <w:i/>
          <w:color w:val="000000" w:themeColor="text1"/>
          <w:sz w:val="24"/>
          <w:szCs w:val="24"/>
        </w:rPr>
        <w:t>baumannii</w:t>
      </w:r>
      <w:r w:rsidR="00C04DDF" w:rsidRPr="00B378D9">
        <w:rPr>
          <w:color w:val="000000" w:themeColor="text1"/>
          <w:sz w:val="24"/>
          <w:szCs w:val="24"/>
        </w:rPr>
        <w:t xml:space="preserve"> acinetobacters, their genomic DNA were subjected to amplified ribosomal DNA restriction analysis (ARDRA) with five different restriction enzymes</w:t>
      </w:r>
      <w:r w:rsidR="0026280B" w:rsidRPr="00B378D9">
        <w:rPr>
          <w:color w:val="000000" w:themeColor="text1"/>
          <w:sz w:val="24"/>
          <w:szCs w:val="24"/>
        </w:rPr>
        <w:t xml:space="preserve"> </w:t>
      </w:r>
      <w:r w:rsidR="0026280B"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{"citationItems":[{"id":"ITEM-1","itemData":{"ISSN":"0095-1137","PMID":"7699025","abstract":"A total of 53 field and reference strains, including the type strains of the seven named species (nomenspecies) and belonging to the 18 described genomic species (DNA groups) of the genus Acinetobacter, were studied by amplified ribosomal DNA restriction analysis (ARDRA). Restriction analysis with the enzymes AluI, CfoI, MboI, RsaI, and MspI of the enzymatically amplified 16S rRNA genes allowed us to identify all species except the genomic species 4 (Acinetobacter haemolyticus) and 7 (A. johnsonii), 5 (A. junii) and 17, and 10 and 11, which clustered pairwise in three respective groups. Further analysis with the enzyme HaeIII, HinfI, NciI, ScrFI, or TaqI did not allow us to differentiate the species within these three clusters. However, use of a few additional simple phenotypic tests (hemolysis, growth at 37 degrees C, production of acid from glucose, and gelatin hydrolysis) can be used to differentiate between the species within these clusters. ARDRA proved to be a rapid and reliable method for the identification of most of the Acinetobacter genomic species, including the closely related DNA groups 1 (A. calcoaceticus), 2 (A. baumannii), 3, and 13. The results of this study suggest that ARDRA can be used for the identification of Acinetobacter species and as such may help to elucidate the ecology and clinical significance of the different species of this genus. Since ARDRA uses universal 16S rRNA gene primers, it is expected to be applicable to the identification of most bacterial species. Furthermore, ARDRA is less prone to contamination problems than PCR for detection, since the use of cultured organisms results in a large initial quantity of target DNA.","author":[{"dropping-particle":"","family":"Vaneechoutte","given":"M","non-dropping-particle":"","parse-names":false,"suffix":""},{"dropping-particle":"","family":"Dijkshoorn","given":"L","non-dropping-particle":"","parse-names":false,"suffix":""},{"dropping-particle":"","family":"Tjernberg","given":"I","non-dropping-particle":"","parse-names":false,"suffix":""},{"dropping-particle":"","family":"Elaichouni","given":"A","non-dropping-particle":"","parse-names":false,"suffix":""},{"dropping-particle":"","family":"Vos","given":"P","non-dropping-particle":"de","parse-names":false,"suffix":""},{"dropping-particle":"","family":"Claeys","given":"G","non-dropping-particle":"","parse-names":false,"suffix":""},{"dropping-particle":"","family":"Verschraegen","given":"G","non-dropping-particle":"","parse-names":false,"suffix":""}],"container-title":"Journal of clinical microbiology","id":"ITEM-1","issue":"1","issued":{"date-parts":[["1995","1"]]},"page":"11-15","publisher":"American Society for Microbiology","title":"Identification of Acinetobacter genomic species by amplified ribosomal DNA restriction analysis.","type":"article-journal","volume":"33"},"uris":["http://www.mendeley.com/documents/?uuid=492317d7-6bf1-3133-b2b6-3ab2f2787a14"]},{"id":"ITEM-2","itemData":{"DOI":"10.1016/S0723-2020(98)80006-4","ISBN":"0095-1137 (Print)\\r0095-1137 (Linking)","ISSN":"00951137","PMID":"9786720","abstract":"Further to a previous study, the usefulness of amplified ribosomal DNA restriction analysis (ARDRA) for identification of Acinetobacter genomic species (DNA groups) was tested. A set of 202 Acinetobacter strains of 18 described genomic species and 17 unclassified strains were used. Restriction patterns obtained with a standard panel of restriction enzymes CfoI, AluI, MboI, RsaI and MspI allowed for separation of 11 DNA groups. With the additional use of restriction enzymes BfaI and BsmAI, five other (genomic) species could be differentiated, leaving only A. haemolyticus and DNA group 13BJ/14TU unseparated. With the standard panel of enzymes, ten new ARDRA profiles were noted in 14 unclassified strains. Two other unclassified strains had a profile in common with DNA group 15BJ, but were differentiated from this DNA group by restriction with bfaI. One remaining unclassified strain could not be differentiated from DNA group 17 by the standard panel of enzymes or by the enzymes BfaI and BsmAI. Results demonstrate the utility of ARDRA for identification of most genomic species of Acinetobacter. Furthermore, new ARDRA profiles that were shared by several unclassified strains may indicate so far undescribed genomic species in the genus.","author":[{"dropping-particle":"","family":"Dijkshoorn","given":"L.","non-dropping-particle":"","parse-names":false,"suffix":""},{"dropping-particle":"","family":"Harsselaar","given":"B.","non-dropping-particle":"van","parse-names":false,"suffix":""},{"dropping-particle":"","family":"Tjernberg","given":"I.","non-dropping-particle":"","parse-names":false,"suffix":""},{"dropping-particle":"","family":"Bouvet","given":"P. J. M..","non-dropping-particle":"","parse-names":false,"suffix":""},{"dropping-particle":"","family":"Vaneechoutte","given":"M.","non-dropping-particle":"","parse-names":false,"suffix":""}],"container-title":"Systematic and Applied Microbiology","id":"ITEM-2","issued":{"date-parts":[["1998"]]},"page":"33-39","title":"Evaluation of amplified ribosomal DNA restriction analysis for identification of Acinetobacter genomic species","type":"article-journal","volume":"21"},"uris":["http://www.mendeley.com/documents/?uuid=9830b70c-e6de-4b49-9d92-2767b3e0a4ef"]}],"mendeley":{"formattedCitation":"[23, 24]","plainTextFormattedCitation":"[23, 24]","previouslyFormattedCitation":"[23, 24]"},"properties":{"noteIndex":0},"schema":"https://github.com/citation-style-language/schema/raw/master/csl-citation.json"}</w:instrText>
      </w:r>
      <w:r w:rsidR="0026280B" w:rsidRPr="00B378D9">
        <w:rPr>
          <w:color w:val="000000" w:themeColor="text1"/>
          <w:sz w:val="24"/>
          <w:szCs w:val="24"/>
        </w:rPr>
        <w:fldChar w:fldCharType="separate"/>
      </w:r>
      <w:r w:rsidR="00575F7D" w:rsidRPr="00B378D9">
        <w:rPr>
          <w:noProof/>
          <w:color w:val="000000" w:themeColor="text1"/>
          <w:sz w:val="24"/>
          <w:szCs w:val="24"/>
        </w:rPr>
        <w:t>[23, 24]</w:t>
      </w:r>
      <w:r w:rsidR="0026280B" w:rsidRPr="00B378D9">
        <w:rPr>
          <w:color w:val="000000" w:themeColor="text1"/>
          <w:sz w:val="24"/>
          <w:szCs w:val="24"/>
        </w:rPr>
        <w:fldChar w:fldCharType="end"/>
      </w:r>
      <w:r w:rsidR="00C04DDF" w:rsidRPr="00B378D9">
        <w:rPr>
          <w:color w:val="000000" w:themeColor="text1"/>
          <w:sz w:val="24"/>
          <w:szCs w:val="24"/>
        </w:rPr>
        <w:t>.</w:t>
      </w:r>
      <w:r w:rsidR="009A4402" w:rsidRPr="00B378D9">
        <w:rPr>
          <w:color w:val="000000" w:themeColor="text1"/>
          <w:sz w:val="24"/>
          <w:szCs w:val="24"/>
          <w:lang w:val="en-MY"/>
        </w:rPr>
        <w:tab/>
        <w:t>Further identification of the non-</w:t>
      </w:r>
      <w:r w:rsidR="009A4402" w:rsidRPr="00B378D9">
        <w:rPr>
          <w:i/>
          <w:color w:val="000000" w:themeColor="text1"/>
          <w:sz w:val="24"/>
          <w:szCs w:val="24"/>
          <w:lang w:val="en-MY"/>
        </w:rPr>
        <w:t>baumannii</w:t>
      </w:r>
      <w:r w:rsidR="009A4402" w:rsidRPr="00B378D9">
        <w:rPr>
          <w:color w:val="000000" w:themeColor="text1"/>
          <w:sz w:val="24"/>
          <w:szCs w:val="24"/>
          <w:lang w:val="en-MY"/>
        </w:rPr>
        <w:t xml:space="preserve"> acinetobacters </w:t>
      </w:r>
      <w:r w:rsidR="006409AA" w:rsidRPr="00B378D9">
        <w:rPr>
          <w:color w:val="000000" w:themeColor="text1"/>
          <w:sz w:val="24"/>
          <w:szCs w:val="24"/>
          <w:lang w:val="en-MY"/>
        </w:rPr>
        <w:t xml:space="preserve">was </w:t>
      </w:r>
      <w:r w:rsidR="009A4402" w:rsidRPr="00B378D9">
        <w:rPr>
          <w:color w:val="000000" w:themeColor="text1"/>
          <w:sz w:val="24"/>
          <w:szCs w:val="24"/>
          <w:lang w:val="en-MY"/>
        </w:rPr>
        <w:t>performed by sequencing of the</w:t>
      </w:r>
      <w:r w:rsidR="007E204B" w:rsidRPr="00B378D9">
        <w:rPr>
          <w:color w:val="000000" w:themeColor="text1"/>
          <w:sz w:val="24"/>
          <w:szCs w:val="24"/>
          <w:lang w:val="en-MY"/>
        </w:rPr>
        <w:t xml:space="preserve"> partial</w:t>
      </w:r>
      <w:r w:rsidR="009A4402" w:rsidRPr="00B378D9">
        <w:rPr>
          <w:color w:val="000000" w:themeColor="text1"/>
          <w:sz w:val="24"/>
          <w:szCs w:val="24"/>
          <w:lang w:val="en-MY"/>
        </w:rPr>
        <w:t xml:space="preserve"> </w:t>
      </w:r>
      <w:r w:rsidR="009A4402" w:rsidRPr="00B378D9">
        <w:rPr>
          <w:i/>
          <w:color w:val="000000" w:themeColor="text1"/>
          <w:sz w:val="24"/>
          <w:szCs w:val="24"/>
          <w:lang w:val="en-MY"/>
        </w:rPr>
        <w:t>rpoB</w:t>
      </w:r>
      <w:r w:rsidR="009A4402" w:rsidRPr="00B378D9">
        <w:rPr>
          <w:color w:val="000000" w:themeColor="text1"/>
          <w:sz w:val="24"/>
          <w:szCs w:val="24"/>
          <w:lang w:val="en-MY"/>
        </w:rPr>
        <w:t xml:space="preserve"> gene </w:t>
      </w:r>
      <w:r w:rsidR="009A4402" w:rsidRPr="00B378D9">
        <w:rPr>
          <w:color w:val="000000" w:themeColor="text1"/>
          <w:sz w:val="24"/>
          <w:szCs w:val="24"/>
          <w:lang w:val="en-MY"/>
        </w:rPr>
        <w:fldChar w:fldCharType="begin" w:fldLock="1"/>
      </w:r>
      <w:r w:rsidR="002A21E2" w:rsidRPr="00B378D9">
        <w:rPr>
          <w:color w:val="000000" w:themeColor="text1"/>
          <w:sz w:val="24"/>
          <w:szCs w:val="24"/>
          <w:lang w:val="en-MY"/>
        </w:rPr>
        <w:instrText>ADDIN CSL_CITATION {"citationItems":[{"id":"ITEM-1","itemData":{"DOI":"10.1099/mic.0.026054-0","ISSN":"1350-0872","abstract":"Bacteria belonging to the genus Acinetobacter are ubiquitous in soil and water. Only a few species, including Acinetobacter baumannii, and the unnamed Acinetobacter genomic species (gen. sp.) 3 and 13TU, which together with the soil organism Acinetobacter calcoaceticus are combined in the A. calcoaceticus–A. baumannii (Acb) complex, have been recognized as important nosocomial infectious agents. The ecology, epidemiology and pathology of most species are not yet well established. Lack of practical and accurate methods limits routine identification of clinical isolates and thus hampers precise identification of those of the Acb complex and other Acinetobacter species of possible clinical significance. We previously identified a 350 bp highly variable zone on the rpoB gene which appeared to be a promising target for rapid molecular identification. In the present study, we validated this method for accuracy on a collection of reference strains belonging to A. calcoaceticus (5 strains), Acinetobacter gen. sp. 3 (29 strains), A. gen. sp. 13TU (18 strains), A. baumannii (30 strains) and one strain each of A. radioresistens, A. gen. sp. 15TU, A. gen. sp. 10, A. gen. sp. 11, A. gen. sp. ‘between 1 and 3’ and A. gen. sp. 14TU=13BJ. This represents the largest analysis to date that compares a large number of well-identified strains of the Acb complex to assess the intra- and interspecies variation within this complex. All were correctly identified with 98.9–100 % intraspecies relatedness based on partial rpoB sequence analysis. We then applied this tool to identify 99 Acinetobacter clinical isolates from four public hospitals in Marseille, France. All isolates could easily be identified to species as they were separated into 13 species sequence types with a sequence variance of 0–2.6 % from their respective type strains. Of these 99 isolates, 10 were A. haemolyticus, 52 were A. baumannii, 27 were A. gen. sp. 3, 5 were A. schindleri, 1 was A. lwoffii, and 1 was A. gen. sp. 13TU. Three were provisionally identified as A. gen. sp. 9. This is the first work to identify all specimens of a set of clinical Acinetobacter isolates at species level using rpoB sequence analysis. Our data emphasize the recognition of A. schindleri as an emerging cause of Acinetobacter-related infection and confirm that A. gen. sp. 3 is the second most commonly isolated Acinetobacter species after A. baumannii in patients.","author":[{"dropping-particle":"","family":"Gundi","given":"V. A. K. B.","non-dropping-particle":"","parse-names":false,"suffix":""},{"dropping-particle":"","family":"Dijkshoorn","given":"L.","non-dropping-particle":"","parse-names":false,"suffix":""},{"dropping-particle":"","family":"Burignat","given":"S.","non-dropping-particle":"","parse-names":false,"suffix":""},{"dropping-particle":"","family":"Raoult","given":"D.","non-dropping-particle":"","parse-names":false,"suffix":""},{"dropping-particle":"","family":"Scola","given":"B.","non-dropping-particle":"La","parse-names":false,"suffix":""}],"container-title":"Microbiology","id":"ITEM-1","issue":"7","issued":{"date-parts":[["2009","7","1"]]},"page":"2333-2341","publisher":"Microbiology Society","title":"Validation of partial rpoB gene sequence analysis for the identification of clinically important and emerging Acinetobacter species","type":"article-journal","volume":"155"},"uris":["http://www.mendeley.com/documents/?uuid=e09ef96e-a992-3a70-8f4a-7b054eab0c87"]}],"mendeley":{"formattedCitation":"[15]","plainTextFormattedCitation":"[15]","previouslyFormattedCitation":"[15]"},"properties":{"noteIndex":0},"schema":"https://github.com/citation-style-language/schema/raw/master/csl-citation.json"}</w:instrText>
      </w:r>
      <w:r w:rsidR="009A4402" w:rsidRPr="00B378D9">
        <w:rPr>
          <w:color w:val="000000" w:themeColor="text1"/>
          <w:sz w:val="24"/>
          <w:szCs w:val="24"/>
          <w:lang w:val="en-MY"/>
        </w:rPr>
        <w:fldChar w:fldCharType="separate"/>
      </w:r>
      <w:r w:rsidR="00575F7D" w:rsidRPr="00B378D9">
        <w:rPr>
          <w:noProof/>
          <w:color w:val="000000" w:themeColor="text1"/>
          <w:sz w:val="24"/>
          <w:szCs w:val="24"/>
          <w:lang w:val="en-MY"/>
        </w:rPr>
        <w:t>[15]</w:t>
      </w:r>
      <w:r w:rsidR="009A4402" w:rsidRPr="00B378D9">
        <w:rPr>
          <w:color w:val="000000" w:themeColor="text1"/>
          <w:sz w:val="24"/>
          <w:szCs w:val="24"/>
          <w:lang w:val="en-MY"/>
        </w:rPr>
        <w:fldChar w:fldCharType="end"/>
      </w:r>
      <w:r w:rsidR="009A4402" w:rsidRPr="00B378D9">
        <w:rPr>
          <w:color w:val="000000" w:themeColor="text1"/>
          <w:sz w:val="24"/>
          <w:szCs w:val="24"/>
          <w:lang w:val="en-MY"/>
        </w:rPr>
        <w:t>.</w:t>
      </w:r>
      <w:r w:rsidRPr="00B378D9">
        <w:rPr>
          <w:color w:val="000000" w:themeColor="text1"/>
          <w:sz w:val="24"/>
          <w:szCs w:val="24"/>
          <w:lang w:val="en-MY"/>
        </w:rPr>
        <w:t xml:space="preserve"> </w:t>
      </w:r>
      <w:r w:rsidR="00771709" w:rsidRPr="00B378D9">
        <w:rPr>
          <w:noProof/>
          <w:color w:val="000000" w:themeColor="text1"/>
          <w:sz w:val="24"/>
          <w:szCs w:val="24"/>
          <w:lang w:val="en-MY"/>
        </w:rPr>
        <w:t xml:space="preserve">Suseptibility </w:t>
      </w:r>
      <w:r w:rsidR="00657A43" w:rsidRPr="00B378D9">
        <w:rPr>
          <w:noProof/>
          <w:color w:val="000000" w:themeColor="text1"/>
          <w:sz w:val="24"/>
          <w:szCs w:val="24"/>
          <w:lang w:val="en-MY"/>
        </w:rPr>
        <w:t>to fourteen</w:t>
      </w:r>
      <w:r w:rsidR="00D616B0" w:rsidRPr="00B378D9">
        <w:rPr>
          <w:noProof/>
          <w:color w:val="000000" w:themeColor="text1"/>
          <w:sz w:val="24"/>
          <w:szCs w:val="24"/>
          <w:lang w:val="en-MY"/>
        </w:rPr>
        <w:t xml:space="preserve"> antimicrobial agents</w:t>
      </w:r>
      <w:r w:rsidR="009A1EB2" w:rsidRPr="00B378D9">
        <w:rPr>
          <w:noProof/>
          <w:color w:val="000000" w:themeColor="text1"/>
          <w:sz w:val="24"/>
          <w:szCs w:val="24"/>
          <w:lang w:val="en-MY"/>
        </w:rPr>
        <w:t xml:space="preserve"> (Oxoid Ltd., Basingstoke, UK) </w:t>
      </w:r>
      <w:r w:rsidR="00D616B0" w:rsidRPr="00B378D9">
        <w:rPr>
          <w:noProof/>
          <w:color w:val="000000" w:themeColor="text1"/>
          <w:sz w:val="24"/>
          <w:szCs w:val="24"/>
          <w:lang w:val="en-MY"/>
        </w:rPr>
        <w:t>[</w:t>
      </w:r>
      <w:r w:rsidR="009A1EB2" w:rsidRPr="00B378D9">
        <w:rPr>
          <w:noProof/>
          <w:color w:val="000000" w:themeColor="text1"/>
          <w:sz w:val="24"/>
          <w:szCs w:val="24"/>
          <w:lang w:val="en-MY"/>
        </w:rPr>
        <w:t xml:space="preserve">i.e., </w:t>
      </w:r>
      <w:r w:rsidR="00D616B0" w:rsidRPr="00B378D9">
        <w:rPr>
          <w:bCs/>
          <w:noProof/>
          <w:color w:val="000000" w:themeColor="text1"/>
          <w:sz w:val="24"/>
          <w:szCs w:val="24"/>
          <w:lang w:val="en-MY"/>
        </w:rPr>
        <w:t>gentamicin (10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 amikacin (30</w:t>
      </w:r>
      <w:r w:rsidR="009A1EB2" w:rsidRPr="00B378D9">
        <w:rPr>
          <w:noProof/>
          <w:color w:val="000000" w:themeColor="text1"/>
          <w:sz w:val="24"/>
          <w:szCs w:val="24"/>
          <w:lang w:val="en-MY"/>
        </w:rPr>
        <w:t xml:space="preserve"> </w:t>
      </w:r>
      <w:r w:rsidR="00D616B0" w:rsidRPr="00B378D9">
        <w:rPr>
          <w:noProof/>
          <w:color w:val="000000" w:themeColor="text1"/>
          <w:sz w:val="24"/>
          <w:szCs w:val="24"/>
          <w:lang w:val="en-MY"/>
        </w:rPr>
        <w:t>µg), imipenem (10</w:t>
      </w:r>
      <w:r w:rsidR="009A1EB2" w:rsidRPr="00B378D9">
        <w:rPr>
          <w:noProof/>
          <w:color w:val="000000" w:themeColor="text1"/>
          <w:sz w:val="24"/>
          <w:szCs w:val="24"/>
          <w:lang w:val="en-MY"/>
        </w:rPr>
        <w:t xml:space="preserve"> </w:t>
      </w:r>
      <w:r w:rsidR="00D616B0" w:rsidRPr="00B378D9">
        <w:rPr>
          <w:noProof/>
          <w:color w:val="000000" w:themeColor="text1"/>
          <w:sz w:val="24"/>
          <w:szCs w:val="24"/>
          <w:lang w:val="en-MY"/>
        </w:rPr>
        <w:t>µg),</w:t>
      </w:r>
      <w:r w:rsidR="00E44C5B" w:rsidRPr="00B378D9">
        <w:rPr>
          <w:noProof/>
          <w:color w:val="000000" w:themeColor="text1"/>
          <w:sz w:val="24"/>
          <w:szCs w:val="24"/>
          <w:lang w:val="en-MY"/>
        </w:rPr>
        <w:t xml:space="preserve"> </w:t>
      </w:r>
      <w:r w:rsidR="00D616B0" w:rsidRPr="00B378D9">
        <w:rPr>
          <w:bCs/>
          <w:noProof/>
          <w:color w:val="000000" w:themeColor="text1"/>
          <w:sz w:val="24"/>
          <w:szCs w:val="24"/>
          <w:lang w:val="en-MY"/>
        </w:rPr>
        <w:t>meropenem (10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 doripenem (10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w:t>
      </w:r>
      <w:r w:rsidR="00E44C5B" w:rsidRPr="00B378D9">
        <w:rPr>
          <w:bCs/>
          <w:noProof/>
          <w:color w:val="000000" w:themeColor="text1"/>
          <w:sz w:val="24"/>
          <w:szCs w:val="24"/>
          <w:lang w:val="en-MY"/>
        </w:rPr>
        <w:t xml:space="preserve"> </w:t>
      </w:r>
      <w:r w:rsidR="00D616B0" w:rsidRPr="00B378D9">
        <w:rPr>
          <w:bCs/>
          <w:noProof/>
          <w:color w:val="000000" w:themeColor="text1"/>
          <w:sz w:val="24"/>
          <w:szCs w:val="24"/>
          <w:lang w:val="en-MY"/>
        </w:rPr>
        <w:t>ciprofloxacin (5</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w:t>
      </w:r>
      <w:r w:rsidR="00E44C5B" w:rsidRPr="00B378D9">
        <w:rPr>
          <w:bCs/>
          <w:noProof/>
          <w:color w:val="000000" w:themeColor="text1"/>
          <w:sz w:val="24"/>
          <w:szCs w:val="24"/>
          <w:lang w:val="en-MY"/>
        </w:rPr>
        <w:t xml:space="preserve"> </w:t>
      </w:r>
      <w:r w:rsidR="00D616B0" w:rsidRPr="00B378D9">
        <w:rPr>
          <w:noProof/>
          <w:color w:val="000000" w:themeColor="text1"/>
          <w:sz w:val="24"/>
          <w:szCs w:val="24"/>
          <w:lang w:val="en-MY"/>
        </w:rPr>
        <w:t>piperacillin-tazobactam (100/10</w:t>
      </w:r>
      <w:r w:rsidR="009A1EB2" w:rsidRPr="00B378D9">
        <w:rPr>
          <w:noProof/>
          <w:color w:val="000000" w:themeColor="text1"/>
          <w:sz w:val="24"/>
          <w:szCs w:val="24"/>
          <w:lang w:val="en-MY"/>
        </w:rPr>
        <w:t xml:space="preserve"> </w:t>
      </w:r>
      <w:r w:rsidR="00D616B0" w:rsidRPr="00B378D9">
        <w:rPr>
          <w:noProof/>
          <w:color w:val="000000" w:themeColor="text1"/>
          <w:sz w:val="24"/>
          <w:szCs w:val="24"/>
          <w:lang w:val="en-MY"/>
        </w:rPr>
        <w:t>µg), ticarcillin-clavulanate (75/10</w:t>
      </w:r>
      <w:r w:rsidR="009A1EB2" w:rsidRPr="00B378D9">
        <w:rPr>
          <w:noProof/>
          <w:color w:val="000000" w:themeColor="text1"/>
          <w:sz w:val="24"/>
          <w:szCs w:val="24"/>
          <w:lang w:val="en-MY"/>
        </w:rPr>
        <w:t xml:space="preserve"> </w:t>
      </w:r>
      <w:r w:rsidR="00D616B0" w:rsidRPr="00B378D9">
        <w:rPr>
          <w:noProof/>
          <w:color w:val="000000" w:themeColor="text1"/>
          <w:sz w:val="24"/>
          <w:szCs w:val="24"/>
          <w:lang w:val="en-MY"/>
        </w:rPr>
        <w:t xml:space="preserve">µg), </w:t>
      </w:r>
      <w:r w:rsidR="00D616B0" w:rsidRPr="00B378D9">
        <w:rPr>
          <w:bCs/>
          <w:noProof/>
          <w:color w:val="000000" w:themeColor="text1"/>
          <w:sz w:val="24"/>
          <w:szCs w:val="24"/>
          <w:lang w:val="en-MY"/>
        </w:rPr>
        <w:t>cefotaxim (30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 ceftriaxone (30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 ceftazidime (30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 cefepime (30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 ampicillin-sulbactam (10/10</w:t>
      </w:r>
      <w:r w:rsidR="009A1EB2" w:rsidRPr="00B378D9">
        <w:rPr>
          <w:noProof/>
          <w:color w:val="000000" w:themeColor="text1"/>
          <w:sz w:val="24"/>
          <w:szCs w:val="24"/>
          <w:lang w:val="en-MY"/>
        </w:rPr>
        <w:t xml:space="preserve"> </w:t>
      </w:r>
      <w:r w:rsidR="00D616B0" w:rsidRPr="00B378D9">
        <w:rPr>
          <w:noProof/>
          <w:color w:val="000000" w:themeColor="text1"/>
          <w:sz w:val="24"/>
          <w:szCs w:val="24"/>
          <w:lang w:val="en-MY"/>
        </w:rPr>
        <w:t xml:space="preserve">µg), </w:t>
      </w:r>
      <w:r w:rsidR="00D616B0" w:rsidRPr="00B378D9">
        <w:rPr>
          <w:bCs/>
          <w:noProof/>
          <w:color w:val="000000" w:themeColor="text1"/>
          <w:sz w:val="24"/>
          <w:szCs w:val="24"/>
          <w:lang w:val="en-MY"/>
        </w:rPr>
        <w:t>tetracycline (30</w:t>
      </w:r>
      <w:r w:rsidR="009A1EB2" w:rsidRPr="00B378D9">
        <w:rPr>
          <w:bCs/>
          <w:noProof/>
          <w:color w:val="000000" w:themeColor="text1"/>
          <w:sz w:val="24"/>
          <w:szCs w:val="24"/>
          <w:lang w:val="en-MY"/>
        </w:rPr>
        <w:t xml:space="preserve"> </w:t>
      </w:r>
      <w:r w:rsidR="00D616B0" w:rsidRPr="00B378D9">
        <w:rPr>
          <w:noProof/>
          <w:color w:val="000000" w:themeColor="text1"/>
          <w:sz w:val="24"/>
          <w:szCs w:val="24"/>
          <w:lang w:val="en-MY"/>
        </w:rPr>
        <w:t>µg)</w:t>
      </w:r>
      <w:r w:rsidR="00D616B0" w:rsidRPr="00B378D9">
        <w:rPr>
          <w:bCs/>
          <w:noProof/>
          <w:color w:val="000000" w:themeColor="text1"/>
          <w:sz w:val="24"/>
          <w:szCs w:val="24"/>
          <w:lang w:val="en-MY"/>
        </w:rPr>
        <w:t>,</w:t>
      </w:r>
      <w:r w:rsidR="00D616B0" w:rsidRPr="00B378D9">
        <w:rPr>
          <w:noProof/>
          <w:color w:val="000000" w:themeColor="text1"/>
          <w:sz w:val="24"/>
          <w:szCs w:val="24"/>
          <w:lang w:val="en-MY"/>
        </w:rPr>
        <w:t xml:space="preserve">] </w:t>
      </w:r>
      <w:r w:rsidR="00771709" w:rsidRPr="00B378D9">
        <w:rPr>
          <w:noProof/>
          <w:color w:val="000000" w:themeColor="text1"/>
          <w:sz w:val="24"/>
          <w:szCs w:val="24"/>
          <w:lang w:val="en-MY"/>
        </w:rPr>
        <w:t xml:space="preserve">was </w:t>
      </w:r>
      <w:r w:rsidR="00D616B0" w:rsidRPr="00B378D9">
        <w:rPr>
          <w:noProof/>
          <w:color w:val="000000" w:themeColor="text1"/>
          <w:sz w:val="24"/>
          <w:szCs w:val="24"/>
          <w:lang w:val="en-MY"/>
        </w:rPr>
        <w:t>determined by the disc diffusion method in accordance with the Clinical and Laboratory Standards In</w:t>
      </w:r>
      <w:r w:rsidR="009A1EB2" w:rsidRPr="00B378D9">
        <w:rPr>
          <w:noProof/>
          <w:color w:val="000000" w:themeColor="text1"/>
          <w:sz w:val="24"/>
          <w:szCs w:val="24"/>
          <w:lang w:val="en-MY"/>
        </w:rPr>
        <w:t xml:space="preserve">stitute (CLSI) guidelines </w:t>
      </w:r>
      <w:r w:rsidR="009A1EB2" w:rsidRPr="00B378D9">
        <w:rPr>
          <w:noProof/>
          <w:color w:val="000000" w:themeColor="text1"/>
          <w:sz w:val="24"/>
          <w:szCs w:val="24"/>
          <w:lang w:val="en-MY"/>
        </w:rPr>
        <w:fldChar w:fldCharType="begin" w:fldLock="1"/>
      </w:r>
      <w:r w:rsidR="002A21E2" w:rsidRPr="00B378D9">
        <w:rPr>
          <w:noProof/>
          <w:color w:val="000000" w:themeColor="text1"/>
          <w:sz w:val="24"/>
          <w:szCs w:val="24"/>
          <w:lang w:val="en-MY"/>
        </w:rPr>
        <w:instrText>ADDIN CSL_CITATION {"citationItems":[{"id":"ITEM-1","itemData":{"ISBN":"1-56238-804-5","author":[{"dropping-particle":"","family":"CLSI","given":"","non-dropping-particle":"","parse-names":false,"suffix":""}],"id":"ITEM-1","issued":{"date-parts":[["2017"]]},"publisher":"Clinical and Laboratory Standards Institute","publisher-place":"Wayne, PA 19087 USA","title":"M100-S27 Performance Standards for Antimicrobial Susceptibility Testing, Twenty-Seventh Informational Supplement","type":"book"},"uris":["http://www.mendeley.com/documents/?uuid=81ca8dd7-cd27-4f9d-aef4-7785d30dad86"]}],"mendeley":{"formattedCitation":"[25]","plainTextFormattedCitation":"[25]","previouslyFormattedCitation":"[25]"},"properties":{"noteIndex":0},"schema":"https://github.com/citation-style-language/schema/raw/master/csl-citation.json"}</w:instrText>
      </w:r>
      <w:r w:rsidR="009A1EB2" w:rsidRPr="00B378D9">
        <w:rPr>
          <w:noProof/>
          <w:color w:val="000000" w:themeColor="text1"/>
          <w:sz w:val="24"/>
          <w:szCs w:val="24"/>
          <w:lang w:val="en-MY"/>
        </w:rPr>
        <w:fldChar w:fldCharType="separate"/>
      </w:r>
      <w:r w:rsidR="00575F7D" w:rsidRPr="00B378D9">
        <w:rPr>
          <w:noProof/>
          <w:color w:val="000000" w:themeColor="text1"/>
          <w:sz w:val="24"/>
          <w:szCs w:val="24"/>
          <w:lang w:val="en-MY"/>
        </w:rPr>
        <w:t>[25]</w:t>
      </w:r>
      <w:r w:rsidR="009A1EB2" w:rsidRPr="00B378D9">
        <w:rPr>
          <w:noProof/>
          <w:color w:val="000000" w:themeColor="text1"/>
          <w:sz w:val="24"/>
          <w:szCs w:val="24"/>
          <w:lang w:val="en-MY"/>
        </w:rPr>
        <w:fldChar w:fldCharType="end"/>
      </w:r>
      <w:r w:rsidRPr="00B378D9">
        <w:rPr>
          <w:noProof/>
          <w:color w:val="000000" w:themeColor="text1"/>
          <w:sz w:val="24"/>
          <w:szCs w:val="24"/>
          <w:lang w:val="en-MY"/>
        </w:rPr>
        <w:t>.</w:t>
      </w:r>
      <w:r w:rsidR="00D616B0" w:rsidRPr="00B378D9">
        <w:rPr>
          <w:noProof/>
          <w:color w:val="000000" w:themeColor="text1"/>
          <w:sz w:val="24"/>
          <w:szCs w:val="24"/>
          <w:lang w:val="en-MY"/>
        </w:rPr>
        <w:t xml:space="preserve"> </w:t>
      </w:r>
      <w:r w:rsidR="00CA1DFC" w:rsidRPr="00B378D9">
        <w:rPr>
          <w:rFonts w:eastAsia="Times New Roman"/>
          <w:color w:val="000000" w:themeColor="text1"/>
          <w:sz w:val="24"/>
          <w:szCs w:val="24"/>
          <w:lang w:val="en-MY" w:eastAsia="en-MY"/>
        </w:rPr>
        <w:t>M</w:t>
      </w:r>
      <w:r w:rsidR="009A1EB2" w:rsidRPr="00B378D9">
        <w:rPr>
          <w:rFonts w:eastAsia="Times New Roman"/>
          <w:color w:val="000000" w:themeColor="text1"/>
          <w:sz w:val="24"/>
          <w:szCs w:val="24"/>
          <w:lang w:val="en-MY" w:eastAsia="en-MY"/>
        </w:rPr>
        <w:t>inim</w:t>
      </w:r>
      <w:r w:rsidR="00CA1DFC" w:rsidRPr="00B378D9">
        <w:rPr>
          <w:rFonts w:eastAsia="Times New Roman"/>
          <w:color w:val="000000" w:themeColor="text1"/>
          <w:sz w:val="24"/>
          <w:szCs w:val="24"/>
          <w:lang w:val="en-MY" w:eastAsia="en-MY"/>
        </w:rPr>
        <w:t>um</w:t>
      </w:r>
      <w:r w:rsidR="009A1EB2" w:rsidRPr="00B378D9">
        <w:rPr>
          <w:rFonts w:eastAsia="Times New Roman"/>
          <w:color w:val="000000" w:themeColor="text1"/>
          <w:sz w:val="24"/>
          <w:szCs w:val="24"/>
          <w:lang w:val="en-MY" w:eastAsia="en-MY"/>
        </w:rPr>
        <w:t xml:space="preserve"> inhibitory concentration (MIC) values to imipenem, meropenem and doripenem</w:t>
      </w:r>
      <w:r w:rsidR="00063103" w:rsidRPr="00B378D9">
        <w:rPr>
          <w:rFonts w:eastAsia="Times New Roman"/>
          <w:color w:val="000000" w:themeColor="text1"/>
          <w:sz w:val="24"/>
          <w:szCs w:val="24"/>
          <w:lang w:val="en-MY" w:eastAsia="en-MY"/>
        </w:rPr>
        <w:t xml:space="preserve"> (i.e., carbapenems)</w:t>
      </w:r>
      <w:r w:rsidR="009A1EB2" w:rsidRPr="00B378D9">
        <w:rPr>
          <w:rFonts w:eastAsia="Times New Roman"/>
          <w:color w:val="000000" w:themeColor="text1"/>
          <w:sz w:val="24"/>
          <w:szCs w:val="24"/>
          <w:lang w:val="en-MY" w:eastAsia="en-MY"/>
        </w:rPr>
        <w:t xml:space="preserve">, </w:t>
      </w:r>
      <w:r w:rsidR="00A02EAF" w:rsidRPr="00B378D9">
        <w:rPr>
          <w:rFonts w:eastAsia="Times New Roman"/>
          <w:color w:val="000000" w:themeColor="text1"/>
          <w:sz w:val="24"/>
          <w:szCs w:val="24"/>
          <w:lang w:val="en-MY" w:eastAsia="en-MY"/>
        </w:rPr>
        <w:t xml:space="preserve">as well as tigecycline, </w:t>
      </w:r>
      <w:r w:rsidR="009A1EB2" w:rsidRPr="00B378D9">
        <w:rPr>
          <w:rFonts w:eastAsia="Times New Roman"/>
          <w:color w:val="000000" w:themeColor="text1"/>
          <w:sz w:val="24"/>
          <w:szCs w:val="24"/>
          <w:lang w:val="en-MY" w:eastAsia="en-MY"/>
        </w:rPr>
        <w:t>were determined using M.I.C. Evaluator strip</w:t>
      </w:r>
      <w:r w:rsidRPr="00B378D9">
        <w:rPr>
          <w:rFonts w:eastAsia="Times New Roman"/>
          <w:color w:val="000000" w:themeColor="text1"/>
          <w:sz w:val="24"/>
          <w:szCs w:val="24"/>
          <w:lang w:val="en-MY" w:eastAsia="en-MY"/>
        </w:rPr>
        <w:t>s (Oxoid Ltd., Basingstoke, UK) with</w:t>
      </w:r>
      <w:r w:rsidR="00A02EAF" w:rsidRPr="00B378D9">
        <w:rPr>
          <w:rFonts w:eastAsia="Times New Roman"/>
          <w:color w:val="000000" w:themeColor="text1"/>
          <w:sz w:val="24"/>
          <w:szCs w:val="24"/>
          <w:lang w:val="en-MY" w:eastAsia="en-MY"/>
        </w:rPr>
        <w:t xml:space="preserve"> MIC breakpoints for tigecycline based on the US Food and Drug Administration guidelines </w:t>
      </w:r>
      <w:r w:rsidR="004652E1" w:rsidRPr="00B378D9">
        <w:rPr>
          <w:rFonts w:eastAsia="Times New Roman"/>
          <w:color w:val="000000" w:themeColor="text1"/>
          <w:sz w:val="24"/>
          <w:szCs w:val="24"/>
          <w:lang w:val="en-MY" w:eastAsia="en-MY"/>
        </w:rPr>
        <w:fldChar w:fldCharType="begin" w:fldLock="1"/>
      </w:r>
      <w:r w:rsidR="002A21E2" w:rsidRPr="00B378D9">
        <w:rPr>
          <w:rFonts w:eastAsia="Times New Roman"/>
          <w:color w:val="000000" w:themeColor="text1"/>
          <w:sz w:val="24"/>
          <w:szCs w:val="24"/>
          <w:lang w:val="en-MY" w:eastAsia="en-MY"/>
        </w:rPr>
        <w:instrText>ADDIN CSL_CITATION {"citationItems":[{"id":"ITEM-1","itemData":{"abstract":"Background: Tigecycline has demonstrated good rates of microbiological eradication and clinical cure among indicated infections [Complicated intra- Abdominal infections (cIAIs), complicated Skin and Skin Structure Infections (cSSSI), Community-Acquired Bacterial Pneumonia (CAP), in the USA]. This investigation evaluates the FDA approved breakpoints for tigecycline using microbiological and clinical data derived from cSSSI, cIAI and CAP clinical trials. Methods and findings: Clinical and microbiological success rates from phase III and phase IIIb/IV clinical trials were analyzed by MIC. Additionally, a surveillance program was utilized to assess changes in the antimicrobial potency of tigecycline between 2004 and 2012. Microbiological eradiation and clinical cure rates for patients with infections caused by Enterobacteriaceae at a tigecycline MIC of ≤2 mg/L or S. aureus with a tigecycline MIC of ≤0.5 mg/L were ≥81%. Against tigecycline non-susceptible pathogens microbiological and clinical successes were reported for 13/22 (59.1%) and 12/22 (54.5%), respectively. Using the Fisher’s exact test a comparison of microbiological success rates for patients (ME population) with Enterobacteriaceae with tigecycline MICs of ≤2 mg/L (n=922) and ≥4 mg/L (n=16) yielded a statistically significant two-tailed P value of 0.046. In the case of S. aureus, a comparison of MICs of ≤0.5 mg/L (n=287) and ≥1 mg/L (n=1) gave no statistically significant difference (P=1.000). Using the Cochran Armitage trend test statistically significant increases in tigecycline in vitro susceptibility were observed for Enterobacter spp. (p&lt;0.01) and Enterobacteriaceae (p&lt;0.01) and a statistically significant decrease in susceptibility among Enterococcus faecium (p&lt;0.0001). Conclusions: The current clinical FDA breakpoints for tigecycline are appropriate. Only E. faecium has shown a statistically significant decrease in susceptibility to tigecycline since tigecycline was first introduced into clinical practice in the USA in 2005.","author":[{"dropping-particle":"","family":"Nicolau","given":"David P.","non-dropping-particle":"","parse-names":false,"suffix":""},{"dropping-particle":"","family":"Quintana","given":"Alvaro","non-dropping-particle":"","parse-names":false,"suffix":""},{"dropping-particle":"","family":"Korth- Bradley","given":"Joan M.","non-dropping-particle":"","parse-names":false,"suffix":""},{"dropping-particle":"","family":"Wible","given":"Michele","non-dropping-particle":"","parse-names":false,"suffix":""},{"dropping-particle":"","family":"Dowzicky","given":"Micahel J.","non-dropping-particle":"","parse-names":false,"suffix":""}],"container-title":"Archives of Clinical Microbiology","id":"ITEM-1","issue":"4","issued":{"date-parts":[["2015"]]},"page":"7","publisher":"iMedPub","title":"A Rationale for Maintaining Current Tigecycline Breakpoints as Established by the USA Food and Drug Administration","type":"article-journal","volume":"6"},"uris":["http://www.mendeley.com/documents/?uuid=6176823b-6a48-3d62-9dcd-64ef7485583b"]}],"mendeley":{"formattedCitation":"[26]","plainTextFormattedCitation":"[26]","previouslyFormattedCitation":"[26]"},"properties":{"noteIndex":0},"schema":"https://github.com/citation-style-language/schema/raw/master/csl-citation.json"}</w:instrText>
      </w:r>
      <w:r w:rsidR="004652E1" w:rsidRPr="00B378D9">
        <w:rPr>
          <w:rFonts w:eastAsia="Times New Roman"/>
          <w:color w:val="000000" w:themeColor="text1"/>
          <w:sz w:val="24"/>
          <w:szCs w:val="24"/>
          <w:lang w:val="en-MY" w:eastAsia="en-MY"/>
        </w:rPr>
        <w:fldChar w:fldCharType="separate"/>
      </w:r>
      <w:r w:rsidR="00575F7D" w:rsidRPr="00B378D9">
        <w:rPr>
          <w:rFonts w:eastAsia="Times New Roman"/>
          <w:noProof/>
          <w:color w:val="000000" w:themeColor="text1"/>
          <w:sz w:val="24"/>
          <w:szCs w:val="24"/>
          <w:lang w:val="en-MY" w:eastAsia="en-MY"/>
        </w:rPr>
        <w:t>[26]</w:t>
      </w:r>
      <w:r w:rsidR="004652E1" w:rsidRPr="00B378D9">
        <w:rPr>
          <w:rFonts w:eastAsia="Times New Roman"/>
          <w:color w:val="000000" w:themeColor="text1"/>
          <w:sz w:val="24"/>
          <w:szCs w:val="24"/>
          <w:lang w:val="en-MY" w:eastAsia="en-MY"/>
        </w:rPr>
        <w:fldChar w:fldCharType="end"/>
      </w:r>
      <w:r w:rsidR="004652E1" w:rsidRPr="00B378D9">
        <w:rPr>
          <w:rFonts w:eastAsia="Times New Roman"/>
          <w:color w:val="000000" w:themeColor="text1"/>
          <w:sz w:val="24"/>
          <w:szCs w:val="24"/>
          <w:lang w:val="en-MY" w:eastAsia="en-MY"/>
        </w:rPr>
        <w:t>.</w:t>
      </w:r>
      <w:r w:rsidR="009A1EB2" w:rsidRPr="00B378D9">
        <w:rPr>
          <w:rFonts w:eastAsia="Times New Roman"/>
          <w:color w:val="000000" w:themeColor="text1"/>
          <w:sz w:val="24"/>
          <w:szCs w:val="24"/>
          <w:lang w:val="en-MY" w:eastAsia="en-MY"/>
        </w:rPr>
        <w:t xml:space="preserve"> Susceptibilit</w:t>
      </w:r>
      <w:r w:rsidR="00CA1DFC" w:rsidRPr="00B378D9">
        <w:rPr>
          <w:rFonts w:eastAsia="Times New Roman"/>
          <w:color w:val="000000" w:themeColor="text1"/>
          <w:sz w:val="24"/>
          <w:szCs w:val="24"/>
          <w:lang w:val="en-MY" w:eastAsia="en-MY"/>
        </w:rPr>
        <w:t>y</w:t>
      </w:r>
      <w:r w:rsidR="009A1EB2" w:rsidRPr="00B378D9">
        <w:rPr>
          <w:rFonts w:eastAsia="Times New Roman"/>
          <w:color w:val="000000" w:themeColor="text1"/>
          <w:sz w:val="24"/>
          <w:szCs w:val="24"/>
          <w:lang w:val="en-MY" w:eastAsia="en-MY"/>
        </w:rPr>
        <w:t xml:space="preserve"> to polymyxin B and colistin </w:t>
      </w:r>
      <w:r w:rsidR="00CA1DFC" w:rsidRPr="00B378D9">
        <w:rPr>
          <w:rFonts w:eastAsia="Times New Roman"/>
          <w:color w:val="000000" w:themeColor="text1"/>
          <w:sz w:val="24"/>
          <w:szCs w:val="24"/>
          <w:lang w:val="en-MY" w:eastAsia="en-MY"/>
        </w:rPr>
        <w:t xml:space="preserve">was </w:t>
      </w:r>
      <w:r w:rsidR="009A1EB2" w:rsidRPr="00B378D9">
        <w:rPr>
          <w:rFonts w:eastAsia="Times New Roman"/>
          <w:color w:val="000000" w:themeColor="text1"/>
          <w:sz w:val="24"/>
          <w:szCs w:val="24"/>
          <w:lang w:val="en-MY" w:eastAsia="en-MY"/>
        </w:rPr>
        <w:t xml:space="preserve">determined by obtaining MIC values by the agar dilution method </w:t>
      </w:r>
      <w:r w:rsidR="009A1EB2" w:rsidRPr="00B378D9">
        <w:rPr>
          <w:rFonts w:eastAsia="Times New Roman"/>
          <w:color w:val="000000" w:themeColor="text1"/>
          <w:sz w:val="24"/>
          <w:szCs w:val="24"/>
          <w:lang w:val="en-MY" w:eastAsia="en-MY"/>
        </w:rPr>
        <w:fldChar w:fldCharType="begin" w:fldLock="1"/>
      </w:r>
      <w:r w:rsidR="002A21E2" w:rsidRPr="00B378D9">
        <w:rPr>
          <w:rFonts w:eastAsia="Times New Roman"/>
          <w:color w:val="000000" w:themeColor="text1"/>
          <w:sz w:val="24"/>
          <w:szCs w:val="24"/>
          <w:lang w:val="en-MY" w:eastAsia="en-MY"/>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009A1EB2" w:rsidRPr="00B378D9">
        <w:rPr>
          <w:rFonts w:eastAsia="Times New Roman"/>
          <w:color w:val="000000" w:themeColor="text1"/>
          <w:sz w:val="24"/>
          <w:szCs w:val="24"/>
          <w:lang w:val="en-MY" w:eastAsia="en-MY"/>
        </w:rPr>
        <w:fldChar w:fldCharType="separate"/>
      </w:r>
      <w:r w:rsidR="00575F7D" w:rsidRPr="00B378D9">
        <w:rPr>
          <w:rFonts w:eastAsia="Times New Roman"/>
          <w:noProof/>
          <w:color w:val="000000" w:themeColor="text1"/>
          <w:sz w:val="24"/>
          <w:szCs w:val="24"/>
          <w:lang w:val="en-MY" w:eastAsia="en-MY"/>
        </w:rPr>
        <w:t>[19]</w:t>
      </w:r>
      <w:r w:rsidR="009A1EB2" w:rsidRPr="00B378D9">
        <w:rPr>
          <w:rFonts w:eastAsia="Times New Roman"/>
          <w:color w:val="000000" w:themeColor="text1"/>
          <w:sz w:val="24"/>
          <w:szCs w:val="24"/>
          <w:lang w:val="en-MY" w:eastAsia="en-MY"/>
        </w:rPr>
        <w:fldChar w:fldCharType="end"/>
      </w:r>
      <w:r w:rsidR="009A1EB2" w:rsidRPr="00B378D9">
        <w:rPr>
          <w:rFonts w:eastAsia="Times New Roman"/>
          <w:color w:val="000000" w:themeColor="text1"/>
          <w:sz w:val="24"/>
          <w:szCs w:val="24"/>
          <w:lang w:val="en-MY" w:eastAsia="en-MY"/>
        </w:rPr>
        <w:t xml:space="preserve">. </w:t>
      </w:r>
    </w:p>
    <w:p w14:paraId="190934EA" w14:textId="77777777" w:rsidR="003C6432" w:rsidRPr="00B378D9" w:rsidRDefault="00AA2082" w:rsidP="000E19E6">
      <w:pPr>
        <w:spacing w:line="480" w:lineRule="auto"/>
        <w:ind w:left="0" w:firstLine="708"/>
        <w:rPr>
          <w:color w:val="000000" w:themeColor="text1"/>
          <w:sz w:val="24"/>
          <w:szCs w:val="24"/>
          <w:lang w:val="en-MY"/>
        </w:rPr>
      </w:pPr>
      <w:r w:rsidRPr="00B378D9">
        <w:rPr>
          <w:color w:val="000000" w:themeColor="text1"/>
          <w:sz w:val="24"/>
          <w:szCs w:val="24"/>
          <w:lang w:val="en-MY"/>
        </w:rPr>
        <w:t xml:space="preserve">All isolates were screened for the presence of carbapenemase genes commonly found in </w:t>
      </w:r>
      <w:r w:rsidRPr="00B378D9">
        <w:rPr>
          <w:i/>
          <w:color w:val="000000" w:themeColor="text1"/>
          <w:sz w:val="24"/>
          <w:szCs w:val="24"/>
          <w:lang w:val="en-MY"/>
        </w:rPr>
        <w:t>Acinetobacter</w:t>
      </w:r>
      <w:r w:rsidRPr="00B378D9">
        <w:rPr>
          <w:color w:val="000000" w:themeColor="text1"/>
          <w:sz w:val="24"/>
          <w:szCs w:val="24"/>
          <w:lang w:val="en-MY"/>
        </w:rPr>
        <w:t xml:space="preserve"> spp. by PCR using established primer sets (listed in Table S1). </w:t>
      </w:r>
      <w:r w:rsidR="00063103" w:rsidRPr="00B378D9">
        <w:rPr>
          <w:color w:val="000000" w:themeColor="text1"/>
          <w:sz w:val="24"/>
          <w:szCs w:val="24"/>
          <w:lang w:val="en-MY"/>
        </w:rPr>
        <w:t>Statistical analyses were performed using SPSS (version 20.0) with p</w:t>
      </w:r>
      <w:r w:rsidR="00D616B0" w:rsidRPr="00B378D9">
        <w:rPr>
          <w:color w:val="000000" w:themeColor="text1"/>
          <w:sz w:val="24"/>
          <w:szCs w:val="24"/>
          <w:lang w:val="en-MY"/>
        </w:rPr>
        <w:t xml:space="preserve">arametric variables </w:t>
      </w:r>
      <w:r w:rsidR="00D616B0" w:rsidRPr="00B378D9">
        <w:rPr>
          <w:color w:val="000000" w:themeColor="text1"/>
          <w:sz w:val="24"/>
          <w:szCs w:val="24"/>
          <w:lang w:val="en-MY"/>
        </w:rPr>
        <w:lastRenderedPageBreak/>
        <w:t>asse</w:t>
      </w:r>
      <w:r w:rsidR="009608A6" w:rsidRPr="00B378D9">
        <w:rPr>
          <w:color w:val="000000" w:themeColor="text1"/>
          <w:sz w:val="24"/>
          <w:szCs w:val="24"/>
          <w:lang w:val="en-MY"/>
        </w:rPr>
        <w:t>ssed using the chi-squared test</w:t>
      </w:r>
      <w:r w:rsidR="00063103" w:rsidRPr="00B378D9">
        <w:rPr>
          <w:color w:val="000000" w:themeColor="text1"/>
          <w:sz w:val="24"/>
          <w:szCs w:val="24"/>
          <w:lang w:val="en-MY"/>
        </w:rPr>
        <w:t xml:space="preserve"> whereas</w:t>
      </w:r>
      <w:r w:rsidR="00D616B0" w:rsidRPr="00B378D9">
        <w:rPr>
          <w:color w:val="000000" w:themeColor="text1"/>
          <w:sz w:val="24"/>
          <w:szCs w:val="24"/>
          <w:lang w:val="en-MY"/>
        </w:rPr>
        <w:t xml:space="preserve"> </w:t>
      </w:r>
      <w:r w:rsidR="00063103" w:rsidRPr="00B378D9">
        <w:rPr>
          <w:color w:val="000000" w:themeColor="text1"/>
          <w:sz w:val="24"/>
          <w:szCs w:val="24"/>
          <w:lang w:val="en-MY"/>
        </w:rPr>
        <w:t>continuous variables were analysed using</w:t>
      </w:r>
      <w:r w:rsidR="00D616B0" w:rsidRPr="00B378D9">
        <w:rPr>
          <w:color w:val="000000" w:themeColor="text1"/>
          <w:sz w:val="24"/>
          <w:szCs w:val="24"/>
          <w:lang w:val="en-MY"/>
        </w:rPr>
        <w:t xml:space="preserve"> the Mann-Whitney test. </w:t>
      </w:r>
      <w:r w:rsidR="00D616B0" w:rsidRPr="00B378D9">
        <w:rPr>
          <w:noProof/>
          <w:color w:val="000000" w:themeColor="text1"/>
          <w:sz w:val="24"/>
          <w:szCs w:val="24"/>
          <w:lang w:val="en-MY"/>
        </w:rPr>
        <w:t>A difference was considered statistically significant if the</w:t>
      </w:r>
      <w:r w:rsidR="00D616B0" w:rsidRPr="00B378D9">
        <w:rPr>
          <w:color w:val="000000" w:themeColor="text1"/>
          <w:sz w:val="24"/>
          <w:szCs w:val="24"/>
          <w:lang w:val="en-MY"/>
        </w:rPr>
        <w:t xml:space="preserve"> </w:t>
      </w:r>
      <w:r w:rsidR="00D616B0" w:rsidRPr="00B378D9">
        <w:rPr>
          <w:i/>
          <w:color w:val="000000" w:themeColor="text1"/>
          <w:sz w:val="24"/>
          <w:szCs w:val="24"/>
          <w:lang w:val="en-MY"/>
        </w:rPr>
        <w:t>p</w:t>
      </w:r>
      <w:r w:rsidR="00D616B0" w:rsidRPr="00B378D9">
        <w:rPr>
          <w:color w:val="000000" w:themeColor="text1"/>
          <w:sz w:val="24"/>
          <w:szCs w:val="24"/>
          <w:lang w:val="en-MY"/>
        </w:rPr>
        <w:t>-value was less than 0.05.</w:t>
      </w:r>
    </w:p>
    <w:p w14:paraId="113FBC31" w14:textId="29492C32" w:rsidR="00A67CF4" w:rsidRPr="00B378D9" w:rsidRDefault="00575F7D" w:rsidP="003C6432">
      <w:pPr>
        <w:spacing w:line="480" w:lineRule="auto"/>
        <w:ind w:left="0" w:firstLine="708"/>
        <w:rPr>
          <w:color w:val="000000" w:themeColor="text1"/>
          <w:sz w:val="24"/>
          <w:szCs w:val="24"/>
        </w:rPr>
      </w:pPr>
      <w:r w:rsidRPr="00B378D9">
        <w:rPr>
          <w:color w:val="000000" w:themeColor="text1"/>
          <w:sz w:val="24"/>
          <w:szCs w:val="24"/>
        </w:rPr>
        <w:t>The m</w:t>
      </w:r>
      <w:r w:rsidR="00EF5EA3" w:rsidRPr="00B378D9">
        <w:rPr>
          <w:color w:val="000000" w:themeColor="text1"/>
          <w:sz w:val="24"/>
          <w:szCs w:val="24"/>
        </w:rPr>
        <w:t xml:space="preserve">ajority of </w:t>
      </w:r>
      <w:r w:rsidR="003C6432" w:rsidRPr="00B378D9">
        <w:rPr>
          <w:i/>
          <w:color w:val="000000" w:themeColor="text1"/>
          <w:sz w:val="24"/>
          <w:szCs w:val="24"/>
        </w:rPr>
        <w:t xml:space="preserve">Acinetobacter </w:t>
      </w:r>
      <w:r w:rsidR="003C6432" w:rsidRPr="00B378D9">
        <w:rPr>
          <w:color w:val="000000" w:themeColor="text1"/>
          <w:sz w:val="24"/>
          <w:szCs w:val="24"/>
        </w:rPr>
        <w:t xml:space="preserve">spp. </w:t>
      </w:r>
      <w:r w:rsidR="00EF5EA3" w:rsidRPr="00B378D9">
        <w:rPr>
          <w:color w:val="000000" w:themeColor="text1"/>
          <w:sz w:val="24"/>
          <w:szCs w:val="24"/>
        </w:rPr>
        <w:t xml:space="preserve">isolates were obtained from sputum (27.5%), blood (26.1%), and pus (19.6%) (Table S2). The median age of patients that were infected with </w:t>
      </w:r>
      <w:r w:rsidR="00EF5EA3" w:rsidRPr="00B378D9">
        <w:rPr>
          <w:i/>
          <w:color w:val="000000" w:themeColor="text1"/>
          <w:sz w:val="24"/>
          <w:szCs w:val="24"/>
        </w:rPr>
        <w:t>Acinetobacter</w:t>
      </w:r>
      <w:r w:rsidR="00EF5EA3" w:rsidRPr="00B378D9">
        <w:rPr>
          <w:color w:val="000000" w:themeColor="text1"/>
          <w:sz w:val="24"/>
          <w:szCs w:val="24"/>
        </w:rPr>
        <w:t xml:space="preserve"> spp. in HSNZ was (52 ± 38) years and ranged from newborn to 91 </w:t>
      </w:r>
      <w:r w:rsidR="00C04DDF" w:rsidRPr="00B378D9">
        <w:rPr>
          <w:color w:val="000000" w:themeColor="text1"/>
          <w:sz w:val="24"/>
          <w:szCs w:val="24"/>
        </w:rPr>
        <w:t>years of age</w:t>
      </w:r>
      <w:r w:rsidR="00EF5EA3" w:rsidRPr="00B378D9">
        <w:rPr>
          <w:color w:val="000000" w:themeColor="text1"/>
          <w:sz w:val="24"/>
          <w:szCs w:val="24"/>
        </w:rPr>
        <w:t xml:space="preserve">. </w:t>
      </w:r>
      <w:r w:rsidR="00F86C0F" w:rsidRPr="00B378D9">
        <w:rPr>
          <w:color w:val="000000" w:themeColor="text1"/>
          <w:sz w:val="24"/>
          <w:szCs w:val="24"/>
        </w:rPr>
        <w:t>The isolates were obtained from 90 male (58.8%) and 63 female (41.2%) patients.</w:t>
      </w:r>
    </w:p>
    <w:p w14:paraId="55236CB4" w14:textId="530F8249" w:rsidR="000F1A3E" w:rsidRPr="00B378D9" w:rsidRDefault="00EF5EA3" w:rsidP="000F1A3E">
      <w:pPr>
        <w:spacing w:line="480" w:lineRule="auto"/>
        <w:ind w:left="0" w:firstLine="567"/>
        <w:rPr>
          <w:color w:val="000000" w:themeColor="text1"/>
          <w:sz w:val="24"/>
          <w:szCs w:val="24"/>
        </w:rPr>
      </w:pPr>
      <w:r w:rsidRPr="00B378D9">
        <w:rPr>
          <w:color w:val="000000" w:themeColor="text1"/>
          <w:sz w:val="24"/>
          <w:szCs w:val="24"/>
        </w:rPr>
        <w:tab/>
      </w:r>
      <w:r w:rsidR="000F1A3E" w:rsidRPr="00B378D9">
        <w:rPr>
          <w:color w:val="000000" w:themeColor="text1"/>
          <w:sz w:val="24"/>
          <w:szCs w:val="24"/>
        </w:rPr>
        <w:t>The combination of banding patterns obtained</w:t>
      </w:r>
      <w:r w:rsidR="00C04DDF" w:rsidRPr="00B378D9">
        <w:rPr>
          <w:color w:val="000000" w:themeColor="text1"/>
          <w:sz w:val="24"/>
          <w:szCs w:val="24"/>
        </w:rPr>
        <w:t xml:space="preserve"> from ARDRA</w:t>
      </w:r>
      <w:r w:rsidR="000F1A3E" w:rsidRPr="00B378D9">
        <w:rPr>
          <w:color w:val="000000" w:themeColor="text1"/>
          <w:sz w:val="24"/>
          <w:szCs w:val="24"/>
        </w:rPr>
        <w:t xml:space="preserve"> (Figure S1) enabled the differentiation of </w:t>
      </w:r>
      <w:r w:rsidR="000F1A3E" w:rsidRPr="00B378D9">
        <w:rPr>
          <w:i/>
          <w:color w:val="000000" w:themeColor="text1"/>
          <w:sz w:val="24"/>
          <w:szCs w:val="24"/>
        </w:rPr>
        <w:t>A. baumannii</w:t>
      </w:r>
      <w:r w:rsidR="000F1A3E" w:rsidRPr="00B378D9">
        <w:rPr>
          <w:color w:val="000000" w:themeColor="text1"/>
          <w:sz w:val="24"/>
          <w:szCs w:val="24"/>
        </w:rPr>
        <w:t xml:space="preserve"> (</w:t>
      </w:r>
      <w:r w:rsidR="000F1A3E" w:rsidRPr="00B378D9">
        <w:rPr>
          <w:i/>
          <w:color w:val="000000" w:themeColor="text1"/>
          <w:sz w:val="24"/>
          <w:szCs w:val="24"/>
        </w:rPr>
        <w:t>n</w:t>
      </w:r>
      <w:r w:rsidR="000F1A3E" w:rsidRPr="00B378D9">
        <w:rPr>
          <w:color w:val="000000" w:themeColor="text1"/>
          <w:sz w:val="24"/>
          <w:szCs w:val="24"/>
        </w:rPr>
        <w:t xml:space="preserve"> = 128</w:t>
      </w:r>
      <w:r w:rsidR="00F012DA" w:rsidRPr="00B378D9">
        <w:rPr>
          <w:color w:val="000000" w:themeColor="text1"/>
          <w:sz w:val="24"/>
          <w:szCs w:val="24"/>
        </w:rPr>
        <w:t>; 83.7%</w:t>
      </w:r>
      <w:r w:rsidR="000F1A3E" w:rsidRPr="00B378D9">
        <w:rPr>
          <w:color w:val="000000" w:themeColor="text1"/>
          <w:sz w:val="24"/>
          <w:szCs w:val="24"/>
        </w:rPr>
        <w:t xml:space="preserve">) </w:t>
      </w:r>
      <w:r w:rsidR="00BF3FDF" w:rsidRPr="00B378D9">
        <w:rPr>
          <w:color w:val="000000" w:themeColor="text1"/>
          <w:sz w:val="24"/>
          <w:szCs w:val="24"/>
        </w:rPr>
        <w:t xml:space="preserve">and </w:t>
      </w:r>
      <w:r w:rsidR="000F1A3E" w:rsidRPr="00B378D9">
        <w:rPr>
          <w:color w:val="000000" w:themeColor="text1"/>
          <w:sz w:val="24"/>
          <w:szCs w:val="24"/>
        </w:rPr>
        <w:t>non-</w:t>
      </w:r>
      <w:r w:rsidR="000F1A3E" w:rsidRPr="00B378D9">
        <w:rPr>
          <w:i/>
          <w:color w:val="000000" w:themeColor="text1"/>
          <w:sz w:val="24"/>
          <w:szCs w:val="24"/>
        </w:rPr>
        <w:t>baumannii</w:t>
      </w:r>
      <w:r w:rsidR="000F1A3E" w:rsidRPr="00B378D9">
        <w:rPr>
          <w:color w:val="000000" w:themeColor="text1"/>
          <w:sz w:val="24"/>
          <w:szCs w:val="24"/>
        </w:rPr>
        <w:t xml:space="preserve"> acinetobacters (</w:t>
      </w:r>
      <w:r w:rsidR="000F1A3E" w:rsidRPr="00B378D9">
        <w:rPr>
          <w:i/>
          <w:color w:val="000000" w:themeColor="text1"/>
          <w:sz w:val="24"/>
          <w:szCs w:val="24"/>
        </w:rPr>
        <w:t>n</w:t>
      </w:r>
      <w:r w:rsidR="000F1A3E" w:rsidRPr="00B378D9">
        <w:rPr>
          <w:color w:val="000000" w:themeColor="text1"/>
          <w:sz w:val="24"/>
          <w:szCs w:val="24"/>
        </w:rPr>
        <w:t xml:space="preserve"> = 25</w:t>
      </w:r>
      <w:r w:rsidR="00F012DA" w:rsidRPr="00B378D9">
        <w:rPr>
          <w:color w:val="000000" w:themeColor="text1"/>
          <w:sz w:val="24"/>
          <w:szCs w:val="24"/>
        </w:rPr>
        <w:t>; 16.3%</w:t>
      </w:r>
      <w:r w:rsidR="000F1A3E" w:rsidRPr="00B378D9">
        <w:rPr>
          <w:color w:val="000000" w:themeColor="text1"/>
          <w:sz w:val="24"/>
          <w:szCs w:val="24"/>
        </w:rPr>
        <w:t xml:space="preserve">). Fifteen isolates </w:t>
      </w:r>
      <w:r w:rsidR="00657A43" w:rsidRPr="00B378D9">
        <w:rPr>
          <w:color w:val="000000" w:themeColor="text1"/>
          <w:sz w:val="24"/>
          <w:szCs w:val="24"/>
        </w:rPr>
        <w:t>categoris</w:t>
      </w:r>
      <w:r w:rsidR="000F1A3E" w:rsidRPr="00B378D9">
        <w:rPr>
          <w:color w:val="000000" w:themeColor="text1"/>
          <w:sz w:val="24"/>
          <w:szCs w:val="24"/>
        </w:rPr>
        <w:t xml:space="preserve">ed as </w:t>
      </w:r>
      <w:r w:rsidR="000F1A3E" w:rsidRPr="00B378D9">
        <w:rPr>
          <w:i/>
          <w:color w:val="000000" w:themeColor="text1"/>
          <w:sz w:val="24"/>
          <w:szCs w:val="24"/>
        </w:rPr>
        <w:t>A. baumannii</w:t>
      </w:r>
      <w:r w:rsidR="000F1A3E" w:rsidRPr="00B378D9">
        <w:rPr>
          <w:color w:val="000000" w:themeColor="text1"/>
          <w:sz w:val="24"/>
          <w:szCs w:val="24"/>
        </w:rPr>
        <w:t xml:space="preserve"> were randomly chosen along with 25 non-</w:t>
      </w:r>
      <w:r w:rsidR="000F1A3E" w:rsidRPr="00B378D9">
        <w:rPr>
          <w:i/>
          <w:color w:val="000000" w:themeColor="text1"/>
          <w:sz w:val="24"/>
          <w:szCs w:val="24"/>
        </w:rPr>
        <w:t>baumannii</w:t>
      </w:r>
      <w:r w:rsidR="000F1A3E" w:rsidRPr="00B378D9">
        <w:rPr>
          <w:color w:val="000000" w:themeColor="text1"/>
          <w:sz w:val="24"/>
          <w:szCs w:val="24"/>
        </w:rPr>
        <w:t xml:space="preserve"> acinetobacters</w:t>
      </w:r>
      <w:r w:rsidR="00464ECA" w:rsidRPr="00B378D9">
        <w:rPr>
          <w:color w:val="000000" w:themeColor="text1"/>
          <w:sz w:val="24"/>
          <w:szCs w:val="24"/>
        </w:rPr>
        <w:t xml:space="preserve"> and </w:t>
      </w:r>
      <w:r w:rsidR="000F1A3E" w:rsidRPr="00B378D9">
        <w:rPr>
          <w:color w:val="000000" w:themeColor="text1"/>
          <w:sz w:val="24"/>
          <w:szCs w:val="24"/>
        </w:rPr>
        <w:t xml:space="preserve">subjected to PCR-amplification and sequencing of the </w:t>
      </w:r>
      <w:r w:rsidR="000F1A3E" w:rsidRPr="00B378D9">
        <w:rPr>
          <w:i/>
          <w:color w:val="000000" w:themeColor="text1"/>
          <w:sz w:val="24"/>
          <w:szCs w:val="24"/>
        </w:rPr>
        <w:t>rpoB</w:t>
      </w:r>
      <w:r w:rsidR="00165D05" w:rsidRPr="00B378D9">
        <w:rPr>
          <w:color w:val="000000" w:themeColor="text1"/>
          <w:sz w:val="24"/>
          <w:szCs w:val="24"/>
        </w:rPr>
        <w:t xml:space="preserve"> gene</w:t>
      </w:r>
      <w:r w:rsidR="00464ECA" w:rsidRPr="00B378D9">
        <w:rPr>
          <w:color w:val="000000" w:themeColor="text1"/>
          <w:sz w:val="24"/>
          <w:szCs w:val="24"/>
        </w:rPr>
        <w:t xml:space="preserve">. This </w:t>
      </w:r>
      <w:r w:rsidR="000F1A3E" w:rsidRPr="00B378D9">
        <w:rPr>
          <w:color w:val="000000" w:themeColor="text1"/>
          <w:sz w:val="24"/>
          <w:szCs w:val="24"/>
        </w:rPr>
        <w:t>validated the identit</w:t>
      </w:r>
      <w:r w:rsidR="00464ECA" w:rsidRPr="00B378D9">
        <w:rPr>
          <w:color w:val="000000" w:themeColor="text1"/>
          <w:sz w:val="24"/>
          <w:szCs w:val="24"/>
        </w:rPr>
        <w:t>y</w:t>
      </w:r>
      <w:r w:rsidR="000F1A3E" w:rsidRPr="00B378D9">
        <w:rPr>
          <w:color w:val="000000" w:themeColor="text1"/>
          <w:sz w:val="24"/>
          <w:szCs w:val="24"/>
        </w:rPr>
        <w:t xml:space="preserve"> of all </w:t>
      </w:r>
      <w:r w:rsidR="00464ECA" w:rsidRPr="00B378D9">
        <w:rPr>
          <w:color w:val="000000" w:themeColor="text1"/>
          <w:sz w:val="24"/>
          <w:szCs w:val="24"/>
        </w:rPr>
        <w:t>fifteen</w:t>
      </w:r>
      <w:r w:rsidR="000F1A3E" w:rsidRPr="00B378D9">
        <w:rPr>
          <w:color w:val="000000" w:themeColor="text1"/>
          <w:sz w:val="24"/>
          <w:szCs w:val="24"/>
        </w:rPr>
        <w:t xml:space="preserve"> </w:t>
      </w:r>
      <w:r w:rsidR="000F1A3E" w:rsidRPr="00B378D9">
        <w:rPr>
          <w:i/>
          <w:color w:val="000000" w:themeColor="text1"/>
          <w:sz w:val="24"/>
          <w:szCs w:val="24"/>
        </w:rPr>
        <w:t>A. baumannii</w:t>
      </w:r>
      <w:r w:rsidR="000F1A3E" w:rsidRPr="00B378D9">
        <w:rPr>
          <w:color w:val="000000" w:themeColor="text1"/>
          <w:sz w:val="24"/>
          <w:szCs w:val="24"/>
        </w:rPr>
        <w:t xml:space="preserve"> isolates (&gt;98% sequence identity over the 330 nucleotides of the amplified</w:t>
      </w:r>
      <w:r w:rsidR="00CC5A94" w:rsidRPr="00B378D9">
        <w:rPr>
          <w:color w:val="000000" w:themeColor="text1"/>
          <w:sz w:val="24"/>
          <w:szCs w:val="24"/>
        </w:rPr>
        <w:t xml:space="preserve"> partial</w:t>
      </w:r>
      <w:r w:rsidR="000F1A3E" w:rsidRPr="00B378D9">
        <w:rPr>
          <w:color w:val="000000" w:themeColor="text1"/>
          <w:sz w:val="24"/>
          <w:szCs w:val="24"/>
        </w:rPr>
        <w:t xml:space="preserve"> </w:t>
      </w:r>
      <w:r w:rsidR="000F1A3E" w:rsidRPr="00B378D9">
        <w:rPr>
          <w:i/>
          <w:color w:val="000000" w:themeColor="text1"/>
          <w:sz w:val="24"/>
          <w:szCs w:val="24"/>
        </w:rPr>
        <w:t>rpoB</w:t>
      </w:r>
      <w:r w:rsidR="000F1A3E" w:rsidRPr="00B378D9">
        <w:rPr>
          <w:color w:val="000000" w:themeColor="text1"/>
          <w:sz w:val="24"/>
          <w:szCs w:val="24"/>
        </w:rPr>
        <w:t xml:space="preserve"> gene). </w:t>
      </w:r>
      <w:r w:rsidR="002E3858" w:rsidRPr="00B378D9">
        <w:rPr>
          <w:color w:val="000000" w:themeColor="text1"/>
          <w:sz w:val="24"/>
          <w:szCs w:val="24"/>
        </w:rPr>
        <w:t>The m</w:t>
      </w:r>
      <w:r w:rsidR="00F7644D" w:rsidRPr="00B378D9">
        <w:rPr>
          <w:color w:val="000000" w:themeColor="text1"/>
          <w:sz w:val="24"/>
          <w:szCs w:val="24"/>
        </w:rPr>
        <w:t>ajority of non-</w:t>
      </w:r>
      <w:r w:rsidR="00F7644D" w:rsidRPr="00B378D9">
        <w:rPr>
          <w:i/>
          <w:color w:val="000000" w:themeColor="text1"/>
          <w:sz w:val="24"/>
          <w:szCs w:val="24"/>
        </w:rPr>
        <w:t>baumannii</w:t>
      </w:r>
      <w:r w:rsidR="00F7644D" w:rsidRPr="00B378D9">
        <w:rPr>
          <w:color w:val="000000" w:themeColor="text1"/>
          <w:sz w:val="24"/>
          <w:szCs w:val="24"/>
        </w:rPr>
        <w:t xml:space="preserve"> </w:t>
      </w:r>
      <w:r w:rsidR="00F7644D" w:rsidRPr="00B378D9">
        <w:rPr>
          <w:noProof/>
          <w:color w:val="000000" w:themeColor="text1"/>
          <w:sz w:val="24"/>
          <w:szCs w:val="24"/>
        </w:rPr>
        <w:t>acinetobacter</w:t>
      </w:r>
      <w:r w:rsidR="00F7644D" w:rsidRPr="00B378D9">
        <w:rPr>
          <w:color w:val="000000" w:themeColor="text1"/>
          <w:sz w:val="24"/>
          <w:szCs w:val="24"/>
        </w:rPr>
        <w:t xml:space="preserve"> isolates were found to be </w:t>
      </w:r>
      <w:r w:rsidR="00F7644D" w:rsidRPr="00B378D9">
        <w:rPr>
          <w:i/>
          <w:color w:val="000000" w:themeColor="text1"/>
          <w:sz w:val="24"/>
          <w:szCs w:val="24"/>
        </w:rPr>
        <w:t xml:space="preserve">A. </w:t>
      </w:r>
      <w:r w:rsidR="00F7644D" w:rsidRPr="00B378D9">
        <w:rPr>
          <w:i/>
          <w:noProof/>
          <w:color w:val="000000" w:themeColor="text1"/>
          <w:sz w:val="24"/>
          <w:szCs w:val="24"/>
        </w:rPr>
        <w:t>nosocomialis</w:t>
      </w:r>
      <w:r w:rsidR="00F7644D" w:rsidRPr="00B378D9">
        <w:rPr>
          <w:color w:val="000000" w:themeColor="text1"/>
          <w:sz w:val="24"/>
          <w:szCs w:val="24"/>
        </w:rPr>
        <w:t xml:space="preserve"> (</w:t>
      </w:r>
      <w:r w:rsidR="00F7644D" w:rsidRPr="00B378D9">
        <w:rPr>
          <w:i/>
          <w:color w:val="000000" w:themeColor="text1"/>
          <w:sz w:val="24"/>
          <w:szCs w:val="24"/>
        </w:rPr>
        <w:t>n</w:t>
      </w:r>
      <w:r w:rsidR="00F7644D" w:rsidRPr="00B378D9">
        <w:rPr>
          <w:color w:val="000000" w:themeColor="text1"/>
          <w:sz w:val="24"/>
          <w:szCs w:val="24"/>
        </w:rPr>
        <w:t xml:space="preserve"> = 16), with the rest identif</w:t>
      </w:r>
      <w:r w:rsidR="002B5E15" w:rsidRPr="00B378D9">
        <w:rPr>
          <w:color w:val="000000" w:themeColor="text1"/>
          <w:sz w:val="24"/>
          <w:szCs w:val="24"/>
        </w:rPr>
        <w:t xml:space="preserve">ied as </w:t>
      </w:r>
      <w:r w:rsidR="00F7644D" w:rsidRPr="00B378D9">
        <w:rPr>
          <w:i/>
          <w:color w:val="000000" w:themeColor="text1"/>
          <w:sz w:val="24"/>
          <w:szCs w:val="24"/>
        </w:rPr>
        <w:t xml:space="preserve">A. </w:t>
      </w:r>
      <w:r w:rsidR="00F7644D" w:rsidRPr="00B378D9">
        <w:rPr>
          <w:i/>
          <w:noProof/>
          <w:color w:val="000000" w:themeColor="text1"/>
          <w:sz w:val="24"/>
          <w:szCs w:val="24"/>
        </w:rPr>
        <w:t>calcoaceticus</w:t>
      </w:r>
      <w:r w:rsidR="00F7644D" w:rsidRPr="00B378D9">
        <w:rPr>
          <w:color w:val="000000" w:themeColor="text1"/>
          <w:sz w:val="24"/>
          <w:szCs w:val="24"/>
        </w:rPr>
        <w:t xml:space="preserve"> (</w:t>
      </w:r>
      <w:r w:rsidR="00F7644D" w:rsidRPr="00B378D9">
        <w:rPr>
          <w:i/>
          <w:color w:val="000000" w:themeColor="text1"/>
          <w:sz w:val="24"/>
          <w:szCs w:val="24"/>
        </w:rPr>
        <w:t>n</w:t>
      </w:r>
      <w:r w:rsidR="00F7644D" w:rsidRPr="00B378D9">
        <w:rPr>
          <w:color w:val="000000" w:themeColor="text1"/>
          <w:sz w:val="24"/>
          <w:szCs w:val="24"/>
        </w:rPr>
        <w:t xml:space="preserve"> = 5), </w:t>
      </w:r>
      <w:r w:rsidR="00F7644D" w:rsidRPr="00B378D9">
        <w:rPr>
          <w:i/>
          <w:color w:val="000000" w:themeColor="text1"/>
          <w:sz w:val="24"/>
          <w:szCs w:val="24"/>
        </w:rPr>
        <w:t xml:space="preserve">A. </w:t>
      </w:r>
      <w:r w:rsidR="00F7644D" w:rsidRPr="00B378D9">
        <w:rPr>
          <w:i/>
          <w:noProof/>
          <w:color w:val="000000" w:themeColor="text1"/>
          <w:sz w:val="24"/>
          <w:szCs w:val="24"/>
        </w:rPr>
        <w:t>soli</w:t>
      </w:r>
      <w:r w:rsidR="00F7644D" w:rsidRPr="00B378D9">
        <w:rPr>
          <w:color w:val="000000" w:themeColor="text1"/>
          <w:sz w:val="24"/>
          <w:szCs w:val="24"/>
        </w:rPr>
        <w:t xml:space="preserve"> (</w:t>
      </w:r>
      <w:r w:rsidR="00F7644D" w:rsidRPr="00B378D9">
        <w:rPr>
          <w:i/>
          <w:color w:val="000000" w:themeColor="text1"/>
          <w:sz w:val="24"/>
          <w:szCs w:val="24"/>
        </w:rPr>
        <w:t>n</w:t>
      </w:r>
      <w:r w:rsidR="00F7644D" w:rsidRPr="00B378D9">
        <w:rPr>
          <w:color w:val="000000" w:themeColor="text1"/>
          <w:sz w:val="24"/>
          <w:szCs w:val="24"/>
        </w:rPr>
        <w:t xml:space="preserve"> = 2), </w:t>
      </w:r>
      <w:r w:rsidR="00F7644D" w:rsidRPr="00B378D9">
        <w:rPr>
          <w:i/>
          <w:color w:val="000000" w:themeColor="text1"/>
          <w:sz w:val="24"/>
          <w:szCs w:val="24"/>
        </w:rPr>
        <w:t xml:space="preserve">A. </w:t>
      </w:r>
      <w:r w:rsidR="00F7644D" w:rsidRPr="00B378D9">
        <w:rPr>
          <w:i/>
          <w:noProof/>
          <w:color w:val="000000" w:themeColor="text1"/>
          <w:sz w:val="24"/>
          <w:szCs w:val="24"/>
        </w:rPr>
        <w:t>berezeniae</w:t>
      </w:r>
      <w:r w:rsidR="00F7644D" w:rsidRPr="00B378D9">
        <w:rPr>
          <w:color w:val="000000" w:themeColor="text1"/>
          <w:sz w:val="24"/>
          <w:szCs w:val="24"/>
        </w:rPr>
        <w:t xml:space="preserve"> (</w:t>
      </w:r>
      <w:r w:rsidR="00F7644D" w:rsidRPr="00B378D9">
        <w:rPr>
          <w:i/>
          <w:color w:val="000000" w:themeColor="text1"/>
          <w:sz w:val="24"/>
          <w:szCs w:val="24"/>
        </w:rPr>
        <w:t>n</w:t>
      </w:r>
      <w:r w:rsidR="00F7644D" w:rsidRPr="00B378D9">
        <w:rPr>
          <w:color w:val="000000" w:themeColor="text1"/>
          <w:sz w:val="24"/>
          <w:szCs w:val="24"/>
        </w:rPr>
        <w:t xml:space="preserve"> = 1), and </w:t>
      </w:r>
      <w:r w:rsidR="00F7644D" w:rsidRPr="00B378D9">
        <w:rPr>
          <w:i/>
          <w:color w:val="000000" w:themeColor="text1"/>
          <w:sz w:val="24"/>
          <w:szCs w:val="24"/>
        </w:rPr>
        <w:t xml:space="preserve">A. </w:t>
      </w:r>
      <w:r w:rsidR="00F7644D" w:rsidRPr="00B378D9">
        <w:rPr>
          <w:i/>
          <w:noProof/>
          <w:color w:val="000000" w:themeColor="text1"/>
          <w:sz w:val="24"/>
          <w:szCs w:val="24"/>
        </w:rPr>
        <w:t>variabilis</w:t>
      </w:r>
      <w:r w:rsidR="00F7644D" w:rsidRPr="00B378D9">
        <w:rPr>
          <w:color w:val="000000" w:themeColor="text1"/>
          <w:sz w:val="24"/>
          <w:szCs w:val="24"/>
        </w:rPr>
        <w:t xml:space="preserve"> (</w:t>
      </w:r>
      <w:r w:rsidR="00F7644D" w:rsidRPr="00B378D9">
        <w:rPr>
          <w:i/>
          <w:color w:val="000000" w:themeColor="text1"/>
          <w:sz w:val="24"/>
          <w:szCs w:val="24"/>
        </w:rPr>
        <w:t>n</w:t>
      </w:r>
      <w:r w:rsidR="00D253BE" w:rsidRPr="00B378D9">
        <w:rPr>
          <w:color w:val="000000" w:themeColor="text1"/>
          <w:sz w:val="24"/>
          <w:szCs w:val="24"/>
        </w:rPr>
        <w:t xml:space="preserve"> = 1) (100% sequence identities with the </w:t>
      </w:r>
      <w:r w:rsidR="00D253BE" w:rsidRPr="00B378D9">
        <w:rPr>
          <w:i/>
          <w:color w:val="000000" w:themeColor="text1"/>
          <w:sz w:val="24"/>
          <w:szCs w:val="24"/>
        </w:rPr>
        <w:t>rpoB</w:t>
      </w:r>
      <w:r w:rsidR="00D253BE" w:rsidRPr="00B378D9">
        <w:rPr>
          <w:color w:val="000000" w:themeColor="text1"/>
          <w:sz w:val="24"/>
          <w:szCs w:val="24"/>
        </w:rPr>
        <w:t xml:space="preserve"> sequences of the respective </w:t>
      </w:r>
      <w:r w:rsidR="00EA73A8" w:rsidRPr="00B378D9">
        <w:rPr>
          <w:i/>
          <w:color w:val="000000" w:themeColor="text1"/>
          <w:sz w:val="24"/>
          <w:szCs w:val="24"/>
        </w:rPr>
        <w:t>Acinetobacter</w:t>
      </w:r>
      <w:r w:rsidR="00EA73A8" w:rsidRPr="00B378D9">
        <w:rPr>
          <w:color w:val="000000" w:themeColor="text1"/>
          <w:sz w:val="24"/>
          <w:szCs w:val="24"/>
        </w:rPr>
        <w:t xml:space="preserve"> spp. in the database).</w:t>
      </w:r>
      <w:r w:rsidR="005B5A6E" w:rsidRPr="00B378D9">
        <w:rPr>
          <w:color w:val="000000" w:themeColor="text1"/>
          <w:sz w:val="24"/>
          <w:szCs w:val="24"/>
        </w:rPr>
        <w:t xml:space="preserve"> In contrast, an earlier study from Lieden University Medical Centre in the Netherlands showed that </w:t>
      </w:r>
      <w:r w:rsidR="005B5A6E" w:rsidRPr="00B378D9">
        <w:rPr>
          <w:i/>
          <w:color w:val="000000" w:themeColor="text1"/>
          <w:sz w:val="24"/>
          <w:szCs w:val="24"/>
        </w:rPr>
        <w:t>A. baumannii</w:t>
      </w:r>
      <w:r w:rsidR="005B5A6E" w:rsidRPr="00B378D9">
        <w:rPr>
          <w:color w:val="000000" w:themeColor="text1"/>
          <w:sz w:val="24"/>
          <w:szCs w:val="24"/>
        </w:rPr>
        <w:t xml:space="preserve"> comprised </w:t>
      </w:r>
      <w:r w:rsidR="00600805" w:rsidRPr="00B378D9">
        <w:rPr>
          <w:color w:val="000000" w:themeColor="text1"/>
          <w:sz w:val="24"/>
          <w:szCs w:val="24"/>
        </w:rPr>
        <w:t xml:space="preserve">only </w:t>
      </w:r>
      <w:r w:rsidR="005B5A6E" w:rsidRPr="00B378D9">
        <w:rPr>
          <w:color w:val="000000" w:themeColor="text1"/>
          <w:sz w:val="24"/>
          <w:szCs w:val="24"/>
        </w:rPr>
        <w:t xml:space="preserve">27% of the 359 </w:t>
      </w:r>
      <w:r w:rsidR="005B5A6E" w:rsidRPr="00B378D9">
        <w:rPr>
          <w:i/>
          <w:color w:val="000000" w:themeColor="text1"/>
          <w:sz w:val="24"/>
          <w:szCs w:val="24"/>
        </w:rPr>
        <w:t>Acinetobacter</w:t>
      </w:r>
      <w:r w:rsidR="005B5A6E" w:rsidRPr="00B378D9">
        <w:rPr>
          <w:color w:val="000000" w:themeColor="text1"/>
          <w:sz w:val="24"/>
          <w:szCs w:val="24"/>
        </w:rPr>
        <w:t xml:space="preserve"> spp. isolates obtained from 1999 – 2006 </w:t>
      </w:r>
      <w:r w:rsidR="005B5A6E"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{"citationItems":[{"id":"ITEM-1","itemData":{"DOI":"10.1128/JCM.00967-09","ISBN":"1098-660X (Electronic)\\r0095-1137 (Linking)","ISSN":"00951137","PMID":"19794057","abstract":"The prevalence of the currently known Acinetobacter species and related trends of antimicrobial resistance in a Dutch university hospital were studied. Between 1999 and 2006, Acinetobacter isolates from clinical samples were collected prospectively. Isolates were analyzed by amplified fragment length polymorphism fingerprinting. For species identification, a profile similarity cutoff level of 50% was used, and for strain identification, a cutoff level of 90% was used. Susceptibility for antimicrobial agents was tested by disk diffusion by following the CLSI guideline. The incidences of Acinetobacter isolates ranged from 1.7 to 3.7 per 10,000 patients per year, without a trend of increase, during the study years. Twenty different species were distinguished. Acinetobacter baumannii (27%) and Acinetobacter genomic species (gen. sp.) 3 (26%) were the most prevalent. Other species seen relatively frequently were Acinetobacter lwoffii (11%), Acinetobacter ursingii (4%), Acinetobacter johnsonii (4%), and Acinetobacter junii (3%). One large cluster of A. baumannii, involving 31 patients, and 16 smaller clusters of various species, involving in total 39 patients, with at most 5 patients in 1 cluster, occurred. Overall, 37% of the A. baumannii isolates were fully susceptible to the tested antibiotics. There was a borderline significant (P = 0.059) trend of decreasing susceptibility. A. baumannii was the Acinetobacter species causing the largest burden of multiple-antibiotic resistance and transmissions in the hospital.","author":[{"dropping-particle":"","family":"Broek","given":"P. J.","non-dropping-particle":"Van Den","parse-names":false,"suffix":""},{"dropping-particle":"","family":"Reijden","given":"T. J.K.","non-dropping-particle":"Van Der","parse-names":false,"suffix":""},{"dropping-particle":"","family":"Strijen","given":"E.","non-dropping-particle":"Van","parse-names":false,"suffix":""},{"dropping-particle":"V.","family":"Helmig-Schurter","given":"A.","non-dropping-particle":"","parse-names":false,"suffix":""},{"dropping-particle":"","family":"Bernards","given":"A. T.","non-dropping-particle":"","parse-names":false,"suffix":""},{"dropping-particle":"","family":"Dijkshoorn","given":"L.","non-dropping-particle":"","parse-names":false,"suffix":""}],"container-title":"Journal of Clinical Microbiology","id":"ITEM-1","issue":"11","issued":{"date-parts":[["2009"]]},"page":"3593-3599","title":"Endemic and epidemic Acinetobacter species in a university hospital: An 8-year survey","type":"article-journal","volume":"47"},"uris":["http://www.mendeley.com/documents/?uuid=93d262f0-5e16-49b1-aad4-5ceea9a57eeb"]}],"mendeley":{"formattedCitation":"[27]","plainTextFormattedCitation":"[27]","previouslyFormattedCitation":"[27]"},"properties":{"noteIndex":0},"schema":"https://github.com/citation-style-language/schema/raw/master/csl-citation.json"}</w:instrText>
      </w:r>
      <w:r w:rsidR="005B5A6E" w:rsidRPr="00B378D9">
        <w:rPr>
          <w:color w:val="000000" w:themeColor="text1"/>
          <w:sz w:val="24"/>
          <w:szCs w:val="24"/>
        </w:rPr>
        <w:fldChar w:fldCharType="separate"/>
      </w:r>
      <w:r w:rsidR="00575F7D" w:rsidRPr="00B378D9">
        <w:rPr>
          <w:noProof/>
          <w:color w:val="000000" w:themeColor="text1"/>
          <w:sz w:val="24"/>
          <w:szCs w:val="24"/>
        </w:rPr>
        <w:t>[27]</w:t>
      </w:r>
      <w:r w:rsidR="005B5A6E" w:rsidRPr="00B378D9">
        <w:rPr>
          <w:color w:val="000000" w:themeColor="text1"/>
          <w:sz w:val="24"/>
          <w:szCs w:val="24"/>
        </w:rPr>
        <w:fldChar w:fldCharType="end"/>
      </w:r>
      <w:r w:rsidR="005B5A6E" w:rsidRPr="00B378D9">
        <w:rPr>
          <w:color w:val="000000" w:themeColor="text1"/>
          <w:sz w:val="24"/>
          <w:szCs w:val="24"/>
        </w:rPr>
        <w:t>.</w:t>
      </w:r>
      <w:r w:rsidR="002A21E2" w:rsidRPr="00B378D9">
        <w:rPr>
          <w:color w:val="000000" w:themeColor="text1"/>
          <w:sz w:val="24"/>
          <w:szCs w:val="24"/>
        </w:rPr>
        <w:t xml:space="preserve"> This illustrates that the clinical-epidemiological situation can differ significantly between hospitals and geographic areas. Part of the high prevalence of </w:t>
      </w:r>
      <w:r w:rsidR="002A21E2" w:rsidRPr="00B378D9">
        <w:rPr>
          <w:i/>
          <w:color w:val="000000" w:themeColor="text1"/>
          <w:sz w:val="24"/>
          <w:szCs w:val="24"/>
        </w:rPr>
        <w:t>A. baumannii</w:t>
      </w:r>
      <w:r w:rsidR="002A21E2" w:rsidRPr="00B378D9">
        <w:rPr>
          <w:color w:val="000000" w:themeColor="text1"/>
          <w:sz w:val="24"/>
          <w:szCs w:val="24"/>
        </w:rPr>
        <w:t xml:space="preserve"> in HSNZ may be due to the endemic or even epidemic presence of one or more </w:t>
      </w:r>
      <w:r w:rsidR="002A21E2" w:rsidRPr="00B378D9">
        <w:rPr>
          <w:i/>
          <w:color w:val="000000" w:themeColor="text1"/>
          <w:sz w:val="24"/>
          <w:szCs w:val="24"/>
        </w:rPr>
        <w:t>A. baumannii</w:t>
      </w:r>
      <w:r w:rsidR="002A21E2" w:rsidRPr="00B378D9">
        <w:rPr>
          <w:color w:val="000000" w:themeColor="text1"/>
          <w:sz w:val="24"/>
          <w:szCs w:val="24"/>
        </w:rPr>
        <w:t xml:space="preserve"> strains</w:t>
      </w:r>
      <w:r w:rsidR="00ED72DB" w:rsidRPr="00B378D9">
        <w:rPr>
          <w:color w:val="000000" w:themeColor="text1"/>
          <w:sz w:val="24"/>
          <w:szCs w:val="24"/>
        </w:rPr>
        <w:t>. Epidemic typing</w:t>
      </w:r>
      <w:r w:rsidR="002A21E2" w:rsidRPr="00B378D9">
        <w:rPr>
          <w:color w:val="000000" w:themeColor="text1"/>
          <w:sz w:val="24"/>
          <w:szCs w:val="24"/>
        </w:rPr>
        <w:t xml:space="preserve"> would be required to obtain insight into this matter.</w:t>
      </w:r>
      <w:r w:rsidR="005B5A6E" w:rsidRPr="00B378D9">
        <w:rPr>
          <w:color w:val="000000" w:themeColor="text1"/>
          <w:sz w:val="24"/>
          <w:szCs w:val="24"/>
        </w:rPr>
        <w:t xml:space="preserve"> </w:t>
      </w:r>
    </w:p>
    <w:p w14:paraId="4B0E2B7A" w14:textId="37828CCB" w:rsidR="002A3E18" w:rsidRPr="00B378D9" w:rsidRDefault="002E3858" w:rsidP="00147095">
      <w:pPr>
        <w:spacing w:line="480" w:lineRule="auto"/>
        <w:ind w:left="0" w:firstLine="567"/>
        <w:rPr>
          <w:color w:val="000000" w:themeColor="text1"/>
          <w:sz w:val="24"/>
          <w:szCs w:val="24"/>
        </w:rPr>
      </w:pPr>
      <w:r w:rsidRPr="00B378D9">
        <w:rPr>
          <w:color w:val="000000" w:themeColor="text1"/>
          <w:sz w:val="24"/>
          <w:szCs w:val="24"/>
        </w:rPr>
        <w:lastRenderedPageBreak/>
        <w:t>The m</w:t>
      </w:r>
      <w:r w:rsidR="003760E5" w:rsidRPr="00B378D9">
        <w:rPr>
          <w:color w:val="000000" w:themeColor="text1"/>
          <w:sz w:val="24"/>
          <w:szCs w:val="24"/>
        </w:rPr>
        <w:t xml:space="preserve">ajority of the </w:t>
      </w:r>
      <w:r w:rsidR="003760E5" w:rsidRPr="00B378D9">
        <w:rPr>
          <w:i/>
          <w:color w:val="000000" w:themeColor="text1"/>
          <w:sz w:val="24"/>
          <w:szCs w:val="24"/>
        </w:rPr>
        <w:t>A. baumannii</w:t>
      </w:r>
      <w:r w:rsidRPr="00B378D9">
        <w:rPr>
          <w:color w:val="000000" w:themeColor="text1"/>
          <w:sz w:val="24"/>
          <w:szCs w:val="24"/>
        </w:rPr>
        <w:t xml:space="preserve"> isolates were from</w:t>
      </w:r>
      <w:r w:rsidR="003760E5" w:rsidRPr="00B378D9">
        <w:rPr>
          <w:color w:val="000000" w:themeColor="text1"/>
          <w:sz w:val="24"/>
          <w:szCs w:val="24"/>
        </w:rPr>
        <w:t xml:space="preserve"> intensive care units (ICUs)</w:t>
      </w:r>
      <w:r w:rsidR="00EA73A8" w:rsidRPr="00B378D9">
        <w:rPr>
          <w:color w:val="000000" w:themeColor="text1"/>
          <w:sz w:val="24"/>
          <w:szCs w:val="24"/>
        </w:rPr>
        <w:t xml:space="preserve"> (32.0%), </w:t>
      </w:r>
      <w:r w:rsidR="003760E5" w:rsidRPr="00B378D9">
        <w:rPr>
          <w:color w:val="000000" w:themeColor="text1"/>
          <w:sz w:val="24"/>
          <w:szCs w:val="24"/>
        </w:rPr>
        <w:t xml:space="preserve">medical </w:t>
      </w:r>
      <w:r w:rsidR="00EA73A8" w:rsidRPr="00B378D9">
        <w:rPr>
          <w:color w:val="000000" w:themeColor="text1"/>
          <w:sz w:val="24"/>
          <w:szCs w:val="24"/>
        </w:rPr>
        <w:t>(31.3%) and surgical (19.5%) wards</w:t>
      </w:r>
      <w:r w:rsidR="003760E5" w:rsidRPr="00B378D9">
        <w:rPr>
          <w:color w:val="000000" w:themeColor="text1"/>
          <w:sz w:val="24"/>
          <w:szCs w:val="24"/>
        </w:rPr>
        <w:t>.</w:t>
      </w:r>
      <w:r w:rsidR="00312A36" w:rsidRPr="00B378D9">
        <w:rPr>
          <w:color w:val="000000" w:themeColor="text1"/>
          <w:sz w:val="24"/>
          <w:szCs w:val="24"/>
        </w:rPr>
        <w:t xml:space="preserve"> Among the non-</w:t>
      </w:r>
      <w:r w:rsidR="00312A36" w:rsidRPr="00B378D9">
        <w:rPr>
          <w:i/>
          <w:color w:val="000000" w:themeColor="text1"/>
          <w:sz w:val="24"/>
          <w:szCs w:val="24"/>
        </w:rPr>
        <w:t>baumannii</w:t>
      </w:r>
      <w:r w:rsidR="00312A36" w:rsidRPr="00B378D9">
        <w:rPr>
          <w:color w:val="000000" w:themeColor="text1"/>
          <w:sz w:val="24"/>
          <w:szCs w:val="24"/>
        </w:rPr>
        <w:t xml:space="preserve"> acinetobacters, </w:t>
      </w:r>
      <w:r w:rsidR="00E90B22" w:rsidRPr="00B378D9">
        <w:rPr>
          <w:color w:val="000000" w:themeColor="text1"/>
          <w:sz w:val="24"/>
          <w:szCs w:val="24"/>
        </w:rPr>
        <w:t>eight</w:t>
      </w:r>
      <w:r w:rsidR="00312A36" w:rsidRPr="00B378D9">
        <w:rPr>
          <w:color w:val="000000" w:themeColor="text1"/>
          <w:sz w:val="24"/>
          <w:szCs w:val="24"/>
        </w:rPr>
        <w:t xml:space="preserve"> of them were isolated fro</w:t>
      </w:r>
      <w:r w:rsidR="006C3A98" w:rsidRPr="00B378D9">
        <w:rPr>
          <w:color w:val="000000" w:themeColor="text1"/>
          <w:sz w:val="24"/>
          <w:szCs w:val="24"/>
        </w:rPr>
        <w:t>m</w:t>
      </w:r>
      <w:r w:rsidR="00312A36" w:rsidRPr="00B378D9">
        <w:rPr>
          <w:color w:val="000000" w:themeColor="text1"/>
          <w:sz w:val="24"/>
          <w:szCs w:val="24"/>
        </w:rPr>
        <w:t xml:space="preserve"> ICUs (</w:t>
      </w:r>
      <w:r w:rsidR="005745D7" w:rsidRPr="00B378D9">
        <w:rPr>
          <w:color w:val="000000" w:themeColor="text1"/>
          <w:sz w:val="24"/>
          <w:szCs w:val="24"/>
        </w:rPr>
        <w:t>six</w:t>
      </w:r>
      <w:r w:rsidR="00312A36" w:rsidRPr="00B378D9">
        <w:rPr>
          <w:color w:val="000000" w:themeColor="text1"/>
          <w:sz w:val="24"/>
          <w:szCs w:val="24"/>
        </w:rPr>
        <w:t xml:space="preserve"> </w:t>
      </w:r>
      <w:r w:rsidR="00312A36" w:rsidRPr="00B378D9">
        <w:rPr>
          <w:i/>
          <w:color w:val="000000" w:themeColor="text1"/>
          <w:sz w:val="24"/>
          <w:szCs w:val="24"/>
        </w:rPr>
        <w:t xml:space="preserve">A. </w:t>
      </w:r>
      <w:r w:rsidR="00312A36" w:rsidRPr="00B378D9">
        <w:rPr>
          <w:i/>
          <w:noProof/>
          <w:color w:val="000000" w:themeColor="text1"/>
          <w:sz w:val="24"/>
          <w:szCs w:val="24"/>
        </w:rPr>
        <w:t>nosocomialis</w:t>
      </w:r>
      <w:r w:rsidR="00E90B22" w:rsidRPr="00B378D9">
        <w:rPr>
          <w:i/>
          <w:color w:val="000000" w:themeColor="text1"/>
          <w:sz w:val="24"/>
          <w:szCs w:val="24"/>
        </w:rPr>
        <w:t xml:space="preserve">, </w:t>
      </w:r>
      <w:r w:rsidR="00E90B22" w:rsidRPr="00B378D9">
        <w:rPr>
          <w:color w:val="000000" w:themeColor="text1"/>
          <w:sz w:val="24"/>
          <w:szCs w:val="24"/>
        </w:rPr>
        <w:t xml:space="preserve">one each </w:t>
      </w:r>
      <w:r w:rsidR="00EA73A8" w:rsidRPr="00B378D9">
        <w:rPr>
          <w:color w:val="000000" w:themeColor="text1"/>
          <w:sz w:val="24"/>
          <w:szCs w:val="24"/>
        </w:rPr>
        <w:t>of</w:t>
      </w:r>
      <w:r w:rsidR="00E90B22" w:rsidRPr="00B378D9">
        <w:rPr>
          <w:i/>
          <w:color w:val="000000" w:themeColor="text1"/>
          <w:sz w:val="24"/>
          <w:szCs w:val="24"/>
        </w:rPr>
        <w:t xml:space="preserve"> A. </w:t>
      </w:r>
      <w:r w:rsidR="00E90B22" w:rsidRPr="00B378D9">
        <w:rPr>
          <w:i/>
          <w:noProof/>
          <w:color w:val="000000" w:themeColor="text1"/>
          <w:sz w:val="24"/>
          <w:szCs w:val="24"/>
        </w:rPr>
        <w:t>calcoaceticus</w:t>
      </w:r>
      <w:r w:rsidR="00E90B22" w:rsidRPr="00B378D9">
        <w:rPr>
          <w:i/>
          <w:color w:val="000000" w:themeColor="text1"/>
          <w:sz w:val="24"/>
          <w:szCs w:val="24"/>
        </w:rPr>
        <w:t xml:space="preserve"> and A. </w:t>
      </w:r>
      <w:r w:rsidR="00E90B22" w:rsidRPr="00B378D9">
        <w:rPr>
          <w:i/>
          <w:noProof/>
          <w:color w:val="000000" w:themeColor="text1"/>
          <w:sz w:val="24"/>
          <w:szCs w:val="24"/>
        </w:rPr>
        <w:t>soli</w:t>
      </w:r>
      <w:r w:rsidR="00312A36" w:rsidRPr="00B378D9">
        <w:rPr>
          <w:color w:val="000000" w:themeColor="text1"/>
          <w:sz w:val="24"/>
          <w:szCs w:val="24"/>
        </w:rPr>
        <w:t xml:space="preserve">) (Table </w:t>
      </w:r>
      <w:r w:rsidR="0078136F" w:rsidRPr="00B378D9">
        <w:rPr>
          <w:color w:val="000000" w:themeColor="text1"/>
          <w:sz w:val="24"/>
          <w:szCs w:val="24"/>
        </w:rPr>
        <w:t>1</w:t>
      </w:r>
      <w:r w:rsidR="00312A36" w:rsidRPr="00B378D9">
        <w:rPr>
          <w:color w:val="000000" w:themeColor="text1"/>
          <w:sz w:val="24"/>
          <w:szCs w:val="24"/>
        </w:rPr>
        <w:t>)</w:t>
      </w:r>
      <w:r w:rsidR="00845575" w:rsidRPr="00B378D9">
        <w:rPr>
          <w:color w:val="000000" w:themeColor="text1"/>
          <w:sz w:val="24"/>
          <w:szCs w:val="24"/>
        </w:rPr>
        <w:t xml:space="preserve"> </w:t>
      </w:r>
      <w:r w:rsidR="007A3F8D" w:rsidRPr="00B378D9">
        <w:rPr>
          <w:color w:val="000000" w:themeColor="text1"/>
          <w:sz w:val="24"/>
          <w:szCs w:val="24"/>
        </w:rPr>
        <w:t>with patients</w:t>
      </w:r>
      <w:r w:rsidR="00845575" w:rsidRPr="00B378D9">
        <w:rPr>
          <w:color w:val="000000" w:themeColor="text1"/>
          <w:sz w:val="24"/>
          <w:szCs w:val="24"/>
        </w:rPr>
        <w:t xml:space="preserve"> suffering from various additional co-morbidities</w:t>
      </w:r>
      <w:r w:rsidR="00312A36" w:rsidRPr="00B378D9">
        <w:rPr>
          <w:color w:val="000000" w:themeColor="text1"/>
          <w:sz w:val="24"/>
          <w:szCs w:val="24"/>
        </w:rPr>
        <w:t xml:space="preserve">. </w:t>
      </w:r>
      <w:r w:rsidR="00451C52" w:rsidRPr="00B378D9">
        <w:rPr>
          <w:i/>
          <w:color w:val="000000" w:themeColor="text1"/>
          <w:sz w:val="24"/>
          <w:szCs w:val="24"/>
        </w:rPr>
        <w:t xml:space="preserve">A. </w:t>
      </w:r>
      <w:r w:rsidR="00451C52" w:rsidRPr="00B378D9">
        <w:rPr>
          <w:i/>
          <w:noProof/>
          <w:color w:val="000000" w:themeColor="text1"/>
          <w:sz w:val="24"/>
          <w:szCs w:val="24"/>
        </w:rPr>
        <w:t>nosocomialis</w:t>
      </w:r>
      <w:r w:rsidR="00451C52" w:rsidRPr="00B378D9">
        <w:rPr>
          <w:color w:val="000000" w:themeColor="text1"/>
          <w:sz w:val="24"/>
          <w:szCs w:val="24"/>
        </w:rPr>
        <w:t xml:space="preserve"> </w:t>
      </w:r>
      <w:r w:rsidR="0001641E" w:rsidRPr="00B378D9">
        <w:rPr>
          <w:color w:val="000000" w:themeColor="text1"/>
          <w:sz w:val="24"/>
          <w:szCs w:val="24"/>
        </w:rPr>
        <w:t xml:space="preserve">isolates </w:t>
      </w:r>
      <w:r w:rsidR="00451C52" w:rsidRPr="00B378D9">
        <w:rPr>
          <w:color w:val="000000" w:themeColor="text1"/>
          <w:sz w:val="24"/>
          <w:szCs w:val="24"/>
        </w:rPr>
        <w:t xml:space="preserve">were </w:t>
      </w:r>
      <w:r w:rsidR="002C5FA5" w:rsidRPr="00B378D9">
        <w:rPr>
          <w:color w:val="000000" w:themeColor="text1"/>
          <w:sz w:val="24"/>
          <w:szCs w:val="24"/>
        </w:rPr>
        <w:t>evenly</w:t>
      </w:r>
      <w:r w:rsidR="00451C52" w:rsidRPr="00B378D9">
        <w:rPr>
          <w:color w:val="000000" w:themeColor="text1"/>
          <w:sz w:val="24"/>
          <w:szCs w:val="24"/>
        </w:rPr>
        <w:t xml:space="preserve"> distributed across </w:t>
      </w:r>
      <w:r w:rsidR="00EA73A8" w:rsidRPr="00B378D9">
        <w:rPr>
          <w:color w:val="000000" w:themeColor="text1"/>
          <w:sz w:val="24"/>
          <w:szCs w:val="24"/>
        </w:rPr>
        <w:t xml:space="preserve">the </w:t>
      </w:r>
      <w:r w:rsidR="00AD4FE6" w:rsidRPr="00B378D9">
        <w:rPr>
          <w:color w:val="000000" w:themeColor="text1"/>
          <w:sz w:val="24"/>
          <w:szCs w:val="24"/>
        </w:rPr>
        <w:t>medical and surgical</w:t>
      </w:r>
      <w:r w:rsidR="00451C52" w:rsidRPr="00B378D9">
        <w:rPr>
          <w:color w:val="000000" w:themeColor="text1"/>
          <w:sz w:val="24"/>
          <w:szCs w:val="24"/>
        </w:rPr>
        <w:t xml:space="preserve"> wards in HSNZ with </w:t>
      </w:r>
      <w:r w:rsidR="00AD545C" w:rsidRPr="00B378D9">
        <w:rPr>
          <w:color w:val="000000" w:themeColor="text1"/>
          <w:sz w:val="24"/>
          <w:szCs w:val="24"/>
        </w:rPr>
        <w:t>four isolates originating</w:t>
      </w:r>
      <w:r w:rsidR="00451C52" w:rsidRPr="00B378D9">
        <w:rPr>
          <w:color w:val="000000" w:themeColor="text1"/>
          <w:sz w:val="24"/>
          <w:szCs w:val="24"/>
        </w:rPr>
        <w:t xml:space="preserve"> from </w:t>
      </w:r>
      <w:r w:rsidR="006A232F" w:rsidRPr="00B378D9">
        <w:rPr>
          <w:color w:val="000000" w:themeColor="text1"/>
          <w:sz w:val="24"/>
          <w:szCs w:val="24"/>
        </w:rPr>
        <w:t>each</w:t>
      </w:r>
      <w:r w:rsidR="00AD4FE6" w:rsidRPr="00B378D9">
        <w:rPr>
          <w:color w:val="000000" w:themeColor="text1"/>
          <w:sz w:val="24"/>
          <w:szCs w:val="24"/>
        </w:rPr>
        <w:t xml:space="preserve"> </w:t>
      </w:r>
      <w:r w:rsidR="00AD4FE6" w:rsidRPr="00B378D9">
        <w:rPr>
          <w:noProof/>
          <w:color w:val="000000" w:themeColor="text1"/>
          <w:sz w:val="24"/>
          <w:szCs w:val="24"/>
        </w:rPr>
        <w:t>ward</w:t>
      </w:r>
      <w:r w:rsidR="0055767C" w:rsidRPr="00B378D9">
        <w:rPr>
          <w:noProof/>
          <w:color w:val="000000" w:themeColor="text1"/>
          <w:sz w:val="24"/>
          <w:szCs w:val="24"/>
        </w:rPr>
        <w:t xml:space="preserve">, </w:t>
      </w:r>
      <w:r w:rsidR="00AD545C" w:rsidRPr="00B378D9">
        <w:rPr>
          <w:noProof/>
          <w:color w:val="000000" w:themeColor="text1"/>
          <w:sz w:val="24"/>
          <w:szCs w:val="24"/>
        </w:rPr>
        <w:t>whereas</w:t>
      </w:r>
      <w:r w:rsidR="0055767C" w:rsidRPr="00B378D9">
        <w:rPr>
          <w:noProof/>
          <w:color w:val="000000" w:themeColor="text1"/>
          <w:sz w:val="24"/>
          <w:szCs w:val="24"/>
        </w:rPr>
        <w:t xml:space="preserve"> </w:t>
      </w:r>
      <w:r w:rsidR="00AD545C" w:rsidRPr="00B378D9">
        <w:rPr>
          <w:noProof/>
          <w:color w:val="000000" w:themeColor="text1"/>
          <w:sz w:val="24"/>
          <w:szCs w:val="24"/>
        </w:rPr>
        <w:t xml:space="preserve">the remaining </w:t>
      </w:r>
      <w:r w:rsidR="0055767C" w:rsidRPr="00B378D9">
        <w:rPr>
          <w:noProof/>
          <w:color w:val="000000" w:themeColor="text1"/>
          <w:sz w:val="24"/>
          <w:szCs w:val="24"/>
        </w:rPr>
        <w:t xml:space="preserve">two </w:t>
      </w:r>
      <w:r w:rsidR="00AD545C" w:rsidRPr="00B378D9">
        <w:rPr>
          <w:noProof/>
          <w:color w:val="000000" w:themeColor="text1"/>
          <w:sz w:val="24"/>
          <w:szCs w:val="24"/>
        </w:rPr>
        <w:t>isolates were</w:t>
      </w:r>
      <w:r w:rsidR="0055767C" w:rsidRPr="00B378D9">
        <w:rPr>
          <w:noProof/>
          <w:color w:val="000000" w:themeColor="text1"/>
          <w:sz w:val="24"/>
          <w:szCs w:val="24"/>
        </w:rPr>
        <w:t xml:space="preserve"> from other district hospitals or health clinics</w:t>
      </w:r>
      <w:r w:rsidR="00451C52" w:rsidRPr="00B378D9">
        <w:rPr>
          <w:color w:val="000000" w:themeColor="text1"/>
          <w:sz w:val="24"/>
          <w:szCs w:val="24"/>
        </w:rPr>
        <w:t xml:space="preserve">. </w:t>
      </w:r>
      <w:r w:rsidR="00CC5A94" w:rsidRPr="00B378D9">
        <w:rPr>
          <w:color w:val="000000" w:themeColor="text1"/>
          <w:sz w:val="24"/>
          <w:szCs w:val="24"/>
        </w:rPr>
        <w:t>However, due to the limited number of non-</w:t>
      </w:r>
      <w:r w:rsidR="00CC5A94" w:rsidRPr="00B378D9">
        <w:rPr>
          <w:i/>
          <w:color w:val="000000" w:themeColor="text1"/>
          <w:sz w:val="24"/>
          <w:szCs w:val="24"/>
        </w:rPr>
        <w:t>baumannii</w:t>
      </w:r>
      <w:r w:rsidR="00CC5A94" w:rsidRPr="00B378D9">
        <w:rPr>
          <w:color w:val="000000" w:themeColor="text1"/>
          <w:sz w:val="24"/>
          <w:szCs w:val="24"/>
        </w:rPr>
        <w:t xml:space="preserve"> isolates that were obtained, we are unable to make any firm conclusion regarding their prevalence in HSNZ. </w:t>
      </w:r>
      <w:r w:rsidR="00501BFF" w:rsidRPr="00B378D9">
        <w:rPr>
          <w:color w:val="000000" w:themeColor="text1"/>
          <w:sz w:val="24"/>
          <w:szCs w:val="24"/>
        </w:rPr>
        <w:t xml:space="preserve">For patients who were infected with </w:t>
      </w:r>
      <w:r w:rsidR="00501BFF" w:rsidRPr="00B378D9">
        <w:rPr>
          <w:i/>
          <w:color w:val="000000" w:themeColor="text1"/>
          <w:sz w:val="24"/>
          <w:szCs w:val="24"/>
        </w:rPr>
        <w:t>A. baumannii</w:t>
      </w:r>
      <w:r w:rsidR="00501BFF" w:rsidRPr="00B378D9">
        <w:rPr>
          <w:color w:val="000000" w:themeColor="text1"/>
          <w:sz w:val="24"/>
          <w:szCs w:val="24"/>
        </w:rPr>
        <w:t>, the mean duration of their hospital stay was 35.8 ± 3.6</w:t>
      </w:r>
      <w:r w:rsidR="000E6859" w:rsidRPr="00B378D9">
        <w:rPr>
          <w:color w:val="000000" w:themeColor="text1"/>
          <w:sz w:val="24"/>
          <w:szCs w:val="24"/>
        </w:rPr>
        <w:t xml:space="preserve"> with a median of 23 days. In comparison, the mean duration of hospital stay for patients infected with non-</w:t>
      </w:r>
      <w:r w:rsidR="000E6859" w:rsidRPr="00B378D9">
        <w:rPr>
          <w:i/>
          <w:color w:val="000000" w:themeColor="text1"/>
          <w:sz w:val="24"/>
          <w:szCs w:val="24"/>
        </w:rPr>
        <w:t>baumannii</w:t>
      </w:r>
      <w:r w:rsidR="000E6859" w:rsidRPr="00B378D9">
        <w:rPr>
          <w:color w:val="000000" w:themeColor="text1"/>
          <w:sz w:val="24"/>
          <w:szCs w:val="24"/>
        </w:rPr>
        <w:t xml:space="preserve"> acinetobacters was 22.0 ± 7.3 with a median of 10 days. </w:t>
      </w:r>
      <w:r w:rsidR="00E05259" w:rsidRPr="00B378D9">
        <w:rPr>
          <w:color w:val="000000" w:themeColor="text1"/>
          <w:sz w:val="24"/>
          <w:szCs w:val="24"/>
        </w:rPr>
        <w:t>The relatively long stay in the hospital may increase the risk of acquisition of other nosocomial pathogens</w:t>
      </w:r>
      <w:r w:rsidR="00575F7D" w:rsidRPr="00B378D9">
        <w:rPr>
          <w:color w:val="000000" w:themeColor="text1"/>
          <w:sz w:val="24"/>
          <w:szCs w:val="24"/>
        </w:rPr>
        <w:t xml:space="preserve"> and contribute to </w:t>
      </w:r>
      <w:r w:rsidR="009D03AA" w:rsidRPr="00B378D9">
        <w:rPr>
          <w:color w:val="000000" w:themeColor="text1"/>
          <w:sz w:val="24"/>
          <w:szCs w:val="24"/>
        </w:rPr>
        <w:t xml:space="preserve">the </w:t>
      </w:r>
      <w:r w:rsidR="00575F7D" w:rsidRPr="00B378D9">
        <w:rPr>
          <w:color w:val="000000" w:themeColor="text1"/>
          <w:sz w:val="24"/>
          <w:szCs w:val="24"/>
        </w:rPr>
        <w:t xml:space="preserve">acquisition of endemic or epidemic </w:t>
      </w:r>
      <w:r w:rsidR="00575F7D" w:rsidRPr="00B378D9">
        <w:rPr>
          <w:i/>
          <w:color w:val="000000" w:themeColor="text1"/>
          <w:sz w:val="24"/>
          <w:szCs w:val="24"/>
        </w:rPr>
        <w:t>A. baumannii</w:t>
      </w:r>
      <w:r w:rsidR="00575F7D" w:rsidRPr="00B378D9">
        <w:rPr>
          <w:color w:val="000000" w:themeColor="text1"/>
          <w:sz w:val="24"/>
          <w:szCs w:val="24"/>
        </w:rPr>
        <w:t xml:space="preserve"> strains</w:t>
      </w:r>
      <w:r w:rsidR="00E05259" w:rsidRPr="00B378D9">
        <w:rPr>
          <w:color w:val="000000" w:themeColor="text1"/>
          <w:sz w:val="24"/>
          <w:szCs w:val="24"/>
        </w:rPr>
        <w:t xml:space="preserve">. </w:t>
      </w:r>
    </w:p>
    <w:p w14:paraId="79A6CB59" w14:textId="05CA7F14" w:rsidR="001713EF" w:rsidRPr="00B378D9" w:rsidRDefault="00F61664" w:rsidP="00534782">
      <w:pPr>
        <w:spacing w:line="480" w:lineRule="auto"/>
        <w:ind w:left="0" w:firstLine="0"/>
        <w:rPr>
          <w:color w:val="000000" w:themeColor="text1"/>
          <w:sz w:val="24"/>
          <w:szCs w:val="24"/>
        </w:rPr>
      </w:pPr>
      <w:r w:rsidRPr="00B378D9">
        <w:rPr>
          <w:color w:val="000000" w:themeColor="text1"/>
          <w:sz w:val="24"/>
          <w:szCs w:val="24"/>
        </w:rPr>
        <w:tab/>
        <w:t xml:space="preserve">Out of the 153 </w:t>
      </w:r>
      <w:r w:rsidRPr="00B378D9">
        <w:rPr>
          <w:i/>
          <w:color w:val="000000" w:themeColor="text1"/>
          <w:sz w:val="24"/>
          <w:szCs w:val="24"/>
        </w:rPr>
        <w:t>Acinetobacter</w:t>
      </w:r>
      <w:r w:rsidRPr="00B378D9">
        <w:rPr>
          <w:color w:val="000000" w:themeColor="text1"/>
          <w:sz w:val="24"/>
          <w:szCs w:val="24"/>
        </w:rPr>
        <w:t xml:space="preserve"> spp. isolates, 86 were multidrug resistant (MDR; i.e., resistant to three or more classes of antimicrobials following </w:t>
      </w:r>
      <w:r w:rsidR="002C31E6" w:rsidRPr="00B378D9">
        <w:rPr>
          <w:color w:val="000000" w:themeColor="text1"/>
          <w:sz w:val="24"/>
          <w:szCs w:val="24"/>
        </w:rPr>
        <w:t>proposed criteria</w:t>
      </w:r>
      <w:r w:rsidRPr="00B378D9">
        <w:rPr>
          <w:color w:val="000000" w:themeColor="text1"/>
          <w:sz w:val="24"/>
          <w:szCs w:val="24"/>
        </w:rPr>
        <w:t xml:space="preserve"> </w:t>
      </w:r>
      <w:r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{"citationItems":[{"id":"ITEM-1","itemData":{"DOI":"10.1111/j.1469-0691.2011.03570.x","abstract":"Many different definitions for multidrug-resistant (MDR), extensively drug-resistant (XDR) and pandrug-resistant (PDR) bacteria are being used in the medical literature to characterize the different patterns of resistance found in healthcare-associated, antimicrobial-resistant bacteria. A group of international experts came together through a joint initiative by the European Centre for Disease Prevention and Control (ECDC) and the Centers for Disease Control and Prevention (CDC), to create a standardized international terminology with which to describe acquired resistance profiles in Staphylococcus aureus, Enterococcus spp., Enterobacteriaceae (other than Salmonella and Shigella), Pseudomonas aeruginosa and Acinetobacter spp., all bacteria often responsible for healthcare-associated infections and prone to multidrug resistance. Epidemiologically significant antimicrobial categories were constructed for each bacterium. Lists of antimicrobial categories proposed for antimicrobial susceptibility testing were created using documents and breakpoints from the Clinical Laboratory Standards Institute (CLSI), the European Committee on Antimicrobial Susceptibility Testing (EUCAST) and the United States Food and Drug Administration (FDA). MDR was defined as acquired non-susceptibility to at least one agent in three or more antimicrobial categories, XDR was defined as non-susceptibility to at least one agent in all but two or fewer antimicrobial categories (i.e. bacterial isolates remain susceptible to only one or two categories) and PDR was defined as non-susceptibility to all agents in all antimicrobial categories. To ensure correct application of these definitions, bacterial isolates should be tested against all or nearly all of the antimicrobial agents within the antimicrobial categories and selective reporting and suppression of results should be avoided.","author":[{"dropping-particle":"","family":"Magiorakos","given":"AP","non-dropping-particle":"","parse-names":false,"suffix":""},{"dropping-particle":"","family":"Srinivasan","given":"A","non-dropping-particle":"","parse-names":false,"suffix":""},{"dropping-particle":"","family":"Carey","given":"RB","non-dropping-particle":"","parse-names":false,"suffix":""},{"dropping-particle":"","family":"Carmeli","given":"Y","non-dropping-particle":"","parse-names":false,"suffix":""},{"dropping-particle":"","family":"Falagas","given":"ME","non-dropping-particle":"","parse-names":false,"suffix":""},{"dropping-particle":"","family":"Giske","given":"CG","non-dropping-particle":"","parse-names":false,"suffix":""},{"dropping-particle":"","family":"Harbarth","given":"S","non-dropping-particle":"","parse-names":false,"suffix":""},{"dropping-particle":"","family":"Hindler","given":"JF","non-dropping-particle":"","parse-names":false,"suffix":""},{"dropping-particle":"","family":"Kahlmeter","given":"G","non-dropping-particle":"","parse-names":false,"suffix":""},{"dropping-particle":"","family":"Olsson-Liljequist","given":"B","non-dropping-particle":"","parse-names":false,"suffix":""},{"dropping-particle":"","family":"Paterson","given":"DL","non-dropping-particle":"","parse-names":false,"suffix":""},{"dropping-particle":"","family":"Rice","given":"LB","non-dropping-particle":"","parse-names":false,"suffix":""},{"dropping-particle":"","family":"Stelling","given":"J","non-dropping-particle":"","parse-names":false,"suffix":""},{"dropping-particle":"","family":"Struelens","given":"MJ","non-dropping-particle":"","parse-names":false,"suffix":""},{"dropping-particle":"","family":"Vatopoulos","given":"A","non-dropping-particle":"","parse-names":false,"suffix":""},{"dropping-particle":"","family":"Weber","given":"JT","non-dropping-particle":"","parse-names":false,"suffix":""},{"dropping-particle":"","family":"Monnet","given":"DL","non-dropping-particle":"","parse-names":false,"suffix":""}],"container-title":"Clinical microbiology and infection","id":"ITEM-1","issue":"3","issued":{"date-parts":[["2012"]]},"page":"268-281","title":"Multidrug-resistant, extensively drug-resistant and pandrug-resistant bacteria: an international expert proposal for interim standard definitions for acquired resistance","type":"article-journal","volume":"18"},"uris":["http://www.mendeley.com/documents/?uuid=85e31da9-62ee-4ba0-94d0-3452c1cee2f6"]}],"mendeley":{"formattedCitation":"[28]","plainTextFormattedCitation":"[28]","previouslyFormattedCitation":"[28]"},"properties":{"noteIndex":0},"schema":"https://github.com/citation-style-language/schema/raw/master/csl-citation.json"}</w:instrText>
      </w:r>
      <w:r w:rsidRPr="00B378D9">
        <w:rPr>
          <w:color w:val="000000" w:themeColor="text1"/>
          <w:sz w:val="24"/>
          <w:szCs w:val="24"/>
        </w:rPr>
        <w:fldChar w:fldCharType="separate"/>
      </w:r>
      <w:r w:rsidR="00575F7D" w:rsidRPr="00B378D9">
        <w:rPr>
          <w:noProof/>
          <w:color w:val="000000" w:themeColor="text1"/>
          <w:sz w:val="24"/>
          <w:szCs w:val="24"/>
        </w:rPr>
        <w:t>[28]</w:t>
      </w:r>
      <w:r w:rsidRPr="00B378D9">
        <w:rPr>
          <w:color w:val="000000" w:themeColor="text1"/>
          <w:sz w:val="24"/>
          <w:szCs w:val="24"/>
        </w:rPr>
        <w:fldChar w:fldCharType="end"/>
      </w:r>
      <w:r w:rsidRPr="00B378D9">
        <w:rPr>
          <w:color w:val="000000" w:themeColor="text1"/>
          <w:sz w:val="24"/>
          <w:szCs w:val="24"/>
        </w:rPr>
        <w:t>). However, among the 86 MDR isolates, only one was a non-</w:t>
      </w:r>
      <w:r w:rsidRPr="00B378D9">
        <w:rPr>
          <w:i/>
          <w:color w:val="000000" w:themeColor="text1"/>
          <w:sz w:val="24"/>
          <w:szCs w:val="24"/>
        </w:rPr>
        <w:t>baumannii</w:t>
      </w:r>
      <w:r w:rsidRPr="00B378D9">
        <w:rPr>
          <w:color w:val="000000" w:themeColor="text1"/>
          <w:sz w:val="24"/>
          <w:szCs w:val="24"/>
        </w:rPr>
        <w:t xml:space="preserve"> acinetobacter, </w:t>
      </w:r>
      <w:r w:rsidR="009673F2" w:rsidRPr="00B378D9">
        <w:rPr>
          <w:color w:val="000000" w:themeColor="text1"/>
          <w:sz w:val="24"/>
          <w:szCs w:val="24"/>
        </w:rPr>
        <w:t xml:space="preserve"> </w:t>
      </w:r>
      <w:r w:rsidRPr="00B378D9">
        <w:rPr>
          <w:i/>
          <w:color w:val="000000" w:themeColor="text1"/>
          <w:sz w:val="24"/>
          <w:szCs w:val="24"/>
        </w:rPr>
        <w:t>A. nosocomialis</w:t>
      </w:r>
      <w:r w:rsidRPr="00B378D9">
        <w:rPr>
          <w:color w:val="000000" w:themeColor="text1"/>
          <w:sz w:val="24"/>
          <w:szCs w:val="24"/>
        </w:rPr>
        <w:t>, which displayed resistance to carbapenem</w:t>
      </w:r>
      <w:r w:rsidR="004F00D0" w:rsidRPr="00B378D9">
        <w:rPr>
          <w:color w:val="000000" w:themeColor="text1"/>
          <w:sz w:val="24"/>
          <w:szCs w:val="24"/>
        </w:rPr>
        <w:t>s, cephalosporins (i.e., cefotax</w:t>
      </w:r>
      <w:r w:rsidRPr="00B378D9">
        <w:rPr>
          <w:color w:val="000000" w:themeColor="text1"/>
          <w:sz w:val="24"/>
          <w:szCs w:val="24"/>
        </w:rPr>
        <w:t xml:space="preserve">ime, ceftriaxone, ceftazidime and cefepime) and </w:t>
      </w:r>
      <w:r w:rsidR="00481532" w:rsidRPr="00B378D9">
        <w:rPr>
          <w:color w:val="000000" w:themeColor="text1"/>
          <w:sz w:val="24"/>
          <w:szCs w:val="24"/>
        </w:rPr>
        <w:t xml:space="preserve">a </w:t>
      </w:r>
      <w:r w:rsidRPr="00B378D9">
        <w:rPr>
          <w:color w:val="000000" w:themeColor="text1"/>
          <w:sz w:val="24"/>
          <w:szCs w:val="24"/>
        </w:rPr>
        <w:t>β-lactam/β-lactamase inhibitor combination (ticarcillin/clavulanate).</w:t>
      </w:r>
      <w:r w:rsidR="00822B81" w:rsidRPr="00B378D9">
        <w:rPr>
          <w:color w:val="000000" w:themeColor="text1"/>
          <w:sz w:val="24"/>
          <w:szCs w:val="24"/>
        </w:rPr>
        <w:t xml:space="preserve"> The remaining 85 MDR isolates were </w:t>
      </w:r>
      <w:r w:rsidR="00822B81" w:rsidRPr="00B378D9">
        <w:rPr>
          <w:i/>
          <w:color w:val="000000" w:themeColor="text1"/>
          <w:sz w:val="24"/>
          <w:szCs w:val="24"/>
        </w:rPr>
        <w:t>A. baumannii</w:t>
      </w:r>
      <w:r w:rsidR="00822B81" w:rsidRPr="00B378D9">
        <w:rPr>
          <w:color w:val="000000" w:themeColor="text1"/>
          <w:sz w:val="24"/>
          <w:szCs w:val="24"/>
        </w:rPr>
        <w:t xml:space="preserve"> (out of 128, or a prevalence of 66.4%).</w:t>
      </w:r>
      <w:r w:rsidRPr="00B378D9">
        <w:rPr>
          <w:color w:val="000000" w:themeColor="text1"/>
          <w:sz w:val="24"/>
          <w:szCs w:val="24"/>
        </w:rPr>
        <w:t xml:space="preserve"> </w:t>
      </w:r>
      <w:r w:rsidR="004F00D0" w:rsidRPr="00B378D9">
        <w:rPr>
          <w:color w:val="000000" w:themeColor="text1"/>
          <w:sz w:val="24"/>
          <w:szCs w:val="24"/>
        </w:rPr>
        <w:t>Interestingly, f</w:t>
      </w:r>
      <w:r w:rsidRPr="00B378D9">
        <w:rPr>
          <w:color w:val="000000" w:themeColor="text1"/>
          <w:sz w:val="24"/>
          <w:szCs w:val="24"/>
        </w:rPr>
        <w:t xml:space="preserve">our </w:t>
      </w:r>
      <w:r w:rsidRPr="00B378D9">
        <w:rPr>
          <w:i/>
          <w:color w:val="000000" w:themeColor="text1"/>
          <w:sz w:val="24"/>
          <w:szCs w:val="24"/>
        </w:rPr>
        <w:t>Acinetobacter</w:t>
      </w:r>
      <w:r w:rsidRPr="00B378D9">
        <w:rPr>
          <w:color w:val="000000" w:themeColor="text1"/>
          <w:sz w:val="24"/>
          <w:szCs w:val="24"/>
        </w:rPr>
        <w:t xml:space="preserve"> spp. isolates were resistant only to carbapenems, three of which were </w:t>
      </w:r>
      <w:r w:rsidRPr="00B378D9">
        <w:rPr>
          <w:i/>
          <w:color w:val="000000" w:themeColor="text1"/>
          <w:sz w:val="24"/>
          <w:szCs w:val="24"/>
        </w:rPr>
        <w:t>A. baumannii</w:t>
      </w:r>
      <w:r w:rsidRPr="00B378D9">
        <w:rPr>
          <w:color w:val="000000" w:themeColor="text1"/>
          <w:sz w:val="24"/>
          <w:szCs w:val="24"/>
        </w:rPr>
        <w:t xml:space="preserve"> and another one was </w:t>
      </w:r>
      <w:r w:rsidRPr="00B378D9">
        <w:rPr>
          <w:i/>
          <w:color w:val="000000" w:themeColor="text1"/>
          <w:sz w:val="24"/>
          <w:szCs w:val="24"/>
        </w:rPr>
        <w:t>A. calcoaceticus</w:t>
      </w:r>
      <w:r w:rsidRPr="00B378D9">
        <w:rPr>
          <w:color w:val="000000" w:themeColor="text1"/>
          <w:sz w:val="24"/>
          <w:szCs w:val="24"/>
        </w:rPr>
        <w:t xml:space="preserve">. </w:t>
      </w:r>
      <w:r w:rsidR="00A93DCA" w:rsidRPr="00B378D9">
        <w:rPr>
          <w:color w:val="000000" w:themeColor="text1"/>
          <w:sz w:val="24"/>
          <w:szCs w:val="24"/>
        </w:rPr>
        <w:t>Besides</w:t>
      </w:r>
      <w:r w:rsidRPr="00B378D9">
        <w:rPr>
          <w:color w:val="000000" w:themeColor="text1"/>
          <w:sz w:val="24"/>
          <w:szCs w:val="24"/>
        </w:rPr>
        <w:t xml:space="preserve"> that, all the</w:t>
      </w:r>
      <w:r w:rsidR="00A93DCA" w:rsidRPr="00B378D9">
        <w:rPr>
          <w:color w:val="000000" w:themeColor="text1"/>
          <w:sz w:val="24"/>
          <w:szCs w:val="24"/>
        </w:rPr>
        <w:t xml:space="preserve"> other</w:t>
      </w:r>
      <w:r w:rsidRPr="00B378D9">
        <w:rPr>
          <w:color w:val="000000" w:themeColor="text1"/>
          <w:sz w:val="24"/>
          <w:szCs w:val="24"/>
        </w:rPr>
        <w:t xml:space="preserve"> non-</w:t>
      </w:r>
      <w:r w:rsidRPr="00B378D9">
        <w:rPr>
          <w:i/>
          <w:color w:val="000000" w:themeColor="text1"/>
          <w:sz w:val="24"/>
          <w:szCs w:val="24"/>
        </w:rPr>
        <w:t>baumannii</w:t>
      </w:r>
      <w:r w:rsidRPr="00B378D9">
        <w:rPr>
          <w:color w:val="000000" w:themeColor="text1"/>
          <w:sz w:val="24"/>
          <w:szCs w:val="24"/>
        </w:rPr>
        <w:t xml:space="preserve"> acinetobacters were susceptible to the anti</w:t>
      </w:r>
      <w:r w:rsidR="004F00D0" w:rsidRPr="00B378D9">
        <w:rPr>
          <w:color w:val="000000" w:themeColor="text1"/>
          <w:sz w:val="24"/>
          <w:szCs w:val="24"/>
        </w:rPr>
        <w:t xml:space="preserve">microbials tested in this study (Table </w:t>
      </w:r>
      <w:r w:rsidR="000F4E66" w:rsidRPr="00B378D9">
        <w:rPr>
          <w:color w:val="000000" w:themeColor="text1"/>
          <w:sz w:val="24"/>
          <w:szCs w:val="24"/>
        </w:rPr>
        <w:t>2</w:t>
      </w:r>
      <w:r w:rsidR="004F00D0" w:rsidRPr="00B378D9">
        <w:rPr>
          <w:color w:val="000000" w:themeColor="text1"/>
          <w:sz w:val="24"/>
          <w:szCs w:val="24"/>
        </w:rPr>
        <w:t>).</w:t>
      </w:r>
      <w:r w:rsidRPr="00B378D9">
        <w:rPr>
          <w:color w:val="000000" w:themeColor="text1"/>
          <w:sz w:val="24"/>
          <w:szCs w:val="24"/>
        </w:rPr>
        <w:t xml:space="preserve"> </w:t>
      </w:r>
      <w:r w:rsidR="00E71037" w:rsidRPr="00B378D9">
        <w:rPr>
          <w:color w:val="000000" w:themeColor="text1"/>
          <w:sz w:val="24"/>
          <w:szCs w:val="24"/>
        </w:rPr>
        <w:t>The greater susceptibility of non-</w:t>
      </w:r>
      <w:r w:rsidR="00E71037" w:rsidRPr="00B378D9">
        <w:rPr>
          <w:i/>
          <w:color w:val="000000" w:themeColor="text1"/>
          <w:sz w:val="24"/>
          <w:szCs w:val="24"/>
        </w:rPr>
        <w:t>baumannii</w:t>
      </w:r>
      <w:r w:rsidR="00E71037" w:rsidRPr="00B378D9">
        <w:rPr>
          <w:color w:val="000000" w:themeColor="text1"/>
          <w:sz w:val="24"/>
          <w:szCs w:val="24"/>
        </w:rPr>
        <w:t xml:space="preserve"> </w:t>
      </w:r>
      <w:r w:rsidR="00E71037" w:rsidRPr="00B378D9">
        <w:rPr>
          <w:color w:val="000000" w:themeColor="text1"/>
          <w:sz w:val="24"/>
          <w:szCs w:val="24"/>
        </w:rPr>
        <w:lastRenderedPageBreak/>
        <w:t>acinetobacters</w:t>
      </w:r>
      <w:r w:rsidR="00E535E6" w:rsidRPr="00B378D9">
        <w:rPr>
          <w:color w:val="000000" w:themeColor="text1"/>
          <w:sz w:val="24"/>
          <w:szCs w:val="24"/>
        </w:rPr>
        <w:t xml:space="preserve"> to antimicrobials as compared to </w:t>
      </w:r>
      <w:r w:rsidR="00E535E6" w:rsidRPr="00B378D9">
        <w:rPr>
          <w:i/>
          <w:color w:val="000000" w:themeColor="text1"/>
          <w:sz w:val="24"/>
          <w:szCs w:val="24"/>
        </w:rPr>
        <w:t>A. baumannii</w:t>
      </w:r>
      <w:r w:rsidR="00E71037" w:rsidRPr="00B378D9">
        <w:rPr>
          <w:color w:val="000000" w:themeColor="text1"/>
          <w:sz w:val="24"/>
          <w:szCs w:val="24"/>
        </w:rPr>
        <w:t xml:space="preserve"> </w:t>
      </w:r>
      <w:r w:rsidR="00E535E6" w:rsidRPr="00B378D9">
        <w:rPr>
          <w:color w:val="000000" w:themeColor="text1"/>
          <w:sz w:val="24"/>
          <w:szCs w:val="24"/>
        </w:rPr>
        <w:t xml:space="preserve">has also been previously reported </w:t>
      </w:r>
      <w:r w:rsidR="00E535E6"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{"citationItems":[{"id":"ITEM-1","itemData":{"DOI":"10.1371/journal.pone.0156237","ISBN":"1932-6203","ISSN":"19326203","PMID":"27223476","abstract":"Multidrug resistant Acinetobacter baumannii and its closely related species A. pittii and A. nosocomialis, all members of the Acinetobacter calcoaceticus-baumannii (Acb) complex, are a major cause of hospital acquired infection. In the burn wound center of the Queen Astrid military hospital in Brussels, 48 patients were colonized or infected with Acb complex over a 52-month period. We report the molecular epidemiology of these organisms, their clinical impact and infection control measures taken. A representative set of 157 Acb complex isolates was analyzed using repetitive sequence-based PCR (rep-PCR) (DiversiLab) and a multiplex PCR targeting OXA-51-like and OXA-23-like genes. We identified 31 rep-PCR genotypes (strains). Representatives of each rep-type were identified to species by rpoB sequence analysis: 13 types to A. baumannii, 10 to A. pittii, and 3 to A. nosocomialis. It was assumed that isolates that belonged to the same rep-type also belonged to the same species. Thus, 83.4% of all isolates were identified to A. baumannii, 9.6% to A. pittii and 4.5% to A. nosocomialis. We observed 12 extensively drug resistant Acb strains (10 A. baumannii and 2 A. nosocomialis), all carbapenem-non-susceptible/colistin-susceptible and imported into the burn wound center through patients injured in North Africa. The two most prevalent rep-types 12 and 13 harbored an OXA-23-like gene. Multilocus sequence typing allocated them to clonal complex 1 corresponding to EU (international) clone I. Both strains caused consecutive outbreaks, interspersed with periods of apparent eradication. Patients infected with carbapenem resistant A. baumannii were successfully treated with colistin/rifampicin. Extensive infection control measures were required to eradicate the organisms. Acinetobacter infection and colonization was not associated with increased attributable mortality.","author":[{"dropping-particle":"","family":"Vos","given":"Daniel","non-dropping-particle":"De","parse-names":false,"suffix":""},{"dropping-particle":"","family":"Pirnay","given":"Jean Paul","non-dropping-particle":"","parse-names":false,"suffix":""},{"dropping-particle":"","family":"Bilocq","given":"Florence","non-dropping-particle":"","parse-names":false,"suffix":""},{"dropping-particle":"","family":"Jennes","given":"Serge","non-dropping-particle":"","parse-names":false,"suffix":""},{"dropping-particle":"","family":"Verbeken","given":"Gilbert","non-dropping-particle":"","parse-names":false,"suffix":""},{"dropping-particle":"","family":"Rose","given":"Thomas","non-dropping-particle":"","parse-names":false,"suffix":""},{"dropping-particle":"","family":"Keersebilck","given":"Elkana","non-dropping-particle":"","parse-names":false,"suffix":""},{"dropping-particle":"","family":"Bosmans","given":"Petra","non-dropping-particle":"","parse-names":false,"suffix":""},{"dropping-particle":"","family":"Pieters","given":"Thierry","non-dropping-particle":"","parse-names":false,"suffix":""},{"dropping-particle":"","family":"Hing","given":"Mony","non-dropping-particle":"","parse-names":false,"suffix":""},{"dropping-particle":"","family":"Heuninckx","given":"Walter","non-dropping-particle":"","parse-names":false,"suffix":""},{"dropping-particle":"","family":"Pauw","given":"Frank","non-dropping-particle":"De","parse-names":false,"suffix":""},{"dropping-particle":"","family":"Soentjens","given":"Patrick","non-dropping-particle":"","parse-names":false,"suffix":""},{"dropping-particle":"","family":"Merabishvili","given":"Maia","non-dropping-particle":"","parse-names":false,"suffix":""},{"dropping-particle":"","family":"Deschaght","given":"Pieter","non-dropping-particle":"","parse-names":false,"suffix":""},{"dropping-particle":"","family":"Vaneechoutte","given":"Mario","non-dropping-particle":"","parse-names":false,"suffix":""},{"dropping-particle":"","family":"Bogaerts","given":"Pierre","non-dropping-particle":"","parse-names":false,"suffix":""},{"dropping-particle":"","family":"Glupczynski","given":"Youri","non-dropping-particle":"","parse-names":false,"suffix":""},{"dropping-particle":"","family":"Pot","given":"Bruno","non-dropping-particle":"","parse-names":false,"suffix":""},{"dropping-particle":"","family":"Reijden","given":"Tanny J.","non-dropping-particle":"Van Der","parse-names":false,"suffix":""},{"dropping-particle":"","family":"Dijkshoorn","given":"Lenie","non-dropping-particle":"","parse-names":false,"suffix":""}],"container-title":"PLoS ONE","id":"ITEM-1","issue":"5","issued":{"date-parts":[["2016"]]},"page":"e0156237","title":"Molecular epidemiology and clinical impact of acinetobacter calcoaceticus-baumannii complex in a belgian burn wound center","type":"article-journal","volume":"11"},"uris":["http://www.mendeley.com/documents/?uuid=22c5432c-45e7-407a-840b-13439593f590"]},{"id":"ITEM-2","itemData":{"DOI":"10.1016/j.jiac.2016.02.006","ISSN":"14377780","PMID":"26993173","abstract":"Acinetobacter calcoaceticus-Acinetobacter baumannii complex, especially A. baumannii, Acinetobacter pittii and Acinetobacter nosocomialis, constitutes an important group of nosocomial pathogens; however, epidemiological or clinical characteristics and prognosis is limited in Japan. From 2009 to 2013, 47 blood stream infection cases resulting from A. baumannii group were reviewed at the National Defense Medical College, an 800-bed tertiary hospital. To determine the genospecies, further comparative nucleotide sequence analyses of the RNA polymerase b-subunit (rpoB) gene were performed. Sequence analysis of rpoB gene showed that 25 (49.0%), 17 (33.3%) and 5 (9.8%) cases were caused by A. baumannii, A. pittii and A. nosocomialis, respectively. The 30-day and in-hospital mortality rates of A. baumannii were 8.5% and 25.5%, respectively, and there were no significant differences between Acinetobacter species. Clinical characteristics were statistically insignificant. Multidrug-resistant Acinetobacter species were detected in 3 cases (5.9%) with same pulsed-field gel electrophoresis (PFGE) pattern and A. baumannii was less susceptible to amikacin and levofloxacin. In this study, the mortality and clinical characteristics were similar among A. baumannii group isolate cases despite some showing drug resistance. However, identification of Acinetobacter species helps to initiate appropriate antibiotic therapy in earlier treatment phase, because A. baumannii shows some drug resistance.","author":[{"dropping-particle":"","family":"Fujikura","given":"Yuji","non-dropping-particle":"","parse-names":false,"suffix":""},{"dropping-particle":"","family":"Yuki","given":"Atsushi","non-dropping-particle":"","parse-names":false,"suffix":""},{"dropping-particle":"","family":"Hamamoto","given":"Takaaki","non-dropping-particle":"","parse-names":false,"suffix":""},{"dropping-particle":"","family":"Kawana","given":"Akihiko","non-dropping-particle":"","parse-names":false,"suffix":""},{"dropping-particle":"","family":"Ohkusu","given":"Kiyofumi","non-dropping-particle":"","parse-names":false,"suffix":""},{"dropping-particle":"","family":"Matsumoto","given":"Tetsuya","non-dropping-particle":"","parse-names":false,"suffix":""}],"container-title":"Journal of Infection and Chemotherapy","id":"ITEM-2","issue":"6","issued":{"date-parts":[["2016"]]},"page":"366-371","publisher":"Elsevier Taiwan LLC","title":"Blood stream infections caused by Acinetobacter baumannii group in Japan - Epidemiological and clinical investigation","type":"article-journal","volume":"22"},"uris":["http://www.mendeley.com/documents/?uuid=dee93c0a-2fea-4612-8c56-89d876145cc0"]}],"mendeley":{"formattedCitation":"[29, 30]","plainTextFormattedCitation":"[29, 30]","previouslyFormattedCitation":"[29, 30]"},"properties":{"noteIndex":0},"schema":"https://github.com/citation-style-language/schema/raw/master/csl-citation.json"}</w:instrText>
      </w:r>
      <w:r w:rsidR="00E535E6" w:rsidRPr="00B378D9">
        <w:rPr>
          <w:color w:val="000000" w:themeColor="text1"/>
          <w:sz w:val="24"/>
          <w:szCs w:val="24"/>
        </w:rPr>
        <w:fldChar w:fldCharType="separate"/>
      </w:r>
      <w:r w:rsidR="00575F7D" w:rsidRPr="00B378D9">
        <w:rPr>
          <w:noProof/>
          <w:color w:val="000000" w:themeColor="text1"/>
          <w:sz w:val="24"/>
          <w:szCs w:val="24"/>
        </w:rPr>
        <w:t>[29, 30]</w:t>
      </w:r>
      <w:r w:rsidR="00E535E6" w:rsidRPr="00B378D9">
        <w:rPr>
          <w:color w:val="000000" w:themeColor="text1"/>
          <w:sz w:val="24"/>
          <w:szCs w:val="24"/>
        </w:rPr>
        <w:fldChar w:fldCharType="end"/>
      </w:r>
      <w:r w:rsidR="00E535E6" w:rsidRPr="00B378D9">
        <w:rPr>
          <w:color w:val="000000" w:themeColor="text1"/>
          <w:sz w:val="24"/>
          <w:szCs w:val="24"/>
        </w:rPr>
        <w:t>.</w:t>
      </w:r>
    </w:p>
    <w:p w14:paraId="0ED401FB" w14:textId="5CEB0E19" w:rsidR="00391A80" w:rsidRPr="00B378D9" w:rsidRDefault="001713EF" w:rsidP="001713EF">
      <w:pPr>
        <w:spacing w:line="480" w:lineRule="auto"/>
        <w:ind w:left="0" w:firstLine="708"/>
        <w:rPr>
          <w:color w:val="000000" w:themeColor="text1"/>
          <w:sz w:val="24"/>
          <w:szCs w:val="24"/>
        </w:rPr>
      </w:pPr>
      <w:r w:rsidRPr="00B378D9">
        <w:rPr>
          <w:color w:val="000000" w:themeColor="text1"/>
          <w:sz w:val="24"/>
          <w:szCs w:val="24"/>
        </w:rPr>
        <w:t xml:space="preserve">For </w:t>
      </w:r>
      <w:r w:rsidRPr="00B378D9">
        <w:rPr>
          <w:i/>
          <w:color w:val="000000" w:themeColor="text1"/>
          <w:sz w:val="24"/>
          <w:szCs w:val="24"/>
        </w:rPr>
        <w:t>A. baumannii</w:t>
      </w:r>
      <w:r w:rsidRPr="00B378D9">
        <w:rPr>
          <w:color w:val="000000" w:themeColor="text1"/>
          <w:sz w:val="24"/>
          <w:szCs w:val="24"/>
        </w:rPr>
        <w:t xml:space="preserve">, the highest resistance </w:t>
      </w:r>
      <w:r w:rsidR="00657A43" w:rsidRPr="00B378D9">
        <w:rPr>
          <w:color w:val="000000" w:themeColor="text1"/>
          <w:sz w:val="24"/>
          <w:szCs w:val="24"/>
        </w:rPr>
        <w:t>rates</w:t>
      </w:r>
      <w:r w:rsidR="002C5FA5" w:rsidRPr="00B378D9">
        <w:rPr>
          <w:color w:val="000000" w:themeColor="text1"/>
          <w:sz w:val="24"/>
          <w:szCs w:val="24"/>
        </w:rPr>
        <w:t xml:space="preserve"> </w:t>
      </w:r>
      <w:r w:rsidRPr="00B378D9">
        <w:rPr>
          <w:color w:val="000000" w:themeColor="text1"/>
          <w:sz w:val="24"/>
          <w:szCs w:val="24"/>
        </w:rPr>
        <w:t>we</w:t>
      </w:r>
      <w:r w:rsidR="00147095" w:rsidRPr="00B378D9">
        <w:rPr>
          <w:color w:val="000000" w:themeColor="text1"/>
          <w:sz w:val="24"/>
          <w:szCs w:val="24"/>
        </w:rPr>
        <w:t>re observed for the carbapenems</w:t>
      </w:r>
      <w:r w:rsidRPr="00B378D9">
        <w:rPr>
          <w:color w:val="000000" w:themeColor="text1"/>
          <w:sz w:val="24"/>
          <w:szCs w:val="24"/>
        </w:rPr>
        <w:t xml:space="preserve"> at 68.8%, whereas the lowest </w:t>
      </w:r>
      <w:r w:rsidR="002C5FA5" w:rsidRPr="00B378D9">
        <w:rPr>
          <w:color w:val="000000" w:themeColor="text1"/>
          <w:sz w:val="24"/>
          <w:szCs w:val="24"/>
        </w:rPr>
        <w:t>was</w:t>
      </w:r>
      <w:r w:rsidRPr="00B378D9">
        <w:rPr>
          <w:color w:val="000000" w:themeColor="text1"/>
          <w:sz w:val="24"/>
          <w:szCs w:val="24"/>
        </w:rPr>
        <w:t xml:space="preserve"> for the aminoglycosides at 60.9%</w:t>
      </w:r>
      <w:r w:rsidR="000F4E66" w:rsidRPr="00B378D9">
        <w:rPr>
          <w:color w:val="000000" w:themeColor="text1"/>
          <w:sz w:val="24"/>
          <w:szCs w:val="24"/>
        </w:rPr>
        <w:t xml:space="preserve"> (Table 2)</w:t>
      </w:r>
      <w:r w:rsidRPr="00B378D9">
        <w:rPr>
          <w:color w:val="000000" w:themeColor="text1"/>
          <w:sz w:val="24"/>
          <w:szCs w:val="24"/>
        </w:rPr>
        <w:t>. E-test results indicated that the MIC values for these isolates</w:t>
      </w:r>
      <w:r w:rsidR="00E05259" w:rsidRPr="00B378D9">
        <w:rPr>
          <w:color w:val="000000" w:themeColor="text1"/>
          <w:sz w:val="24"/>
          <w:szCs w:val="24"/>
        </w:rPr>
        <w:t xml:space="preserve"> for carbapenems</w:t>
      </w:r>
      <w:r w:rsidRPr="00B378D9">
        <w:rPr>
          <w:color w:val="000000" w:themeColor="text1"/>
          <w:sz w:val="24"/>
          <w:szCs w:val="24"/>
        </w:rPr>
        <w:t xml:space="preserve"> were &gt;32 µg/ml thus validating the carbapenem resistance state of these isolates. </w:t>
      </w:r>
      <w:r w:rsidR="00391A80" w:rsidRPr="00B378D9">
        <w:rPr>
          <w:color w:val="000000" w:themeColor="text1"/>
          <w:sz w:val="24"/>
          <w:szCs w:val="24"/>
        </w:rPr>
        <w:t xml:space="preserve">Lean et al. </w:t>
      </w:r>
      <w:r w:rsidR="00391A80"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00391A80" w:rsidRPr="00B378D9">
        <w:rPr>
          <w:color w:val="000000" w:themeColor="text1"/>
          <w:sz w:val="24"/>
          <w:szCs w:val="24"/>
        </w:rPr>
        <w:fldChar w:fldCharType="separate"/>
      </w:r>
      <w:r w:rsidR="00575F7D" w:rsidRPr="00B378D9">
        <w:rPr>
          <w:noProof/>
          <w:color w:val="000000" w:themeColor="text1"/>
          <w:sz w:val="24"/>
          <w:szCs w:val="24"/>
        </w:rPr>
        <w:t>[19]</w:t>
      </w:r>
      <w:r w:rsidR="00391A80" w:rsidRPr="00B378D9">
        <w:rPr>
          <w:color w:val="000000" w:themeColor="text1"/>
          <w:sz w:val="24"/>
          <w:szCs w:val="24"/>
        </w:rPr>
        <w:fldChar w:fldCharType="end"/>
      </w:r>
      <w:r w:rsidR="00391A80" w:rsidRPr="00B378D9">
        <w:rPr>
          <w:color w:val="000000" w:themeColor="text1"/>
          <w:sz w:val="24"/>
          <w:szCs w:val="24"/>
        </w:rPr>
        <w:t xml:space="preserve"> reported on the resistance of </w:t>
      </w:r>
      <w:r w:rsidR="00391A80" w:rsidRPr="00B378D9">
        <w:rPr>
          <w:i/>
          <w:color w:val="000000" w:themeColor="text1"/>
          <w:sz w:val="24"/>
          <w:szCs w:val="24"/>
        </w:rPr>
        <w:t>A. baumannii</w:t>
      </w:r>
      <w:r w:rsidR="00391A80" w:rsidRPr="00B378D9">
        <w:rPr>
          <w:color w:val="000000" w:themeColor="text1"/>
          <w:sz w:val="24"/>
          <w:szCs w:val="24"/>
        </w:rPr>
        <w:t xml:space="preserve"> isolated from HSNZ in 2011 and</w:t>
      </w:r>
      <w:r w:rsidR="002C5FA5" w:rsidRPr="00B378D9">
        <w:rPr>
          <w:color w:val="000000" w:themeColor="text1"/>
          <w:sz w:val="24"/>
          <w:szCs w:val="24"/>
        </w:rPr>
        <w:t>,</w:t>
      </w:r>
      <w:r w:rsidR="00391A80" w:rsidRPr="00B378D9">
        <w:rPr>
          <w:color w:val="000000" w:themeColor="text1"/>
          <w:sz w:val="24"/>
          <w:szCs w:val="24"/>
        </w:rPr>
        <w:t xml:space="preserve"> in comparison, </w:t>
      </w:r>
      <w:r w:rsidR="00147095" w:rsidRPr="00B378D9">
        <w:rPr>
          <w:color w:val="000000" w:themeColor="text1"/>
          <w:sz w:val="24"/>
          <w:szCs w:val="24"/>
        </w:rPr>
        <w:t xml:space="preserve">carbapenem resistance </w:t>
      </w:r>
      <w:r w:rsidR="00391A80" w:rsidRPr="00B378D9">
        <w:rPr>
          <w:color w:val="000000" w:themeColor="text1"/>
          <w:sz w:val="24"/>
          <w:szCs w:val="24"/>
        </w:rPr>
        <w:t xml:space="preserve">in 2015 </w:t>
      </w:r>
      <w:r w:rsidR="00147095" w:rsidRPr="00B378D9">
        <w:rPr>
          <w:color w:val="000000" w:themeColor="text1"/>
          <w:sz w:val="24"/>
          <w:szCs w:val="24"/>
        </w:rPr>
        <w:t xml:space="preserve">(68.8%) </w:t>
      </w:r>
      <w:r w:rsidR="002C5FA5" w:rsidRPr="00B378D9">
        <w:rPr>
          <w:color w:val="000000" w:themeColor="text1"/>
          <w:sz w:val="24"/>
          <w:szCs w:val="24"/>
        </w:rPr>
        <w:t xml:space="preserve">was </w:t>
      </w:r>
      <w:r w:rsidR="00391A80" w:rsidRPr="00B378D9">
        <w:rPr>
          <w:color w:val="000000" w:themeColor="text1"/>
          <w:sz w:val="24"/>
          <w:szCs w:val="24"/>
        </w:rPr>
        <w:t>slightly lower</w:t>
      </w:r>
      <w:r w:rsidR="00047C25" w:rsidRPr="00B378D9">
        <w:rPr>
          <w:color w:val="000000" w:themeColor="text1"/>
          <w:sz w:val="24"/>
          <w:szCs w:val="24"/>
        </w:rPr>
        <w:t xml:space="preserve"> </w:t>
      </w:r>
      <w:r w:rsidR="00391A80" w:rsidRPr="00B378D9">
        <w:rPr>
          <w:color w:val="000000" w:themeColor="text1"/>
          <w:sz w:val="24"/>
          <w:szCs w:val="24"/>
        </w:rPr>
        <w:t>(</w:t>
      </w:r>
      <w:r w:rsidR="00047C25" w:rsidRPr="00B378D9">
        <w:rPr>
          <w:color w:val="000000" w:themeColor="text1"/>
          <w:sz w:val="24"/>
          <w:szCs w:val="24"/>
        </w:rPr>
        <w:t>imipenem =</w:t>
      </w:r>
      <w:r w:rsidR="00391A80" w:rsidRPr="00B378D9">
        <w:rPr>
          <w:color w:val="000000" w:themeColor="text1"/>
          <w:sz w:val="24"/>
          <w:szCs w:val="24"/>
        </w:rPr>
        <w:t xml:space="preserve"> </w:t>
      </w:r>
      <w:r w:rsidR="00047C25" w:rsidRPr="00B378D9">
        <w:rPr>
          <w:color w:val="000000" w:themeColor="text1"/>
          <w:sz w:val="24"/>
          <w:szCs w:val="24"/>
        </w:rPr>
        <w:t>74.1%; meropenem = 77.8%). The prevalence of MDR was</w:t>
      </w:r>
      <w:r w:rsidR="00822B81" w:rsidRPr="00B378D9">
        <w:rPr>
          <w:color w:val="000000" w:themeColor="text1"/>
          <w:sz w:val="24"/>
          <w:szCs w:val="24"/>
        </w:rPr>
        <w:t xml:space="preserve"> also lower among the </w:t>
      </w:r>
      <w:r w:rsidR="00822B81" w:rsidRPr="00B378D9">
        <w:rPr>
          <w:i/>
          <w:color w:val="000000" w:themeColor="text1"/>
          <w:sz w:val="24"/>
          <w:szCs w:val="24"/>
        </w:rPr>
        <w:t>A. baumannii</w:t>
      </w:r>
      <w:r w:rsidR="00822B81" w:rsidRPr="00B378D9">
        <w:rPr>
          <w:color w:val="000000" w:themeColor="text1"/>
          <w:sz w:val="24"/>
          <w:szCs w:val="24"/>
        </w:rPr>
        <w:t xml:space="preserve"> isolates in </w:t>
      </w:r>
      <w:r w:rsidR="00147095" w:rsidRPr="00B378D9">
        <w:rPr>
          <w:color w:val="000000" w:themeColor="text1"/>
          <w:sz w:val="24"/>
          <w:szCs w:val="24"/>
        </w:rPr>
        <w:t>2015</w:t>
      </w:r>
      <w:r w:rsidR="00047C25" w:rsidRPr="00B378D9">
        <w:rPr>
          <w:color w:val="000000" w:themeColor="text1"/>
          <w:sz w:val="24"/>
          <w:szCs w:val="24"/>
        </w:rPr>
        <w:t xml:space="preserve"> (72.2% in 2011 compared to </w:t>
      </w:r>
      <w:r w:rsidR="00822B81" w:rsidRPr="00B378D9">
        <w:rPr>
          <w:color w:val="000000" w:themeColor="text1"/>
          <w:sz w:val="24"/>
          <w:szCs w:val="24"/>
        </w:rPr>
        <w:t>66.4</w:t>
      </w:r>
      <w:r w:rsidR="00047C25" w:rsidRPr="00B378D9">
        <w:rPr>
          <w:color w:val="000000" w:themeColor="text1"/>
          <w:sz w:val="24"/>
          <w:szCs w:val="24"/>
        </w:rPr>
        <w:t>% in 2015).</w:t>
      </w:r>
    </w:p>
    <w:p w14:paraId="765CBC58" w14:textId="4251632B" w:rsidR="001713EF" w:rsidRPr="00B378D9" w:rsidRDefault="00047C25" w:rsidP="00D173C2">
      <w:pPr>
        <w:spacing w:line="480" w:lineRule="auto"/>
        <w:ind w:left="0" w:firstLine="708"/>
        <w:rPr>
          <w:color w:val="000000" w:themeColor="text1"/>
          <w:sz w:val="24"/>
          <w:szCs w:val="24"/>
        </w:rPr>
      </w:pPr>
      <w:r w:rsidRPr="00B378D9">
        <w:rPr>
          <w:color w:val="000000" w:themeColor="text1"/>
          <w:sz w:val="24"/>
          <w:szCs w:val="24"/>
        </w:rPr>
        <w:t xml:space="preserve">There were no significant differences </w:t>
      </w:r>
      <w:r w:rsidR="00D173C2" w:rsidRPr="00B378D9">
        <w:rPr>
          <w:color w:val="000000" w:themeColor="text1"/>
          <w:sz w:val="24"/>
          <w:szCs w:val="24"/>
        </w:rPr>
        <w:t xml:space="preserve">in the 2015 resistance </w:t>
      </w:r>
      <w:r w:rsidR="00657A43" w:rsidRPr="00B378D9">
        <w:rPr>
          <w:color w:val="000000" w:themeColor="text1"/>
          <w:sz w:val="24"/>
          <w:szCs w:val="24"/>
        </w:rPr>
        <w:t xml:space="preserve">levels </w:t>
      </w:r>
      <w:r w:rsidR="00D173C2" w:rsidRPr="00B378D9">
        <w:rPr>
          <w:color w:val="000000" w:themeColor="text1"/>
          <w:sz w:val="24"/>
          <w:szCs w:val="24"/>
        </w:rPr>
        <w:t xml:space="preserve">of ciprofloxacin, cephalosporins and the combination of β-lactam/β-lactamase inhibitor </w:t>
      </w:r>
      <w:r w:rsidRPr="00B378D9">
        <w:rPr>
          <w:color w:val="000000" w:themeColor="text1"/>
          <w:sz w:val="24"/>
          <w:szCs w:val="24"/>
        </w:rPr>
        <w:t xml:space="preserve">when compared to the 2011 HSNZ isolates </w:t>
      </w:r>
      <w:r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Pr="00B378D9">
        <w:rPr>
          <w:color w:val="000000" w:themeColor="text1"/>
          <w:sz w:val="24"/>
          <w:szCs w:val="24"/>
        </w:rPr>
        <w:fldChar w:fldCharType="separate"/>
      </w:r>
      <w:r w:rsidR="00575F7D" w:rsidRPr="00B378D9">
        <w:rPr>
          <w:noProof/>
          <w:color w:val="000000" w:themeColor="text1"/>
          <w:sz w:val="24"/>
          <w:szCs w:val="24"/>
        </w:rPr>
        <w:t>[19]</w:t>
      </w:r>
      <w:r w:rsidRPr="00B378D9">
        <w:rPr>
          <w:color w:val="000000" w:themeColor="text1"/>
          <w:sz w:val="24"/>
          <w:szCs w:val="24"/>
        </w:rPr>
        <w:fldChar w:fldCharType="end"/>
      </w:r>
      <w:r w:rsidRPr="00B378D9">
        <w:rPr>
          <w:color w:val="000000" w:themeColor="text1"/>
          <w:sz w:val="24"/>
          <w:szCs w:val="24"/>
        </w:rPr>
        <w:t xml:space="preserve">. </w:t>
      </w:r>
      <w:r w:rsidR="00D173C2" w:rsidRPr="00B378D9">
        <w:rPr>
          <w:color w:val="000000" w:themeColor="text1"/>
          <w:sz w:val="24"/>
          <w:szCs w:val="24"/>
        </w:rPr>
        <w:t xml:space="preserve">However, there was a marked reduction in the </w:t>
      </w:r>
      <w:r w:rsidR="00D173C2" w:rsidRPr="00B378D9">
        <w:rPr>
          <w:i/>
          <w:color w:val="000000" w:themeColor="text1"/>
          <w:sz w:val="24"/>
          <w:szCs w:val="24"/>
        </w:rPr>
        <w:t>A. baumannii</w:t>
      </w:r>
      <w:r w:rsidR="00D173C2" w:rsidRPr="00B378D9">
        <w:rPr>
          <w:color w:val="000000" w:themeColor="text1"/>
          <w:sz w:val="24"/>
          <w:szCs w:val="24"/>
        </w:rPr>
        <w:t xml:space="preserve"> </w:t>
      </w:r>
      <w:r w:rsidRPr="00B378D9">
        <w:rPr>
          <w:color w:val="000000" w:themeColor="text1"/>
          <w:sz w:val="24"/>
          <w:szCs w:val="24"/>
        </w:rPr>
        <w:t xml:space="preserve">tetracycline resistance </w:t>
      </w:r>
      <w:r w:rsidR="00481532" w:rsidRPr="00B378D9">
        <w:rPr>
          <w:color w:val="000000" w:themeColor="text1"/>
          <w:sz w:val="24"/>
          <w:szCs w:val="24"/>
        </w:rPr>
        <w:t xml:space="preserve">(64.8% in 2015) </w:t>
      </w:r>
      <w:r w:rsidRPr="00B378D9">
        <w:rPr>
          <w:color w:val="000000" w:themeColor="text1"/>
          <w:sz w:val="24"/>
          <w:szCs w:val="24"/>
        </w:rPr>
        <w:t xml:space="preserve">when compared to the 2011 isolates </w:t>
      </w:r>
      <w:r w:rsidR="00481532" w:rsidRPr="00B378D9">
        <w:rPr>
          <w:color w:val="000000" w:themeColor="text1"/>
          <w:sz w:val="24"/>
          <w:szCs w:val="24"/>
        </w:rPr>
        <w:t>(87.0%</w:t>
      </w:r>
      <w:r w:rsidRPr="00B378D9">
        <w:rPr>
          <w:color w:val="000000" w:themeColor="text1"/>
          <w:sz w:val="24"/>
          <w:szCs w:val="24"/>
        </w:rPr>
        <w:t>).</w:t>
      </w:r>
      <w:r w:rsidR="001713EF" w:rsidRPr="00B378D9">
        <w:rPr>
          <w:color w:val="000000" w:themeColor="text1"/>
          <w:sz w:val="24"/>
          <w:szCs w:val="24"/>
        </w:rPr>
        <w:t xml:space="preserve"> All </w:t>
      </w:r>
      <w:r w:rsidR="001713EF" w:rsidRPr="00B378D9">
        <w:rPr>
          <w:i/>
          <w:color w:val="000000" w:themeColor="text1"/>
          <w:sz w:val="24"/>
          <w:szCs w:val="24"/>
        </w:rPr>
        <w:t>A. baumannii</w:t>
      </w:r>
      <w:r w:rsidR="001713EF" w:rsidRPr="00B378D9">
        <w:rPr>
          <w:color w:val="000000" w:themeColor="text1"/>
          <w:sz w:val="24"/>
          <w:szCs w:val="24"/>
        </w:rPr>
        <w:t xml:space="preserve"> and non-</w:t>
      </w:r>
      <w:r w:rsidR="001713EF" w:rsidRPr="00B378D9">
        <w:rPr>
          <w:i/>
          <w:color w:val="000000" w:themeColor="text1"/>
          <w:sz w:val="24"/>
          <w:szCs w:val="24"/>
        </w:rPr>
        <w:t>baumannii</w:t>
      </w:r>
      <w:r w:rsidR="001713EF" w:rsidRPr="00B378D9">
        <w:rPr>
          <w:color w:val="000000" w:themeColor="text1"/>
          <w:sz w:val="24"/>
          <w:szCs w:val="24"/>
        </w:rPr>
        <w:t xml:space="preserve"> acinetobacter isolates in this study were susceptible to the polymyxins (i.e., polymyxin B and colistin) and tigecycline.</w:t>
      </w:r>
      <w:r w:rsidR="00F61664" w:rsidRPr="00B378D9">
        <w:rPr>
          <w:color w:val="000000" w:themeColor="text1"/>
          <w:sz w:val="24"/>
          <w:szCs w:val="24"/>
        </w:rPr>
        <w:t xml:space="preserve"> </w:t>
      </w:r>
      <w:r w:rsidRPr="00B378D9">
        <w:rPr>
          <w:color w:val="000000" w:themeColor="text1"/>
          <w:sz w:val="24"/>
          <w:szCs w:val="24"/>
        </w:rPr>
        <w:t>This was in stark contrast to the 2011 isolates w</w:t>
      </w:r>
      <w:r w:rsidR="00D60B68" w:rsidRPr="00B378D9">
        <w:rPr>
          <w:color w:val="000000" w:themeColor="text1"/>
          <w:sz w:val="24"/>
          <w:szCs w:val="24"/>
        </w:rPr>
        <w:t>h</w:t>
      </w:r>
      <w:r w:rsidRPr="00B378D9">
        <w:rPr>
          <w:color w:val="000000" w:themeColor="text1"/>
          <w:sz w:val="24"/>
          <w:szCs w:val="24"/>
        </w:rPr>
        <w:t xml:space="preserve">ere </w:t>
      </w:r>
      <w:r w:rsidR="00D60B68" w:rsidRPr="00B378D9">
        <w:rPr>
          <w:color w:val="000000" w:themeColor="text1"/>
          <w:sz w:val="24"/>
          <w:szCs w:val="24"/>
        </w:rPr>
        <w:t xml:space="preserve">a 25.9% </w:t>
      </w:r>
      <w:r w:rsidR="00481532" w:rsidRPr="00B378D9">
        <w:rPr>
          <w:color w:val="000000" w:themeColor="text1"/>
          <w:sz w:val="24"/>
          <w:szCs w:val="24"/>
        </w:rPr>
        <w:t xml:space="preserve">polymyxin B </w:t>
      </w:r>
      <w:r w:rsidR="00D60B68" w:rsidRPr="00B378D9">
        <w:rPr>
          <w:color w:val="000000" w:themeColor="text1"/>
          <w:sz w:val="24"/>
          <w:szCs w:val="24"/>
        </w:rPr>
        <w:t xml:space="preserve">resistance </w:t>
      </w:r>
      <w:r w:rsidR="002C5FA5" w:rsidRPr="00B378D9">
        <w:rPr>
          <w:color w:val="000000" w:themeColor="text1"/>
          <w:sz w:val="24"/>
          <w:szCs w:val="24"/>
        </w:rPr>
        <w:t xml:space="preserve">prevelance </w:t>
      </w:r>
      <w:r w:rsidR="004A2462" w:rsidRPr="00B378D9">
        <w:rPr>
          <w:color w:val="000000" w:themeColor="text1"/>
          <w:sz w:val="24"/>
          <w:szCs w:val="24"/>
        </w:rPr>
        <w:t xml:space="preserve">was reported; however, </w:t>
      </w:r>
      <w:r w:rsidR="00481532" w:rsidRPr="00B378D9">
        <w:rPr>
          <w:color w:val="000000" w:themeColor="text1"/>
          <w:sz w:val="24"/>
          <w:szCs w:val="24"/>
        </w:rPr>
        <w:t xml:space="preserve">tigecycline </w:t>
      </w:r>
      <w:r w:rsidR="004A2462" w:rsidRPr="00B378D9">
        <w:rPr>
          <w:color w:val="000000" w:themeColor="text1"/>
          <w:sz w:val="24"/>
          <w:szCs w:val="24"/>
        </w:rPr>
        <w:t xml:space="preserve">susceptibility was not evaluated for the 2011 isolates </w:t>
      </w:r>
      <w:r w:rsidR="00D60B68"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00D60B68" w:rsidRPr="00B378D9">
        <w:rPr>
          <w:color w:val="000000" w:themeColor="text1"/>
          <w:sz w:val="24"/>
          <w:szCs w:val="24"/>
        </w:rPr>
        <w:fldChar w:fldCharType="separate"/>
      </w:r>
      <w:r w:rsidR="00575F7D" w:rsidRPr="00B378D9">
        <w:rPr>
          <w:noProof/>
          <w:color w:val="000000" w:themeColor="text1"/>
          <w:sz w:val="24"/>
          <w:szCs w:val="24"/>
        </w:rPr>
        <w:t>[19]</w:t>
      </w:r>
      <w:r w:rsidR="00D60B68" w:rsidRPr="00B378D9">
        <w:rPr>
          <w:color w:val="000000" w:themeColor="text1"/>
          <w:sz w:val="24"/>
          <w:szCs w:val="24"/>
        </w:rPr>
        <w:fldChar w:fldCharType="end"/>
      </w:r>
      <w:r w:rsidR="00D60B68" w:rsidRPr="00B378D9">
        <w:rPr>
          <w:color w:val="000000" w:themeColor="text1"/>
          <w:sz w:val="24"/>
          <w:szCs w:val="24"/>
        </w:rPr>
        <w:t>.</w:t>
      </w:r>
      <w:r w:rsidR="00520242" w:rsidRPr="00B378D9">
        <w:rPr>
          <w:color w:val="000000" w:themeColor="text1"/>
          <w:sz w:val="24"/>
          <w:szCs w:val="24"/>
        </w:rPr>
        <w:t xml:space="preserve"> </w:t>
      </w:r>
    </w:p>
    <w:p w14:paraId="5EB264B8" w14:textId="200FC73F" w:rsidR="00736172" w:rsidRPr="00B378D9" w:rsidRDefault="00DC5F9B" w:rsidP="00F679C1">
      <w:pPr>
        <w:spacing w:line="480" w:lineRule="auto"/>
        <w:ind w:left="0" w:firstLine="708"/>
        <w:rPr>
          <w:color w:val="000000" w:themeColor="text1"/>
          <w:sz w:val="24"/>
          <w:szCs w:val="24"/>
        </w:rPr>
      </w:pPr>
      <w:r w:rsidRPr="00B378D9">
        <w:rPr>
          <w:color w:val="000000" w:themeColor="text1"/>
          <w:sz w:val="24"/>
          <w:szCs w:val="24"/>
        </w:rPr>
        <w:t xml:space="preserve">All </w:t>
      </w:r>
      <w:r w:rsidRPr="00B378D9">
        <w:rPr>
          <w:i/>
          <w:color w:val="000000" w:themeColor="text1"/>
          <w:sz w:val="24"/>
          <w:szCs w:val="24"/>
        </w:rPr>
        <w:t xml:space="preserve">A. baumannii </w:t>
      </w:r>
      <w:r w:rsidRPr="00B378D9">
        <w:rPr>
          <w:color w:val="000000" w:themeColor="text1"/>
          <w:sz w:val="24"/>
          <w:szCs w:val="24"/>
        </w:rPr>
        <w:t>isolates in this study harbo</w:t>
      </w:r>
      <w:r w:rsidR="00B36F81" w:rsidRPr="00B378D9">
        <w:rPr>
          <w:color w:val="000000" w:themeColor="text1"/>
          <w:sz w:val="24"/>
          <w:szCs w:val="24"/>
        </w:rPr>
        <w:t>u</w:t>
      </w:r>
      <w:r w:rsidRPr="00B378D9">
        <w:rPr>
          <w:color w:val="000000" w:themeColor="text1"/>
          <w:sz w:val="24"/>
          <w:szCs w:val="24"/>
        </w:rPr>
        <w:t>red the</w:t>
      </w:r>
      <w:r w:rsidR="00FF5319" w:rsidRPr="00B378D9">
        <w:rPr>
          <w:color w:val="000000" w:themeColor="text1"/>
          <w:sz w:val="24"/>
          <w:szCs w:val="24"/>
        </w:rPr>
        <w:t xml:space="preserve"> intrinsic</w:t>
      </w:r>
      <w:r w:rsidRPr="00B378D9">
        <w:rPr>
          <w:color w:val="000000" w:themeColor="text1"/>
          <w:sz w:val="24"/>
          <w:szCs w:val="24"/>
        </w:rPr>
        <w:t xml:space="preserve"> </w:t>
      </w:r>
      <w:r w:rsidRPr="00B378D9">
        <w:rPr>
          <w:i/>
          <w:color w:val="000000" w:themeColor="text1"/>
          <w:sz w:val="24"/>
          <w:szCs w:val="24"/>
        </w:rPr>
        <w:t>bla</w:t>
      </w:r>
      <w:r w:rsidRPr="00B378D9">
        <w:rPr>
          <w:color w:val="000000" w:themeColor="text1"/>
          <w:sz w:val="24"/>
          <w:szCs w:val="24"/>
          <w:vertAlign w:val="subscript"/>
        </w:rPr>
        <w:t>OXA-51</w:t>
      </w:r>
      <w:r w:rsidRPr="00B378D9">
        <w:rPr>
          <w:color w:val="000000" w:themeColor="text1"/>
          <w:sz w:val="24"/>
          <w:szCs w:val="24"/>
        </w:rPr>
        <w:t>/</w:t>
      </w:r>
      <w:r w:rsidRPr="00B378D9">
        <w:rPr>
          <w:i/>
          <w:color w:val="000000" w:themeColor="text1"/>
          <w:sz w:val="24"/>
          <w:szCs w:val="24"/>
        </w:rPr>
        <w:t>bla</w:t>
      </w:r>
      <w:r w:rsidRPr="00B378D9">
        <w:rPr>
          <w:color w:val="000000" w:themeColor="text1"/>
          <w:sz w:val="24"/>
          <w:szCs w:val="24"/>
          <w:vertAlign w:val="subscript"/>
        </w:rPr>
        <w:t>OXA-51-like</w:t>
      </w:r>
      <w:r w:rsidRPr="00B378D9">
        <w:rPr>
          <w:color w:val="000000" w:themeColor="text1"/>
          <w:sz w:val="24"/>
          <w:szCs w:val="24"/>
        </w:rPr>
        <w:t xml:space="preserve"> </w:t>
      </w:r>
      <w:r w:rsidR="00520242" w:rsidRPr="00B378D9">
        <w:rPr>
          <w:color w:val="000000" w:themeColor="text1"/>
          <w:sz w:val="24"/>
          <w:szCs w:val="24"/>
        </w:rPr>
        <w:t xml:space="preserve">carbapenemase </w:t>
      </w:r>
      <w:r w:rsidRPr="00B378D9">
        <w:rPr>
          <w:color w:val="000000" w:themeColor="text1"/>
          <w:sz w:val="24"/>
          <w:szCs w:val="24"/>
        </w:rPr>
        <w:t>gene. Among the non-</w:t>
      </w:r>
      <w:r w:rsidRPr="00B378D9">
        <w:rPr>
          <w:i/>
          <w:color w:val="000000" w:themeColor="text1"/>
          <w:sz w:val="24"/>
          <w:szCs w:val="24"/>
        </w:rPr>
        <w:t>baumannii</w:t>
      </w:r>
      <w:r w:rsidRPr="00B378D9">
        <w:rPr>
          <w:color w:val="000000" w:themeColor="text1"/>
          <w:sz w:val="24"/>
          <w:szCs w:val="24"/>
        </w:rPr>
        <w:t xml:space="preserve"> acinetobacter isolates, all were also positive for </w:t>
      </w:r>
      <w:r w:rsidRPr="00B378D9">
        <w:rPr>
          <w:i/>
          <w:color w:val="000000" w:themeColor="text1"/>
          <w:sz w:val="24"/>
          <w:szCs w:val="24"/>
        </w:rPr>
        <w:t>bla</w:t>
      </w:r>
      <w:r w:rsidRPr="00B378D9">
        <w:rPr>
          <w:color w:val="000000" w:themeColor="text1"/>
          <w:sz w:val="24"/>
          <w:szCs w:val="24"/>
          <w:vertAlign w:val="subscript"/>
        </w:rPr>
        <w:t>OXA-51</w:t>
      </w:r>
      <w:r w:rsidRPr="00B378D9">
        <w:rPr>
          <w:color w:val="000000" w:themeColor="text1"/>
          <w:sz w:val="24"/>
          <w:szCs w:val="24"/>
        </w:rPr>
        <w:t>/</w:t>
      </w:r>
      <w:r w:rsidRPr="00B378D9">
        <w:rPr>
          <w:i/>
          <w:color w:val="000000" w:themeColor="text1"/>
          <w:sz w:val="24"/>
          <w:szCs w:val="24"/>
        </w:rPr>
        <w:t>bla</w:t>
      </w:r>
      <w:r w:rsidRPr="00B378D9">
        <w:rPr>
          <w:color w:val="000000" w:themeColor="text1"/>
          <w:sz w:val="24"/>
          <w:szCs w:val="24"/>
          <w:vertAlign w:val="subscript"/>
        </w:rPr>
        <w:t>OXA-51-like</w:t>
      </w:r>
      <w:r w:rsidRPr="00B378D9">
        <w:rPr>
          <w:color w:val="000000" w:themeColor="text1"/>
          <w:sz w:val="24"/>
          <w:szCs w:val="24"/>
        </w:rPr>
        <w:t xml:space="preserve"> with the exception of three </w:t>
      </w:r>
      <w:r w:rsidRPr="00B378D9">
        <w:rPr>
          <w:i/>
          <w:color w:val="000000" w:themeColor="text1"/>
          <w:sz w:val="24"/>
          <w:szCs w:val="24"/>
        </w:rPr>
        <w:t xml:space="preserve">A. nosocomialis </w:t>
      </w:r>
      <w:r w:rsidRPr="00B378D9">
        <w:rPr>
          <w:color w:val="000000" w:themeColor="text1"/>
          <w:sz w:val="24"/>
          <w:szCs w:val="24"/>
        </w:rPr>
        <w:t>isolates</w:t>
      </w:r>
      <w:r w:rsidR="00E2296F" w:rsidRPr="00B378D9">
        <w:rPr>
          <w:color w:val="000000" w:themeColor="text1"/>
          <w:sz w:val="24"/>
          <w:szCs w:val="24"/>
        </w:rPr>
        <w:t xml:space="preserve"> (</w:t>
      </w:r>
      <w:r w:rsidR="000F4E66" w:rsidRPr="00B378D9">
        <w:rPr>
          <w:color w:val="000000" w:themeColor="text1"/>
          <w:sz w:val="24"/>
          <w:szCs w:val="24"/>
        </w:rPr>
        <w:t>Table S3</w:t>
      </w:r>
      <w:r w:rsidR="00961087" w:rsidRPr="00B378D9">
        <w:rPr>
          <w:color w:val="000000" w:themeColor="text1"/>
          <w:sz w:val="24"/>
          <w:szCs w:val="24"/>
        </w:rPr>
        <w:t xml:space="preserve">; </w:t>
      </w:r>
      <w:r w:rsidR="00E2296F" w:rsidRPr="00B378D9">
        <w:rPr>
          <w:color w:val="000000" w:themeColor="text1"/>
          <w:sz w:val="24"/>
          <w:szCs w:val="24"/>
        </w:rPr>
        <w:t>Figure S2)</w:t>
      </w:r>
      <w:r w:rsidRPr="00B378D9">
        <w:rPr>
          <w:color w:val="000000" w:themeColor="text1"/>
          <w:sz w:val="24"/>
          <w:szCs w:val="24"/>
        </w:rPr>
        <w:t xml:space="preserve">. </w:t>
      </w:r>
      <w:r w:rsidR="00736172" w:rsidRPr="00B378D9">
        <w:rPr>
          <w:color w:val="000000" w:themeColor="text1"/>
          <w:sz w:val="24"/>
          <w:szCs w:val="24"/>
        </w:rPr>
        <w:t xml:space="preserve">Despite their weak ability to hydrolyze carbapenems, the OXA-51/OXA-51-like enzymes that are intrinsic in </w:t>
      </w:r>
      <w:r w:rsidR="00736172" w:rsidRPr="00B378D9">
        <w:rPr>
          <w:i/>
          <w:color w:val="000000" w:themeColor="text1"/>
          <w:sz w:val="24"/>
          <w:szCs w:val="24"/>
        </w:rPr>
        <w:t>A. baumannii</w:t>
      </w:r>
      <w:r w:rsidR="00736172" w:rsidRPr="00B378D9">
        <w:rPr>
          <w:color w:val="000000" w:themeColor="text1"/>
          <w:sz w:val="24"/>
          <w:szCs w:val="24"/>
        </w:rPr>
        <w:t xml:space="preserve"> may be involved in resistance to carbapenems through</w:t>
      </w:r>
      <w:r w:rsidR="00B36F81" w:rsidRPr="00B378D9">
        <w:rPr>
          <w:color w:val="000000" w:themeColor="text1"/>
          <w:sz w:val="24"/>
          <w:szCs w:val="24"/>
        </w:rPr>
        <w:t xml:space="preserve"> the</w:t>
      </w:r>
      <w:r w:rsidR="00736172" w:rsidRPr="00B378D9">
        <w:rPr>
          <w:color w:val="000000" w:themeColor="text1"/>
          <w:sz w:val="24"/>
          <w:szCs w:val="24"/>
        </w:rPr>
        <w:t xml:space="preserve"> insertion of IS</w:t>
      </w:r>
      <w:r w:rsidR="00736172" w:rsidRPr="00B378D9">
        <w:rPr>
          <w:i/>
          <w:color w:val="000000" w:themeColor="text1"/>
          <w:sz w:val="24"/>
          <w:szCs w:val="24"/>
        </w:rPr>
        <w:t>Aba1</w:t>
      </w:r>
      <w:r w:rsidR="00736172" w:rsidRPr="00B378D9">
        <w:rPr>
          <w:color w:val="000000" w:themeColor="text1"/>
          <w:sz w:val="24"/>
          <w:szCs w:val="24"/>
        </w:rPr>
        <w:t xml:space="preserve"> upstream of the </w:t>
      </w:r>
      <w:r w:rsidR="00736172" w:rsidRPr="00B378D9">
        <w:rPr>
          <w:i/>
          <w:color w:val="000000" w:themeColor="text1"/>
          <w:sz w:val="24"/>
          <w:szCs w:val="24"/>
        </w:rPr>
        <w:t>bla</w:t>
      </w:r>
      <w:r w:rsidR="00736172" w:rsidRPr="00B378D9">
        <w:rPr>
          <w:color w:val="000000" w:themeColor="text1"/>
          <w:sz w:val="24"/>
          <w:szCs w:val="24"/>
          <w:vertAlign w:val="subscript"/>
        </w:rPr>
        <w:t>OXA-51</w:t>
      </w:r>
      <w:r w:rsidR="00736172" w:rsidRPr="00B378D9">
        <w:rPr>
          <w:color w:val="000000" w:themeColor="text1"/>
          <w:sz w:val="24"/>
          <w:szCs w:val="24"/>
        </w:rPr>
        <w:t>/</w:t>
      </w:r>
      <w:r w:rsidR="00736172" w:rsidRPr="00B378D9">
        <w:rPr>
          <w:i/>
          <w:color w:val="000000" w:themeColor="text1"/>
          <w:sz w:val="24"/>
          <w:szCs w:val="24"/>
        </w:rPr>
        <w:t>bla</w:t>
      </w:r>
      <w:r w:rsidR="00736172" w:rsidRPr="00B378D9">
        <w:rPr>
          <w:color w:val="000000" w:themeColor="text1"/>
          <w:sz w:val="24"/>
          <w:szCs w:val="24"/>
          <w:vertAlign w:val="subscript"/>
        </w:rPr>
        <w:t>OXA-51-like</w:t>
      </w:r>
      <w:r w:rsidR="00736172" w:rsidRPr="00B378D9">
        <w:rPr>
          <w:color w:val="000000" w:themeColor="text1"/>
          <w:sz w:val="24"/>
          <w:szCs w:val="24"/>
        </w:rPr>
        <w:t xml:space="preserve"> gene which could lead to overexpression of the carbapenemase gene </w:t>
      </w:r>
      <w:r w:rsidR="00736172"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{"citationItems":[{"id":"ITEM-1","itemData":{"DOI":"10.1111/j.1574-6968.2006.00195.x","ISBN":"0378-1097 (Print)\\r0378-1097 (Linking)","ISSN":"03781097","PMID":"16630258","abstract":"ISAba1 was found in all widespread clones of Acinetobacter baumannii in the United Kingdom. All isolates studied had a blaOXA-51-like carbapenemase gene; some also had blaOXA-23-like and/or blaOXA-58-like. Among isolates with blaOXA-51-like as sole carbapenemase gene, only those with ISAba1 adjacent to blaOXA-51-like were carbapenem resistant. Minor differences in blaOXA-51-like sequence were observed in resistant and susceptible isolates. Isolates with blaOXA-23-like in addition were consistently resistant to carbapenems; in all of these ISAba1 lay upstream of blaOXA-23-like, but was not associated with blaOXA-51-like. These results suggest that ISAba1 is providing the promoter for blaOXA-51-like and, probably, for blaOXA-23-like.","author":[{"dropping-particle":"","family":"Turton","given":"Jane F.","non-dropping-particle":"","parse-names":false,"suffix":""},{"dropping-particle":"","family":"Ward","given":"M. Elaina","non-dropping-particle":"","parse-names":false,"suffix":""},{"dropping-particle":"","family":"Woodford","given":"Neil","non-dropping-particle":"","parse-names":false,"suffix":""},{"dropping-particle":"","family":"Kaufmann","given":"Mary E.","non-dropping-particle":"","parse-names":false,"suffix":""},{"dropping-particle":"","family":"Pike","given":"Rachel","non-dropping-particle":"","parse-names":false,"suffix":""},{"dropping-particle":"","family":"Livermore","given":"David M.","non-dropping-particle":"","parse-names":false,"suffix":""},{"dropping-particle":"","family":"Pitt","given":"Tyrone L.","non-dropping-particle":"","parse-names":false,"suffix":""}],"container-title":"FEMS Microbiology Letters","id":"ITEM-1","issue":"1","issued":{"date-parts":[["2006"]]},"page":"72-77","title":"The role of ISAba1 in expression of OXA carbapenemase genes in Acinetobacter baumannii","type":"article-journal","volume":"258"},"uris":["http://www.mendeley.com/documents/?uuid=11ad5b0c-c28c-4669-8239-0eee1495c6f6"]},{"id":"ITEM-2","itemData":{"DOI":"10.1128/AAC.01663-08","ISBN":"3314521634","ISSN":"00664804","PMID":"19307373","abstract":"Two clonally related Acinetobacter baumannii isolates, A1 and A2, were obtained from the same patient. Isolate A2, selected after an imipenem-containing treatment, showed reduced susceptibility to carbapenems. This resistance pattern was related to insertion of the ISAba1 element upstream of the naturally occurring bla(OXA-66) carbapenemase gene as demonstrated by sequencing, reverse transcription-PCR analysis, and inactivation of the bla(OXA-66) gene.","author":[{"dropping-particle":"","family":"Figueiredo","given":"Samy","non-dropping-particle":"","parse-names":false,"suffix":""},{"dropping-particle":"","family":"Poirel","given":"Laurent","non-dropping-particle":"","parse-names":false,"suffix":""},{"dropping-particle":"","family":"Croize","given":"Jacques","non-dropping-particle":"","parse-names":false,"suffix":""},{"dropping-particle":"","family":"Recule","given":"Christine","non-dropping-particle":"","parse-names":false,"suffix":""},{"dropping-particle":"","family":"Nordmann","given":"Patrice","non-dropping-particle":"","parse-names":false,"suffix":""}],"container-title":"Antimicrobial Agents and Chemotherapy","id":"ITEM-2","issue":"6","issued":{"date-parts":[["2009"]]},"page":"2657-2659","title":"In vivo selection of reduced susceptibility to carbapenems in Acinetobacter baumannii related to ISAba1-mediated overexpression of the natural blaOXA-66oxacillinase gene","type":"article-journal","volume":"53"},"uris":["http://www.mendeley.com/documents/?uuid=b0530b56-a597-426c-8eb6-1eb83d0cc33f"]}],"mendeley":{"formattedCitation":"[31, 32]","plainTextFormattedCitation":"[31, 32]","previouslyFormattedCitation":"[31, 32]"},"properties":{"noteIndex":0},"schema":"https://github.com/citation-style-language/schema/raw/master/csl-citation.json"}</w:instrText>
      </w:r>
      <w:r w:rsidR="00736172" w:rsidRPr="00B378D9">
        <w:rPr>
          <w:color w:val="000000" w:themeColor="text1"/>
          <w:sz w:val="24"/>
          <w:szCs w:val="24"/>
        </w:rPr>
        <w:fldChar w:fldCharType="separate"/>
      </w:r>
      <w:r w:rsidR="00575F7D" w:rsidRPr="00B378D9">
        <w:rPr>
          <w:noProof/>
          <w:color w:val="000000" w:themeColor="text1"/>
          <w:sz w:val="24"/>
          <w:szCs w:val="24"/>
        </w:rPr>
        <w:t>[31, 32]</w:t>
      </w:r>
      <w:r w:rsidR="00736172" w:rsidRPr="00B378D9">
        <w:rPr>
          <w:color w:val="000000" w:themeColor="text1"/>
          <w:sz w:val="24"/>
          <w:szCs w:val="24"/>
        </w:rPr>
        <w:fldChar w:fldCharType="end"/>
      </w:r>
      <w:r w:rsidR="00736172" w:rsidRPr="00B378D9">
        <w:rPr>
          <w:color w:val="000000" w:themeColor="text1"/>
          <w:sz w:val="24"/>
          <w:szCs w:val="24"/>
        </w:rPr>
        <w:t xml:space="preserve">. In the </w:t>
      </w:r>
      <w:r w:rsidR="00736172" w:rsidRPr="00B378D9">
        <w:rPr>
          <w:color w:val="000000" w:themeColor="text1"/>
          <w:sz w:val="24"/>
          <w:szCs w:val="24"/>
        </w:rPr>
        <w:lastRenderedPageBreak/>
        <w:t xml:space="preserve">Terengganu </w:t>
      </w:r>
      <w:r w:rsidR="00736172" w:rsidRPr="00B378D9">
        <w:rPr>
          <w:i/>
          <w:color w:val="000000" w:themeColor="text1"/>
          <w:sz w:val="24"/>
          <w:szCs w:val="24"/>
        </w:rPr>
        <w:t>Acinetobacter</w:t>
      </w:r>
      <w:r w:rsidR="00F679C1" w:rsidRPr="00B378D9">
        <w:rPr>
          <w:color w:val="000000" w:themeColor="text1"/>
          <w:sz w:val="24"/>
          <w:szCs w:val="24"/>
        </w:rPr>
        <w:t xml:space="preserve"> spp.</w:t>
      </w:r>
      <w:r w:rsidR="00736172" w:rsidRPr="00B378D9">
        <w:rPr>
          <w:i/>
          <w:color w:val="000000" w:themeColor="text1"/>
          <w:sz w:val="24"/>
          <w:szCs w:val="24"/>
        </w:rPr>
        <w:t xml:space="preserve"> </w:t>
      </w:r>
      <w:r w:rsidR="00736172" w:rsidRPr="00B378D9">
        <w:rPr>
          <w:color w:val="000000" w:themeColor="text1"/>
          <w:sz w:val="24"/>
          <w:szCs w:val="24"/>
        </w:rPr>
        <w:t>isolates, IS</w:t>
      </w:r>
      <w:r w:rsidR="00736172" w:rsidRPr="00B378D9">
        <w:rPr>
          <w:i/>
          <w:color w:val="000000" w:themeColor="text1"/>
          <w:sz w:val="24"/>
          <w:szCs w:val="24"/>
        </w:rPr>
        <w:t>Aba</w:t>
      </w:r>
      <w:r w:rsidR="00736172" w:rsidRPr="00B378D9">
        <w:rPr>
          <w:color w:val="000000" w:themeColor="text1"/>
          <w:sz w:val="24"/>
          <w:szCs w:val="24"/>
        </w:rPr>
        <w:t xml:space="preserve">1 was detected upstream of </w:t>
      </w:r>
      <w:r w:rsidR="001141FF" w:rsidRPr="00B378D9">
        <w:rPr>
          <w:color w:val="000000" w:themeColor="text1"/>
          <w:sz w:val="24"/>
          <w:szCs w:val="24"/>
        </w:rPr>
        <w:t xml:space="preserve">the </w:t>
      </w:r>
      <w:r w:rsidR="00481532" w:rsidRPr="00B378D9">
        <w:rPr>
          <w:color w:val="000000" w:themeColor="text1"/>
          <w:sz w:val="24"/>
          <w:szCs w:val="24"/>
        </w:rPr>
        <w:br/>
      </w:r>
      <w:r w:rsidR="00736172" w:rsidRPr="00B378D9">
        <w:rPr>
          <w:i/>
          <w:color w:val="000000" w:themeColor="text1"/>
          <w:sz w:val="24"/>
          <w:szCs w:val="24"/>
        </w:rPr>
        <w:t>bla</w:t>
      </w:r>
      <w:r w:rsidR="00736172" w:rsidRPr="00B378D9">
        <w:rPr>
          <w:color w:val="000000" w:themeColor="text1"/>
          <w:sz w:val="24"/>
          <w:szCs w:val="24"/>
          <w:vertAlign w:val="subscript"/>
        </w:rPr>
        <w:t>OXA-51</w:t>
      </w:r>
      <w:r w:rsidR="001141FF" w:rsidRPr="00B378D9">
        <w:rPr>
          <w:color w:val="000000" w:themeColor="text1"/>
          <w:sz w:val="24"/>
          <w:szCs w:val="24"/>
        </w:rPr>
        <w:t>/</w:t>
      </w:r>
      <w:r w:rsidR="001141FF" w:rsidRPr="00B378D9">
        <w:rPr>
          <w:i/>
          <w:color w:val="000000" w:themeColor="text1"/>
          <w:sz w:val="24"/>
          <w:szCs w:val="24"/>
        </w:rPr>
        <w:t>bla</w:t>
      </w:r>
      <w:r w:rsidR="001141FF" w:rsidRPr="00B378D9">
        <w:rPr>
          <w:color w:val="000000" w:themeColor="text1"/>
          <w:sz w:val="24"/>
          <w:szCs w:val="24"/>
          <w:vertAlign w:val="subscript"/>
        </w:rPr>
        <w:t>OXA-51-like</w:t>
      </w:r>
      <w:r w:rsidR="00736172" w:rsidRPr="00B378D9">
        <w:rPr>
          <w:color w:val="000000" w:themeColor="text1"/>
          <w:sz w:val="24"/>
          <w:szCs w:val="24"/>
        </w:rPr>
        <w:t xml:space="preserve"> </w:t>
      </w:r>
      <w:r w:rsidR="001141FF" w:rsidRPr="00B378D9">
        <w:rPr>
          <w:color w:val="000000" w:themeColor="text1"/>
          <w:sz w:val="24"/>
          <w:szCs w:val="24"/>
        </w:rPr>
        <w:t xml:space="preserve">gene </w:t>
      </w:r>
      <w:r w:rsidR="00736172" w:rsidRPr="00B378D9">
        <w:rPr>
          <w:color w:val="000000" w:themeColor="text1"/>
          <w:sz w:val="24"/>
          <w:szCs w:val="24"/>
        </w:rPr>
        <w:t>in 65.3% of the isolates</w:t>
      </w:r>
      <w:r w:rsidR="008C79D1" w:rsidRPr="00B378D9">
        <w:rPr>
          <w:color w:val="000000" w:themeColor="text1"/>
          <w:sz w:val="24"/>
          <w:szCs w:val="24"/>
        </w:rPr>
        <w:t>.</w:t>
      </w:r>
      <w:r w:rsidR="00736172" w:rsidRPr="00B378D9">
        <w:rPr>
          <w:color w:val="000000" w:themeColor="text1"/>
          <w:sz w:val="24"/>
          <w:szCs w:val="24"/>
        </w:rPr>
        <w:t xml:space="preserve"> </w:t>
      </w:r>
      <w:r w:rsidR="008C79D1" w:rsidRPr="00B378D9">
        <w:rPr>
          <w:color w:val="000000" w:themeColor="text1"/>
          <w:sz w:val="24"/>
          <w:szCs w:val="24"/>
        </w:rPr>
        <w:t>T</w:t>
      </w:r>
      <w:r w:rsidR="00736172" w:rsidRPr="00B378D9">
        <w:rPr>
          <w:color w:val="000000" w:themeColor="text1"/>
          <w:sz w:val="24"/>
          <w:szCs w:val="24"/>
        </w:rPr>
        <w:t xml:space="preserve">his configuration </w:t>
      </w:r>
      <w:r w:rsidR="00736172" w:rsidRPr="00B378D9">
        <w:rPr>
          <w:noProof/>
          <w:color w:val="000000" w:themeColor="text1"/>
          <w:sz w:val="24"/>
          <w:szCs w:val="24"/>
        </w:rPr>
        <w:t>was found</w:t>
      </w:r>
      <w:r w:rsidR="00736172" w:rsidRPr="00B378D9">
        <w:rPr>
          <w:color w:val="000000" w:themeColor="text1"/>
          <w:sz w:val="24"/>
          <w:szCs w:val="24"/>
        </w:rPr>
        <w:t xml:space="preserve"> in three </w:t>
      </w:r>
      <w:r w:rsidR="00736172" w:rsidRPr="00B378D9">
        <w:rPr>
          <w:i/>
          <w:color w:val="000000" w:themeColor="text1"/>
          <w:sz w:val="24"/>
          <w:szCs w:val="24"/>
        </w:rPr>
        <w:t xml:space="preserve">A. </w:t>
      </w:r>
      <w:r w:rsidR="00736172" w:rsidRPr="00B378D9">
        <w:rPr>
          <w:i/>
          <w:noProof/>
          <w:color w:val="000000" w:themeColor="text1"/>
          <w:sz w:val="24"/>
          <w:szCs w:val="24"/>
        </w:rPr>
        <w:t>nosocomialis</w:t>
      </w:r>
      <w:r w:rsidR="00736172" w:rsidRPr="00B378D9">
        <w:rPr>
          <w:color w:val="000000" w:themeColor="text1"/>
          <w:sz w:val="24"/>
          <w:szCs w:val="24"/>
        </w:rPr>
        <w:t xml:space="preserve">, two </w:t>
      </w:r>
      <w:r w:rsidR="00736172" w:rsidRPr="00B378D9">
        <w:rPr>
          <w:i/>
          <w:color w:val="000000" w:themeColor="text1"/>
          <w:sz w:val="24"/>
          <w:szCs w:val="24"/>
        </w:rPr>
        <w:t xml:space="preserve">A. </w:t>
      </w:r>
      <w:r w:rsidR="00736172" w:rsidRPr="00B378D9">
        <w:rPr>
          <w:i/>
          <w:noProof/>
          <w:color w:val="000000" w:themeColor="text1"/>
          <w:sz w:val="24"/>
          <w:szCs w:val="24"/>
        </w:rPr>
        <w:t>calcoaceticus</w:t>
      </w:r>
      <w:r w:rsidR="00736172" w:rsidRPr="00B378D9">
        <w:rPr>
          <w:i/>
          <w:color w:val="000000" w:themeColor="text1"/>
          <w:sz w:val="24"/>
          <w:szCs w:val="24"/>
        </w:rPr>
        <w:t>,</w:t>
      </w:r>
      <w:r w:rsidR="00736172" w:rsidRPr="00B378D9">
        <w:rPr>
          <w:color w:val="000000" w:themeColor="text1"/>
          <w:sz w:val="24"/>
          <w:szCs w:val="24"/>
        </w:rPr>
        <w:t xml:space="preserve"> and one each of the </w:t>
      </w:r>
      <w:r w:rsidR="00736172" w:rsidRPr="00B378D9">
        <w:rPr>
          <w:i/>
          <w:color w:val="000000" w:themeColor="text1"/>
          <w:sz w:val="24"/>
          <w:szCs w:val="24"/>
        </w:rPr>
        <w:t>A. soli</w:t>
      </w:r>
      <w:r w:rsidR="00736172" w:rsidRPr="00B378D9">
        <w:rPr>
          <w:color w:val="000000" w:themeColor="text1"/>
          <w:sz w:val="24"/>
          <w:szCs w:val="24"/>
        </w:rPr>
        <w:t>,</w:t>
      </w:r>
      <w:r w:rsidR="00736172" w:rsidRPr="00B378D9">
        <w:rPr>
          <w:i/>
          <w:color w:val="000000" w:themeColor="text1"/>
          <w:sz w:val="24"/>
          <w:szCs w:val="24"/>
        </w:rPr>
        <w:t xml:space="preserve"> A. </w:t>
      </w:r>
      <w:r w:rsidR="00736172" w:rsidRPr="00B378D9">
        <w:rPr>
          <w:i/>
          <w:noProof/>
          <w:color w:val="000000" w:themeColor="text1"/>
          <w:sz w:val="24"/>
          <w:szCs w:val="24"/>
        </w:rPr>
        <w:t>bereziniae</w:t>
      </w:r>
      <w:r w:rsidR="00736172" w:rsidRPr="00B378D9">
        <w:rPr>
          <w:color w:val="000000" w:themeColor="text1"/>
          <w:sz w:val="24"/>
          <w:szCs w:val="24"/>
        </w:rPr>
        <w:t>,</w:t>
      </w:r>
      <w:r w:rsidR="00736172" w:rsidRPr="00B378D9">
        <w:rPr>
          <w:i/>
          <w:color w:val="000000" w:themeColor="text1"/>
          <w:sz w:val="24"/>
          <w:szCs w:val="24"/>
        </w:rPr>
        <w:t xml:space="preserve"> </w:t>
      </w:r>
      <w:r w:rsidR="00736172" w:rsidRPr="00B378D9">
        <w:rPr>
          <w:color w:val="000000" w:themeColor="text1"/>
          <w:sz w:val="24"/>
          <w:szCs w:val="24"/>
        </w:rPr>
        <w:t xml:space="preserve">and </w:t>
      </w:r>
      <w:r w:rsidR="00736172" w:rsidRPr="00B378D9">
        <w:rPr>
          <w:i/>
          <w:color w:val="000000" w:themeColor="text1"/>
          <w:sz w:val="24"/>
          <w:szCs w:val="24"/>
        </w:rPr>
        <w:t xml:space="preserve">A. </w:t>
      </w:r>
      <w:r w:rsidR="00736172" w:rsidRPr="00B378D9">
        <w:rPr>
          <w:i/>
          <w:noProof/>
          <w:color w:val="000000" w:themeColor="text1"/>
          <w:sz w:val="24"/>
          <w:szCs w:val="24"/>
        </w:rPr>
        <w:t>variabilis</w:t>
      </w:r>
      <w:r w:rsidR="00736172" w:rsidRPr="00B378D9">
        <w:rPr>
          <w:color w:val="000000" w:themeColor="text1"/>
          <w:sz w:val="24"/>
          <w:szCs w:val="24"/>
        </w:rPr>
        <w:t xml:space="preserve"> isolates (</w:t>
      </w:r>
      <w:r w:rsidR="000F4E66" w:rsidRPr="00B378D9">
        <w:rPr>
          <w:color w:val="000000" w:themeColor="text1"/>
          <w:sz w:val="24"/>
          <w:szCs w:val="24"/>
        </w:rPr>
        <w:t>Table S3</w:t>
      </w:r>
      <w:r w:rsidR="001141FF" w:rsidRPr="00B378D9">
        <w:rPr>
          <w:color w:val="000000" w:themeColor="text1"/>
          <w:sz w:val="24"/>
          <w:szCs w:val="24"/>
        </w:rPr>
        <w:t xml:space="preserve">; </w:t>
      </w:r>
      <w:r w:rsidR="001702E7" w:rsidRPr="00B378D9">
        <w:rPr>
          <w:color w:val="000000" w:themeColor="text1"/>
          <w:sz w:val="24"/>
          <w:szCs w:val="24"/>
        </w:rPr>
        <w:t>Figure S2</w:t>
      </w:r>
      <w:r w:rsidR="00736172" w:rsidRPr="00B378D9">
        <w:rPr>
          <w:color w:val="000000" w:themeColor="text1"/>
          <w:sz w:val="24"/>
          <w:szCs w:val="24"/>
        </w:rPr>
        <w:t>) . However, the carriage of IS</w:t>
      </w:r>
      <w:r w:rsidR="00736172" w:rsidRPr="00B378D9">
        <w:rPr>
          <w:i/>
          <w:color w:val="000000" w:themeColor="text1"/>
          <w:sz w:val="24"/>
          <w:szCs w:val="24"/>
        </w:rPr>
        <w:t>Aba1</w:t>
      </w:r>
      <w:r w:rsidR="00736172" w:rsidRPr="00B378D9">
        <w:rPr>
          <w:color w:val="000000" w:themeColor="text1"/>
          <w:sz w:val="24"/>
          <w:szCs w:val="24"/>
        </w:rPr>
        <w:t>-</w:t>
      </w:r>
      <w:r w:rsidR="00736172" w:rsidRPr="00B378D9">
        <w:rPr>
          <w:i/>
          <w:color w:val="000000" w:themeColor="text1"/>
          <w:sz w:val="24"/>
          <w:szCs w:val="24"/>
        </w:rPr>
        <w:t>bla</w:t>
      </w:r>
      <w:r w:rsidR="00736172" w:rsidRPr="00B378D9">
        <w:rPr>
          <w:color w:val="000000" w:themeColor="text1"/>
          <w:sz w:val="24"/>
          <w:szCs w:val="24"/>
          <w:vertAlign w:val="subscript"/>
        </w:rPr>
        <w:t>OXA-51</w:t>
      </w:r>
      <w:r w:rsidR="00736172" w:rsidRPr="00B378D9">
        <w:rPr>
          <w:color w:val="000000" w:themeColor="text1"/>
          <w:sz w:val="24"/>
          <w:szCs w:val="24"/>
        </w:rPr>
        <w:t xml:space="preserve"> </w:t>
      </w:r>
      <w:r w:rsidR="00736172" w:rsidRPr="00B378D9">
        <w:rPr>
          <w:noProof/>
          <w:color w:val="000000" w:themeColor="text1"/>
          <w:sz w:val="24"/>
          <w:szCs w:val="24"/>
        </w:rPr>
        <w:t>was not associated</w:t>
      </w:r>
      <w:r w:rsidR="00736172" w:rsidRPr="00B378D9">
        <w:rPr>
          <w:color w:val="000000" w:themeColor="text1"/>
          <w:sz w:val="24"/>
          <w:szCs w:val="24"/>
        </w:rPr>
        <w:t xml:space="preserve"> at all with carbapenem resistance in the non-</w:t>
      </w:r>
      <w:r w:rsidR="00736172" w:rsidRPr="00B378D9">
        <w:rPr>
          <w:i/>
          <w:color w:val="000000" w:themeColor="text1"/>
          <w:sz w:val="24"/>
          <w:szCs w:val="24"/>
        </w:rPr>
        <w:t>baumannii</w:t>
      </w:r>
      <w:r w:rsidR="00736172" w:rsidRPr="00B378D9">
        <w:rPr>
          <w:color w:val="000000" w:themeColor="text1"/>
          <w:sz w:val="24"/>
          <w:szCs w:val="24"/>
        </w:rPr>
        <w:t xml:space="preserve"> </w:t>
      </w:r>
      <w:r w:rsidR="001141FF" w:rsidRPr="00B378D9">
        <w:rPr>
          <w:color w:val="000000" w:themeColor="text1"/>
          <w:sz w:val="24"/>
          <w:szCs w:val="24"/>
        </w:rPr>
        <w:t>acinetobacters</w:t>
      </w:r>
      <w:r w:rsidR="002C5FA5" w:rsidRPr="00B378D9">
        <w:rPr>
          <w:color w:val="000000" w:themeColor="text1"/>
          <w:sz w:val="24"/>
          <w:szCs w:val="24"/>
        </w:rPr>
        <w:t>,</w:t>
      </w:r>
      <w:r w:rsidR="001141FF" w:rsidRPr="00B378D9">
        <w:rPr>
          <w:color w:val="000000" w:themeColor="text1"/>
          <w:sz w:val="24"/>
          <w:szCs w:val="24"/>
        </w:rPr>
        <w:t xml:space="preserve"> </w:t>
      </w:r>
      <w:r w:rsidR="00736172" w:rsidRPr="00B378D9">
        <w:rPr>
          <w:noProof/>
          <w:color w:val="000000" w:themeColor="text1"/>
          <w:sz w:val="24"/>
          <w:szCs w:val="24"/>
        </w:rPr>
        <w:t>as</w:t>
      </w:r>
      <w:r w:rsidR="008C79D1" w:rsidRPr="00B378D9">
        <w:rPr>
          <w:color w:val="000000" w:themeColor="text1"/>
          <w:sz w:val="24"/>
          <w:szCs w:val="24"/>
        </w:rPr>
        <w:t xml:space="preserve"> all the isolates that harbo</w:t>
      </w:r>
      <w:r w:rsidR="00B36F81" w:rsidRPr="00B378D9">
        <w:rPr>
          <w:color w:val="000000" w:themeColor="text1"/>
          <w:sz w:val="24"/>
          <w:szCs w:val="24"/>
        </w:rPr>
        <w:t>u</w:t>
      </w:r>
      <w:r w:rsidR="00736172" w:rsidRPr="00B378D9">
        <w:rPr>
          <w:color w:val="000000" w:themeColor="text1"/>
          <w:sz w:val="24"/>
          <w:szCs w:val="24"/>
        </w:rPr>
        <w:t>red IS</w:t>
      </w:r>
      <w:r w:rsidR="00736172" w:rsidRPr="00B378D9">
        <w:rPr>
          <w:i/>
          <w:color w:val="000000" w:themeColor="text1"/>
          <w:sz w:val="24"/>
          <w:szCs w:val="24"/>
        </w:rPr>
        <w:t>Aba1-bla</w:t>
      </w:r>
      <w:r w:rsidR="00736172" w:rsidRPr="00B378D9">
        <w:rPr>
          <w:color w:val="000000" w:themeColor="text1"/>
          <w:sz w:val="24"/>
          <w:szCs w:val="24"/>
          <w:vertAlign w:val="subscript"/>
        </w:rPr>
        <w:t>OXA-51</w:t>
      </w:r>
      <w:r w:rsidR="00736172" w:rsidRPr="00B378D9">
        <w:rPr>
          <w:color w:val="000000" w:themeColor="text1"/>
          <w:sz w:val="24"/>
          <w:szCs w:val="24"/>
        </w:rPr>
        <w:t xml:space="preserve"> were c</w:t>
      </w:r>
      <w:r w:rsidR="001141FF" w:rsidRPr="00B378D9">
        <w:rPr>
          <w:color w:val="000000" w:themeColor="text1"/>
          <w:sz w:val="24"/>
          <w:szCs w:val="24"/>
        </w:rPr>
        <w:t>arbapenem susceptible (</w:t>
      </w:r>
      <w:r w:rsidR="000F4E66" w:rsidRPr="00B378D9">
        <w:rPr>
          <w:color w:val="000000" w:themeColor="text1"/>
          <w:sz w:val="24"/>
          <w:szCs w:val="24"/>
        </w:rPr>
        <w:t>Table S3</w:t>
      </w:r>
      <w:r w:rsidR="00736172" w:rsidRPr="00B378D9">
        <w:rPr>
          <w:color w:val="000000" w:themeColor="text1"/>
          <w:sz w:val="24"/>
          <w:szCs w:val="24"/>
        </w:rPr>
        <w:t xml:space="preserve">). For the </w:t>
      </w:r>
      <w:r w:rsidR="00736172" w:rsidRPr="00B378D9">
        <w:rPr>
          <w:i/>
          <w:color w:val="000000" w:themeColor="text1"/>
          <w:sz w:val="24"/>
          <w:szCs w:val="24"/>
        </w:rPr>
        <w:t>A. baumannii</w:t>
      </w:r>
      <w:r w:rsidR="008C79D1" w:rsidRPr="00B378D9">
        <w:rPr>
          <w:color w:val="000000" w:themeColor="text1"/>
          <w:sz w:val="24"/>
          <w:szCs w:val="24"/>
        </w:rPr>
        <w:t xml:space="preserve"> isolates, 17 were positive for </w:t>
      </w:r>
      <w:r w:rsidR="00736172" w:rsidRPr="00B378D9">
        <w:rPr>
          <w:color w:val="000000" w:themeColor="text1"/>
          <w:sz w:val="24"/>
          <w:szCs w:val="24"/>
        </w:rPr>
        <w:t>IS</w:t>
      </w:r>
      <w:r w:rsidR="00736172" w:rsidRPr="00B378D9">
        <w:rPr>
          <w:i/>
          <w:color w:val="000000" w:themeColor="text1"/>
          <w:sz w:val="24"/>
          <w:szCs w:val="24"/>
        </w:rPr>
        <w:t>Aba1-bla</w:t>
      </w:r>
      <w:r w:rsidR="00736172" w:rsidRPr="00B378D9">
        <w:rPr>
          <w:color w:val="000000" w:themeColor="text1"/>
          <w:sz w:val="24"/>
          <w:szCs w:val="24"/>
          <w:vertAlign w:val="subscript"/>
        </w:rPr>
        <w:t>OXA-51</w:t>
      </w:r>
      <w:r w:rsidR="00736172" w:rsidRPr="00B378D9">
        <w:rPr>
          <w:color w:val="000000" w:themeColor="text1"/>
          <w:sz w:val="24"/>
          <w:szCs w:val="24"/>
        </w:rPr>
        <w:t xml:space="preserve"> but were </w:t>
      </w:r>
      <w:r w:rsidR="001141FF" w:rsidRPr="00B378D9">
        <w:rPr>
          <w:color w:val="000000" w:themeColor="text1"/>
          <w:sz w:val="24"/>
          <w:szCs w:val="24"/>
        </w:rPr>
        <w:t>carbapenem susceptible (</w:t>
      </w:r>
      <w:r w:rsidR="000F4E66" w:rsidRPr="00B378D9">
        <w:rPr>
          <w:color w:val="000000" w:themeColor="text1"/>
          <w:sz w:val="24"/>
          <w:szCs w:val="24"/>
        </w:rPr>
        <w:t>Table S3</w:t>
      </w:r>
      <w:r w:rsidR="00736172" w:rsidRPr="00B378D9">
        <w:rPr>
          <w:color w:val="000000" w:themeColor="text1"/>
          <w:sz w:val="24"/>
          <w:szCs w:val="24"/>
        </w:rPr>
        <w:t>). The remaining 72</w:t>
      </w:r>
      <w:r w:rsidR="00DB62BC" w:rsidRPr="00B378D9">
        <w:rPr>
          <w:color w:val="000000" w:themeColor="text1"/>
          <w:sz w:val="24"/>
          <w:szCs w:val="24"/>
        </w:rPr>
        <w:t xml:space="preserve"> </w:t>
      </w:r>
      <w:r w:rsidR="00DB62BC" w:rsidRPr="00B378D9">
        <w:rPr>
          <w:i/>
          <w:color w:val="000000" w:themeColor="text1"/>
          <w:sz w:val="24"/>
          <w:szCs w:val="24"/>
        </w:rPr>
        <w:t>A. baumannii</w:t>
      </w:r>
      <w:r w:rsidR="00736172" w:rsidRPr="00B378D9">
        <w:rPr>
          <w:color w:val="000000" w:themeColor="text1"/>
          <w:sz w:val="24"/>
          <w:szCs w:val="24"/>
        </w:rPr>
        <w:t xml:space="preserve"> isolates that were </w:t>
      </w:r>
      <w:r w:rsidR="00736172" w:rsidRPr="00B378D9">
        <w:rPr>
          <w:noProof/>
          <w:color w:val="000000" w:themeColor="text1"/>
          <w:sz w:val="24"/>
          <w:szCs w:val="24"/>
        </w:rPr>
        <w:t>carbapenem-resistant</w:t>
      </w:r>
      <w:r w:rsidR="008C79D1" w:rsidRPr="00B378D9">
        <w:rPr>
          <w:color w:val="000000" w:themeColor="text1"/>
          <w:sz w:val="24"/>
          <w:szCs w:val="24"/>
        </w:rPr>
        <w:t xml:space="preserve"> and harbo</w:t>
      </w:r>
      <w:r w:rsidR="000A3815" w:rsidRPr="00B378D9">
        <w:rPr>
          <w:color w:val="000000" w:themeColor="text1"/>
          <w:sz w:val="24"/>
          <w:szCs w:val="24"/>
        </w:rPr>
        <w:t>u</w:t>
      </w:r>
      <w:r w:rsidR="00736172" w:rsidRPr="00B378D9">
        <w:rPr>
          <w:color w:val="000000" w:themeColor="text1"/>
          <w:sz w:val="24"/>
          <w:szCs w:val="24"/>
        </w:rPr>
        <w:t>red IS</w:t>
      </w:r>
      <w:r w:rsidR="00736172" w:rsidRPr="00B378D9">
        <w:rPr>
          <w:i/>
          <w:color w:val="000000" w:themeColor="text1"/>
          <w:sz w:val="24"/>
          <w:szCs w:val="24"/>
        </w:rPr>
        <w:t>Aba1</w:t>
      </w:r>
      <w:r w:rsidR="00736172" w:rsidRPr="00B378D9">
        <w:rPr>
          <w:color w:val="000000" w:themeColor="text1"/>
          <w:sz w:val="24"/>
          <w:szCs w:val="24"/>
        </w:rPr>
        <w:t>-</w:t>
      </w:r>
      <w:r w:rsidR="00736172" w:rsidRPr="00B378D9">
        <w:rPr>
          <w:i/>
          <w:color w:val="000000" w:themeColor="text1"/>
          <w:sz w:val="24"/>
          <w:szCs w:val="24"/>
        </w:rPr>
        <w:t>bla</w:t>
      </w:r>
      <w:r w:rsidR="00736172" w:rsidRPr="00B378D9">
        <w:rPr>
          <w:color w:val="000000" w:themeColor="text1"/>
          <w:sz w:val="24"/>
          <w:szCs w:val="24"/>
          <w:vertAlign w:val="subscript"/>
        </w:rPr>
        <w:t>OXA-51</w:t>
      </w:r>
      <w:r w:rsidR="00736172" w:rsidRPr="00B378D9">
        <w:rPr>
          <w:color w:val="000000" w:themeColor="text1"/>
          <w:sz w:val="24"/>
          <w:szCs w:val="24"/>
        </w:rPr>
        <w:t xml:space="preserve"> also contained acquired carbapenemase genes, which made it difficult to ascertain if IS</w:t>
      </w:r>
      <w:r w:rsidR="00736172" w:rsidRPr="00B378D9">
        <w:rPr>
          <w:i/>
          <w:color w:val="000000" w:themeColor="text1"/>
          <w:sz w:val="24"/>
          <w:szCs w:val="24"/>
        </w:rPr>
        <w:t>Aba1</w:t>
      </w:r>
      <w:r w:rsidR="00736172" w:rsidRPr="00B378D9">
        <w:rPr>
          <w:color w:val="000000" w:themeColor="text1"/>
          <w:sz w:val="24"/>
          <w:szCs w:val="24"/>
        </w:rPr>
        <w:t>-</w:t>
      </w:r>
      <w:r w:rsidR="00736172" w:rsidRPr="00B378D9">
        <w:rPr>
          <w:i/>
          <w:color w:val="000000" w:themeColor="text1"/>
          <w:sz w:val="24"/>
          <w:szCs w:val="24"/>
        </w:rPr>
        <w:t>bla</w:t>
      </w:r>
      <w:r w:rsidR="00736172" w:rsidRPr="00B378D9">
        <w:rPr>
          <w:color w:val="000000" w:themeColor="text1"/>
          <w:sz w:val="24"/>
          <w:szCs w:val="24"/>
          <w:vertAlign w:val="subscript"/>
        </w:rPr>
        <w:t>OXA-51</w:t>
      </w:r>
      <w:r w:rsidR="00736172" w:rsidRPr="00B378D9">
        <w:rPr>
          <w:color w:val="000000" w:themeColor="text1"/>
          <w:sz w:val="24"/>
          <w:szCs w:val="24"/>
        </w:rPr>
        <w:t xml:space="preserve"> was truly responsible for carbapenem resistance in these isolates. </w:t>
      </w:r>
      <w:r w:rsidR="00B80346" w:rsidRPr="00B378D9">
        <w:rPr>
          <w:color w:val="000000" w:themeColor="text1"/>
          <w:sz w:val="24"/>
          <w:szCs w:val="24"/>
        </w:rPr>
        <w:t xml:space="preserve">The non-association of </w:t>
      </w:r>
      <w:r w:rsidR="008C79D1" w:rsidRPr="00B378D9">
        <w:rPr>
          <w:i/>
          <w:color w:val="000000" w:themeColor="text1"/>
          <w:sz w:val="24"/>
          <w:szCs w:val="24"/>
        </w:rPr>
        <w:t>Acinetobacter</w:t>
      </w:r>
      <w:r w:rsidR="008C79D1" w:rsidRPr="00B378D9">
        <w:rPr>
          <w:color w:val="000000" w:themeColor="text1"/>
          <w:sz w:val="24"/>
          <w:szCs w:val="24"/>
        </w:rPr>
        <w:t xml:space="preserve"> spp.</w:t>
      </w:r>
      <w:r w:rsidR="00B80346" w:rsidRPr="00B378D9">
        <w:rPr>
          <w:color w:val="000000" w:themeColor="text1"/>
          <w:sz w:val="24"/>
          <w:szCs w:val="24"/>
        </w:rPr>
        <w:t xml:space="preserve"> </w:t>
      </w:r>
      <w:r w:rsidR="008C79D1" w:rsidRPr="00B378D9">
        <w:rPr>
          <w:color w:val="000000" w:themeColor="text1"/>
          <w:sz w:val="24"/>
          <w:szCs w:val="24"/>
        </w:rPr>
        <w:t>isolates</w:t>
      </w:r>
      <w:r w:rsidR="00B80346" w:rsidRPr="00B378D9">
        <w:rPr>
          <w:color w:val="000000" w:themeColor="text1"/>
          <w:sz w:val="24"/>
          <w:szCs w:val="24"/>
        </w:rPr>
        <w:t xml:space="preserve"> harbo</w:t>
      </w:r>
      <w:r w:rsidR="00B36F81" w:rsidRPr="00B378D9">
        <w:rPr>
          <w:color w:val="000000" w:themeColor="text1"/>
          <w:sz w:val="24"/>
          <w:szCs w:val="24"/>
        </w:rPr>
        <w:t>u</w:t>
      </w:r>
      <w:r w:rsidR="00B80346" w:rsidRPr="00B378D9">
        <w:rPr>
          <w:color w:val="000000" w:themeColor="text1"/>
          <w:sz w:val="24"/>
          <w:szCs w:val="24"/>
        </w:rPr>
        <w:t>ring IS</w:t>
      </w:r>
      <w:r w:rsidR="00B80346" w:rsidRPr="00B378D9">
        <w:rPr>
          <w:i/>
          <w:color w:val="000000" w:themeColor="text1"/>
          <w:sz w:val="24"/>
          <w:szCs w:val="24"/>
        </w:rPr>
        <w:t>Aba1</w:t>
      </w:r>
      <w:r w:rsidR="00B80346" w:rsidRPr="00B378D9">
        <w:rPr>
          <w:color w:val="000000" w:themeColor="text1"/>
          <w:sz w:val="24"/>
          <w:szCs w:val="24"/>
        </w:rPr>
        <w:t>-</w:t>
      </w:r>
      <w:r w:rsidR="00B80346" w:rsidRPr="00B378D9">
        <w:rPr>
          <w:i/>
          <w:color w:val="000000" w:themeColor="text1"/>
          <w:sz w:val="24"/>
          <w:szCs w:val="24"/>
        </w:rPr>
        <w:t>bla</w:t>
      </w:r>
      <w:r w:rsidR="00B80346" w:rsidRPr="00B378D9">
        <w:rPr>
          <w:color w:val="000000" w:themeColor="text1"/>
          <w:sz w:val="24"/>
          <w:szCs w:val="24"/>
          <w:vertAlign w:val="subscript"/>
        </w:rPr>
        <w:t>OXA-51</w:t>
      </w:r>
      <w:r w:rsidR="00B80346" w:rsidRPr="00B378D9">
        <w:rPr>
          <w:color w:val="000000" w:themeColor="text1"/>
          <w:sz w:val="24"/>
          <w:szCs w:val="24"/>
        </w:rPr>
        <w:t xml:space="preserve"> with carbapenem resistance has also been reported elsewhere </w:t>
      </w:r>
      <w:r w:rsidR="00B80346"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{"citationItems":[{"id":"ITEM-1","itemData":{"DOI":"10.1016/j.ijantimicag.2016.09.033","ISSN":"09248579","PMID":"27890443","abstract":"Acinetobacter baumannii is recognised as a major pathogen of nosocomial infections that frequently show resistance to last-resort antimicrobials. To investigate whether A. baumannii from companion animals harbour carbapenem resistance mechanisms, 223 clinical isolates obtained from veterinary clinics between 2000 and 2013 in Germany were screened for carbapenem-non-susceptibility employing meropenem-containing Mueller-Hinton agar plates. Minimum inhibitory concentration (MIC) data were obtained using the VITEK(®)2 system. Assignment to international clones (ICs) was done by multiplex PCR or repetitive sequence-based PCR employing the DiversiLab system. Clonality was studied using pulsed-field gel electrophoresis (PFGE) and multilocus sequence typing (MLST). Genes encoding carbapenemases and aminoglycoside-modifying enzymes were detected by PCR. In three samples from dogs, carbapenem-resistant A. baumannii carrying the blaOXA-23 gene on plasmids and located on transposon Tn2008 were identified. The isolates belonged to sequence type ST1(P) (clonal complex CC1/IC1/pulsotype II) and ST10(P) (CC10/IC8/pulsotype IV) according to the Pasteur MLST scheme, and to ST231(Ox) (CC109) and ST585(Ox) (CC447) following the Oxford scheme. Insertion sequence ISAba1 was identified upstream of blaOXA-66 in 58 A. baumannii isolates. MLST referred them to ST2(P) (CC2/IC2/pulsotypes I and III), ST208(Ox), ST350(Ox) and ST556(Ox) (all CC118), respectively. PFGE suggested nosocomial spread of these highly related strains, which frequently demonstrated a multidrug-resistant phenotype, in one veterinary clinic. These data show that A. baumannii from companion animals reveal resistance determinants and clonal lineages of strains globally emerging in humans. This suggests an interspecies transmission and warrants molecular surveillance of A. baumannii in veterinary clinics to mitigate its further spread.","author":[{"dropping-particle":"","family":"Ewers","given":"Christa","non-dropping-particle":"","parse-names":false,"suffix":""},{"dropping-particle":"","family":"Klotz","given":"Peter","non-dropping-particle":"","parse-names":false,"suffix":""},{"dropping-particle":"","family":"Leidner","given":"Ursula","non-dropping-particle":"","parse-names":false,"suffix":""},{"dropping-particle":"","family":"Stamm","given":"Ivonne","non-dropping-particle":"","parse-names":false,"suffix":""},{"dropping-particle":"","family":"Prenger-Berninghoff","given":"Ellen","non-dropping-particle":"","parse-names":false,"suffix":""},{"dropping-particle":"","family":"Göttig","given":"Stephan","non-dropping-particle":"","parse-names":false,"suffix":""},{"dropping-particle":"","family":"Semmler","given":"Torsten","non-dropping-particle":"","parse-names":false,"suffix":""},{"dropping-particle":"","family":"Scheufen","given":"Sandra","non-dropping-particle":"","parse-names":false,"suffix":""}],"container-title":"International Journal of Antimicrobial Agents","id":"ITEM-1","issue":"1","issued":{"date-parts":[["2017","1"]]},"page":"37-44","title":"OXA-23 and ISAba1–OXA-66 class D β-lactamases in Acinetobacter baumannii isolates from companion animals","type":"article-journal","volume":"49"},"uris":["http://www.mendeley.com/documents/?uuid=32e3594e-dfc5-3f03-9bd0-9f4d324f27fc"]},{"id":"ITEM-2","itemData":{"DOI":"10.1099/jmm.0.082263-0","abstract":"Antimicrobial resistance in Acinetobacter baumannii is a growing public health concern and an important pathogen in nosocomial infections. We investigated the genes involved in resistance to carbapenems and cephalosporins in clinical A. baumannii isolates from a tertiary medical centre in Malaysia. A. baumannii was isolated from 167 clinical specimens and identified by sequencing of the 16S rRNA and rpoB genes. The MIC for imipenem, meropenem, ceftazidime and cefepime were determined by the E-test method. The presence of carbapenemase and cephalosporinase genes was investigated by PCR. The isolates were predominantly nonsusceptible to carbapenems and cephalosporins (.70%) with high MIC values. ISAba1 was detected in all carbapenem-nonsusceptible A. baumannii harbouring the blaOXA-23-like gene. The presence of blaOXA-51-like and ISAba1 upstream of blaOXA-51 was not associated with nonsusceptibility to carbapenems. A. baumannii isolates harbouring ISAba1-blaADC (85.8%) were significantly associated with nonsusceptibility to cephalosporins (P,0.0001). However, ISAba1-blaADC was not detected in a minority (,10 %) of the isolates which were nonsusceptible to cephalosporins. The acquired OXA-23 enzymes were responsible for nonsusceptibility to carbapenems in our clinical A. baumannii isolates and warrant continuous surveillance to prevent further dissemination of this antibiotic resistance gene. The presence of ISAba1 upstream of the blaADC was a determinant for cephalosporin resistance. However, the absence of this ISAba1-blaADC in some of the isolates may suggest other resistance mechanisms and need further investigation.","author":[{"dropping-particle":"","family":"Biglari","given":"Shirin","non-dropping-particle":"","parse-names":false,"suffix":""},{"dropping-particle":"","family":"Alfizah","given":"Hanafiah","non-dropping-particle":"","parse-names":false,"suffix":""},{"dropping-particle":"","family":"Ramliza","given":"Ramli","non-dropping-particle":"","parse-names":false,"suffix":""},{"dropping-particle":"","family":"Rahman","given":"Mostafizur","non-dropping-particle":"","parse-names":false,"suffix":""}],"container-title":"Journal of Medical Microbiology","id":"ITEM-2","issue":"1","issued":{"date-parts":[["2015"]]},"page":"53-58","title":"Molecular characterization of carbapenemase and cephalosporinase genes among clinical isolates of Acinetobacter baumannii in a tertiary medical centre in Malaysia","type":"article-journal","volume":"64"},"uris":["http://www.mendeley.com/documents/?uuid=4a21c876-f667-4ad6-96cc-e21f064a1f30"]}],"mendeley":{"formattedCitation":"[33, 34]","plainTextFormattedCitation":"[33, 34]","previouslyFormattedCitation":"[33, 34]"},"properties":{"noteIndex":0},"schema":"https://github.com/citation-style-language/schema/raw/master/csl-citation.json"}</w:instrText>
      </w:r>
      <w:r w:rsidR="00B80346" w:rsidRPr="00B378D9">
        <w:rPr>
          <w:color w:val="000000" w:themeColor="text1"/>
          <w:sz w:val="24"/>
          <w:szCs w:val="24"/>
        </w:rPr>
        <w:fldChar w:fldCharType="separate"/>
      </w:r>
      <w:r w:rsidR="00575F7D" w:rsidRPr="00B378D9">
        <w:rPr>
          <w:noProof/>
          <w:color w:val="000000" w:themeColor="text1"/>
          <w:sz w:val="24"/>
          <w:szCs w:val="24"/>
        </w:rPr>
        <w:t>[33, 34]</w:t>
      </w:r>
      <w:r w:rsidR="00B80346" w:rsidRPr="00B378D9">
        <w:rPr>
          <w:color w:val="000000" w:themeColor="text1"/>
          <w:sz w:val="24"/>
          <w:szCs w:val="24"/>
        </w:rPr>
        <w:fldChar w:fldCharType="end"/>
      </w:r>
      <w:r w:rsidR="00B80346" w:rsidRPr="00B378D9">
        <w:rPr>
          <w:color w:val="000000" w:themeColor="text1"/>
          <w:sz w:val="24"/>
          <w:szCs w:val="24"/>
        </w:rPr>
        <w:t xml:space="preserve">. </w:t>
      </w:r>
    </w:p>
    <w:p w14:paraId="7CCEBE48" w14:textId="77777777" w:rsidR="00207ACA" w:rsidRPr="00B378D9" w:rsidRDefault="00736172" w:rsidP="001B4C8D">
      <w:pPr>
        <w:spacing w:line="480" w:lineRule="auto"/>
        <w:ind w:left="0" w:firstLine="708"/>
        <w:rPr>
          <w:color w:val="000000" w:themeColor="text1"/>
          <w:sz w:val="24"/>
          <w:szCs w:val="24"/>
        </w:rPr>
      </w:pPr>
      <w:r w:rsidRPr="00B378D9">
        <w:rPr>
          <w:color w:val="000000" w:themeColor="text1"/>
          <w:sz w:val="24"/>
          <w:szCs w:val="24"/>
        </w:rPr>
        <w:t>As for the acquired carbapenemase genes,</w:t>
      </w:r>
      <w:r w:rsidR="00481532" w:rsidRPr="00B378D9">
        <w:rPr>
          <w:color w:val="000000" w:themeColor="text1"/>
          <w:sz w:val="24"/>
          <w:szCs w:val="24"/>
        </w:rPr>
        <w:t xml:space="preserve"> the</w:t>
      </w:r>
      <w:r w:rsidRPr="00B378D9">
        <w:rPr>
          <w:color w:val="000000" w:themeColor="text1"/>
          <w:sz w:val="24"/>
          <w:szCs w:val="24"/>
        </w:rPr>
        <w:t xml:space="preserve"> </w:t>
      </w:r>
      <w:r w:rsidR="001B4C8D" w:rsidRPr="00B378D9">
        <w:rPr>
          <w:color w:val="000000" w:themeColor="text1"/>
          <w:sz w:val="24"/>
          <w:szCs w:val="24"/>
        </w:rPr>
        <w:t xml:space="preserve">majority of the </w:t>
      </w:r>
      <w:r w:rsidR="001B4C8D" w:rsidRPr="00B378D9">
        <w:rPr>
          <w:i/>
          <w:color w:val="000000" w:themeColor="text1"/>
          <w:sz w:val="24"/>
          <w:szCs w:val="24"/>
        </w:rPr>
        <w:t>Acinetobacter</w:t>
      </w:r>
      <w:r w:rsidR="001B4C8D" w:rsidRPr="00B378D9">
        <w:rPr>
          <w:color w:val="000000" w:themeColor="text1"/>
          <w:sz w:val="24"/>
          <w:szCs w:val="24"/>
        </w:rPr>
        <w:t xml:space="preserve"> spp. isolates harbo</w:t>
      </w:r>
      <w:r w:rsidR="00B36F81" w:rsidRPr="00B378D9">
        <w:rPr>
          <w:color w:val="000000" w:themeColor="text1"/>
          <w:sz w:val="24"/>
          <w:szCs w:val="24"/>
        </w:rPr>
        <w:t>u</w:t>
      </w:r>
      <w:r w:rsidR="001B4C8D" w:rsidRPr="00B378D9">
        <w:rPr>
          <w:color w:val="000000" w:themeColor="text1"/>
          <w:sz w:val="24"/>
          <w:szCs w:val="24"/>
        </w:rPr>
        <w:t xml:space="preserve">red the </w:t>
      </w:r>
      <w:r w:rsidR="001B4C8D" w:rsidRPr="00B378D9">
        <w:rPr>
          <w:i/>
          <w:color w:val="000000" w:themeColor="text1"/>
          <w:sz w:val="24"/>
          <w:szCs w:val="24"/>
        </w:rPr>
        <w:t>bla</w:t>
      </w:r>
      <w:r w:rsidR="001B4C8D" w:rsidRPr="00B378D9">
        <w:rPr>
          <w:color w:val="000000" w:themeColor="text1"/>
          <w:sz w:val="24"/>
          <w:szCs w:val="24"/>
          <w:vertAlign w:val="subscript"/>
        </w:rPr>
        <w:t>OXA-23</w:t>
      </w:r>
      <w:r w:rsidR="001B4C8D" w:rsidRPr="00B378D9">
        <w:rPr>
          <w:color w:val="000000" w:themeColor="text1"/>
          <w:sz w:val="24"/>
          <w:szCs w:val="24"/>
        </w:rPr>
        <w:t xml:space="preserve"> gene </w:t>
      </w:r>
      <w:r w:rsidR="000A3815" w:rsidRPr="00B378D9">
        <w:rPr>
          <w:color w:val="000000" w:themeColor="text1"/>
          <w:sz w:val="24"/>
          <w:szCs w:val="24"/>
        </w:rPr>
        <w:t>(</w:t>
      </w:r>
      <w:r w:rsidR="000A3815" w:rsidRPr="00B378D9">
        <w:rPr>
          <w:i/>
          <w:color w:val="000000" w:themeColor="text1"/>
          <w:sz w:val="24"/>
          <w:szCs w:val="24"/>
        </w:rPr>
        <w:t>n</w:t>
      </w:r>
      <w:r w:rsidR="000A3815" w:rsidRPr="00B378D9">
        <w:rPr>
          <w:color w:val="000000" w:themeColor="text1"/>
          <w:sz w:val="24"/>
          <w:szCs w:val="24"/>
        </w:rPr>
        <w:t xml:space="preserve"> = 56; or 56.2%)</w:t>
      </w:r>
      <w:r w:rsidR="001B4C8D" w:rsidRPr="00B378D9">
        <w:rPr>
          <w:color w:val="000000" w:themeColor="text1"/>
          <w:sz w:val="24"/>
          <w:szCs w:val="24"/>
        </w:rPr>
        <w:t xml:space="preserve">. </w:t>
      </w:r>
      <w:r w:rsidR="004C09ED" w:rsidRPr="00B378D9">
        <w:rPr>
          <w:color w:val="000000" w:themeColor="text1"/>
          <w:sz w:val="24"/>
          <w:szCs w:val="24"/>
        </w:rPr>
        <w:t>A significant association (</w:t>
      </w:r>
      <w:r w:rsidR="004C09ED" w:rsidRPr="00B378D9">
        <w:rPr>
          <w:i/>
          <w:color w:val="000000" w:themeColor="text1"/>
          <w:sz w:val="24"/>
          <w:szCs w:val="24"/>
        </w:rPr>
        <w:t>p</w:t>
      </w:r>
      <w:r w:rsidR="004C09ED" w:rsidRPr="00B378D9">
        <w:rPr>
          <w:color w:val="000000" w:themeColor="text1"/>
          <w:sz w:val="24"/>
          <w:szCs w:val="24"/>
        </w:rPr>
        <w:t xml:space="preserve"> &lt; 0.001) </w:t>
      </w:r>
      <w:r w:rsidR="004C09ED" w:rsidRPr="00B378D9">
        <w:rPr>
          <w:noProof/>
          <w:color w:val="000000" w:themeColor="text1"/>
          <w:sz w:val="24"/>
          <w:szCs w:val="24"/>
        </w:rPr>
        <w:t>was found</w:t>
      </w:r>
      <w:r w:rsidR="004C09ED" w:rsidRPr="00B378D9">
        <w:rPr>
          <w:color w:val="000000" w:themeColor="text1"/>
          <w:sz w:val="24"/>
          <w:szCs w:val="24"/>
        </w:rPr>
        <w:t xml:space="preserve"> between carbapenem resistance and the presence of the </w:t>
      </w:r>
      <w:r w:rsidR="004C09ED" w:rsidRPr="00B378D9">
        <w:rPr>
          <w:i/>
          <w:color w:val="000000" w:themeColor="text1"/>
          <w:sz w:val="24"/>
          <w:szCs w:val="24"/>
        </w:rPr>
        <w:t>bla</w:t>
      </w:r>
      <w:r w:rsidR="004C09ED" w:rsidRPr="00B378D9">
        <w:rPr>
          <w:color w:val="000000" w:themeColor="text1"/>
          <w:sz w:val="24"/>
          <w:szCs w:val="24"/>
          <w:vertAlign w:val="subscript"/>
        </w:rPr>
        <w:t>OXA-23</w:t>
      </w:r>
      <w:r w:rsidR="003609AF" w:rsidRPr="00B378D9">
        <w:rPr>
          <w:color w:val="000000" w:themeColor="text1"/>
          <w:sz w:val="24"/>
          <w:szCs w:val="24"/>
        </w:rPr>
        <w:t xml:space="preserve"> gene</w:t>
      </w:r>
      <w:r w:rsidR="004C09ED" w:rsidRPr="00B378D9">
        <w:rPr>
          <w:color w:val="000000" w:themeColor="text1"/>
          <w:sz w:val="24"/>
          <w:szCs w:val="24"/>
        </w:rPr>
        <w:t xml:space="preserve"> with 94.3% (</w:t>
      </w:r>
      <w:r w:rsidR="004C09ED" w:rsidRPr="00B378D9">
        <w:rPr>
          <w:i/>
          <w:color w:val="000000" w:themeColor="text1"/>
          <w:sz w:val="24"/>
          <w:szCs w:val="24"/>
        </w:rPr>
        <w:t>n</w:t>
      </w:r>
      <w:r w:rsidR="00A46B48" w:rsidRPr="00B378D9">
        <w:rPr>
          <w:i/>
          <w:color w:val="000000" w:themeColor="text1"/>
          <w:sz w:val="24"/>
          <w:szCs w:val="24"/>
        </w:rPr>
        <w:t xml:space="preserve"> </w:t>
      </w:r>
      <w:r w:rsidR="004C09ED" w:rsidRPr="00B378D9">
        <w:rPr>
          <w:color w:val="000000" w:themeColor="text1"/>
          <w:sz w:val="24"/>
          <w:szCs w:val="24"/>
        </w:rPr>
        <w:t>=</w:t>
      </w:r>
      <w:r w:rsidR="00A46B48" w:rsidRPr="00B378D9">
        <w:rPr>
          <w:color w:val="000000" w:themeColor="text1"/>
          <w:sz w:val="24"/>
          <w:szCs w:val="24"/>
        </w:rPr>
        <w:t xml:space="preserve"> </w:t>
      </w:r>
      <w:r w:rsidR="004C09ED" w:rsidRPr="00B378D9">
        <w:rPr>
          <w:color w:val="000000" w:themeColor="text1"/>
          <w:sz w:val="24"/>
          <w:szCs w:val="24"/>
        </w:rPr>
        <w:t xml:space="preserve">83) of the 88 carbapenem-resistant </w:t>
      </w:r>
      <w:r w:rsidR="001B4C8D" w:rsidRPr="00B378D9">
        <w:rPr>
          <w:color w:val="000000" w:themeColor="text1"/>
          <w:sz w:val="24"/>
          <w:szCs w:val="24"/>
        </w:rPr>
        <w:t>isolate</w:t>
      </w:r>
      <w:r w:rsidR="004C09ED" w:rsidRPr="00B378D9">
        <w:rPr>
          <w:color w:val="000000" w:themeColor="text1"/>
          <w:sz w:val="24"/>
          <w:szCs w:val="24"/>
        </w:rPr>
        <w:t>s harbo</w:t>
      </w:r>
      <w:r w:rsidR="00B36F81" w:rsidRPr="00B378D9">
        <w:rPr>
          <w:color w:val="000000" w:themeColor="text1"/>
          <w:sz w:val="24"/>
          <w:szCs w:val="24"/>
        </w:rPr>
        <w:t>u</w:t>
      </w:r>
      <w:r w:rsidR="004C09ED" w:rsidRPr="00B378D9">
        <w:rPr>
          <w:color w:val="000000" w:themeColor="text1"/>
          <w:sz w:val="24"/>
          <w:szCs w:val="24"/>
        </w:rPr>
        <w:t>r</w:t>
      </w:r>
      <w:r w:rsidR="00481532" w:rsidRPr="00B378D9">
        <w:rPr>
          <w:color w:val="000000" w:themeColor="text1"/>
          <w:sz w:val="24"/>
          <w:szCs w:val="24"/>
        </w:rPr>
        <w:t>ing</w:t>
      </w:r>
      <w:r w:rsidR="004C09ED" w:rsidRPr="00B378D9">
        <w:rPr>
          <w:color w:val="000000" w:themeColor="text1"/>
          <w:sz w:val="24"/>
          <w:szCs w:val="24"/>
        </w:rPr>
        <w:t xml:space="preserve"> the gene.</w:t>
      </w:r>
      <w:r w:rsidR="00207ACA" w:rsidRPr="00B378D9">
        <w:rPr>
          <w:color w:val="000000" w:themeColor="text1"/>
          <w:sz w:val="24"/>
          <w:szCs w:val="24"/>
        </w:rPr>
        <w:t xml:space="preserve"> Likewise, results from the 2011 </w:t>
      </w:r>
      <w:r w:rsidR="00207ACA" w:rsidRPr="00B378D9">
        <w:rPr>
          <w:i/>
          <w:color w:val="000000" w:themeColor="text1"/>
          <w:sz w:val="24"/>
          <w:szCs w:val="24"/>
        </w:rPr>
        <w:t>A. baumannii</w:t>
      </w:r>
      <w:r w:rsidR="00207ACA" w:rsidRPr="00B378D9">
        <w:rPr>
          <w:color w:val="000000" w:themeColor="text1"/>
          <w:sz w:val="24"/>
          <w:szCs w:val="24"/>
        </w:rPr>
        <w:t xml:space="preserve"> isolates from HSNZ also showed significant association (</w:t>
      </w:r>
      <w:r w:rsidR="00207ACA" w:rsidRPr="00B378D9">
        <w:rPr>
          <w:i/>
          <w:color w:val="000000" w:themeColor="text1"/>
          <w:sz w:val="24"/>
          <w:szCs w:val="24"/>
        </w:rPr>
        <w:t>p</w:t>
      </w:r>
      <w:r w:rsidR="00207ACA" w:rsidRPr="00B378D9">
        <w:rPr>
          <w:color w:val="000000" w:themeColor="text1"/>
          <w:sz w:val="24"/>
          <w:szCs w:val="24"/>
        </w:rPr>
        <w:t xml:space="preserve"> &lt; 0.001) as 86.0% of the carbapenem-resistant isolates were </w:t>
      </w:r>
      <w:r w:rsidR="00481532" w:rsidRPr="00B378D9">
        <w:rPr>
          <w:color w:val="000000" w:themeColor="text1"/>
          <w:sz w:val="24"/>
          <w:szCs w:val="24"/>
        </w:rPr>
        <w:t>positive for</w:t>
      </w:r>
      <w:r w:rsidR="00207ACA" w:rsidRPr="00B378D9">
        <w:rPr>
          <w:color w:val="000000" w:themeColor="text1"/>
          <w:sz w:val="24"/>
          <w:szCs w:val="24"/>
        </w:rPr>
        <w:t xml:space="preserve"> the </w:t>
      </w:r>
      <w:r w:rsidR="00207ACA" w:rsidRPr="00B378D9">
        <w:rPr>
          <w:i/>
          <w:color w:val="000000" w:themeColor="text1"/>
          <w:sz w:val="24"/>
          <w:szCs w:val="24"/>
        </w:rPr>
        <w:t>bla</w:t>
      </w:r>
      <w:r w:rsidR="00207ACA" w:rsidRPr="00B378D9">
        <w:rPr>
          <w:color w:val="000000" w:themeColor="text1"/>
          <w:sz w:val="24"/>
          <w:szCs w:val="24"/>
          <w:vertAlign w:val="subscript"/>
        </w:rPr>
        <w:t>OXA-23</w:t>
      </w:r>
      <w:r w:rsidR="00207ACA" w:rsidRPr="00B378D9">
        <w:rPr>
          <w:color w:val="000000" w:themeColor="text1"/>
          <w:sz w:val="24"/>
          <w:szCs w:val="24"/>
        </w:rPr>
        <w:t xml:space="preserve"> gene </w:t>
      </w:r>
      <w:r w:rsidR="00207ACA"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00207ACA" w:rsidRPr="00B378D9">
        <w:rPr>
          <w:color w:val="000000" w:themeColor="text1"/>
          <w:sz w:val="24"/>
          <w:szCs w:val="24"/>
        </w:rPr>
        <w:fldChar w:fldCharType="separate"/>
      </w:r>
      <w:r w:rsidR="00575F7D" w:rsidRPr="00B378D9">
        <w:rPr>
          <w:noProof/>
          <w:color w:val="000000" w:themeColor="text1"/>
          <w:sz w:val="24"/>
          <w:szCs w:val="24"/>
        </w:rPr>
        <w:t>[19]</w:t>
      </w:r>
      <w:r w:rsidR="00207ACA" w:rsidRPr="00B378D9">
        <w:rPr>
          <w:color w:val="000000" w:themeColor="text1"/>
          <w:sz w:val="24"/>
          <w:szCs w:val="24"/>
        </w:rPr>
        <w:fldChar w:fldCharType="end"/>
      </w:r>
      <w:r w:rsidR="00207ACA" w:rsidRPr="00B378D9">
        <w:rPr>
          <w:color w:val="000000" w:themeColor="text1"/>
          <w:sz w:val="24"/>
          <w:szCs w:val="24"/>
        </w:rPr>
        <w:t xml:space="preserve">. </w:t>
      </w:r>
      <w:r w:rsidR="0026784D" w:rsidRPr="00B378D9">
        <w:rPr>
          <w:noProof/>
          <w:color w:val="000000" w:themeColor="text1"/>
          <w:sz w:val="24"/>
          <w:szCs w:val="24"/>
        </w:rPr>
        <w:t>Thus, there was</w:t>
      </w:r>
      <w:r w:rsidR="00207ACA" w:rsidRPr="00B378D9">
        <w:rPr>
          <w:color w:val="000000" w:themeColor="text1"/>
          <w:sz w:val="24"/>
          <w:szCs w:val="24"/>
        </w:rPr>
        <w:t xml:space="preserve"> a clear correlation between the presence of the </w:t>
      </w:r>
      <w:r w:rsidR="00481532" w:rsidRPr="00B378D9">
        <w:rPr>
          <w:color w:val="000000" w:themeColor="text1"/>
          <w:sz w:val="24"/>
          <w:szCs w:val="24"/>
        </w:rPr>
        <w:br/>
      </w:r>
      <w:r w:rsidR="00207ACA" w:rsidRPr="00B378D9">
        <w:rPr>
          <w:i/>
          <w:color w:val="000000" w:themeColor="text1"/>
          <w:sz w:val="24"/>
          <w:szCs w:val="24"/>
        </w:rPr>
        <w:t>bla</w:t>
      </w:r>
      <w:r w:rsidR="00207ACA" w:rsidRPr="00B378D9">
        <w:rPr>
          <w:color w:val="000000" w:themeColor="text1"/>
          <w:sz w:val="24"/>
          <w:szCs w:val="24"/>
          <w:vertAlign w:val="subscript"/>
        </w:rPr>
        <w:t>OXA-23</w:t>
      </w:r>
      <w:r w:rsidR="00207ACA" w:rsidRPr="00B378D9">
        <w:rPr>
          <w:i/>
          <w:color w:val="000000" w:themeColor="text1"/>
          <w:sz w:val="24"/>
          <w:szCs w:val="24"/>
          <w:vertAlign w:val="subscript"/>
        </w:rPr>
        <w:t xml:space="preserve"> </w:t>
      </w:r>
      <w:r w:rsidR="00207ACA" w:rsidRPr="00B378D9">
        <w:rPr>
          <w:color w:val="000000" w:themeColor="text1"/>
          <w:sz w:val="24"/>
          <w:szCs w:val="24"/>
        </w:rPr>
        <w:t xml:space="preserve">gene and carbapenem resistance in the Terengganu </w:t>
      </w:r>
      <w:r w:rsidR="00207ACA" w:rsidRPr="00B378D9">
        <w:rPr>
          <w:i/>
          <w:color w:val="000000" w:themeColor="text1"/>
          <w:sz w:val="24"/>
          <w:szCs w:val="24"/>
        </w:rPr>
        <w:t>Acinetobacter</w:t>
      </w:r>
      <w:r w:rsidR="00207ACA" w:rsidRPr="00B378D9">
        <w:rPr>
          <w:color w:val="000000" w:themeColor="text1"/>
          <w:sz w:val="24"/>
          <w:szCs w:val="24"/>
        </w:rPr>
        <w:t xml:space="preserve"> spp. isolates.</w:t>
      </w:r>
    </w:p>
    <w:p w14:paraId="2266CF63" w14:textId="6D749783" w:rsidR="00207ACA" w:rsidRPr="00B378D9" w:rsidRDefault="004C09ED" w:rsidP="000A3815">
      <w:pPr>
        <w:spacing w:line="480" w:lineRule="auto"/>
        <w:ind w:left="0" w:firstLine="708"/>
        <w:rPr>
          <w:color w:val="000000" w:themeColor="text1"/>
          <w:sz w:val="24"/>
          <w:szCs w:val="24"/>
        </w:rPr>
      </w:pPr>
      <w:r w:rsidRPr="00B378D9">
        <w:rPr>
          <w:color w:val="000000" w:themeColor="text1"/>
          <w:sz w:val="24"/>
          <w:szCs w:val="24"/>
        </w:rPr>
        <w:t xml:space="preserve"> </w:t>
      </w:r>
      <w:r w:rsidR="004171BB" w:rsidRPr="00B378D9">
        <w:rPr>
          <w:color w:val="000000" w:themeColor="text1"/>
          <w:sz w:val="24"/>
          <w:szCs w:val="24"/>
        </w:rPr>
        <w:t xml:space="preserve">The </w:t>
      </w:r>
      <w:r w:rsidR="004171BB" w:rsidRPr="00B378D9">
        <w:rPr>
          <w:i/>
          <w:color w:val="000000" w:themeColor="text1"/>
          <w:sz w:val="24"/>
          <w:szCs w:val="24"/>
        </w:rPr>
        <w:t>bla</w:t>
      </w:r>
      <w:r w:rsidR="004171BB" w:rsidRPr="00B378D9">
        <w:rPr>
          <w:color w:val="000000" w:themeColor="text1"/>
          <w:sz w:val="24"/>
          <w:szCs w:val="24"/>
          <w:vertAlign w:val="subscript"/>
        </w:rPr>
        <w:t>OXA-23</w:t>
      </w:r>
      <w:r w:rsidR="004171BB" w:rsidRPr="00B378D9">
        <w:rPr>
          <w:color w:val="000000" w:themeColor="text1"/>
          <w:sz w:val="24"/>
          <w:szCs w:val="24"/>
        </w:rPr>
        <w:t xml:space="preserve"> gene </w:t>
      </w:r>
      <w:r w:rsidR="004171BB" w:rsidRPr="00B378D9">
        <w:rPr>
          <w:noProof/>
          <w:color w:val="000000" w:themeColor="text1"/>
          <w:sz w:val="24"/>
          <w:szCs w:val="24"/>
        </w:rPr>
        <w:t xml:space="preserve">was </w:t>
      </w:r>
      <w:r w:rsidR="002A21E2" w:rsidRPr="00B378D9">
        <w:rPr>
          <w:noProof/>
          <w:color w:val="000000" w:themeColor="text1"/>
          <w:sz w:val="24"/>
          <w:szCs w:val="24"/>
        </w:rPr>
        <w:t xml:space="preserve">also </w:t>
      </w:r>
      <w:r w:rsidR="004171BB" w:rsidRPr="00B378D9">
        <w:rPr>
          <w:noProof/>
          <w:color w:val="000000" w:themeColor="text1"/>
          <w:sz w:val="24"/>
          <w:szCs w:val="24"/>
        </w:rPr>
        <w:t>detected</w:t>
      </w:r>
      <w:r w:rsidR="004171BB" w:rsidRPr="00B378D9">
        <w:rPr>
          <w:color w:val="000000" w:themeColor="text1"/>
          <w:sz w:val="24"/>
          <w:szCs w:val="24"/>
        </w:rPr>
        <w:t xml:space="preserve"> in </w:t>
      </w:r>
      <w:r w:rsidR="00595F82" w:rsidRPr="00B378D9">
        <w:rPr>
          <w:color w:val="000000" w:themeColor="text1"/>
          <w:sz w:val="24"/>
          <w:szCs w:val="24"/>
        </w:rPr>
        <w:t xml:space="preserve">the </w:t>
      </w:r>
      <w:r w:rsidR="007666A7" w:rsidRPr="00B378D9">
        <w:rPr>
          <w:color w:val="000000" w:themeColor="text1"/>
          <w:sz w:val="24"/>
          <w:szCs w:val="24"/>
        </w:rPr>
        <w:t>sole</w:t>
      </w:r>
      <w:r w:rsidR="00595F82" w:rsidRPr="00B378D9">
        <w:rPr>
          <w:color w:val="000000" w:themeColor="text1"/>
          <w:sz w:val="24"/>
          <w:szCs w:val="24"/>
        </w:rPr>
        <w:t xml:space="preserve"> carbapenem-resistant</w:t>
      </w:r>
      <w:r w:rsidR="004171BB" w:rsidRPr="00B378D9">
        <w:rPr>
          <w:color w:val="000000" w:themeColor="text1"/>
          <w:sz w:val="24"/>
          <w:szCs w:val="24"/>
        </w:rPr>
        <w:t xml:space="preserve"> </w:t>
      </w:r>
      <w:r w:rsidR="004171BB" w:rsidRPr="00B378D9">
        <w:rPr>
          <w:i/>
          <w:color w:val="000000" w:themeColor="text1"/>
          <w:sz w:val="24"/>
          <w:szCs w:val="24"/>
        </w:rPr>
        <w:t xml:space="preserve">A. </w:t>
      </w:r>
      <w:r w:rsidR="004171BB" w:rsidRPr="00B378D9">
        <w:rPr>
          <w:i/>
          <w:noProof/>
          <w:color w:val="000000" w:themeColor="text1"/>
          <w:sz w:val="24"/>
          <w:szCs w:val="24"/>
        </w:rPr>
        <w:t>nosocomialis</w:t>
      </w:r>
      <w:r w:rsidR="006D7897" w:rsidRPr="00B378D9">
        <w:rPr>
          <w:color w:val="000000" w:themeColor="text1"/>
          <w:sz w:val="24"/>
          <w:szCs w:val="24"/>
        </w:rPr>
        <w:t xml:space="preserve"> </w:t>
      </w:r>
      <w:r w:rsidR="0026784D" w:rsidRPr="00B378D9">
        <w:rPr>
          <w:color w:val="000000" w:themeColor="text1"/>
          <w:sz w:val="24"/>
          <w:szCs w:val="24"/>
        </w:rPr>
        <w:t xml:space="preserve">isolate, </w:t>
      </w:r>
      <w:r w:rsidR="006D7897" w:rsidRPr="00B378D9">
        <w:rPr>
          <w:noProof/>
          <w:color w:val="000000" w:themeColor="text1"/>
          <w:sz w:val="24"/>
          <w:szCs w:val="24"/>
        </w:rPr>
        <w:t>Ans15/3</w:t>
      </w:r>
      <w:r w:rsidR="004171BB" w:rsidRPr="00B378D9">
        <w:rPr>
          <w:color w:val="000000" w:themeColor="text1"/>
          <w:sz w:val="24"/>
          <w:szCs w:val="24"/>
        </w:rPr>
        <w:t xml:space="preserve"> </w:t>
      </w:r>
      <w:r w:rsidR="00245DBB" w:rsidRPr="00B378D9">
        <w:rPr>
          <w:noProof/>
          <w:color w:val="000000" w:themeColor="text1"/>
          <w:sz w:val="24"/>
          <w:szCs w:val="24"/>
        </w:rPr>
        <w:t>(</w:t>
      </w:r>
      <w:r w:rsidR="000F4E66" w:rsidRPr="00B378D9">
        <w:rPr>
          <w:noProof/>
          <w:color w:val="000000" w:themeColor="text1"/>
          <w:sz w:val="24"/>
          <w:szCs w:val="24"/>
        </w:rPr>
        <w:t>Table S3</w:t>
      </w:r>
      <w:r w:rsidR="007379EA" w:rsidRPr="00B378D9">
        <w:rPr>
          <w:noProof/>
          <w:color w:val="000000" w:themeColor="text1"/>
          <w:sz w:val="24"/>
          <w:szCs w:val="24"/>
        </w:rPr>
        <w:t>; Figure S3</w:t>
      </w:r>
      <w:r w:rsidR="00245DBB" w:rsidRPr="00B378D9">
        <w:rPr>
          <w:noProof/>
          <w:color w:val="000000" w:themeColor="text1"/>
          <w:sz w:val="24"/>
          <w:szCs w:val="24"/>
        </w:rPr>
        <w:t>)</w:t>
      </w:r>
      <w:r w:rsidR="004171BB" w:rsidRPr="00B378D9">
        <w:rPr>
          <w:color w:val="000000" w:themeColor="text1"/>
          <w:sz w:val="24"/>
          <w:szCs w:val="24"/>
        </w:rPr>
        <w:t xml:space="preserve">. Likewise, </w:t>
      </w:r>
      <w:r w:rsidR="004171BB" w:rsidRPr="00B378D9">
        <w:rPr>
          <w:i/>
          <w:color w:val="000000" w:themeColor="text1"/>
          <w:sz w:val="24"/>
          <w:szCs w:val="24"/>
        </w:rPr>
        <w:t>bla</w:t>
      </w:r>
      <w:r w:rsidR="004171BB" w:rsidRPr="00B378D9">
        <w:rPr>
          <w:color w:val="000000" w:themeColor="text1"/>
          <w:sz w:val="24"/>
          <w:szCs w:val="24"/>
          <w:vertAlign w:val="subscript"/>
        </w:rPr>
        <w:t>OXA-23</w:t>
      </w:r>
      <w:r w:rsidR="004171BB" w:rsidRPr="00B378D9">
        <w:rPr>
          <w:color w:val="000000" w:themeColor="text1"/>
          <w:sz w:val="24"/>
          <w:szCs w:val="24"/>
        </w:rPr>
        <w:t xml:space="preserve"> </w:t>
      </w:r>
      <w:r w:rsidR="004171BB" w:rsidRPr="00B378D9">
        <w:rPr>
          <w:noProof/>
          <w:color w:val="000000" w:themeColor="text1"/>
          <w:sz w:val="24"/>
          <w:szCs w:val="24"/>
        </w:rPr>
        <w:t>was found</w:t>
      </w:r>
      <w:r w:rsidR="004171BB" w:rsidRPr="00B378D9">
        <w:rPr>
          <w:color w:val="000000" w:themeColor="text1"/>
          <w:sz w:val="24"/>
          <w:szCs w:val="24"/>
        </w:rPr>
        <w:t xml:space="preserve"> in two </w:t>
      </w:r>
      <w:r w:rsidR="004171BB" w:rsidRPr="00B378D9">
        <w:rPr>
          <w:i/>
          <w:color w:val="000000" w:themeColor="text1"/>
          <w:sz w:val="24"/>
          <w:szCs w:val="24"/>
        </w:rPr>
        <w:t xml:space="preserve">A. </w:t>
      </w:r>
      <w:r w:rsidR="004171BB" w:rsidRPr="00B378D9">
        <w:rPr>
          <w:i/>
          <w:noProof/>
          <w:color w:val="000000" w:themeColor="text1"/>
          <w:sz w:val="24"/>
          <w:szCs w:val="24"/>
        </w:rPr>
        <w:t>calcoaceticus</w:t>
      </w:r>
      <w:r w:rsidR="004171BB" w:rsidRPr="00B378D9">
        <w:rPr>
          <w:color w:val="000000" w:themeColor="text1"/>
          <w:sz w:val="24"/>
          <w:szCs w:val="24"/>
        </w:rPr>
        <w:t xml:space="preserve"> isolates, Aca15/2 and Aca15/4, but only one of them (Aca15/2) showed carbapenem resistance.</w:t>
      </w:r>
      <w:r w:rsidR="002A21E2" w:rsidRPr="00B378D9">
        <w:rPr>
          <w:color w:val="000000" w:themeColor="text1"/>
          <w:sz w:val="24"/>
          <w:szCs w:val="24"/>
        </w:rPr>
        <w:t xml:space="preserve"> This finding is remarkable since </w:t>
      </w:r>
      <w:r w:rsidR="002A21E2" w:rsidRPr="00B378D9">
        <w:rPr>
          <w:i/>
          <w:color w:val="000000" w:themeColor="text1"/>
          <w:sz w:val="24"/>
          <w:szCs w:val="24"/>
        </w:rPr>
        <w:t>A. calcoaceticus</w:t>
      </w:r>
      <w:r w:rsidR="002A21E2" w:rsidRPr="00B378D9">
        <w:rPr>
          <w:color w:val="000000" w:themeColor="text1"/>
          <w:sz w:val="24"/>
          <w:szCs w:val="24"/>
        </w:rPr>
        <w:t xml:space="preserve"> is generally </w:t>
      </w:r>
      <w:r w:rsidR="002A21E2" w:rsidRPr="00B378D9">
        <w:rPr>
          <w:color w:val="000000" w:themeColor="text1"/>
          <w:sz w:val="24"/>
          <w:szCs w:val="24"/>
        </w:rPr>
        <w:lastRenderedPageBreak/>
        <w:t>considered a harmless environmental species (although sometimes found in clinical specimens), which has not developed resistance to antibiotics over the past decades, in contrast to other species of the Abc complex.</w:t>
      </w:r>
      <w:r w:rsidR="007666A7" w:rsidRPr="00B378D9">
        <w:rPr>
          <w:color w:val="000000" w:themeColor="text1"/>
          <w:sz w:val="24"/>
          <w:szCs w:val="24"/>
        </w:rPr>
        <w:t xml:space="preserve"> The only</w:t>
      </w:r>
      <w:r w:rsidR="00961087" w:rsidRPr="00B378D9">
        <w:rPr>
          <w:color w:val="000000" w:themeColor="text1"/>
          <w:sz w:val="24"/>
          <w:szCs w:val="24"/>
        </w:rPr>
        <w:t xml:space="preserve"> </w:t>
      </w:r>
      <w:r w:rsidR="00961087" w:rsidRPr="00B378D9">
        <w:rPr>
          <w:i/>
          <w:color w:val="000000" w:themeColor="text1"/>
          <w:sz w:val="24"/>
          <w:szCs w:val="24"/>
        </w:rPr>
        <w:t>A.variabilis</w:t>
      </w:r>
      <w:r w:rsidR="00961087" w:rsidRPr="00B378D9">
        <w:rPr>
          <w:color w:val="000000" w:themeColor="text1"/>
          <w:sz w:val="24"/>
          <w:szCs w:val="24"/>
        </w:rPr>
        <w:t xml:space="preserve"> isol</w:t>
      </w:r>
      <w:r w:rsidR="000A3815" w:rsidRPr="00B378D9">
        <w:rPr>
          <w:color w:val="000000" w:themeColor="text1"/>
          <w:sz w:val="24"/>
          <w:szCs w:val="24"/>
        </w:rPr>
        <w:t>ate, Ava15/1, also harboured IS</w:t>
      </w:r>
      <w:r w:rsidR="000A3815" w:rsidRPr="00B378D9">
        <w:rPr>
          <w:i/>
          <w:color w:val="000000" w:themeColor="text1"/>
          <w:sz w:val="24"/>
          <w:szCs w:val="24"/>
        </w:rPr>
        <w:t>Aba1</w:t>
      </w:r>
      <w:r w:rsidR="000A3815" w:rsidRPr="00B378D9">
        <w:rPr>
          <w:color w:val="000000" w:themeColor="text1"/>
          <w:sz w:val="24"/>
          <w:szCs w:val="24"/>
        </w:rPr>
        <w:t>-</w:t>
      </w:r>
      <w:r w:rsidR="00961087" w:rsidRPr="00B378D9">
        <w:rPr>
          <w:i/>
          <w:color w:val="000000" w:themeColor="text1"/>
          <w:sz w:val="24"/>
          <w:szCs w:val="24"/>
        </w:rPr>
        <w:t>bla</w:t>
      </w:r>
      <w:r w:rsidR="00961087" w:rsidRPr="00B378D9">
        <w:rPr>
          <w:color w:val="000000" w:themeColor="text1"/>
          <w:sz w:val="24"/>
          <w:szCs w:val="24"/>
          <w:vertAlign w:val="subscript"/>
        </w:rPr>
        <w:t>OXA-23</w:t>
      </w:r>
      <w:r w:rsidR="00961087" w:rsidRPr="00B378D9">
        <w:rPr>
          <w:color w:val="000000" w:themeColor="text1"/>
          <w:sz w:val="24"/>
          <w:szCs w:val="24"/>
        </w:rPr>
        <w:t xml:space="preserve"> </w:t>
      </w:r>
      <w:r w:rsidR="000A3815" w:rsidRPr="00B378D9">
        <w:rPr>
          <w:color w:val="000000" w:themeColor="text1"/>
          <w:sz w:val="24"/>
          <w:szCs w:val="24"/>
        </w:rPr>
        <w:t>along with</w:t>
      </w:r>
      <w:r w:rsidR="00961087" w:rsidRPr="00B378D9">
        <w:rPr>
          <w:color w:val="000000" w:themeColor="text1"/>
          <w:sz w:val="24"/>
          <w:szCs w:val="24"/>
        </w:rPr>
        <w:t xml:space="preserve"> IS</w:t>
      </w:r>
      <w:r w:rsidR="00961087" w:rsidRPr="00B378D9">
        <w:rPr>
          <w:i/>
          <w:color w:val="000000" w:themeColor="text1"/>
          <w:sz w:val="24"/>
          <w:szCs w:val="24"/>
        </w:rPr>
        <w:t>Aba1</w:t>
      </w:r>
      <w:r w:rsidR="00961087" w:rsidRPr="00B378D9">
        <w:rPr>
          <w:color w:val="000000" w:themeColor="text1"/>
          <w:sz w:val="24"/>
          <w:szCs w:val="24"/>
        </w:rPr>
        <w:t>-</w:t>
      </w:r>
      <w:r w:rsidR="00961087" w:rsidRPr="00B378D9">
        <w:rPr>
          <w:i/>
          <w:color w:val="000000" w:themeColor="text1"/>
          <w:sz w:val="24"/>
          <w:szCs w:val="24"/>
        </w:rPr>
        <w:t>bla</w:t>
      </w:r>
      <w:r w:rsidR="00961087" w:rsidRPr="00B378D9">
        <w:rPr>
          <w:color w:val="000000" w:themeColor="text1"/>
          <w:sz w:val="24"/>
          <w:szCs w:val="24"/>
          <w:vertAlign w:val="subscript"/>
        </w:rPr>
        <w:t>OXA-51</w:t>
      </w:r>
      <w:r w:rsidR="00961087" w:rsidRPr="00B378D9">
        <w:rPr>
          <w:color w:val="000000" w:themeColor="text1"/>
          <w:sz w:val="24"/>
          <w:szCs w:val="24"/>
        </w:rPr>
        <w:t xml:space="preserve"> (</w:t>
      </w:r>
      <w:r w:rsidR="000F4E66" w:rsidRPr="00B378D9">
        <w:rPr>
          <w:color w:val="000000" w:themeColor="text1"/>
          <w:sz w:val="24"/>
          <w:szCs w:val="24"/>
        </w:rPr>
        <w:t>Table S3</w:t>
      </w:r>
      <w:r w:rsidR="00961087" w:rsidRPr="00B378D9">
        <w:rPr>
          <w:noProof/>
          <w:color w:val="000000" w:themeColor="text1"/>
          <w:sz w:val="24"/>
          <w:szCs w:val="24"/>
        </w:rPr>
        <w:t>)</w:t>
      </w:r>
      <w:r w:rsidR="00961087" w:rsidRPr="00B378D9">
        <w:rPr>
          <w:color w:val="000000" w:themeColor="text1"/>
          <w:sz w:val="24"/>
          <w:szCs w:val="24"/>
        </w:rPr>
        <w:t xml:space="preserve"> but the isolate was</w:t>
      </w:r>
      <w:r w:rsidR="00B70CA8" w:rsidRPr="00B378D9">
        <w:rPr>
          <w:color w:val="000000" w:themeColor="text1"/>
          <w:sz w:val="24"/>
          <w:szCs w:val="24"/>
        </w:rPr>
        <w:t xml:space="preserve"> intriguingly</w:t>
      </w:r>
      <w:r w:rsidR="00961087" w:rsidRPr="00B378D9">
        <w:rPr>
          <w:color w:val="000000" w:themeColor="text1"/>
          <w:sz w:val="24"/>
          <w:szCs w:val="24"/>
        </w:rPr>
        <w:t xml:space="preserve"> carbapenem susceptible. </w:t>
      </w:r>
      <w:r w:rsidR="00347DB8" w:rsidRPr="00B378D9">
        <w:rPr>
          <w:color w:val="000000" w:themeColor="text1"/>
          <w:sz w:val="24"/>
          <w:szCs w:val="24"/>
        </w:rPr>
        <w:t>Only</w:t>
      </w:r>
      <w:r w:rsidR="00961087" w:rsidRPr="00B378D9">
        <w:rPr>
          <w:color w:val="000000" w:themeColor="text1"/>
          <w:sz w:val="24"/>
          <w:szCs w:val="24"/>
        </w:rPr>
        <w:t xml:space="preserve"> one</w:t>
      </w:r>
      <w:r w:rsidR="00347DB8" w:rsidRPr="00B378D9">
        <w:rPr>
          <w:color w:val="000000" w:themeColor="text1"/>
          <w:sz w:val="24"/>
          <w:szCs w:val="24"/>
        </w:rPr>
        <w:t xml:space="preserve"> </w:t>
      </w:r>
      <w:r w:rsidR="00347DB8" w:rsidRPr="00B378D9">
        <w:rPr>
          <w:i/>
          <w:color w:val="000000" w:themeColor="text1"/>
          <w:sz w:val="24"/>
          <w:szCs w:val="24"/>
        </w:rPr>
        <w:t>A. baumannii</w:t>
      </w:r>
      <w:r w:rsidR="00961087" w:rsidRPr="00B378D9">
        <w:rPr>
          <w:color w:val="000000" w:themeColor="text1"/>
          <w:sz w:val="24"/>
          <w:szCs w:val="24"/>
        </w:rPr>
        <w:t xml:space="preserve"> isolate, Aba15/114</w:t>
      </w:r>
      <w:r w:rsidR="00B70CA8" w:rsidRPr="00B378D9">
        <w:rPr>
          <w:color w:val="000000" w:themeColor="text1"/>
          <w:sz w:val="24"/>
          <w:szCs w:val="24"/>
        </w:rPr>
        <w:t>,</w:t>
      </w:r>
      <w:r w:rsidR="00961087" w:rsidRPr="00B378D9">
        <w:rPr>
          <w:color w:val="000000" w:themeColor="text1"/>
          <w:sz w:val="24"/>
          <w:szCs w:val="24"/>
        </w:rPr>
        <w:t xml:space="preserve"> </w:t>
      </w:r>
      <w:r w:rsidR="00961087" w:rsidRPr="00B378D9">
        <w:rPr>
          <w:noProof/>
          <w:color w:val="000000" w:themeColor="text1"/>
          <w:sz w:val="24"/>
          <w:szCs w:val="24"/>
        </w:rPr>
        <w:t>harboured</w:t>
      </w:r>
      <w:r w:rsidR="00961087" w:rsidRPr="00B378D9">
        <w:rPr>
          <w:color w:val="000000" w:themeColor="text1"/>
          <w:sz w:val="24"/>
          <w:szCs w:val="24"/>
        </w:rPr>
        <w:t xml:space="preserve"> the IS</w:t>
      </w:r>
      <w:r w:rsidR="00961087" w:rsidRPr="00B378D9">
        <w:rPr>
          <w:i/>
          <w:color w:val="000000" w:themeColor="text1"/>
          <w:sz w:val="24"/>
          <w:szCs w:val="24"/>
        </w:rPr>
        <w:t>Aba1</w:t>
      </w:r>
      <w:r w:rsidR="00961087" w:rsidRPr="00B378D9">
        <w:rPr>
          <w:color w:val="000000" w:themeColor="text1"/>
          <w:sz w:val="24"/>
          <w:szCs w:val="24"/>
        </w:rPr>
        <w:t>-</w:t>
      </w:r>
      <w:r w:rsidR="00961087" w:rsidRPr="00B378D9">
        <w:rPr>
          <w:i/>
          <w:color w:val="000000" w:themeColor="text1"/>
          <w:sz w:val="24"/>
          <w:szCs w:val="24"/>
        </w:rPr>
        <w:t>bla</w:t>
      </w:r>
      <w:r w:rsidR="00961087" w:rsidRPr="00B378D9">
        <w:rPr>
          <w:color w:val="000000" w:themeColor="text1"/>
          <w:sz w:val="24"/>
          <w:szCs w:val="24"/>
          <w:vertAlign w:val="subscript"/>
        </w:rPr>
        <w:t>OXA-23</w:t>
      </w:r>
      <w:r w:rsidR="00961087" w:rsidRPr="00B378D9">
        <w:rPr>
          <w:color w:val="000000" w:themeColor="text1"/>
          <w:sz w:val="24"/>
          <w:szCs w:val="24"/>
        </w:rPr>
        <w:t xml:space="preserve"> configuration but was carbapenem-susceptible (</w:t>
      </w:r>
      <w:r w:rsidR="000F4E66" w:rsidRPr="00B378D9">
        <w:rPr>
          <w:color w:val="000000" w:themeColor="text1"/>
          <w:sz w:val="24"/>
          <w:szCs w:val="24"/>
        </w:rPr>
        <w:t>Table S3</w:t>
      </w:r>
      <w:r w:rsidR="00961087" w:rsidRPr="00B378D9">
        <w:rPr>
          <w:color w:val="000000" w:themeColor="text1"/>
          <w:sz w:val="24"/>
          <w:szCs w:val="24"/>
        </w:rPr>
        <w:t xml:space="preserve">); all other </w:t>
      </w:r>
      <w:r w:rsidR="00961087" w:rsidRPr="00B378D9">
        <w:rPr>
          <w:i/>
          <w:color w:val="000000" w:themeColor="text1"/>
          <w:sz w:val="24"/>
          <w:szCs w:val="24"/>
        </w:rPr>
        <w:t xml:space="preserve">A. baumannii </w:t>
      </w:r>
      <w:r w:rsidR="00961087" w:rsidRPr="00B378D9">
        <w:rPr>
          <w:color w:val="000000" w:themeColor="text1"/>
          <w:sz w:val="24"/>
          <w:szCs w:val="24"/>
        </w:rPr>
        <w:t>isolates that contained IS</w:t>
      </w:r>
      <w:r w:rsidR="00961087" w:rsidRPr="00B378D9">
        <w:rPr>
          <w:i/>
          <w:color w:val="000000" w:themeColor="text1"/>
          <w:sz w:val="24"/>
          <w:szCs w:val="24"/>
        </w:rPr>
        <w:t>Aba1</w:t>
      </w:r>
      <w:r w:rsidR="00961087" w:rsidRPr="00B378D9">
        <w:rPr>
          <w:color w:val="000000" w:themeColor="text1"/>
          <w:sz w:val="24"/>
          <w:szCs w:val="24"/>
        </w:rPr>
        <w:t>-</w:t>
      </w:r>
      <w:r w:rsidR="00961087" w:rsidRPr="00B378D9">
        <w:rPr>
          <w:i/>
          <w:color w:val="000000" w:themeColor="text1"/>
          <w:sz w:val="24"/>
          <w:szCs w:val="24"/>
        </w:rPr>
        <w:t>bla</w:t>
      </w:r>
      <w:r w:rsidR="00961087" w:rsidRPr="00B378D9">
        <w:rPr>
          <w:color w:val="000000" w:themeColor="text1"/>
          <w:sz w:val="24"/>
          <w:szCs w:val="24"/>
          <w:vertAlign w:val="subscript"/>
        </w:rPr>
        <w:t>OXA-23</w:t>
      </w:r>
      <w:r w:rsidR="00961087" w:rsidRPr="00B378D9">
        <w:rPr>
          <w:color w:val="000000" w:themeColor="text1"/>
          <w:sz w:val="24"/>
          <w:szCs w:val="24"/>
        </w:rPr>
        <w:t xml:space="preserve"> were </w:t>
      </w:r>
      <w:r w:rsidR="00961087" w:rsidRPr="00B378D9">
        <w:rPr>
          <w:noProof/>
          <w:color w:val="000000" w:themeColor="text1"/>
          <w:sz w:val="24"/>
          <w:szCs w:val="24"/>
        </w:rPr>
        <w:t>carbapenem-resistant</w:t>
      </w:r>
      <w:r w:rsidR="00961087" w:rsidRPr="00B378D9">
        <w:rPr>
          <w:color w:val="000000" w:themeColor="text1"/>
          <w:sz w:val="24"/>
          <w:szCs w:val="24"/>
        </w:rPr>
        <w:t>.</w:t>
      </w:r>
      <w:r w:rsidR="004171BB" w:rsidRPr="00B378D9">
        <w:rPr>
          <w:color w:val="000000" w:themeColor="text1"/>
          <w:sz w:val="24"/>
          <w:szCs w:val="24"/>
        </w:rPr>
        <w:t xml:space="preserve"> </w:t>
      </w:r>
      <w:r w:rsidR="00806D17" w:rsidRPr="00B378D9">
        <w:rPr>
          <w:color w:val="000000" w:themeColor="text1"/>
          <w:sz w:val="24"/>
          <w:szCs w:val="24"/>
        </w:rPr>
        <w:t>Isolates with</w:t>
      </w:r>
      <w:r w:rsidR="0020241C" w:rsidRPr="00B378D9">
        <w:rPr>
          <w:color w:val="000000" w:themeColor="text1"/>
          <w:sz w:val="24"/>
          <w:szCs w:val="24"/>
        </w:rPr>
        <w:t xml:space="preserve"> </w:t>
      </w:r>
      <w:r w:rsidR="00207ACA" w:rsidRPr="00B378D9">
        <w:rPr>
          <w:i/>
          <w:color w:val="000000" w:themeColor="text1"/>
          <w:sz w:val="24"/>
          <w:szCs w:val="24"/>
        </w:rPr>
        <w:t>bla</w:t>
      </w:r>
      <w:r w:rsidR="00207ACA" w:rsidRPr="00B378D9">
        <w:rPr>
          <w:color w:val="000000" w:themeColor="text1"/>
          <w:sz w:val="24"/>
          <w:szCs w:val="24"/>
          <w:vertAlign w:val="subscript"/>
        </w:rPr>
        <w:t>OXA-23</w:t>
      </w:r>
      <w:r w:rsidR="00207ACA" w:rsidRPr="00B378D9">
        <w:rPr>
          <w:color w:val="000000" w:themeColor="text1"/>
          <w:sz w:val="24"/>
          <w:szCs w:val="24"/>
        </w:rPr>
        <w:t xml:space="preserve"> </w:t>
      </w:r>
      <w:r w:rsidR="00806D17" w:rsidRPr="00B378D9">
        <w:rPr>
          <w:color w:val="000000" w:themeColor="text1"/>
          <w:sz w:val="24"/>
          <w:szCs w:val="24"/>
        </w:rPr>
        <w:t xml:space="preserve">but yet carbapenem susceptible </w:t>
      </w:r>
      <w:r w:rsidR="000A3815" w:rsidRPr="00B378D9">
        <w:rPr>
          <w:color w:val="000000" w:themeColor="text1"/>
          <w:sz w:val="24"/>
          <w:szCs w:val="24"/>
        </w:rPr>
        <w:t>were</w:t>
      </w:r>
      <w:r w:rsidR="00207ACA" w:rsidRPr="00B378D9">
        <w:rPr>
          <w:color w:val="000000" w:themeColor="text1"/>
          <w:sz w:val="24"/>
          <w:szCs w:val="24"/>
        </w:rPr>
        <w:t xml:space="preserve"> also found in the 2011 HSNZ </w:t>
      </w:r>
      <w:r w:rsidR="00207ACA" w:rsidRPr="00B378D9">
        <w:rPr>
          <w:i/>
          <w:color w:val="000000" w:themeColor="text1"/>
          <w:sz w:val="24"/>
          <w:szCs w:val="24"/>
        </w:rPr>
        <w:t>A. baumannii</w:t>
      </w:r>
      <w:r w:rsidR="00207ACA" w:rsidRPr="00B378D9">
        <w:rPr>
          <w:color w:val="000000" w:themeColor="text1"/>
          <w:sz w:val="24"/>
          <w:szCs w:val="24"/>
        </w:rPr>
        <w:t xml:space="preserve"> isolates </w:t>
      </w:r>
      <w:r w:rsidR="00207ACA"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00207ACA" w:rsidRPr="00B378D9">
        <w:rPr>
          <w:color w:val="000000" w:themeColor="text1"/>
          <w:sz w:val="24"/>
          <w:szCs w:val="24"/>
        </w:rPr>
        <w:fldChar w:fldCharType="separate"/>
      </w:r>
      <w:r w:rsidR="00575F7D" w:rsidRPr="00B378D9">
        <w:rPr>
          <w:noProof/>
          <w:color w:val="000000" w:themeColor="text1"/>
          <w:sz w:val="24"/>
          <w:szCs w:val="24"/>
        </w:rPr>
        <w:t>[19]</w:t>
      </w:r>
      <w:r w:rsidR="00207ACA" w:rsidRPr="00B378D9">
        <w:rPr>
          <w:color w:val="000000" w:themeColor="text1"/>
          <w:sz w:val="24"/>
          <w:szCs w:val="24"/>
        </w:rPr>
        <w:fldChar w:fldCharType="end"/>
      </w:r>
      <w:r w:rsidR="00207ACA" w:rsidRPr="00B378D9">
        <w:rPr>
          <w:color w:val="000000" w:themeColor="text1"/>
          <w:sz w:val="24"/>
          <w:szCs w:val="24"/>
        </w:rPr>
        <w:t xml:space="preserve"> and a previous study from Malaysia </w:t>
      </w:r>
      <w:r w:rsidR="00207ACA"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{"citationItems":[{"id":"ITEM-1","itemData":{"DOI":"10.1099/jmm.0.082263-0","abstract":"Antimicrobial resistance in Acinetobacter baumannii is a growing public health concern and an important pathogen in nosocomial infections. We investigated the genes involved in resistance to carbapenems and cephalosporins in clinical A. baumannii isolates from a tertiary medical centre in Malaysia. A. baumannii was isolated from 167 clinical specimens and identified by sequencing of the 16S rRNA and rpoB genes. The MIC for imipenem, meropenem, ceftazidime and cefepime were determined by the E-test method. The presence of carbapenemase and cephalosporinase genes was investigated by PCR. The isolates were predominantly nonsusceptible to carbapenems and cephalosporins (.70%) with high MIC values. ISAba1 was detected in all carbapenem-nonsusceptible A. baumannii harbouring the blaOXA-23-like gene. The presence of blaOXA-51-like and ISAba1 upstream of blaOXA-51 was not associated with nonsusceptibility to carbapenems. A. baumannii isolates harbouring ISAba1-blaADC (85.8%) were significantly associated with nonsusceptibility to cephalosporins (P,0.0001). However, ISAba1-blaADC was not detected in a minority (,10 %) of the isolates which were nonsusceptible to cephalosporins. The acquired OXA-23 enzymes were responsible for nonsusceptibility to carbapenems in our clinical A. baumannii isolates and warrant continuous surveillance to prevent further dissemination of this antibiotic resistance gene. The presence of ISAba1 upstream of the blaADC was a determinant for cephalosporin resistance. However, the absence of this ISAba1-blaADC in some of the isolates may suggest other resistance mechanisms and need further investigation.","author":[{"dropping-particle":"","family":"Biglari","given":"Shirin","non-dropping-particle":"","parse-names":false,"suffix":""},{"dropping-particle":"","family":"Alfizah","given":"Hanafiah","non-dropping-particle":"","parse-names":false,"suffix":""},{"dropping-particle":"","family":"Ramliza","given":"Ramli","non-dropping-particle":"","parse-names":false,"suffix":""},{"dropping-particle":"","family":"Rahman","given":"Mostafizur","non-dropping-particle":"","parse-names":false,"suffix":""}],"container-title":"Journal of Medical Microbiology","id":"ITEM-1","issue":"1","issued":{"date-parts":[["2015"]]},"page":"53-58","title":"Molecular characterization of carbapenemase and cephalosporinase genes among clinical isolates of Acinetobacter baumannii in a tertiary medical centre in Malaysia","type":"article-journal","volume":"64"},"uris":["http://www.mendeley.com/documents/?uuid=4a21c876-f667-4ad6-96cc-e21f064a1f30"]}],"mendeley":{"formattedCitation":"[34]","plainTextFormattedCitation":"[34]","previouslyFormattedCitation":"[34]"},"properties":{"noteIndex":0},"schema":"https://github.com/citation-style-language/schema/raw/master/csl-citation.json"}</w:instrText>
      </w:r>
      <w:r w:rsidR="00207ACA" w:rsidRPr="00B378D9">
        <w:rPr>
          <w:color w:val="000000" w:themeColor="text1"/>
          <w:sz w:val="24"/>
          <w:szCs w:val="24"/>
        </w:rPr>
        <w:fldChar w:fldCharType="separate"/>
      </w:r>
      <w:r w:rsidR="00575F7D" w:rsidRPr="00B378D9">
        <w:rPr>
          <w:noProof/>
          <w:color w:val="000000" w:themeColor="text1"/>
          <w:sz w:val="24"/>
          <w:szCs w:val="24"/>
        </w:rPr>
        <w:t>[34]</w:t>
      </w:r>
      <w:r w:rsidR="00207ACA" w:rsidRPr="00B378D9">
        <w:rPr>
          <w:color w:val="000000" w:themeColor="text1"/>
          <w:sz w:val="24"/>
          <w:szCs w:val="24"/>
        </w:rPr>
        <w:fldChar w:fldCharType="end"/>
      </w:r>
      <w:r w:rsidR="00207ACA" w:rsidRPr="00B378D9">
        <w:rPr>
          <w:color w:val="000000" w:themeColor="text1"/>
          <w:sz w:val="24"/>
          <w:szCs w:val="24"/>
        </w:rPr>
        <w:t>.</w:t>
      </w:r>
      <w:r w:rsidR="00ED1BF0" w:rsidRPr="00B378D9">
        <w:rPr>
          <w:color w:val="000000" w:themeColor="text1"/>
          <w:sz w:val="24"/>
          <w:szCs w:val="24"/>
        </w:rPr>
        <w:t xml:space="preserve"> </w:t>
      </w:r>
      <w:r w:rsidR="00207ACA" w:rsidRPr="00B378D9">
        <w:rPr>
          <w:color w:val="000000" w:themeColor="text1"/>
          <w:sz w:val="24"/>
          <w:szCs w:val="24"/>
        </w:rPr>
        <w:t xml:space="preserve">The reason for the </w:t>
      </w:r>
      <w:r w:rsidR="00B70CA8" w:rsidRPr="00B378D9">
        <w:rPr>
          <w:color w:val="000000" w:themeColor="text1"/>
          <w:sz w:val="24"/>
          <w:szCs w:val="24"/>
        </w:rPr>
        <w:t xml:space="preserve">carbapenem </w:t>
      </w:r>
      <w:r w:rsidR="00207ACA" w:rsidRPr="00B378D9">
        <w:rPr>
          <w:color w:val="000000" w:themeColor="text1"/>
          <w:sz w:val="24"/>
          <w:szCs w:val="24"/>
        </w:rPr>
        <w:t>susceptibility of the</w:t>
      </w:r>
      <w:r w:rsidR="0026784D" w:rsidRPr="00B378D9">
        <w:rPr>
          <w:color w:val="000000" w:themeColor="text1"/>
          <w:sz w:val="24"/>
          <w:szCs w:val="24"/>
        </w:rPr>
        <w:t>se</w:t>
      </w:r>
      <w:r w:rsidR="00207ACA" w:rsidRPr="00B378D9">
        <w:rPr>
          <w:color w:val="000000" w:themeColor="text1"/>
          <w:sz w:val="24"/>
          <w:szCs w:val="24"/>
        </w:rPr>
        <w:t xml:space="preserve"> isolates</w:t>
      </w:r>
      <w:r w:rsidR="002C5FA5" w:rsidRPr="00B378D9">
        <w:rPr>
          <w:color w:val="000000" w:themeColor="text1"/>
          <w:sz w:val="24"/>
          <w:szCs w:val="24"/>
        </w:rPr>
        <w:t>,</w:t>
      </w:r>
      <w:r w:rsidR="00207ACA" w:rsidRPr="00B378D9">
        <w:rPr>
          <w:color w:val="000000" w:themeColor="text1"/>
          <w:sz w:val="24"/>
          <w:szCs w:val="24"/>
        </w:rPr>
        <w:t xml:space="preserve"> despite containing </w:t>
      </w:r>
      <w:r w:rsidR="00207ACA" w:rsidRPr="00B378D9">
        <w:rPr>
          <w:i/>
          <w:color w:val="000000" w:themeColor="text1"/>
          <w:sz w:val="24"/>
          <w:szCs w:val="24"/>
        </w:rPr>
        <w:t>bla</w:t>
      </w:r>
      <w:r w:rsidR="00207ACA" w:rsidRPr="00B378D9">
        <w:rPr>
          <w:color w:val="000000" w:themeColor="text1"/>
          <w:sz w:val="24"/>
          <w:szCs w:val="24"/>
          <w:vertAlign w:val="subscript"/>
        </w:rPr>
        <w:t>OXA-23</w:t>
      </w:r>
      <w:r w:rsidR="00207ACA" w:rsidRPr="00B378D9">
        <w:rPr>
          <w:color w:val="000000" w:themeColor="text1"/>
          <w:sz w:val="24"/>
          <w:szCs w:val="24"/>
        </w:rPr>
        <w:t xml:space="preserve"> or even IS</w:t>
      </w:r>
      <w:r w:rsidR="00207ACA" w:rsidRPr="00B378D9">
        <w:rPr>
          <w:i/>
          <w:color w:val="000000" w:themeColor="text1"/>
          <w:sz w:val="24"/>
          <w:szCs w:val="24"/>
        </w:rPr>
        <w:t>Aba1-bla</w:t>
      </w:r>
      <w:r w:rsidR="00207ACA" w:rsidRPr="00B378D9">
        <w:rPr>
          <w:color w:val="000000" w:themeColor="text1"/>
          <w:sz w:val="24"/>
          <w:szCs w:val="24"/>
          <w:vertAlign w:val="subscript"/>
        </w:rPr>
        <w:t>OXA-23</w:t>
      </w:r>
      <w:r w:rsidR="002C5FA5" w:rsidRPr="00B378D9">
        <w:rPr>
          <w:color w:val="000000" w:themeColor="text1"/>
          <w:sz w:val="24"/>
          <w:szCs w:val="24"/>
        </w:rPr>
        <w:t xml:space="preserve">, </w:t>
      </w:r>
      <w:r w:rsidR="00B70CA8" w:rsidRPr="00B378D9">
        <w:rPr>
          <w:color w:val="000000" w:themeColor="text1"/>
          <w:sz w:val="24"/>
          <w:szCs w:val="24"/>
        </w:rPr>
        <w:t>is un</w:t>
      </w:r>
      <w:r w:rsidR="00207ACA" w:rsidRPr="00B378D9">
        <w:rPr>
          <w:color w:val="000000" w:themeColor="text1"/>
          <w:sz w:val="24"/>
          <w:szCs w:val="24"/>
        </w:rPr>
        <w:t>known. Perhaps the IS</w:t>
      </w:r>
      <w:r w:rsidR="00207ACA" w:rsidRPr="00B378D9">
        <w:rPr>
          <w:i/>
          <w:color w:val="000000" w:themeColor="text1"/>
          <w:sz w:val="24"/>
          <w:szCs w:val="24"/>
        </w:rPr>
        <w:t>Aba1</w:t>
      </w:r>
      <w:r w:rsidR="00207ACA" w:rsidRPr="00B378D9">
        <w:rPr>
          <w:color w:val="000000" w:themeColor="text1"/>
          <w:sz w:val="24"/>
          <w:szCs w:val="24"/>
        </w:rPr>
        <w:t xml:space="preserve"> is inserted in a position whereby its ou</w:t>
      </w:r>
      <w:r w:rsidR="000A3815" w:rsidRPr="00B378D9">
        <w:rPr>
          <w:color w:val="000000" w:themeColor="text1"/>
          <w:sz w:val="24"/>
          <w:szCs w:val="24"/>
        </w:rPr>
        <w:t>tward-directing promoter is non-</w:t>
      </w:r>
      <w:r w:rsidR="00207ACA" w:rsidRPr="00B378D9">
        <w:rPr>
          <w:color w:val="000000" w:themeColor="text1"/>
          <w:sz w:val="24"/>
          <w:szCs w:val="24"/>
        </w:rPr>
        <w:t xml:space="preserve">functional, thereby the expression of </w:t>
      </w:r>
      <w:r w:rsidR="00207ACA" w:rsidRPr="00B378D9">
        <w:rPr>
          <w:i/>
          <w:color w:val="000000" w:themeColor="text1"/>
          <w:sz w:val="24"/>
          <w:szCs w:val="24"/>
        </w:rPr>
        <w:t>bla</w:t>
      </w:r>
      <w:r w:rsidR="00207ACA" w:rsidRPr="00B378D9">
        <w:rPr>
          <w:color w:val="000000" w:themeColor="text1"/>
          <w:sz w:val="24"/>
          <w:szCs w:val="24"/>
          <w:vertAlign w:val="subscript"/>
        </w:rPr>
        <w:t xml:space="preserve">OXA-23 </w:t>
      </w:r>
      <w:r w:rsidR="00207ACA" w:rsidRPr="00B378D9">
        <w:rPr>
          <w:color w:val="000000" w:themeColor="text1"/>
          <w:sz w:val="24"/>
          <w:szCs w:val="24"/>
        </w:rPr>
        <w:t xml:space="preserve">remains low. </w:t>
      </w:r>
      <w:r w:rsidR="00B70CA8" w:rsidRPr="00B378D9">
        <w:rPr>
          <w:noProof/>
          <w:color w:val="000000" w:themeColor="text1"/>
          <w:sz w:val="24"/>
          <w:szCs w:val="24"/>
        </w:rPr>
        <w:t xml:space="preserve">Alternatively, </w:t>
      </w:r>
      <w:r w:rsidR="00207ACA" w:rsidRPr="00B378D9">
        <w:rPr>
          <w:color w:val="000000" w:themeColor="text1"/>
          <w:sz w:val="24"/>
          <w:szCs w:val="24"/>
        </w:rPr>
        <w:t xml:space="preserve">the </w:t>
      </w:r>
      <w:r w:rsidR="00207ACA" w:rsidRPr="00B378D9">
        <w:rPr>
          <w:i/>
          <w:color w:val="000000" w:themeColor="text1"/>
          <w:sz w:val="24"/>
          <w:szCs w:val="24"/>
        </w:rPr>
        <w:t>bla</w:t>
      </w:r>
      <w:r w:rsidR="00207ACA" w:rsidRPr="00B378D9">
        <w:rPr>
          <w:color w:val="000000" w:themeColor="text1"/>
          <w:sz w:val="24"/>
          <w:szCs w:val="24"/>
          <w:vertAlign w:val="subscript"/>
        </w:rPr>
        <w:t>OXA-23</w:t>
      </w:r>
      <w:r w:rsidR="0026784D" w:rsidRPr="00B378D9">
        <w:rPr>
          <w:color w:val="000000" w:themeColor="text1"/>
          <w:sz w:val="24"/>
          <w:szCs w:val="24"/>
        </w:rPr>
        <w:t xml:space="preserve"> gene in these isolates </w:t>
      </w:r>
      <w:r w:rsidR="00B70CA8" w:rsidRPr="00B378D9">
        <w:rPr>
          <w:color w:val="000000" w:themeColor="text1"/>
          <w:sz w:val="24"/>
          <w:szCs w:val="24"/>
        </w:rPr>
        <w:t>could be</w:t>
      </w:r>
      <w:r w:rsidR="00207ACA" w:rsidRPr="00B378D9">
        <w:rPr>
          <w:color w:val="000000" w:themeColor="text1"/>
          <w:sz w:val="24"/>
          <w:szCs w:val="24"/>
        </w:rPr>
        <w:t xml:space="preserve"> mutated, resulting in a non-functional</w:t>
      </w:r>
      <w:r w:rsidR="0026784D" w:rsidRPr="00B378D9">
        <w:rPr>
          <w:color w:val="000000" w:themeColor="text1"/>
          <w:sz w:val="24"/>
          <w:szCs w:val="24"/>
        </w:rPr>
        <w:t xml:space="preserve"> carbapenemase which renders</w:t>
      </w:r>
      <w:r w:rsidR="00B70CA8" w:rsidRPr="00B378D9">
        <w:rPr>
          <w:color w:val="000000" w:themeColor="text1"/>
          <w:sz w:val="24"/>
          <w:szCs w:val="24"/>
        </w:rPr>
        <w:t xml:space="preserve"> the host isolate carbapenem susceptible</w:t>
      </w:r>
      <w:r w:rsidR="00207ACA" w:rsidRPr="00B378D9">
        <w:rPr>
          <w:color w:val="000000" w:themeColor="text1"/>
          <w:sz w:val="24"/>
          <w:szCs w:val="24"/>
        </w:rPr>
        <w:t xml:space="preserve">. </w:t>
      </w:r>
      <w:r w:rsidR="00ED1BF0" w:rsidRPr="00B378D9">
        <w:rPr>
          <w:color w:val="000000" w:themeColor="text1"/>
          <w:sz w:val="24"/>
          <w:szCs w:val="24"/>
        </w:rPr>
        <w:t xml:space="preserve">Wang </w:t>
      </w:r>
      <w:r w:rsidR="00207ACA" w:rsidRPr="00B378D9">
        <w:rPr>
          <w:noProof/>
          <w:color w:val="000000" w:themeColor="text1"/>
          <w:sz w:val="24"/>
          <w:szCs w:val="24"/>
        </w:rPr>
        <w:t>et al.</w:t>
      </w:r>
      <w:r w:rsidR="00ED1BF0" w:rsidRPr="00B378D9">
        <w:rPr>
          <w:color w:val="000000" w:themeColor="text1"/>
          <w:sz w:val="24"/>
          <w:szCs w:val="24"/>
        </w:rPr>
        <w:t xml:space="preserve"> </w:t>
      </w:r>
      <w:r w:rsidR="00ED1BF0"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{"citationItems":[{"id":"ITEM-1","itemData":{"DOI":"10.1016/j.jmii.2014.01.007","ISSN":"19959133","PMID":"24675065","abstract":"Background/purpose: To investigate the characterization of bla&lt;inf&gt;OxA-23&lt;/inf&gt; gene regions in isolates of Acinetobacter baumannii from Taizhou Municipal Hospital. Methods: Fifty-nine non-repetitive, multiresistant (including imipenem-resistant) isolates of A. baumannii were recovered from clinical infections in hospitalized patients from January 2010 to August 2011 in Taizhou Municipal Hospital (affiliated with Taizhou University) in China. These isolates were genotyped using pulsed-field gel electrophoresis (PFGE). bla&lt;inf&gt;OxA-23&lt;/inf&gt; β-lactamase and associated genetic structures were analyzed using polymerase chain reaction (PCR), and recombination plasmids were analyzed by BamHI- or SacI- restriction enzyme digestion; predicted promoter structures of bla&lt;inf&gt;OxA-23&lt;/inf&gt; genes were determined and compared using protein-protein BLAST analysis. Results: Fifteen out of 59 isolates expressing imipenem-resistant A. baumannii clinical isolates acquired either a bla&lt;inf&gt;OxA-23&lt;/inf&gt; β-lactamase gene. A new gene cluster (ISAba1-bla&lt;inf&gt;OxA-23&lt;/inf&gt;-AMP) with three previously identified transposons (Tn2006, Tn2007, and Tn2008) and one previously identified gene cluster (ISAba1- bla&lt;inf&gt;OxA-23&lt;/inf&gt;) was found in the isolates. Recombination plasmids were analyzed by restriction enzyme digestion. Conclusion: Our results indicate that pattern A was the most prevalent molecular type based on PFGE, and that different clones might be widespread with a majority of ISAba1-bla&lt;inf&gt;OxA-23&lt;/inf&gt; clonal lineages in the 15 PCR positive isolates of A. baumannii in the hospital.","author":[{"dropping-particle":"","family":"Wang","given":"Dongguo","non-dropping-particle":"","parse-names":false,"suffix":""},{"dropping-particle":"","family":"Yan","given":"Dongliang","non-dropping-particle":"","parse-names":false,"suffix":""},{"dropping-particle":"","family":"Hou","given":"Wei","non-dropping-particle":"","parse-names":false,"suffix":""},{"dropping-particle":"","family":"Zeng","given":"Xiaohua","non-dropping-particle":"","parse-names":false,"suffix":""},{"dropping-particle":"","family":"Qi","given":"Yongxiao","non-dropping-particle":"","parse-names":false,"suffix":""},{"dropping-particle":"","family":"Chen","given":"Jiayu","non-dropping-particle":"","parse-names":false,"suffix":""}],"container-title":"Journal of Microbiology, Immunology and Infection","id":"ITEM-1","issue":"3","issued":{"date-parts":[["2015"]]},"page":"284-290","publisher":"Elsevier Taiwan LLC","title":"Characterization of blaOXA-23 gene regions in isolates of Acinetobacter baumannii","type":"article-journal","volume":"48"},"uris":["http://www.mendeley.com/documents/?uuid=dd724f72-3d3a-4096-a13d-9dfde59a1432"]}],"mendeley":{"formattedCitation":"[35]","plainTextFormattedCitation":"[35]","previouslyFormattedCitation":"[35]"},"properties":{"noteIndex":0},"schema":"https://github.com/citation-style-language/schema/raw/master/csl-citation.json"}</w:instrText>
      </w:r>
      <w:r w:rsidR="00ED1BF0" w:rsidRPr="00B378D9">
        <w:rPr>
          <w:color w:val="000000" w:themeColor="text1"/>
          <w:sz w:val="24"/>
          <w:szCs w:val="24"/>
        </w:rPr>
        <w:fldChar w:fldCharType="separate"/>
      </w:r>
      <w:r w:rsidR="00575F7D" w:rsidRPr="00B378D9">
        <w:rPr>
          <w:noProof/>
          <w:color w:val="000000" w:themeColor="text1"/>
          <w:sz w:val="24"/>
          <w:szCs w:val="24"/>
        </w:rPr>
        <w:t>[35]</w:t>
      </w:r>
      <w:r w:rsidR="00ED1BF0" w:rsidRPr="00B378D9">
        <w:rPr>
          <w:color w:val="000000" w:themeColor="text1"/>
          <w:sz w:val="24"/>
          <w:szCs w:val="24"/>
        </w:rPr>
        <w:fldChar w:fldCharType="end"/>
      </w:r>
      <w:r w:rsidR="00207ACA" w:rsidRPr="00B378D9">
        <w:rPr>
          <w:color w:val="000000" w:themeColor="text1"/>
          <w:sz w:val="24"/>
          <w:szCs w:val="24"/>
        </w:rPr>
        <w:t xml:space="preserve"> suggested that the detection of IS</w:t>
      </w:r>
      <w:r w:rsidR="00207ACA" w:rsidRPr="00B378D9">
        <w:rPr>
          <w:i/>
          <w:color w:val="000000" w:themeColor="text1"/>
          <w:sz w:val="24"/>
          <w:szCs w:val="24"/>
        </w:rPr>
        <w:t>Aba</w:t>
      </w:r>
      <w:r w:rsidR="00207ACA" w:rsidRPr="00B378D9">
        <w:rPr>
          <w:color w:val="000000" w:themeColor="text1"/>
          <w:sz w:val="24"/>
          <w:szCs w:val="24"/>
        </w:rPr>
        <w:t>1-</w:t>
      </w:r>
      <w:r w:rsidR="00207ACA" w:rsidRPr="00B378D9">
        <w:rPr>
          <w:i/>
          <w:color w:val="000000" w:themeColor="text1"/>
          <w:sz w:val="24"/>
          <w:szCs w:val="24"/>
        </w:rPr>
        <w:t>bla</w:t>
      </w:r>
      <w:r w:rsidR="00207ACA" w:rsidRPr="00B378D9">
        <w:rPr>
          <w:color w:val="000000" w:themeColor="text1"/>
          <w:sz w:val="24"/>
          <w:szCs w:val="24"/>
          <w:vertAlign w:val="subscript"/>
        </w:rPr>
        <w:t xml:space="preserve">OXA-23 </w:t>
      </w:r>
      <w:r w:rsidR="000A3815" w:rsidRPr="00B378D9">
        <w:rPr>
          <w:color w:val="000000" w:themeColor="text1"/>
          <w:sz w:val="24"/>
          <w:szCs w:val="24"/>
        </w:rPr>
        <w:t>in carbapenem-</w:t>
      </w:r>
      <w:r w:rsidR="00207ACA" w:rsidRPr="00B378D9">
        <w:rPr>
          <w:color w:val="000000" w:themeColor="text1"/>
          <w:sz w:val="24"/>
          <w:szCs w:val="24"/>
        </w:rPr>
        <w:t xml:space="preserve">susceptible isolates might be due to the downregulation of the IS element in the isolates or gene truncation at the 5’ terminus downstream of the </w:t>
      </w:r>
      <w:r w:rsidR="00207ACA" w:rsidRPr="00B378D9">
        <w:rPr>
          <w:i/>
          <w:color w:val="000000" w:themeColor="text1"/>
          <w:sz w:val="24"/>
          <w:szCs w:val="24"/>
        </w:rPr>
        <w:t>bla</w:t>
      </w:r>
      <w:r w:rsidR="00207ACA" w:rsidRPr="00B378D9">
        <w:rPr>
          <w:color w:val="000000" w:themeColor="text1"/>
          <w:sz w:val="24"/>
          <w:szCs w:val="24"/>
          <w:vertAlign w:val="subscript"/>
        </w:rPr>
        <w:t xml:space="preserve">OXA-23 </w:t>
      </w:r>
      <w:r w:rsidR="00207ACA" w:rsidRPr="00B378D9">
        <w:rPr>
          <w:color w:val="000000" w:themeColor="text1"/>
          <w:sz w:val="24"/>
          <w:szCs w:val="24"/>
        </w:rPr>
        <w:t xml:space="preserve">gene.  </w:t>
      </w:r>
      <w:r w:rsidR="00207ACA" w:rsidRPr="00B378D9">
        <w:rPr>
          <w:noProof/>
          <w:color w:val="000000" w:themeColor="text1"/>
          <w:sz w:val="24"/>
          <w:szCs w:val="24"/>
        </w:rPr>
        <w:t>Researchers</w:t>
      </w:r>
      <w:r w:rsidR="00207ACA" w:rsidRPr="00B378D9">
        <w:rPr>
          <w:color w:val="000000" w:themeColor="text1"/>
          <w:sz w:val="24"/>
          <w:szCs w:val="24"/>
        </w:rPr>
        <w:t xml:space="preserve"> also suggested that gene down-regulation by the translational frameshift of IS</w:t>
      </w:r>
      <w:r w:rsidR="00207ACA" w:rsidRPr="00B378D9">
        <w:rPr>
          <w:i/>
          <w:color w:val="000000" w:themeColor="text1"/>
          <w:sz w:val="24"/>
          <w:szCs w:val="24"/>
        </w:rPr>
        <w:t>Aba</w:t>
      </w:r>
      <w:r w:rsidR="00207ACA" w:rsidRPr="00B378D9">
        <w:rPr>
          <w:color w:val="000000" w:themeColor="text1"/>
          <w:sz w:val="24"/>
          <w:szCs w:val="24"/>
        </w:rPr>
        <w:t xml:space="preserve">1 towards </w:t>
      </w:r>
      <w:r w:rsidR="00207ACA" w:rsidRPr="00B378D9">
        <w:rPr>
          <w:i/>
          <w:color w:val="000000" w:themeColor="text1"/>
          <w:sz w:val="24"/>
          <w:szCs w:val="24"/>
        </w:rPr>
        <w:t>bla</w:t>
      </w:r>
      <w:r w:rsidR="00207ACA" w:rsidRPr="00B378D9">
        <w:rPr>
          <w:color w:val="000000" w:themeColor="text1"/>
          <w:sz w:val="24"/>
          <w:szCs w:val="24"/>
          <w:vertAlign w:val="subscript"/>
        </w:rPr>
        <w:t xml:space="preserve">OXA-23 </w:t>
      </w:r>
      <w:r w:rsidR="00207ACA" w:rsidRPr="00B378D9">
        <w:rPr>
          <w:color w:val="000000" w:themeColor="text1"/>
          <w:sz w:val="24"/>
          <w:szCs w:val="24"/>
        </w:rPr>
        <w:t>could occur depending on how IS</w:t>
      </w:r>
      <w:r w:rsidR="00207ACA" w:rsidRPr="00B378D9">
        <w:rPr>
          <w:i/>
          <w:color w:val="000000" w:themeColor="text1"/>
          <w:sz w:val="24"/>
          <w:szCs w:val="24"/>
        </w:rPr>
        <w:t xml:space="preserve">Aba1 </w:t>
      </w:r>
      <w:r w:rsidR="00ED1BF0" w:rsidRPr="00B378D9">
        <w:rPr>
          <w:color w:val="000000" w:themeColor="text1"/>
          <w:sz w:val="24"/>
          <w:szCs w:val="24"/>
        </w:rPr>
        <w:t xml:space="preserve">was </w:t>
      </w:r>
      <w:r w:rsidR="00207ACA" w:rsidRPr="00B378D9">
        <w:rPr>
          <w:color w:val="000000" w:themeColor="text1"/>
          <w:sz w:val="24"/>
          <w:szCs w:val="24"/>
        </w:rPr>
        <w:t xml:space="preserve">inserted upstream of the </w:t>
      </w:r>
      <w:r w:rsidR="00207ACA" w:rsidRPr="00B378D9">
        <w:rPr>
          <w:i/>
          <w:color w:val="000000" w:themeColor="text1"/>
          <w:sz w:val="24"/>
          <w:szCs w:val="24"/>
        </w:rPr>
        <w:t>bla</w:t>
      </w:r>
      <w:r w:rsidR="00207ACA" w:rsidRPr="00B378D9">
        <w:rPr>
          <w:color w:val="000000" w:themeColor="text1"/>
          <w:sz w:val="24"/>
          <w:szCs w:val="24"/>
          <w:vertAlign w:val="subscript"/>
        </w:rPr>
        <w:t>OXA-23</w:t>
      </w:r>
      <w:r w:rsidR="00207ACA" w:rsidRPr="00B378D9">
        <w:rPr>
          <w:color w:val="000000" w:themeColor="text1"/>
          <w:sz w:val="24"/>
          <w:szCs w:val="24"/>
        </w:rPr>
        <w:t xml:space="preserve"> gene</w:t>
      </w:r>
      <w:r w:rsidR="00ED1BF0" w:rsidRPr="00B378D9">
        <w:rPr>
          <w:color w:val="000000" w:themeColor="text1"/>
          <w:sz w:val="24"/>
          <w:szCs w:val="24"/>
        </w:rPr>
        <w:t xml:space="preserve"> </w:t>
      </w:r>
      <w:r w:rsidR="00ED1BF0"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{"citationItems":[{"id":"ITEM-1","itemData":{"DOI":"10.1128/JB.01258-08","ISSN":"1098-5530","PMID":"19136598","abstract":"ISAba1 is an insertion sequence that is widely distributed in Acinetobacter baumannii. We demonstrated here that ISAba1 and the composite transposon Tn2006 are capable of transposition, generating 9-bp target site duplications. The expression of the ISAba1 transposase-encoding gene was downregulated by translational frameshifting.","author":[{"dropping-particle":"","family":"Mugnier","given":"Pauline D","non-dropping-particle":"","parse-names":false,"suffix":""},{"dropping-particle":"","family":"Poirel","given":"Laurent","non-dropping-particle":"","parse-names":false,"suffix":""},{"dropping-particle":"","family":"Nordmann","given":"Patrice","non-dropping-particle":"","parse-names":false,"suffix":""}],"container-title":"Journal of bacteriology","id":"ITEM-1","issue":"7","issued":{"date-parts":[["2009","4"]]},"page":"2414-8","title":"Functional analysis of insertion sequence ISAba1, responsible for genomic plasticity of Acinetobacter baumannii.","type":"article-journal","volume":"191"},"uris":["http://www.mendeley.com/documents/?uuid=3ec2a955-ffa4-4eca-be9e-7228c295daa7"]}],"mendeley":{"formattedCitation":"[36]","plainTextFormattedCitation":"[36]","previouslyFormattedCitation":"[36]"},"properties":{"noteIndex":0},"schema":"https://github.com/citation-style-language/schema/raw/master/csl-citation.json"}</w:instrText>
      </w:r>
      <w:r w:rsidR="00ED1BF0" w:rsidRPr="00B378D9">
        <w:rPr>
          <w:color w:val="000000" w:themeColor="text1"/>
          <w:sz w:val="24"/>
          <w:szCs w:val="24"/>
        </w:rPr>
        <w:fldChar w:fldCharType="separate"/>
      </w:r>
      <w:r w:rsidR="00575F7D" w:rsidRPr="00B378D9">
        <w:rPr>
          <w:noProof/>
          <w:color w:val="000000" w:themeColor="text1"/>
          <w:sz w:val="24"/>
          <w:szCs w:val="24"/>
        </w:rPr>
        <w:t>[36]</w:t>
      </w:r>
      <w:r w:rsidR="00ED1BF0" w:rsidRPr="00B378D9">
        <w:rPr>
          <w:color w:val="000000" w:themeColor="text1"/>
          <w:sz w:val="24"/>
          <w:szCs w:val="24"/>
        </w:rPr>
        <w:fldChar w:fldCharType="end"/>
      </w:r>
      <w:r w:rsidR="00207ACA" w:rsidRPr="00B378D9">
        <w:rPr>
          <w:color w:val="000000" w:themeColor="text1"/>
          <w:sz w:val="24"/>
          <w:szCs w:val="24"/>
        </w:rPr>
        <w:t xml:space="preserve">. These should </w:t>
      </w:r>
      <w:r w:rsidR="00207ACA" w:rsidRPr="00B378D9">
        <w:rPr>
          <w:noProof/>
          <w:color w:val="000000" w:themeColor="text1"/>
          <w:sz w:val="24"/>
          <w:szCs w:val="24"/>
        </w:rPr>
        <w:t>be investigated</w:t>
      </w:r>
      <w:r w:rsidR="00207ACA" w:rsidRPr="00B378D9">
        <w:rPr>
          <w:color w:val="000000" w:themeColor="text1"/>
          <w:sz w:val="24"/>
          <w:szCs w:val="24"/>
        </w:rPr>
        <w:t xml:space="preserve"> in future studies through full sequencing of these loci as well as measuring the expression levels of these carbapenemase genes.</w:t>
      </w:r>
    </w:p>
    <w:p w14:paraId="5D2ECCEC" w14:textId="67522385" w:rsidR="000C66E5" w:rsidRPr="00B378D9" w:rsidRDefault="000A3815" w:rsidP="00E768FE">
      <w:pPr>
        <w:spacing w:line="480" w:lineRule="auto"/>
        <w:ind w:left="0" w:firstLine="708"/>
        <w:rPr>
          <w:color w:val="000000" w:themeColor="text1"/>
          <w:sz w:val="24"/>
          <w:szCs w:val="24"/>
        </w:rPr>
      </w:pPr>
      <w:r w:rsidRPr="00B378D9">
        <w:rPr>
          <w:noProof/>
          <w:color w:val="000000" w:themeColor="text1"/>
          <w:sz w:val="24"/>
          <w:szCs w:val="24"/>
        </w:rPr>
        <w:t>T</w:t>
      </w:r>
      <w:r w:rsidR="00311262" w:rsidRPr="00B378D9">
        <w:rPr>
          <w:noProof/>
          <w:color w:val="000000" w:themeColor="text1"/>
          <w:sz w:val="24"/>
          <w:szCs w:val="24"/>
        </w:rPr>
        <w:t xml:space="preserve">wo other </w:t>
      </w:r>
      <w:r w:rsidR="00485C3F" w:rsidRPr="00B378D9">
        <w:rPr>
          <w:noProof/>
          <w:color w:val="000000" w:themeColor="text1"/>
          <w:sz w:val="24"/>
          <w:szCs w:val="24"/>
        </w:rPr>
        <w:t xml:space="preserve">acquired </w:t>
      </w:r>
      <w:r w:rsidR="00311262" w:rsidRPr="00B378D9">
        <w:rPr>
          <w:noProof/>
          <w:color w:val="000000" w:themeColor="text1"/>
          <w:sz w:val="24"/>
          <w:szCs w:val="24"/>
        </w:rPr>
        <w:t>carbapenemase</w:t>
      </w:r>
      <w:r w:rsidR="00485C3F" w:rsidRPr="00B378D9">
        <w:rPr>
          <w:noProof/>
          <w:color w:val="000000" w:themeColor="text1"/>
          <w:sz w:val="24"/>
          <w:szCs w:val="24"/>
        </w:rPr>
        <w:t xml:space="preserve"> genes</w:t>
      </w:r>
      <w:r w:rsidR="00311262" w:rsidRPr="00B378D9">
        <w:rPr>
          <w:noProof/>
          <w:color w:val="000000" w:themeColor="text1"/>
          <w:sz w:val="24"/>
          <w:szCs w:val="24"/>
        </w:rPr>
        <w:t xml:space="preserve"> detected in the Terengganu </w:t>
      </w:r>
      <w:r w:rsidR="00311262" w:rsidRPr="00B378D9">
        <w:rPr>
          <w:i/>
          <w:noProof/>
          <w:color w:val="000000" w:themeColor="text1"/>
          <w:sz w:val="24"/>
          <w:szCs w:val="24"/>
        </w:rPr>
        <w:t>Acinetobacter</w:t>
      </w:r>
      <w:r w:rsidR="00311262" w:rsidRPr="00B378D9">
        <w:rPr>
          <w:noProof/>
          <w:color w:val="000000" w:themeColor="text1"/>
          <w:sz w:val="24"/>
          <w:szCs w:val="24"/>
        </w:rPr>
        <w:t xml:space="preserve"> isolates were </w:t>
      </w:r>
      <w:r w:rsidR="00311262" w:rsidRPr="00B378D9">
        <w:rPr>
          <w:i/>
          <w:noProof/>
          <w:color w:val="000000" w:themeColor="text1"/>
          <w:sz w:val="24"/>
          <w:szCs w:val="24"/>
        </w:rPr>
        <w:t>bla</w:t>
      </w:r>
      <w:r w:rsidR="00311262" w:rsidRPr="00B378D9">
        <w:rPr>
          <w:noProof/>
          <w:color w:val="000000" w:themeColor="text1"/>
          <w:sz w:val="24"/>
          <w:szCs w:val="24"/>
          <w:vertAlign w:val="subscript"/>
        </w:rPr>
        <w:t>OXA-24</w:t>
      </w:r>
      <w:r w:rsidR="00311262" w:rsidRPr="00B378D9">
        <w:rPr>
          <w:noProof/>
          <w:color w:val="000000" w:themeColor="text1"/>
          <w:sz w:val="24"/>
          <w:szCs w:val="24"/>
        </w:rPr>
        <w:t xml:space="preserve"> and </w:t>
      </w:r>
      <w:r w:rsidR="00311262" w:rsidRPr="00B378D9">
        <w:rPr>
          <w:i/>
          <w:noProof/>
          <w:color w:val="000000" w:themeColor="text1"/>
          <w:sz w:val="24"/>
          <w:szCs w:val="24"/>
        </w:rPr>
        <w:t>bla</w:t>
      </w:r>
      <w:r w:rsidR="00311262" w:rsidRPr="00B378D9">
        <w:rPr>
          <w:noProof/>
          <w:color w:val="000000" w:themeColor="text1"/>
          <w:sz w:val="24"/>
          <w:szCs w:val="24"/>
          <w:vertAlign w:val="subscript"/>
        </w:rPr>
        <w:t>OXA-58</w:t>
      </w:r>
      <w:r w:rsidR="00F012DA" w:rsidRPr="00B378D9">
        <w:rPr>
          <w:noProof/>
          <w:color w:val="000000" w:themeColor="text1"/>
          <w:sz w:val="24"/>
          <w:szCs w:val="24"/>
        </w:rPr>
        <w:t>. The</w:t>
      </w:r>
      <w:r w:rsidR="00311262" w:rsidRPr="00B378D9">
        <w:rPr>
          <w:noProof/>
          <w:color w:val="000000" w:themeColor="text1"/>
          <w:sz w:val="24"/>
          <w:szCs w:val="24"/>
        </w:rPr>
        <w:t xml:space="preserve"> </w:t>
      </w:r>
      <w:r w:rsidR="00311262" w:rsidRPr="00B378D9">
        <w:rPr>
          <w:i/>
          <w:noProof/>
          <w:color w:val="000000" w:themeColor="text1"/>
          <w:sz w:val="24"/>
          <w:szCs w:val="24"/>
        </w:rPr>
        <w:t>bla</w:t>
      </w:r>
      <w:r w:rsidR="00311262" w:rsidRPr="00B378D9">
        <w:rPr>
          <w:noProof/>
          <w:color w:val="000000" w:themeColor="text1"/>
          <w:sz w:val="24"/>
          <w:szCs w:val="24"/>
          <w:vertAlign w:val="subscript"/>
        </w:rPr>
        <w:t>OXA-24</w:t>
      </w:r>
      <w:r w:rsidR="00311262" w:rsidRPr="00B378D9">
        <w:rPr>
          <w:noProof/>
          <w:color w:val="000000" w:themeColor="text1"/>
          <w:sz w:val="24"/>
          <w:szCs w:val="24"/>
        </w:rPr>
        <w:t xml:space="preserve"> </w:t>
      </w:r>
      <w:r w:rsidR="00F012DA" w:rsidRPr="00B378D9">
        <w:rPr>
          <w:noProof/>
          <w:color w:val="000000" w:themeColor="text1"/>
          <w:sz w:val="24"/>
          <w:szCs w:val="24"/>
        </w:rPr>
        <w:t xml:space="preserve">gene was </w:t>
      </w:r>
      <w:r w:rsidR="00311262" w:rsidRPr="00B378D9">
        <w:rPr>
          <w:noProof/>
          <w:color w:val="000000" w:themeColor="text1"/>
          <w:sz w:val="24"/>
          <w:szCs w:val="24"/>
        </w:rPr>
        <w:t xml:space="preserve">found in six </w:t>
      </w:r>
      <w:r w:rsidR="00311262" w:rsidRPr="00B378D9">
        <w:rPr>
          <w:i/>
          <w:noProof/>
          <w:color w:val="000000" w:themeColor="text1"/>
          <w:sz w:val="24"/>
          <w:szCs w:val="24"/>
        </w:rPr>
        <w:t>A. baumannii</w:t>
      </w:r>
      <w:r w:rsidR="00311262" w:rsidRPr="00B378D9">
        <w:rPr>
          <w:noProof/>
          <w:color w:val="000000" w:themeColor="text1"/>
          <w:sz w:val="24"/>
          <w:szCs w:val="24"/>
        </w:rPr>
        <w:t xml:space="preserve"> and one </w:t>
      </w:r>
      <w:r w:rsidR="00311262" w:rsidRPr="00B378D9">
        <w:rPr>
          <w:i/>
          <w:noProof/>
          <w:color w:val="000000" w:themeColor="text1"/>
          <w:sz w:val="24"/>
          <w:szCs w:val="24"/>
        </w:rPr>
        <w:t>A. calcoaceticus</w:t>
      </w:r>
      <w:r w:rsidR="00311262" w:rsidRPr="00B378D9">
        <w:rPr>
          <w:noProof/>
          <w:color w:val="000000" w:themeColor="text1"/>
          <w:sz w:val="24"/>
          <w:szCs w:val="24"/>
        </w:rPr>
        <w:t xml:space="preserve"> isolate, whereas </w:t>
      </w:r>
      <w:r w:rsidR="00311262" w:rsidRPr="00B378D9">
        <w:rPr>
          <w:i/>
          <w:noProof/>
          <w:color w:val="000000" w:themeColor="text1"/>
          <w:sz w:val="24"/>
          <w:szCs w:val="24"/>
        </w:rPr>
        <w:t>bla</w:t>
      </w:r>
      <w:r w:rsidR="00311262" w:rsidRPr="00B378D9">
        <w:rPr>
          <w:noProof/>
          <w:color w:val="000000" w:themeColor="text1"/>
          <w:sz w:val="24"/>
          <w:szCs w:val="24"/>
          <w:vertAlign w:val="subscript"/>
        </w:rPr>
        <w:t>OXA-58</w:t>
      </w:r>
      <w:r w:rsidR="00311262" w:rsidRPr="00B378D9">
        <w:rPr>
          <w:noProof/>
          <w:color w:val="000000" w:themeColor="text1"/>
          <w:sz w:val="24"/>
          <w:szCs w:val="24"/>
        </w:rPr>
        <w:t xml:space="preserve"> was found in only two </w:t>
      </w:r>
      <w:r w:rsidR="00311262" w:rsidRPr="00B378D9">
        <w:rPr>
          <w:i/>
          <w:noProof/>
          <w:color w:val="000000" w:themeColor="text1"/>
          <w:sz w:val="24"/>
          <w:szCs w:val="24"/>
        </w:rPr>
        <w:t>A. baumannii</w:t>
      </w:r>
      <w:r w:rsidR="00311262" w:rsidRPr="00B378D9">
        <w:rPr>
          <w:noProof/>
          <w:color w:val="000000" w:themeColor="text1"/>
          <w:sz w:val="24"/>
          <w:szCs w:val="24"/>
        </w:rPr>
        <w:t xml:space="preserve"> and one </w:t>
      </w:r>
      <w:r w:rsidR="00311262" w:rsidRPr="00B378D9">
        <w:rPr>
          <w:i/>
          <w:noProof/>
          <w:color w:val="000000" w:themeColor="text1"/>
          <w:sz w:val="24"/>
          <w:szCs w:val="24"/>
        </w:rPr>
        <w:t>A. nosocomialis</w:t>
      </w:r>
      <w:r w:rsidR="00311262" w:rsidRPr="00B378D9">
        <w:rPr>
          <w:noProof/>
          <w:color w:val="000000" w:themeColor="text1"/>
          <w:sz w:val="24"/>
          <w:szCs w:val="24"/>
        </w:rPr>
        <w:t xml:space="preserve"> isolate</w:t>
      </w:r>
      <w:r w:rsidR="00686F74" w:rsidRPr="00B378D9">
        <w:rPr>
          <w:noProof/>
          <w:color w:val="000000" w:themeColor="text1"/>
          <w:sz w:val="24"/>
          <w:szCs w:val="24"/>
        </w:rPr>
        <w:t xml:space="preserve"> (</w:t>
      </w:r>
      <w:r w:rsidR="008C4DB2" w:rsidRPr="00B378D9">
        <w:rPr>
          <w:noProof/>
          <w:color w:val="000000" w:themeColor="text1"/>
          <w:sz w:val="24"/>
          <w:szCs w:val="24"/>
        </w:rPr>
        <w:t xml:space="preserve">Table </w:t>
      </w:r>
      <w:r w:rsidR="000F4E66" w:rsidRPr="00B378D9">
        <w:rPr>
          <w:noProof/>
          <w:color w:val="000000" w:themeColor="text1"/>
          <w:sz w:val="24"/>
          <w:szCs w:val="24"/>
        </w:rPr>
        <w:t>S3</w:t>
      </w:r>
      <w:r w:rsidR="007379EA" w:rsidRPr="00B378D9">
        <w:rPr>
          <w:noProof/>
          <w:color w:val="000000" w:themeColor="text1"/>
          <w:sz w:val="24"/>
          <w:szCs w:val="24"/>
        </w:rPr>
        <w:t>; Figure S3</w:t>
      </w:r>
      <w:r w:rsidR="00686F74" w:rsidRPr="00B378D9">
        <w:rPr>
          <w:noProof/>
          <w:color w:val="000000" w:themeColor="text1"/>
          <w:sz w:val="24"/>
          <w:szCs w:val="24"/>
        </w:rPr>
        <w:t>)</w:t>
      </w:r>
      <w:r w:rsidR="00311262" w:rsidRPr="00B378D9">
        <w:rPr>
          <w:noProof/>
          <w:color w:val="000000" w:themeColor="text1"/>
          <w:sz w:val="24"/>
          <w:szCs w:val="24"/>
        </w:rPr>
        <w:t>.</w:t>
      </w:r>
      <w:r w:rsidR="00311262" w:rsidRPr="00B378D9">
        <w:rPr>
          <w:color w:val="000000" w:themeColor="text1"/>
          <w:sz w:val="24"/>
          <w:szCs w:val="24"/>
        </w:rPr>
        <w:t xml:space="preserve"> </w:t>
      </w:r>
      <w:r w:rsidR="000C66E5" w:rsidRPr="00B378D9">
        <w:rPr>
          <w:i/>
          <w:color w:val="000000" w:themeColor="text1"/>
          <w:sz w:val="24"/>
          <w:szCs w:val="24"/>
        </w:rPr>
        <w:t>A. nosocomialis</w:t>
      </w:r>
      <w:r w:rsidR="000C66E5" w:rsidRPr="00B378D9">
        <w:rPr>
          <w:color w:val="000000" w:themeColor="text1"/>
          <w:sz w:val="24"/>
          <w:szCs w:val="24"/>
        </w:rPr>
        <w:t xml:space="preserve"> </w:t>
      </w:r>
      <w:r w:rsidR="000C66E5" w:rsidRPr="00B378D9">
        <w:rPr>
          <w:color w:val="000000" w:themeColor="text1"/>
          <w:sz w:val="24"/>
          <w:szCs w:val="24"/>
        </w:rPr>
        <w:lastRenderedPageBreak/>
        <w:t>Ans15/3 which co-harbo</w:t>
      </w:r>
      <w:r w:rsidR="007666A7" w:rsidRPr="00B378D9">
        <w:rPr>
          <w:color w:val="000000" w:themeColor="text1"/>
          <w:sz w:val="24"/>
          <w:szCs w:val="24"/>
        </w:rPr>
        <w:t>u</w:t>
      </w:r>
      <w:r w:rsidR="000C66E5" w:rsidRPr="00B378D9">
        <w:rPr>
          <w:color w:val="000000" w:themeColor="text1"/>
          <w:sz w:val="24"/>
          <w:szCs w:val="24"/>
        </w:rPr>
        <w:t xml:space="preserve">red both </w:t>
      </w:r>
      <w:r w:rsidR="000C66E5" w:rsidRPr="00B378D9">
        <w:rPr>
          <w:i/>
          <w:color w:val="000000" w:themeColor="text1"/>
          <w:sz w:val="24"/>
          <w:szCs w:val="24"/>
        </w:rPr>
        <w:t>bla</w:t>
      </w:r>
      <w:r w:rsidR="000C66E5" w:rsidRPr="00B378D9">
        <w:rPr>
          <w:color w:val="000000" w:themeColor="text1"/>
          <w:sz w:val="24"/>
          <w:szCs w:val="24"/>
          <w:vertAlign w:val="subscript"/>
        </w:rPr>
        <w:t>OXA-58</w:t>
      </w:r>
      <w:r w:rsidR="000C66E5" w:rsidRPr="00B378D9">
        <w:rPr>
          <w:color w:val="000000" w:themeColor="text1"/>
          <w:sz w:val="24"/>
          <w:szCs w:val="24"/>
        </w:rPr>
        <w:t xml:space="preserve"> and </w:t>
      </w:r>
      <w:r w:rsidR="000C66E5" w:rsidRPr="00B378D9">
        <w:rPr>
          <w:i/>
          <w:color w:val="000000" w:themeColor="text1"/>
          <w:sz w:val="24"/>
          <w:szCs w:val="24"/>
        </w:rPr>
        <w:t>bla</w:t>
      </w:r>
      <w:r w:rsidR="000C66E5" w:rsidRPr="00B378D9">
        <w:rPr>
          <w:color w:val="000000" w:themeColor="text1"/>
          <w:sz w:val="24"/>
          <w:szCs w:val="24"/>
          <w:vertAlign w:val="subscript"/>
        </w:rPr>
        <w:t>OXA-23</w:t>
      </w:r>
      <w:r w:rsidR="007666A7" w:rsidRPr="00B378D9">
        <w:rPr>
          <w:color w:val="000000" w:themeColor="text1"/>
          <w:sz w:val="24"/>
          <w:szCs w:val="24"/>
        </w:rPr>
        <w:t xml:space="preserve"> </w:t>
      </w:r>
      <w:r w:rsidR="000C66E5" w:rsidRPr="00B378D9">
        <w:rPr>
          <w:color w:val="000000" w:themeColor="text1"/>
          <w:sz w:val="24"/>
          <w:szCs w:val="24"/>
        </w:rPr>
        <w:t xml:space="preserve">was carbapenem resistant. </w:t>
      </w:r>
      <w:r w:rsidR="00E768FE" w:rsidRPr="00B378D9">
        <w:rPr>
          <w:color w:val="000000" w:themeColor="text1"/>
          <w:sz w:val="24"/>
          <w:szCs w:val="24"/>
        </w:rPr>
        <w:t xml:space="preserve">The </w:t>
      </w:r>
      <w:r w:rsidR="00E768FE" w:rsidRPr="00B378D9">
        <w:rPr>
          <w:i/>
          <w:color w:val="000000" w:themeColor="text1"/>
          <w:sz w:val="24"/>
          <w:szCs w:val="24"/>
        </w:rPr>
        <w:t>bla</w:t>
      </w:r>
      <w:r w:rsidR="00E768FE" w:rsidRPr="00B378D9">
        <w:rPr>
          <w:color w:val="000000" w:themeColor="text1"/>
          <w:sz w:val="24"/>
          <w:szCs w:val="24"/>
          <w:vertAlign w:val="subscript"/>
        </w:rPr>
        <w:t>OXA-58</w:t>
      </w:r>
      <w:r w:rsidR="00E768FE" w:rsidRPr="00B378D9">
        <w:rPr>
          <w:color w:val="000000" w:themeColor="text1"/>
          <w:sz w:val="24"/>
          <w:szCs w:val="24"/>
        </w:rPr>
        <w:t xml:space="preserve">-positive </w:t>
      </w:r>
      <w:r w:rsidR="00E768FE" w:rsidRPr="00B378D9">
        <w:rPr>
          <w:i/>
          <w:color w:val="000000" w:themeColor="text1"/>
          <w:sz w:val="24"/>
          <w:szCs w:val="24"/>
        </w:rPr>
        <w:t>A. baumannii</w:t>
      </w:r>
      <w:r w:rsidR="00E768FE" w:rsidRPr="00B378D9">
        <w:rPr>
          <w:color w:val="000000" w:themeColor="text1"/>
          <w:sz w:val="24"/>
          <w:szCs w:val="24"/>
        </w:rPr>
        <w:t xml:space="preserve"> isolates Aba15/20 and Aba15/21 also harbo</w:t>
      </w:r>
      <w:r w:rsidR="007666A7" w:rsidRPr="00B378D9">
        <w:rPr>
          <w:color w:val="000000" w:themeColor="text1"/>
          <w:sz w:val="24"/>
          <w:szCs w:val="24"/>
        </w:rPr>
        <w:t>u</w:t>
      </w:r>
      <w:r w:rsidR="00E768FE" w:rsidRPr="00B378D9">
        <w:rPr>
          <w:color w:val="000000" w:themeColor="text1"/>
          <w:sz w:val="24"/>
          <w:szCs w:val="24"/>
        </w:rPr>
        <w:t>red IS</w:t>
      </w:r>
      <w:r w:rsidR="00E768FE" w:rsidRPr="00B378D9">
        <w:rPr>
          <w:i/>
          <w:color w:val="000000" w:themeColor="text1"/>
          <w:sz w:val="24"/>
          <w:szCs w:val="24"/>
        </w:rPr>
        <w:t>Aba1</w:t>
      </w:r>
      <w:r w:rsidR="00E768FE" w:rsidRPr="00B378D9">
        <w:rPr>
          <w:color w:val="000000" w:themeColor="text1"/>
          <w:sz w:val="24"/>
          <w:szCs w:val="24"/>
        </w:rPr>
        <w:t>-</w:t>
      </w:r>
      <w:r w:rsidR="00E768FE" w:rsidRPr="00B378D9">
        <w:rPr>
          <w:i/>
          <w:color w:val="000000" w:themeColor="text1"/>
          <w:sz w:val="24"/>
          <w:szCs w:val="24"/>
        </w:rPr>
        <w:t>bla</w:t>
      </w:r>
      <w:r w:rsidR="00E768FE" w:rsidRPr="00B378D9">
        <w:rPr>
          <w:color w:val="000000" w:themeColor="text1"/>
          <w:sz w:val="24"/>
          <w:szCs w:val="24"/>
          <w:vertAlign w:val="subscript"/>
        </w:rPr>
        <w:t>OXA-23</w:t>
      </w:r>
      <w:r w:rsidR="00E768FE" w:rsidRPr="00B378D9">
        <w:rPr>
          <w:color w:val="000000" w:themeColor="text1"/>
          <w:sz w:val="24"/>
          <w:szCs w:val="24"/>
        </w:rPr>
        <w:t xml:space="preserve"> and were resistant to carbapenems. </w:t>
      </w:r>
      <w:r w:rsidR="000C66E5" w:rsidRPr="00B378D9">
        <w:rPr>
          <w:color w:val="000000" w:themeColor="text1"/>
          <w:sz w:val="24"/>
          <w:szCs w:val="24"/>
        </w:rPr>
        <w:t xml:space="preserve">Likewise, </w:t>
      </w:r>
      <w:r w:rsidR="000C66E5" w:rsidRPr="00B378D9">
        <w:rPr>
          <w:i/>
          <w:color w:val="000000" w:themeColor="text1"/>
          <w:sz w:val="24"/>
          <w:szCs w:val="24"/>
        </w:rPr>
        <w:t>A. calcoaceticus</w:t>
      </w:r>
      <w:r w:rsidR="000C66E5" w:rsidRPr="00B378D9">
        <w:rPr>
          <w:color w:val="000000" w:themeColor="text1"/>
          <w:sz w:val="24"/>
          <w:szCs w:val="24"/>
        </w:rPr>
        <w:t xml:space="preserve"> Ac15/2 contained both </w:t>
      </w:r>
      <w:r w:rsidR="000C66E5" w:rsidRPr="00B378D9">
        <w:rPr>
          <w:i/>
          <w:color w:val="000000" w:themeColor="text1"/>
          <w:sz w:val="24"/>
          <w:szCs w:val="24"/>
        </w:rPr>
        <w:t>bla</w:t>
      </w:r>
      <w:r w:rsidR="000C66E5" w:rsidRPr="00B378D9">
        <w:rPr>
          <w:color w:val="000000" w:themeColor="text1"/>
          <w:sz w:val="24"/>
          <w:szCs w:val="24"/>
          <w:vertAlign w:val="subscript"/>
        </w:rPr>
        <w:t>OXA-23</w:t>
      </w:r>
      <w:r w:rsidR="000C66E5" w:rsidRPr="00B378D9">
        <w:rPr>
          <w:color w:val="000000" w:themeColor="text1"/>
          <w:sz w:val="24"/>
          <w:szCs w:val="24"/>
        </w:rPr>
        <w:t xml:space="preserve"> and </w:t>
      </w:r>
      <w:r w:rsidR="000C66E5" w:rsidRPr="00B378D9">
        <w:rPr>
          <w:i/>
          <w:color w:val="000000" w:themeColor="text1"/>
          <w:sz w:val="24"/>
          <w:szCs w:val="24"/>
        </w:rPr>
        <w:t>bla</w:t>
      </w:r>
      <w:r w:rsidR="000C66E5" w:rsidRPr="00B378D9">
        <w:rPr>
          <w:color w:val="000000" w:themeColor="text1"/>
          <w:sz w:val="24"/>
          <w:szCs w:val="24"/>
          <w:vertAlign w:val="subscript"/>
        </w:rPr>
        <w:t>OXA-24</w:t>
      </w:r>
      <w:r w:rsidR="000C66E5" w:rsidRPr="00B378D9">
        <w:rPr>
          <w:color w:val="000000" w:themeColor="text1"/>
          <w:sz w:val="24"/>
          <w:szCs w:val="24"/>
        </w:rPr>
        <w:t xml:space="preserve"> genes and was also carbapenem resistant. However, three of the six </w:t>
      </w:r>
      <w:r w:rsidR="000C66E5" w:rsidRPr="00B378D9">
        <w:rPr>
          <w:i/>
          <w:color w:val="000000" w:themeColor="text1"/>
          <w:sz w:val="24"/>
          <w:szCs w:val="24"/>
        </w:rPr>
        <w:t>A. baumannii</w:t>
      </w:r>
      <w:r w:rsidR="000C66E5" w:rsidRPr="00B378D9">
        <w:rPr>
          <w:color w:val="000000" w:themeColor="text1"/>
          <w:sz w:val="24"/>
          <w:szCs w:val="24"/>
        </w:rPr>
        <w:t xml:space="preserve"> isolates that harbo</w:t>
      </w:r>
      <w:r w:rsidR="007666A7" w:rsidRPr="00B378D9">
        <w:rPr>
          <w:color w:val="000000" w:themeColor="text1"/>
          <w:sz w:val="24"/>
          <w:szCs w:val="24"/>
        </w:rPr>
        <w:t>u</w:t>
      </w:r>
      <w:r w:rsidR="000C66E5" w:rsidRPr="00B378D9">
        <w:rPr>
          <w:color w:val="000000" w:themeColor="text1"/>
          <w:sz w:val="24"/>
          <w:szCs w:val="24"/>
        </w:rPr>
        <w:t xml:space="preserve">red </w:t>
      </w:r>
      <w:r w:rsidR="00E768FE" w:rsidRPr="00B378D9">
        <w:rPr>
          <w:color w:val="000000" w:themeColor="text1"/>
          <w:sz w:val="24"/>
          <w:szCs w:val="24"/>
        </w:rPr>
        <w:t xml:space="preserve">only </w:t>
      </w:r>
      <w:r w:rsidR="000C66E5" w:rsidRPr="00B378D9">
        <w:rPr>
          <w:color w:val="000000" w:themeColor="text1"/>
          <w:sz w:val="24"/>
          <w:szCs w:val="24"/>
        </w:rPr>
        <w:t xml:space="preserve">the </w:t>
      </w:r>
      <w:r w:rsidR="000C66E5" w:rsidRPr="00B378D9">
        <w:rPr>
          <w:i/>
          <w:color w:val="000000" w:themeColor="text1"/>
          <w:sz w:val="24"/>
          <w:szCs w:val="24"/>
        </w:rPr>
        <w:t>bla</w:t>
      </w:r>
      <w:r w:rsidR="000C66E5" w:rsidRPr="00B378D9">
        <w:rPr>
          <w:color w:val="000000" w:themeColor="text1"/>
          <w:sz w:val="24"/>
          <w:szCs w:val="24"/>
          <w:vertAlign w:val="subscript"/>
        </w:rPr>
        <w:t>OXA-24</w:t>
      </w:r>
      <w:r w:rsidR="00E768FE" w:rsidRPr="00B378D9">
        <w:rPr>
          <w:color w:val="000000" w:themeColor="text1"/>
          <w:sz w:val="24"/>
          <w:szCs w:val="24"/>
        </w:rPr>
        <w:t xml:space="preserve"> gene were</w:t>
      </w:r>
      <w:r w:rsidR="000C66E5" w:rsidRPr="00B378D9">
        <w:rPr>
          <w:color w:val="000000" w:themeColor="text1"/>
          <w:sz w:val="24"/>
          <w:szCs w:val="24"/>
        </w:rPr>
        <w:t xml:space="preserve"> carbapenem susceptible (isolates Aba15/37, Aba15/41 and Aba15/42); the other three </w:t>
      </w:r>
      <w:r w:rsidR="000C66E5" w:rsidRPr="00B378D9">
        <w:rPr>
          <w:i/>
          <w:color w:val="000000" w:themeColor="text1"/>
          <w:sz w:val="24"/>
          <w:szCs w:val="24"/>
        </w:rPr>
        <w:t>A. baumannii</w:t>
      </w:r>
      <w:r w:rsidR="000C66E5" w:rsidRPr="00B378D9">
        <w:rPr>
          <w:color w:val="000000" w:themeColor="text1"/>
          <w:sz w:val="24"/>
          <w:szCs w:val="24"/>
        </w:rPr>
        <w:t xml:space="preserve"> isolates were carbapenem resistant but also co-harbo</w:t>
      </w:r>
      <w:r w:rsidR="007666A7" w:rsidRPr="00B378D9">
        <w:rPr>
          <w:color w:val="000000" w:themeColor="text1"/>
          <w:sz w:val="24"/>
          <w:szCs w:val="24"/>
        </w:rPr>
        <w:t>u</w:t>
      </w:r>
      <w:r w:rsidR="000C66E5" w:rsidRPr="00B378D9">
        <w:rPr>
          <w:color w:val="000000" w:themeColor="text1"/>
          <w:sz w:val="24"/>
          <w:szCs w:val="24"/>
        </w:rPr>
        <w:t xml:space="preserve">red the </w:t>
      </w:r>
      <w:r w:rsidR="000C66E5" w:rsidRPr="00B378D9">
        <w:rPr>
          <w:i/>
          <w:color w:val="000000" w:themeColor="text1"/>
          <w:sz w:val="24"/>
          <w:szCs w:val="24"/>
        </w:rPr>
        <w:t>bla</w:t>
      </w:r>
      <w:r w:rsidR="000C66E5" w:rsidRPr="00B378D9">
        <w:rPr>
          <w:color w:val="000000" w:themeColor="text1"/>
          <w:sz w:val="24"/>
          <w:szCs w:val="24"/>
          <w:vertAlign w:val="subscript"/>
        </w:rPr>
        <w:t>OXA-23</w:t>
      </w:r>
      <w:r w:rsidR="000C66E5" w:rsidRPr="00B378D9">
        <w:rPr>
          <w:color w:val="000000" w:themeColor="text1"/>
          <w:sz w:val="24"/>
          <w:szCs w:val="24"/>
        </w:rPr>
        <w:t xml:space="preserve"> gene.  </w:t>
      </w:r>
      <w:r w:rsidR="00056850" w:rsidRPr="00B378D9">
        <w:rPr>
          <w:color w:val="000000" w:themeColor="text1"/>
          <w:sz w:val="24"/>
          <w:szCs w:val="24"/>
        </w:rPr>
        <w:t xml:space="preserve"> </w:t>
      </w:r>
    </w:p>
    <w:p w14:paraId="67787045" w14:textId="02BE2193" w:rsidR="00C8163C" w:rsidRPr="00B378D9" w:rsidRDefault="001702E7" w:rsidP="001702E7">
      <w:pPr>
        <w:spacing w:line="480" w:lineRule="auto"/>
        <w:ind w:left="0" w:firstLine="708"/>
        <w:rPr>
          <w:color w:val="000000" w:themeColor="text1"/>
          <w:sz w:val="24"/>
          <w:szCs w:val="24"/>
        </w:rPr>
      </w:pPr>
      <w:r w:rsidRPr="00B378D9">
        <w:rPr>
          <w:color w:val="000000" w:themeColor="text1"/>
          <w:sz w:val="24"/>
          <w:szCs w:val="24"/>
        </w:rPr>
        <w:t>None of the isolates were found to harbo</w:t>
      </w:r>
      <w:r w:rsidR="002E3858" w:rsidRPr="00B378D9">
        <w:rPr>
          <w:color w:val="000000" w:themeColor="text1"/>
          <w:sz w:val="24"/>
          <w:szCs w:val="24"/>
        </w:rPr>
        <w:t>u</w:t>
      </w:r>
      <w:r w:rsidRPr="00B378D9">
        <w:rPr>
          <w:color w:val="000000" w:themeColor="text1"/>
          <w:sz w:val="24"/>
          <w:szCs w:val="24"/>
        </w:rPr>
        <w:t>r the class B metallo-</w:t>
      </w:r>
      <w:r w:rsidRPr="00B378D9">
        <w:rPr>
          <w:color w:val="000000" w:themeColor="text1"/>
          <w:sz w:val="24"/>
          <w:szCs w:val="24"/>
        </w:rPr>
        <w:sym w:font="Symbol" w:char="F062"/>
      </w:r>
      <w:r w:rsidRPr="00B378D9">
        <w:rPr>
          <w:color w:val="000000" w:themeColor="text1"/>
          <w:sz w:val="24"/>
          <w:szCs w:val="24"/>
        </w:rPr>
        <w:t xml:space="preserve">-lactamase genes </w:t>
      </w:r>
      <w:r w:rsidRPr="00B378D9">
        <w:rPr>
          <w:i/>
          <w:color w:val="000000" w:themeColor="text1"/>
          <w:sz w:val="24"/>
          <w:szCs w:val="24"/>
        </w:rPr>
        <w:t>bla</w:t>
      </w:r>
      <w:r w:rsidRPr="00B378D9">
        <w:rPr>
          <w:color w:val="000000" w:themeColor="text1"/>
          <w:sz w:val="24"/>
          <w:szCs w:val="24"/>
          <w:vertAlign w:val="subscript"/>
        </w:rPr>
        <w:t>IMP</w:t>
      </w:r>
      <w:r w:rsidRPr="00B378D9">
        <w:rPr>
          <w:color w:val="000000" w:themeColor="text1"/>
          <w:sz w:val="24"/>
          <w:szCs w:val="24"/>
        </w:rPr>
        <w:t xml:space="preserve"> and </w:t>
      </w:r>
      <w:r w:rsidRPr="00B378D9">
        <w:rPr>
          <w:i/>
          <w:color w:val="000000" w:themeColor="text1"/>
          <w:sz w:val="24"/>
          <w:szCs w:val="24"/>
        </w:rPr>
        <w:t>bla</w:t>
      </w:r>
      <w:r w:rsidRPr="00B378D9">
        <w:rPr>
          <w:color w:val="000000" w:themeColor="text1"/>
          <w:sz w:val="24"/>
          <w:szCs w:val="24"/>
          <w:vertAlign w:val="subscript"/>
        </w:rPr>
        <w:t>VIM</w:t>
      </w:r>
      <w:r w:rsidRPr="00B378D9">
        <w:rPr>
          <w:color w:val="000000" w:themeColor="text1"/>
          <w:sz w:val="24"/>
          <w:szCs w:val="24"/>
        </w:rPr>
        <w:t>.</w:t>
      </w:r>
      <w:r w:rsidR="00ED1BF0" w:rsidRPr="00B378D9">
        <w:rPr>
          <w:color w:val="000000" w:themeColor="text1"/>
          <w:sz w:val="24"/>
          <w:szCs w:val="24"/>
        </w:rPr>
        <w:t xml:space="preserve"> Nevertheless, the presence of the</w:t>
      </w:r>
      <w:r w:rsidR="000416BE" w:rsidRPr="00B378D9">
        <w:rPr>
          <w:color w:val="000000" w:themeColor="text1"/>
          <w:sz w:val="24"/>
          <w:szCs w:val="24"/>
        </w:rPr>
        <w:t xml:space="preserve"> acquired</w:t>
      </w:r>
      <w:r w:rsidR="00ED1BF0" w:rsidRPr="00B378D9">
        <w:rPr>
          <w:color w:val="000000" w:themeColor="text1"/>
          <w:sz w:val="24"/>
          <w:szCs w:val="24"/>
        </w:rPr>
        <w:t xml:space="preserve"> </w:t>
      </w:r>
      <w:r w:rsidR="00ED1BF0" w:rsidRPr="00B378D9">
        <w:rPr>
          <w:i/>
          <w:color w:val="000000" w:themeColor="text1"/>
          <w:sz w:val="24"/>
          <w:szCs w:val="24"/>
        </w:rPr>
        <w:t>bla</w:t>
      </w:r>
      <w:r w:rsidR="00ED1BF0" w:rsidRPr="00B378D9">
        <w:rPr>
          <w:color w:val="000000" w:themeColor="text1"/>
          <w:sz w:val="24"/>
          <w:szCs w:val="24"/>
          <w:vertAlign w:val="subscript"/>
        </w:rPr>
        <w:t>OXA-23</w:t>
      </w:r>
      <w:r w:rsidR="000416BE" w:rsidRPr="00B378D9">
        <w:rPr>
          <w:color w:val="000000" w:themeColor="text1"/>
          <w:sz w:val="24"/>
          <w:szCs w:val="24"/>
        </w:rPr>
        <w:t xml:space="preserve"> and </w:t>
      </w:r>
      <w:r w:rsidR="000416BE" w:rsidRPr="00B378D9">
        <w:rPr>
          <w:i/>
          <w:color w:val="000000" w:themeColor="text1"/>
          <w:sz w:val="24"/>
          <w:szCs w:val="24"/>
        </w:rPr>
        <w:t>bla</w:t>
      </w:r>
      <w:r w:rsidR="000416BE" w:rsidRPr="00B378D9">
        <w:rPr>
          <w:color w:val="000000" w:themeColor="text1"/>
          <w:sz w:val="24"/>
          <w:szCs w:val="24"/>
          <w:vertAlign w:val="subscript"/>
        </w:rPr>
        <w:t>OXA-24</w:t>
      </w:r>
      <w:r w:rsidR="00ED1BF0" w:rsidRPr="00B378D9">
        <w:rPr>
          <w:color w:val="000000" w:themeColor="text1"/>
          <w:sz w:val="24"/>
          <w:szCs w:val="24"/>
        </w:rPr>
        <w:t xml:space="preserve"> gene</w:t>
      </w:r>
      <w:r w:rsidR="000416BE" w:rsidRPr="00B378D9">
        <w:rPr>
          <w:color w:val="000000" w:themeColor="text1"/>
          <w:sz w:val="24"/>
          <w:szCs w:val="24"/>
        </w:rPr>
        <w:t>s</w:t>
      </w:r>
      <w:r w:rsidR="00ED1BF0" w:rsidRPr="00B378D9">
        <w:rPr>
          <w:color w:val="000000" w:themeColor="text1"/>
          <w:sz w:val="24"/>
          <w:szCs w:val="24"/>
        </w:rPr>
        <w:t xml:space="preserve"> in carbapenem-susceptible </w:t>
      </w:r>
      <w:r w:rsidR="00ED1BF0" w:rsidRPr="00B378D9">
        <w:rPr>
          <w:i/>
          <w:color w:val="000000" w:themeColor="text1"/>
          <w:sz w:val="24"/>
          <w:szCs w:val="24"/>
        </w:rPr>
        <w:t>Acinetobacter</w:t>
      </w:r>
      <w:r w:rsidR="00ED1BF0" w:rsidRPr="00B378D9">
        <w:rPr>
          <w:color w:val="000000" w:themeColor="text1"/>
          <w:sz w:val="24"/>
          <w:szCs w:val="24"/>
        </w:rPr>
        <w:t xml:space="preserve"> spp. </w:t>
      </w:r>
      <w:r w:rsidR="00ED1BF0" w:rsidRPr="00B378D9">
        <w:rPr>
          <w:noProof/>
          <w:color w:val="000000" w:themeColor="text1"/>
          <w:sz w:val="24"/>
          <w:szCs w:val="24"/>
        </w:rPr>
        <w:t>isolates</w:t>
      </w:r>
      <w:r w:rsidR="00ED1BF0" w:rsidRPr="00B378D9">
        <w:rPr>
          <w:color w:val="000000" w:themeColor="text1"/>
          <w:sz w:val="24"/>
          <w:szCs w:val="24"/>
        </w:rPr>
        <w:t xml:space="preserve"> </w:t>
      </w:r>
      <w:r w:rsidR="00ED1BF0" w:rsidRPr="00B378D9">
        <w:rPr>
          <w:noProof/>
          <w:color w:val="000000" w:themeColor="text1"/>
          <w:sz w:val="24"/>
          <w:szCs w:val="24"/>
        </w:rPr>
        <w:t>highlight</w:t>
      </w:r>
      <w:r w:rsidR="002C5FA5" w:rsidRPr="00B378D9">
        <w:rPr>
          <w:noProof/>
          <w:color w:val="000000" w:themeColor="text1"/>
          <w:sz w:val="24"/>
          <w:szCs w:val="24"/>
        </w:rPr>
        <w:t>s</w:t>
      </w:r>
      <w:r w:rsidR="00ED1BF0" w:rsidRPr="00B378D9">
        <w:rPr>
          <w:color w:val="000000" w:themeColor="text1"/>
          <w:sz w:val="24"/>
          <w:szCs w:val="24"/>
        </w:rPr>
        <w:t xml:space="preserve"> the </w:t>
      </w:r>
      <w:r w:rsidR="000416BE" w:rsidRPr="00B378D9">
        <w:rPr>
          <w:color w:val="000000" w:themeColor="text1"/>
          <w:sz w:val="24"/>
          <w:szCs w:val="24"/>
        </w:rPr>
        <w:t xml:space="preserve">potential </w:t>
      </w:r>
      <w:r w:rsidR="00ED1BF0" w:rsidRPr="00B378D9">
        <w:rPr>
          <w:color w:val="000000" w:themeColor="text1"/>
          <w:sz w:val="24"/>
          <w:szCs w:val="24"/>
        </w:rPr>
        <w:t xml:space="preserve">threat of undetected reservoirs of carbapenemase-encoding genes since the detection of resistance genes </w:t>
      </w:r>
      <w:r w:rsidR="00ED1BF0" w:rsidRPr="00B378D9">
        <w:rPr>
          <w:noProof/>
          <w:color w:val="000000" w:themeColor="text1"/>
          <w:sz w:val="24"/>
          <w:szCs w:val="24"/>
        </w:rPr>
        <w:t>generally</w:t>
      </w:r>
      <w:r w:rsidR="00ED1BF0" w:rsidRPr="00B378D9">
        <w:rPr>
          <w:color w:val="000000" w:themeColor="text1"/>
          <w:sz w:val="24"/>
          <w:szCs w:val="24"/>
        </w:rPr>
        <w:t xml:space="preserve"> </w:t>
      </w:r>
      <w:r w:rsidR="002C5FA5" w:rsidRPr="00B378D9">
        <w:rPr>
          <w:color w:val="000000" w:themeColor="text1"/>
          <w:sz w:val="24"/>
          <w:szCs w:val="24"/>
        </w:rPr>
        <w:t xml:space="preserve">arises from </w:t>
      </w:r>
      <w:r w:rsidR="00ED1BF0" w:rsidRPr="00B378D9">
        <w:rPr>
          <w:color w:val="000000" w:themeColor="text1"/>
          <w:sz w:val="24"/>
          <w:szCs w:val="24"/>
        </w:rPr>
        <w:t>phenotypically multidrug-resistant organisms</w:t>
      </w:r>
      <w:r w:rsidR="000416BE" w:rsidRPr="00B378D9">
        <w:rPr>
          <w:color w:val="000000" w:themeColor="text1"/>
          <w:sz w:val="24"/>
          <w:szCs w:val="24"/>
        </w:rPr>
        <w:t xml:space="preserve"> </w:t>
      </w:r>
      <w:r w:rsidR="000416BE" w:rsidRPr="00B378D9">
        <w:rPr>
          <w:color w:val="000000" w:themeColor="text1"/>
          <w:sz w:val="24"/>
          <w:szCs w:val="24"/>
        </w:rPr>
        <w:fldChar w:fldCharType="begin" w:fldLock="1"/>
      </w:r>
      <w:r w:rsidR="002A21E2" w:rsidRPr="00B378D9">
        <w:rPr>
          <w:color w:val="000000" w:themeColor="text1"/>
          <w:sz w:val="24"/>
          <w:szCs w:val="24"/>
        </w:rPr>
        <w:instrText>ADDIN CSL_CITATION {"citationItems":[{"id":"ITEM-1","itemData":{"DOI":"10.1099/jmm.0.008904-0","ISSN":"00222615","PMID":"19429765","author":[{"dropping-particle":"","family":"Boo","given":"T. W.","non-dropping-particle":"","parse-names":false,"suffix":""},{"dropping-particle":"","family":"Crowley","given":"B.","non-dropping-particle":"","parse-names":false,"suffix":""}],"container-title":"Journal of Medical Microbiology","id":"ITEM-1","issue":"6","issued":{"date-parts":[["2009"]]},"page":"839-841","title":"Detection of blaOXA-58 and blaOXA-23-like genes in carbapenem-susceptible Acinetobacter clinical isolates: Should we be concerned?","type":"article-journal","volume":"58"},"uris":["http://www.mendeley.com/documents/?uuid=eccbba7d-ef6b-4a3b-beeb-24107ddd3e2e"]}],"mendeley":{"formattedCitation":"[37]","plainTextFormattedCitation":"[37]","previouslyFormattedCitation":"[37]"},"properties":{"noteIndex":0},"schema":"https://github.com/citation-style-language/schema/raw/master/csl-citation.json"}</w:instrText>
      </w:r>
      <w:r w:rsidR="000416BE" w:rsidRPr="00B378D9">
        <w:rPr>
          <w:color w:val="000000" w:themeColor="text1"/>
          <w:sz w:val="24"/>
          <w:szCs w:val="24"/>
        </w:rPr>
        <w:fldChar w:fldCharType="separate"/>
      </w:r>
      <w:r w:rsidR="00575F7D" w:rsidRPr="00B378D9">
        <w:rPr>
          <w:noProof/>
          <w:color w:val="000000" w:themeColor="text1"/>
          <w:sz w:val="24"/>
          <w:szCs w:val="24"/>
        </w:rPr>
        <w:t>[37]</w:t>
      </w:r>
      <w:r w:rsidR="000416BE" w:rsidRPr="00B378D9">
        <w:rPr>
          <w:color w:val="000000" w:themeColor="text1"/>
          <w:sz w:val="24"/>
          <w:szCs w:val="24"/>
        </w:rPr>
        <w:fldChar w:fldCharType="end"/>
      </w:r>
      <w:r w:rsidR="000416BE" w:rsidRPr="00B378D9">
        <w:rPr>
          <w:color w:val="000000" w:themeColor="text1"/>
          <w:sz w:val="24"/>
          <w:szCs w:val="24"/>
        </w:rPr>
        <w:t>.</w:t>
      </w:r>
      <w:r w:rsidR="00ED1BF0" w:rsidRPr="00B378D9">
        <w:rPr>
          <w:color w:val="000000" w:themeColor="text1"/>
          <w:sz w:val="24"/>
          <w:szCs w:val="24"/>
        </w:rPr>
        <w:t xml:space="preserve"> </w:t>
      </w:r>
    </w:p>
    <w:p w14:paraId="1277EE8C" w14:textId="15C3C49E" w:rsidR="00ED4425" w:rsidRPr="00B378D9" w:rsidRDefault="00B36F81" w:rsidP="00534782">
      <w:pPr>
        <w:spacing w:line="480" w:lineRule="auto"/>
        <w:ind w:left="0" w:firstLine="0"/>
        <w:rPr>
          <w:b/>
          <w:color w:val="000000" w:themeColor="text1"/>
          <w:sz w:val="24"/>
          <w:szCs w:val="24"/>
        </w:rPr>
      </w:pPr>
      <w:r w:rsidRPr="00B378D9">
        <w:rPr>
          <w:b/>
          <w:color w:val="000000" w:themeColor="text1"/>
          <w:sz w:val="24"/>
          <w:szCs w:val="24"/>
        </w:rPr>
        <w:t>(2</w:t>
      </w:r>
      <w:r w:rsidR="00F86C0F" w:rsidRPr="00B378D9">
        <w:rPr>
          <w:b/>
          <w:color w:val="000000" w:themeColor="text1"/>
          <w:sz w:val="24"/>
          <w:szCs w:val="24"/>
        </w:rPr>
        <w:t>,4</w:t>
      </w:r>
      <w:r w:rsidR="00806D17" w:rsidRPr="00B378D9">
        <w:rPr>
          <w:b/>
          <w:color w:val="000000" w:themeColor="text1"/>
          <w:sz w:val="24"/>
          <w:szCs w:val="24"/>
        </w:rPr>
        <w:t>55</w:t>
      </w:r>
      <w:r w:rsidR="00575F7D" w:rsidRPr="00B378D9">
        <w:rPr>
          <w:b/>
          <w:color w:val="000000" w:themeColor="text1"/>
          <w:sz w:val="24"/>
          <w:szCs w:val="24"/>
        </w:rPr>
        <w:t xml:space="preserve"> words)</w:t>
      </w:r>
    </w:p>
    <w:p w14:paraId="1E071E6B" w14:textId="77777777" w:rsidR="00B36F81" w:rsidRPr="00B378D9" w:rsidRDefault="00B36F81" w:rsidP="00552EFF">
      <w:pPr>
        <w:spacing w:line="360" w:lineRule="auto"/>
        <w:ind w:left="0" w:firstLine="0"/>
        <w:jc w:val="both"/>
        <w:rPr>
          <w:b/>
          <w:color w:val="000000" w:themeColor="text1"/>
          <w:sz w:val="24"/>
          <w:szCs w:val="24"/>
        </w:rPr>
      </w:pPr>
    </w:p>
    <w:p w14:paraId="1226B322" w14:textId="77777777" w:rsidR="005C4C76" w:rsidRPr="00B378D9" w:rsidRDefault="006F7A8E" w:rsidP="00552EFF">
      <w:pPr>
        <w:spacing w:line="360" w:lineRule="auto"/>
        <w:ind w:left="0" w:firstLine="0"/>
        <w:jc w:val="both"/>
        <w:rPr>
          <w:color w:val="000000" w:themeColor="text1"/>
          <w:sz w:val="24"/>
          <w:szCs w:val="24"/>
        </w:rPr>
      </w:pPr>
      <w:r w:rsidRPr="00B378D9">
        <w:rPr>
          <w:b/>
          <w:color w:val="000000" w:themeColor="text1"/>
          <w:sz w:val="24"/>
          <w:szCs w:val="24"/>
        </w:rPr>
        <w:t>Funding information</w:t>
      </w:r>
    </w:p>
    <w:p w14:paraId="71B2E508" w14:textId="77777777" w:rsidR="005C4C76" w:rsidRPr="00B378D9" w:rsidRDefault="005C4C76" w:rsidP="00552EFF">
      <w:pPr>
        <w:spacing w:line="360" w:lineRule="auto"/>
        <w:ind w:left="0" w:firstLine="0"/>
        <w:jc w:val="both"/>
        <w:rPr>
          <w:color w:val="000000" w:themeColor="text1"/>
          <w:sz w:val="24"/>
          <w:szCs w:val="24"/>
        </w:rPr>
      </w:pPr>
      <w:r w:rsidRPr="00B378D9">
        <w:rPr>
          <w:color w:val="000000" w:themeColor="text1"/>
          <w:sz w:val="24"/>
          <w:szCs w:val="24"/>
        </w:rPr>
        <w:t>This work was supported by provisions from the following grants from the Malaysian Ministry of Higher Education: FRGS/1/2016/SKK11/UNISZA/01/1 to CCY and FRGS/1/2017/SKK11/UNISZA/02/4 to NIAR</w:t>
      </w:r>
    </w:p>
    <w:p w14:paraId="77096142" w14:textId="77777777" w:rsidR="00552EFF" w:rsidRPr="00B378D9" w:rsidRDefault="00552EFF" w:rsidP="006F7A8E">
      <w:pPr>
        <w:spacing w:line="360" w:lineRule="auto"/>
        <w:ind w:left="0" w:firstLine="0"/>
        <w:jc w:val="both"/>
        <w:rPr>
          <w:b/>
          <w:color w:val="000000" w:themeColor="text1"/>
          <w:sz w:val="24"/>
          <w:szCs w:val="24"/>
        </w:rPr>
      </w:pPr>
    </w:p>
    <w:p w14:paraId="3DE51CD5" w14:textId="77777777" w:rsidR="006F7A8E" w:rsidRPr="00B378D9" w:rsidRDefault="006F7A8E" w:rsidP="006F7A8E">
      <w:pPr>
        <w:spacing w:line="360" w:lineRule="auto"/>
        <w:ind w:left="0" w:firstLine="0"/>
        <w:jc w:val="both"/>
        <w:rPr>
          <w:b/>
          <w:color w:val="000000" w:themeColor="text1"/>
          <w:sz w:val="24"/>
          <w:szCs w:val="24"/>
        </w:rPr>
      </w:pPr>
      <w:r w:rsidRPr="00B378D9">
        <w:rPr>
          <w:b/>
          <w:color w:val="000000" w:themeColor="text1"/>
          <w:sz w:val="24"/>
          <w:szCs w:val="24"/>
        </w:rPr>
        <w:t>Conflicts of Interest</w:t>
      </w:r>
    </w:p>
    <w:p w14:paraId="198FFAF6" w14:textId="77777777" w:rsidR="006F7A8E" w:rsidRPr="00B378D9" w:rsidRDefault="006F7A8E" w:rsidP="006F7A8E">
      <w:pPr>
        <w:spacing w:line="360" w:lineRule="auto"/>
        <w:ind w:left="0" w:firstLine="0"/>
        <w:jc w:val="both"/>
        <w:rPr>
          <w:color w:val="000000" w:themeColor="text1"/>
          <w:sz w:val="24"/>
          <w:szCs w:val="24"/>
        </w:rPr>
      </w:pPr>
      <w:r w:rsidRPr="00B378D9">
        <w:rPr>
          <w:color w:val="000000" w:themeColor="text1"/>
          <w:sz w:val="24"/>
          <w:szCs w:val="24"/>
        </w:rPr>
        <w:t>The authors declare that there are no conflicts of interest</w:t>
      </w:r>
      <w:r w:rsidR="00E77735" w:rsidRPr="00B378D9">
        <w:rPr>
          <w:color w:val="000000" w:themeColor="text1"/>
          <w:sz w:val="24"/>
          <w:szCs w:val="24"/>
        </w:rPr>
        <w:t>.</w:t>
      </w:r>
    </w:p>
    <w:p w14:paraId="439B7234" w14:textId="77777777" w:rsidR="00E77735" w:rsidRPr="00B378D9" w:rsidRDefault="00E77735" w:rsidP="006F7A8E">
      <w:pPr>
        <w:spacing w:line="360" w:lineRule="auto"/>
        <w:ind w:left="0" w:firstLine="0"/>
        <w:jc w:val="both"/>
        <w:rPr>
          <w:color w:val="000000" w:themeColor="text1"/>
          <w:sz w:val="24"/>
          <w:szCs w:val="24"/>
        </w:rPr>
      </w:pPr>
    </w:p>
    <w:p w14:paraId="3D790FA1" w14:textId="77777777" w:rsidR="00E77735" w:rsidRPr="00B378D9" w:rsidRDefault="00E77735" w:rsidP="00E77735">
      <w:pPr>
        <w:spacing w:line="360" w:lineRule="auto"/>
        <w:ind w:left="0" w:firstLine="0"/>
        <w:rPr>
          <w:color w:val="000000" w:themeColor="text1"/>
          <w:sz w:val="24"/>
        </w:rPr>
      </w:pPr>
      <w:r w:rsidRPr="00B378D9">
        <w:rPr>
          <w:b/>
          <w:color w:val="000000" w:themeColor="text1"/>
          <w:sz w:val="24"/>
        </w:rPr>
        <w:t>Abbreviations:</w:t>
      </w:r>
      <w:r w:rsidRPr="00B378D9">
        <w:rPr>
          <w:color w:val="000000" w:themeColor="text1"/>
          <w:sz w:val="24"/>
        </w:rPr>
        <w:t xml:space="preserve"> ARDRA, amplified ribosomal DNA restriction analysis; HSNZ, Hospital Sultanah Nur Zahirah; MDR, multidrug resistance</w:t>
      </w:r>
    </w:p>
    <w:p w14:paraId="68596C0D" w14:textId="77777777" w:rsidR="00D92B4F" w:rsidRPr="00B378D9" w:rsidRDefault="00D92B4F" w:rsidP="00F77C55">
      <w:pPr>
        <w:spacing w:line="360" w:lineRule="auto"/>
        <w:ind w:left="0" w:firstLine="0"/>
        <w:jc w:val="both"/>
        <w:rPr>
          <w:b/>
          <w:color w:val="000000" w:themeColor="text1"/>
          <w:sz w:val="24"/>
          <w:szCs w:val="24"/>
        </w:rPr>
      </w:pPr>
    </w:p>
    <w:p w14:paraId="5A101C2D" w14:textId="77777777" w:rsidR="00051659" w:rsidRPr="00B378D9" w:rsidRDefault="00051659" w:rsidP="00F77C55">
      <w:pPr>
        <w:spacing w:line="360" w:lineRule="auto"/>
        <w:ind w:left="0" w:firstLine="0"/>
        <w:jc w:val="both"/>
        <w:rPr>
          <w:b/>
          <w:color w:val="000000" w:themeColor="text1"/>
          <w:sz w:val="24"/>
          <w:szCs w:val="24"/>
        </w:rPr>
      </w:pPr>
    </w:p>
    <w:p w14:paraId="6C3CCE3E" w14:textId="77777777" w:rsidR="00051659" w:rsidRPr="00B378D9" w:rsidRDefault="00051659" w:rsidP="00F77C55">
      <w:pPr>
        <w:spacing w:line="360" w:lineRule="auto"/>
        <w:ind w:left="0" w:firstLine="0"/>
        <w:jc w:val="both"/>
        <w:rPr>
          <w:b/>
          <w:color w:val="000000" w:themeColor="text1"/>
          <w:sz w:val="24"/>
          <w:szCs w:val="24"/>
        </w:rPr>
      </w:pPr>
    </w:p>
    <w:p w14:paraId="30FE199A" w14:textId="77777777" w:rsidR="00051659" w:rsidRPr="00B378D9" w:rsidRDefault="00051659" w:rsidP="00F77C55">
      <w:pPr>
        <w:spacing w:line="360" w:lineRule="auto"/>
        <w:ind w:left="0" w:firstLine="0"/>
        <w:jc w:val="both"/>
        <w:rPr>
          <w:b/>
          <w:color w:val="000000" w:themeColor="text1"/>
          <w:sz w:val="24"/>
          <w:szCs w:val="24"/>
        </w:rPr>
      </w:pPr>
    </w:p>
    <w:p w14:paraId="49932363" w14:textId="349AC82C" w:rsidR="007D6E5B" w:rsidRPr="00B378D9" w:rsidRDefault="002E2737" w:rsidP="00F77C55">
      <w:pPr>
        <w:spacing w:line="360" w:lineRule="auto"/>
        <w:ind w:left="0" w:firstLine="0"/>
        <w:jc w:val="both"/>
        <w:rPr>
          <w:color w:val="000000" w:themeColor="text1"/>
          <w:sz w:val="24"/>
          <w:szCs w:val="24"/>
        </w:rPr>
      </w:pPr>
      <w:r w:rsidRPr="00B378D9">
        <w:rPr>
          <w:b/>
          <w:color w:val="000000" w:themeColor="text1"/>
          <w:sz w:val="24"/>
          <w:szCs w:val="24"/>
        </w:rPr>
        <w:lastRenderedPageBreak/>
        <w:t>REFERENCES</w:t>
      </w:r>
      <w:r w:rsidRPr="00B378D9">
        <w:rPr>
          <w:color w:val="000000" w:themeColor="text1"/>
          <w:sz w:val="24"/>
          <w:szCs w:val="24"/>
        </w:rPr>
        <w:t>:</w:t>
      </w:r>
    </w:p>
    <w:p w14:paraId="2CC15FB0" w14:textId="77777777" w:rsidR="007D6E5B" w:rsidRPr="00B378D9" w:rsidRDefault="007D6E5B" w:rsidP="00F77C55">
      <w:pPr>
        <w:spacing w:line="360" w:lineRule="auto"/>
        <w:ind w:left="0" w:firstLine="0"/>
        <w:jc w:val="both"/>
        <w:rPr>
          <w:color w:val="000000" w:themeColor="text1"/>
          <w:sz w:val="24"/>
          <w:szCs w:val="24"/>
        </w:rPr>
      </w:pPr>
    </w:p>
    <w:p w14:paraId="67E04A87" w14:textId="60FBE390" w:rsidR="003872C7" w:rsidRPr="00B378D9" w:rsidRDefault="002E2737" w:rsidP="003872C7">
      <w:pPr>
        <w:widowControl w:val="0"/>
        <w:autoSpaceDE w:val="0"/>
        <w:autoSpaceDN w:val="0"/>
        <w:adjustRightInd w:val="0"/>
        <w:spacing w:line="360" w:lineRule="auto"/>
        <w:ind w:left="640" w:hanging="640"/>
        <w:rPr>
          <w:noProof/>
          <w:color w:val="000000" w:themeColor="text1"/>
          <w:sz w:val="24"/>
          <w:lang w:val="en-US"/>
        </w:rPr>
      </w:pPr>
      <w:r w:rsidRPr="00B378D9">
        <w:rPr>
          <w:color w:val="000000" w:themeColor="text1"/>
          <w:sz w:val="24"/>
          <w:szCs w:val="24"/>
        </w:rPr>
        <w:fldChar w:fldCharType="begin" w:fldLock="1"/>
      </w:r>
      <w:r w:rsidRPr="00B378D9">
        <w:rPr>
          <w:color w:val="000000" w:themeColor="text1"/>
          <w:sz w:val="24"/>
          <w:szCs w:val="24"/>
        </w:rPr>
        <w:instrText xml:space="preserve">ADDIN Mendeley Bibliography CSL_BIBLIOGRAPHY </w:instrText>
      </w:r>
      <w:r w:rsidRPr="00B378D9">
        <w:rPr>
          <w:color w:val="000000" w:themeColor="text1"/>
          <w:sz w:val="24"/>
          <w:szCs w:val="24"/>
        </w:rPr>
        <w:fldChar w:fldCharType="separate"/>
      </w:r>
      <w:r w:rsidR="003872C7" w:rsidRPr="00B378D9">
        <w:rPr>
          <w:noProof/>
          <w:color w:val="000000" w:themeColor="text1"/>
          <w:sz w:val="24"/>
          <w:lang w:val="en-US"/>
        </w:rPr>
        <w:t>1.</w:t>
      </w:r>
      <w:r w:rsidR="003872C7" w:rsidRPr="00B378D9">
        <w:rPr>
          <w:noProof/>
          <w:color w:val="000000" w:themeColor="text1"/>
          <w:sz w:val="24"/>
          <w:lang w:val="en-US"/>
        </w:rPr>
        <w:tab/>
      </w:r>
      <w:r w:rsidR="003872C7" w:rsidRPr="00B378D9">
        <w:rPr>
          <w:b/>
          <w:bCs/>
          <w:noProof/>
          <w:color w:val="000000" w:themeColor="text1"/>
          <w:sz w:val="24"/>
          <w:lang w:val="en-US"/>
        </w:rPr>
        <w:t>Antunes LCS, Visca P, Towner KJ</w:t>
      </w:r>
      <w:r w:rsidR="003872C7" w:rsidRPr="00B378D9">
        <w:rPr>
          <w:noProof/>
          <w:color w:val="000000" w:themeColor="text1"/>
          <w:sz w:val="24"/>
          <w:lang w:val="en-US"/>
        </w:rPr>
        <w:t xml:space="preserve">. Acinetobacter baumannii: Evolution of a global pathogen. </w:t>
      </w:r>
      <w:r w:rsidR="003872C7" w:rsidRPr="00B378D9">
        <w:rPr>
          <w:i/>
          <w:iCs/>
          <w:noProof/>
          <w:color w:val="000000" w:themeColor="text1"/>
          <w:sz w:val="24"/>
          <w:lang w:val="en-US"/>
        </w:rPr>
        <w:t>Pathog Dis</w:t>
      </w:r>
      <w:r w:rsidR="003872C7" w:rsidRPr="00B378D9">
        <w:rPr>
          <w:noProof/>
          <w:color w:val="000000" w:themeColor="text1"/>
          <w:sz w:val="24"/>
          <w:lang w:val="en-US"/>
        </w:rPr>
        <w:t xml:space="preserve"> 2014;71:292–301.</w:t>
      </w:r>
    </w:p>
    <w:p w14:paraId="229809B1"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w:t>
      </w:r>
      <w:r w:rsidRPr="00B378D9">
        <w:rPr>
          <w:noProof/>
          <w:color w:val="000000" w:themeColor="text1"/>
          <w:sz w:val="24"/>
          <w:lang w:val="en-US"/>
        </w:rPr>
        <w:tab/>
      </w:r>
      <w:r w:rsidRPr="00B378D9">
        <w:rPr>
          <w:b/>
          <w:bCs/>
          <w:noProof/>
          <w:color w:val="000000" w:themeColor="text1"/>
          <w:sz w:val="24"/>
          <w:lang w:val="en-US"/>
        </w:rPr>
        <w:t>Peleg AY, Seifert H, Paterson DL</w:t>
      </w:r>
      <w:r w:rsidRPr="00B378D9">
        <w:rPr>
          <w:noProof/>
          <w:color w:val="000000" w:themeColor="text1"/>
          <w:sz w:val="24"/>
          <w:lang w:val="en-US"/>
        </w:rPr>
        <w:t xml:space="preserve">. Acinetobacter baumannii: emergence of a successful pathogen. </w:t>
      </w:r>
      <w:r w:rsidRPr="00B378D9">
        <w:rPr>
          <w:i/>
          <w:iCs/>
          <w:noProof/>
          <w:color w:val="000000" w:themeColor="text1"/>
          <w:sz w:val="24"/>
          <w:lang w:val="en-US"/>
        </w:rPr>
        <w:t>Clin Microbiol Rev</w:t>
      </w:r>
      <w:r w:rsidRPr="00B378D9">
        <w:rPr>
          <w:noProof/>
          <w:color w:val="000000" w:themeColor="text1"/>
          <w:sz w:val="24"/>
          <w:lang w:val="en-US"/>
        </w:rPr>
        <w:t xml:space="preserve"> 2008;21:538–82.</w:t>
      </w:r>
    </w:p>
    <w:p w14:paraId="3DB88D50"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w:t>
      </w:r>
      <w:r w:rsidRPr="00B378D9">
        <w:rPr>
          <w:noProof/>
          <w:color w:val="000000" w:themeColor="text1"/>
          <w:sz w:val="24"/>
          <w:lang w:val="en-US"/>
        </w:rPr>
        <w:tab/>
      </w:r>
      <w:r w:rsidRPr="00B378D9">
        <w:rPr>
          <w:b/>
          <w:bCs/>
          <w:noProof/>
          <w:color w:val="000000" w:themeColor="text1"/>
          <w:sz w:val="24"/>
          <w:lang w:val="en-US"/>
        </w:rPr>
        <w:t xml:space="preserve">Chusri S, Chongsuvivatwong V, Rivera JI, Silpapojakul K, Singkhamanan K, </w:t>
      </w:r>
      <w:r w:rsidRPr="00B378D9">
        <w:rPr>
          <w:b/>
          <w:bCs/>
          <w:i/>
          <w:iCs/>
          <w:noProof/>
          <w:color w:val="000000" w:themeColor="text1"/>
          <w:sz w:val="24"/>
          <w:lang w:val="en-US"/>
        </w:rPr>
        <w:t>et al.</w:t>
      </w:r>
      <w:r w:rsidRPr="00B378D9">
        <w:rPr>
          <w:noProof/>
          <w:color w:val="000000" w:themeColor="text1"/>
          <w:sz w:val="24"/>
          <w:lang w:val="en-US"/>
        </w:rPr>
        <w:t xml:space="preserve"> Clinical Outcomes of Hospital-Acquired Infection with Acinetobacter nosocomialis and Acinetobacter pittii. </w:t>
      </w:r>
      <w:r w:rsidRPr="00B378D9">
        <w:rPr>
          <w:i/>
          <w:iCs/>
          <w:noProof/>
          <w:color w:val="000000" w:themeColor="text1"/>
          <w:sz w:val="24"/>
          <w:lang w:val="en-US"/>
        </w:rPr>
        <w:t>Antimicrob Agents Chemother</w:t>
      </w:r>
      <w:r w:rsidRPr="00B378D9">
        <w:rPr>
          <w:noProof/>
          <w:color w:val="000000" w:themeColor="text1"/>
          <w:sz w:val="24"/>
          <w:lang w:val="en-US"/>
        </w:rPr>
        <w:t xml:space="preserve"> 2014;58:4172–4179.</w:t>
      </w:r>
    </w:p>
    <w:p w14:paraId="6C1210E0"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4.</w:t>
      </w:r>
      <w:r w:rsidRPr="00B378D9">
        <w:rPr>
          <w:noProof/>
          <w:color w:val="000000" w:themeColor="text1"/>
          <w:sz w:val="24"/>
          <w:lang w:val="en-US"/>
        </w:rPr>
        <w:tab/>
      </w:r>
      <w:r w:rsidRPr="00B378D9">
        <w:rPr>
          <w:b/>
          <w:bCs/>
          <w:noProof/>
          <w:color w:val="000000" w:themeColor="text1"/>
          <w:sz w:val="24"/>
          <w:lang w:val="en-US"/>
        </w:rPr>
        <w:t>Clark NM, Zhanel GG, Lynch JP</w:t>
      </w:r>
      <w:r w:rsidRPr="00B378D9">
        <w:rPr>
          <w:noProof/>
          <w:color w:val="000000" w:themeColor="text1"/>
          <w:sz w:val="24"/>
          <w:lang w:val="en-US"/>
        </w:rPr>
        <w:t xml:space="preserve">. Emergence of antimicrobial resistance among Acinetobacter species. </w:t>
      </w:r>
      <w:r w:rsidRPr="00B378D9">
        <w:rPr>
          <w:i/>
          <w:iCs/>
          <w:noProof/>
          <w:color w:val="000000" w:themeColor="text1"/>
          <w:sz w:val="24"/>
          <w:lang w:val="en-US"/>
        </w:rPr>
        <w:t>Curr Opin Crit Care</w:t>
      </w:r>
      <w:r w:rsidRPr="00B378D9">
        <w:rPr>
          <w:noProof/>
          <w:color w:val="000000" w:themeColor="text1"/>
          <w:sz w:val="24"/>
          <w:lang w:val="en-US"/>
        </w:rPr>
        <w:t xml:space="preserve"> 2016;22:491–499.</w:t>
      </w:r>
    </w:p>
    <w:p w14:paraId="0C1E40E9"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5.</w:t>
      </w:r>
      <w:r w:rsidRPr="00B378D9">
        <w:rPr>
          <w:noProof/>
          <w:color w:val="000000" w:themeColor="text1"/>
          <w:sz w:val="24"/>
          <w:lang w:val="en-US"/>
        </w:rPr>
        <w:tab/>
      </w:r>
      <w:r w:rsidRPr="00B378D9">
        <w:rPr>
          <w:b/>
          <w:bCs/>
          <w:noProof/>
          <w:color w:val="000000" w:themeColor="text1"/>
          <w:sz w:val="24"/>
          <w:lang w:val="en-US"/>
        </w:rPr>
        <w:t xml:space="preserve">Marí-Almirall M, Cosgaya C, Higgins PG, Van Assche A, Telli M, </w:t>
      </w:r>
      <w:r w:rsidRPr="00B378D9">
        <w:rPr>
          <w:b/>
          <w:bCs/>
          <w:i/>
          <w:iCs/>
          <w:noProof/>
          <w:color w:val="000000" w:themeColor="text1"/>
          <w:sz w:val="24"/>
          <w:lang w:val="en-US"/>
        </w:rPr>
        <w:t>et al.</w:t>
      </w:r>
      <w:r w:rsidRPr="00B378D9">
        <w:rPr>
          <w:noProof/>
          <w:color w:val="000000" w:themeColor="text1"/>
          <w:sz w:val="24"/>
          <w:lang w:val="en-US"/>
        </w:rPr>
        <w:t xml:space="preserve"> MALDI-TOF/MS identification of species from the Acinetobacter baumannii (Ab) group revisited: inclusion of the novel A. seifertii and A. dijkshoorniae species. </w:t>
      </w:r>
      <w:r w:rsidRPr="00B378D9">
        <w:rPr>
          <w:i/>
          <w:iCs/>
          <w:noProof/>
          <w:color w:val="000000" w:themeColor="text1"/>
          <w:sz w:val="24"/>
          <w:lang w:val="en-US"/>
        </w:rPr>
        <w:t>Clin Microbiol Infect</w:t>
      </w:r>
      <w:r w:rsidRPr="00B378D9">
        <w:rPr>
          <w:noProof/>
          <w:color w:val="000000" w:themeColor="text1"/>
          <w:sz w:val="24"/>
          <w:lang w:val="en-US"/>
        </w:rPr>
        <w:t xml:space="preserve"> 2017;23:210.e1-210.e9.</w:t>
      </w:r>
    </w:p>
    <w:p w14:paraId="7FACF4E5"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6.</w:t>
      </w:r>
      <w:r w:rsidRPr="00B378D9">
        <w:rPr>
          <w:noProof/>
          <w:color w:val="000000" w:themeColor="text1"/>
          <w:sz w:val="24"/>
          <w:lang w:val="en-US"/>
        </w:rPr>
        <w:tab/>
      </w:r>
      <w:r w:rsidRPr="00B378D9">
        <w:rPr>
          <w:b/>
          <w:bCs/>
          <w:noProof/>
          <w:color w:val="000000" w:themeColor="text1"/>
          <w:sz w:val="24"/>
          <w:lang w:val="en-US"/>
        </w:rPr>
        <w:t xml:space="preserve">Nemec A, Krizova L, Maixnerova M, Sedo O, Brisse S, </w:t>
      </w:r>
      <w:r w:rsidRPr="00B378D9">
        <w:rPr>
          <w:b/>
          <w:bCs/>
          <w:i/>
          <w:iCs/>
          <w:noProof/>
          <w:color w:val="000000" w:themeColor="text1"/>
          <w:sz w:val="24"/>
          <w:lang w:val="en-US"/>
        </w:rPr>
        <w:t>et al.</w:t>
      </w:r>
      <w:r w:rsidRPr="00B378D9">
        <w:rPr>
          <w:noProof/>
          <w:color w:val="000000" w:themeColor="text1"/>
          <w:sz w:val="24"/>
          <w:lang w:val="en-US"/>
        </w:rPr>
        <w:t xml:space="preserve"> Acinetobacter seifertii sp. nov., a member of the Acinetobacter calcoaceticus-Acinetobacter baumannii complex isolated from human clinical specimens. </w:t>
      </w:r>
      <w:r w:rsidRPr="00B378D9">
        <w:rPr>
          <w:i/>
          <w:iCs/>
          <w:noProof/>
          <w:color w:val="000000" w:themeColor="text1"/>
          <w:sz w:val="24"/>
          <w:lang w:val="en-US"/>
        </w:rPr>
        <w:t>Int J Syst Evol Microbiol</w:t>
      </w:r>
      <w:r w:rsidRPr="00B378D9">
        <w:rPr>
          <w:noProof/>
          <w:color w:val="000000" w:themeColor="text1"/>
          <w:sz w:val="24"/>
          <w:lang w:val="en-US"/>
        </w:rPr>
        <w:t xml:space="preserve"> 2015;65:934–942.</w:t>
      </w:r>
    </w:p>
    <w:p w14:paraId="293BF59F"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7.</w:t>
      </w:r>
      <w:r w:rsidRPr="00B378D9">
        <w:rPr>
          <w:noProof/>
          <w:color w:val="000000" w:themeColor="text1"/>
          <w:sz w:val="24"/>
          <w:lang w:val="en-US"/>
        </w:rPr>
        <w:tab/>
      </w:r>
      <w:r w:rsidRPr="00B378D9">
        <w:rPr>
          <w:b/>
          <w:bCs/>
          <w:noProof/>
          <w:color w:val="000000" w:themeColor="text1"/>
          <w:sz w:val="24"/>
          <w:lang w:val="en-US"/>
        </w:rPr>
        <w:t xml:space="preserve">Cosgaya C, Marí-Almirall M, Van Assche A, Fernández-Orth D, Mosqueda N, </w:t>
      </w:r>
      <w:r w:rsidRPr="00B378D9">
        <w:rPr>
          <w:b/>
          <w:bCs/>
          <w:i/>
          <w:iCs/>
          <w:noProof/>
          <w:color w:val="000000" w:themeColor="text1"/>
          <w:sz w:val="24"/>
          <w:lang w:val="en-US"/>
        </w:rPr>
        <w:t>et al.</w:t>
      </w:r>
      <w:r w:rsidRPr="00B378D9">
        <w:rPr>
          <w:noProof/>
          <w:color w:val="000000" w:themeColor="text1"/>
          <w:sz w:val="24"/>
          <w:lang w:val="en-US"/>
        </w:rPr>
        <w:t xml:space="preserve"> Acinetobacter dijkshoorniae sp. nov., a member of the Acinetobacter calcoaceticus-Acinetobacter baumannii complex mainly recovered from clinical samples in different countries. </w:t>
      </w:r>
      <w:r w:rsidRPr="00B378D9">
        <w:rPr>
          <w:i/>
          <w:iCs/>
          <w:noProof/>
          <w:color w:val="000000" w:themeColor="text1"/>
          <w:sz w:val="24"/>
          <w:lang w:val="en-US"/>
        </w:rPr>
        <w:t>Int J Syst Evol Microbiol</w:t>
      </w:r>
      <w:r w:rsidRPr="00B378D9">
        <w:rPr>
          <w:noProof/>
          <w:color w:val="000000" w:themeColor="text1"/>
          <w:sz w:val="24"/>
          <w:lang w:val="en-US"/>
        </w:rPr>
        <w:t xml:space="preserve"> 2016;66:4105–4111.</w:t>
      </w:r>
    </w:p>
    <w:p w14:paraId="7C4A951F"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8.</w:t>
      </w:r>
      <w:r w:rsidRPr="00B378D9">
        <w:rPr>
          <w:noProof/>
          <w:color w:val="000000" w:themeColor="text1"/>
          <w:sz w:val="24"/>
          <w:lang w:val="en-US"/>
        </w:rPr>
        <w:tab/>
      </w:r>
      <w:r w:rsidRPr="00B378D9">
        <w:rPr>
          <w:b/>
          <w:bCs/>
          <w:noProof/>
          <w:color w:val="000000" w:themeColor="text1"/>
          <w:sz w:val="24"/>
          <w:lang w:val="en-US"/>
        </w:rPr>
        <w:t>Turton JF, Shah J, Ozongwu C, Pike R</w:t>
      </w:r>
      <w:r w:rsidRPr="00B378D9">
        <w:rPr>
          <w:noProof/>
          <w:color w:val="000000" w:themeColor="text1"/>
          <w:sz w:val="24"/>
          <w:lang w:val="en-US"/>
        </w:rPr>
        <w:t xml:space="preserve">. Incidence of Acinetobacter species other than A. baumannii among clinical isolates of Acinetobacter: evidence for emerging species. </w:t>
      </w:r>
      <w:r w:rsidRPr="00B378D9">
        <w:rPr>
          <w:i/>
          <w:iCs/>
          <w:noProof/>
          <w:color w:val="000000" w:themeColor="text1"/>
          <w:sz w:val="24"/>
          <w:lang w:val="en-US"/>
        </w:rPr>
        <w:t>J Clin Microbiol</w:t>
      </w:r>
      <w:r w:rsidRPr="00B378D9">
        <w:rPr>
          <w:noProof/>
          <w:color w:val="000000" w:themeColor="text1"/>
          <w:sz w:val="24"/>
          <w:lang w:val="en-US"/>
        </w:rPr>
        <w:t xml:space="preserve"> 2010;48:1445–1449.</w:t>
      </w:r>
    </w:p>
    <w:p w14:paraId="5447C796"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9.</w:t>
      </w:r>
      <w:r w:rsidRPr="00B378D9">
        <w:rPr>
          <w:noProof/>
          <w:color w:val="000000" w:themeColor="text1"/>
          <w:sz w:val="24"/>
          <w:lang w:val="en-US"/>
        </w:rPr>
        <w:tab/>
      </w:r>
      <w:r w:rsidRPr="00B378D9">
        <w:rPr>
          <w:b/>
          <w:bCs/>
          <w:noProof/>
          <w:color w:val="000000" w:themeColor="text1"/>
          <w:sz w:val="24"/>
          <w:lang w:val="en-US"/>
        </w:rPr>
        <w:t xml:space="preserve">Li XM, Choi JA, Choi IS, Kook JK, Chang Y-H, </w:t>
      </w:r>
      <w:r w:rsidRPr="00B378D9">
        <w:rPr>
          <w:b/>
          <w:bCs/>
          <w:i/>
          <w:iCs/>
          <w:noProof/>
          <w:color w:val="000000" w:themeColor="text1"/>
          <w:sz w:val="24"/>
          <w:lang w:val="en-US"/>
        </w:rPr>
        <w:t>et al.</w:t>
      </w:r>
      <w:r w:rsidRPr="00B378D9">
        <w:rPr>
          <w:noProof/>
          <w:color w:val="000000" w:themeColor="text1"/>
          <w:sz w:val="24"/>
          <w:lang w:val="en-US"/>
        </w:rPr>
        <w:t xml:space="preserve"> Development and Evaluation of Species-Specific PCR for Detection of Nine Acinetobacter Species. </w:t>
      </w:r>
      <w:r w:rsidRPr="00B378D9">
        <w:rPr>
          <w:i/>
          <w:iCs/>
          <w:noProof/>
          <w:color w:val="000000" w:themeColor="text1"/>
          <w:sz w:val="24"/>
          <w:lang w:val="en-US"/>
        </w:rPr>
        <w:t>Ann Clin Lab Sci</w:t>
      </w:r>
      <w:r w:rsidRPr="00B378D9">
        <w:rPr>
          <w:noProof/>
          <w:color w:val="000000" w:themeColor="text1"/>
          <w:sz w:val="24"/>
          <w:lang w:val="en-US"/>
        </w:rPr>
        <w:t xml:space="preserve"> 2016;46:270–278.</w:t>
      </w:r>
    </w:p>
    <w:p w14:paraId="60C0B31C"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10.</w:t>
      </w:r>
      <w:r w:rsidRPr="00B378D9">
        <w:rPr>
          <w:noProof/>
          <w:color w:val="000000" w:themeColor="text1"/>
          <w:sz w:val="24"/>
          <w:lang w:val="en-US"/>
        </w:rPr>
        <w:tab/>
      </w:r>
      <w:r w:rsidRPr="00B378D9">
        <w:rPr>
          <w:b/>
          <w:bCs/>
          <w:noProof/>
          <w:color w:val="000000" w:themeColor="text1"/>
          <w:sz w:val="24"/>
          <w:lang w:val="en-US"/>
        </w:rPr>
        <w:t>Parte AC</w:t>
      </w:r>
      <w:r w:rsidRPr="00B378D9">
        <w:rPr>
          <w:noProof/>
          <w:color w:val="000000" w:themeColor="text1"/>
          <w:sz w:val="24"/>
          <w:lang w:val="en-US"/>
        </w:rPr>
        <w:t xml:space="preserve">. LPSN – List of Prokaryotic names with Standing in Nomenclature (bacterio.net), 20 years on. </w:t>
      </w:r>
      <w:r w:rsidRPr="00B378D9">
        <w:rPr>
          <w:i/>
          <w:iCs/>
          <w:noProof/>
          <w:color w:val="000000" w:themeColor="text1"/>
          <w:sz w:val="24"/>
          <w:lang w:val="en-US"/>
        </w:rPr>
        <w:t>Int J Syst Evol Microbiol</w:t>
      </w:r>
      <w:r w:rsidRPr="00B378D9">
        <w:rPr>
          <w:noProof/>
          <w:color w:val="000000" w:themeColor="text1"/>
          <w:sz w:val="24"/>
          <w:lang w:val="en-US"/>
        </w:rPr>
        <w:t xml:space="preserve"> 2018;68:1825–1829.</w:t>
      </w:r>
    </w:p>
    <w:p w14:paraId="5BA42F68"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11.</w:t>
      </w:r>
      <w:r w:rsidRPr="00B378D9">
        <w:rPr>
          <w:noProof/>
          <w:color w:val="000000" w:themeColor="text1"/>
          <w:sz w:val="24"/>
          <w:lang w:val="en-US"/>
        </w:rPr>
        <w:tab/>
      </w:r>
      <w:r w:rsidRPr="00B378D9">
        <w:rPr>
          <w:b/>
          <w:bCs/>
          <w:noProof/>
          <w:color w:val="000000" w:themeColor="text1"/>
          <w:sz w:val="24"/>
          <w:lang w:val="en-US"/>
        </w:rPr>
        <w:t>LPSN</w:t>
      </w:r>
      <w:r w:rsidRPr="00B378D9">
        <w:rPr>
          <w:noProof/>
          <w:color w:val="000000" w:themeColor="text1"/>
          <w:sz w:val="24"/>
          <w:lang w:val="en-US"/>
        </w:rPr>
        <w:t xml:space="preserve">. Genus Acinetobacter. </w:t>
      </w:r>
      <w:r w:rsidRPr="00B378D9">
        <w:rPr>
          <w:i/>
          <w:iCs/>
          <w:noProof/>
          <w:color w:val="000000" w:themeColor="text1"/>
          <w:sz w:val="24"/>
          <w:lang w:val="en-US"/>
        </w:rPr>
        <w:t xml:space="preserve">List of prokaryotic names with standing in </w:t>
      </w:r>
      <w:r w:rsidRPr="00B378D9">
        <w:rPr>
          <w:i/>
          <w:iCs/>
          <w:noProof/>
          <w:color w:val="000000" w:themeColor="text1"/>
          <w:sz w:val="24"/>
          <w:lang w:val="en-US"/>
        </w:rPr>
        <w:lastRenderedPageBreak/>
        <w:t>nomenclature</w:t>
      </w:r>
      <w:r w:rsidRPr="00B378D9">
        <w:rPr>
          <w:noProof/>
          <w:color w:val="000000" w:themeColor="text1"/>
          <w:sz w:val="24"/>
          <w:lang w:val="en-US"/>
        </w:rPr>
        <w:t>. http://www.bacterio.net/acinetobacter.html (2018, accessed 18 July 2018).</w:t>
      </w:r>
    </w:p>
    <w:p w14:paraId="44BB9ABF"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12.</w:t>
      </w:r>
      <w:r w:rsidRPr="00B378D9">
        <w:rPr>
          <w:noProof/>
          <w:color w:val="000000" w:themeColor="text1"/>
          <w:sz w:val="24"/>
          <w:lang w:val="en-US"/>
        </w:rPr>
        <w:tab/>
      </w:r>
      <w:r w:rsidRPr="00B378D9">
        <w:rPr>
          <w:b/>
          <w:bCs/>
          <w:noProof/>
          <w:color w:val="000000" w:themeColor="text1"/>
          <w:sz w:val="24"/>
          <w:lang w:val="en-US"/>
        </w:rPr>
        <w:t>Kong BH, Hanifah YA, Yusof MYM, Thong KL</w:t>
      </w:r>
      <w:r w:rsidRPr="00B378D9">
        <w:rPr>
          <w:noProof/>
          <w:color w:val="000000" w:themeColor="text1"/>
          <w:sz w:val="24"/>
          <w:lang w:val="en-US"/>
        </w:rPr>
        <w:t xml:space="preserve">. Antimicrobial susceptibility profiling and genomic diversity of multidrug-resistant Acinetobacter baumannii isolates from a teaching hospital in Malaysia. </w:t>
      </w:r>
      <w:r w:rsidRPr="00B378D9">
        <w:rPr>
          <w:i/>
          <w:iCs/>
          <w:noProof/>
          <w:color w:val="000000" w:themeColor="text1"/>
          <w:sz w:val="24"/>
          <w:lang w:val="en-US"/>
        </w:rPr>
        <w:t>Jpn J Infect Dis</w:t>
      </w:r>
      <w:r w:rsidRPr="00B378D9">
        <w:rPr>
          <w:noProof/>
          <w:color w:val="000000" w:themeColor="text1"/>
          <w:sz w:val="24"/>
          <w:lang w:val="en-US"/>
        </w:rPr>
        <w:t xml:space="preserve"> 2011;64:337–340.</w:t>
      </w:r>
    </w:p>
    <w:p w14:paraId="6C2C75CA"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13.</w:t>
      </w:r>
      <w:r w:rsidRPr="00B378D9">
        <w:rPr>
          <w:noProof/>
          <w:color w:val="000000" w:themeColor="text1"/>
          <w:sz w:val="24"/>
          <w:lang w:val="en-US"/>
        </w:rPr>
        <w:tab/>
      </w:r>
      <w:r w:rsidRPr="00B378D9">
        <w:rPr>
          <w:b/>
          <w:bCs/>
          <w:noProof/>
          <w:color w:val="000000" w:themeColor="text1"/>
          <w:sz w:val="24"/>
          <w:lang w:val="en-US"/>
        </w:rPr>
        <w:t xml:space="preserve">Lee MJ, Jang SJ, Li XM, Park G, Kook J-K, </w:t>
      </w:r>
      <w:r w:rsidRPr="00B378D9">
        <w:rPr>
          <w:b/>
          <w:bCs/>
          <w:i/>
          <w:iCs/>
          <w:noProof/>
          <w:color w:val="000000" w:themeColor="text1"/>
          <w:sz w:val="24"/>
          <w:lang w:val="en-US"/>
        </w:rPr>
        <w:t>et al.</w:t>
      </w:r>
      <w:r w:rsidRPr="00B378D9">
        <w:rPr>
          <w:noProof/>
          <w:color w:val="000000" w:themeColor="text1"/>
          <w:sz w:val="24"/>
          <w:lang w:val="en-US"/>
        </w:rPr>
        <w:t xml:space="preserve"> Comparison of </w:t>
      </w:r>
      <w:r w:rsidRPr="00B378D9">
        <w:rPr>
          <w:i/>
          <w:noProof/>
          <w:color w:val="000000" w:themeColor="text1"/>
          <w:sz w:val="24"/>
          <w:lang w:val="en-US"/>
        </w:rPr>
        <w:t>rpoB</w:t>
      </w:r>
      <w:r w:rsidRPr="00B378D9">
        <w:rPr>
          <w:noProof/>
          <w:color w:val="000000" w:themeColor="text1"/>
          <w:sz w:val="24"/>
          <w:lang w:val="en-US"/>
        </w:rPr>
        <w:t xml:space="preserve"> gene sequencing, 16S rRNA gene sequencing, </w:t>
      </w:r>
      <w:r w:rsidRPr="00B378D9">
        <w:rPr>
          <w:i/>
          <w:noProof/>
          <w:color w:val="000000" w:themeColor="text1"/>
          <w:sz w:val="24"/>
          <w:lang w:val="en-US"/>
        </w:rPr>
        <w:t>gyrB</w:t>
      </w:r>
      <w:r w:rsidRPr="00B378D9">
        <w:rPr>
          <w:noProof/>
          <w:color w:val="000000" w:themeColor="text1"/>
          <w:sz w:val="24"/>
          <w:lang w:val="en-US"/>
        </w:rPr>
        <w:t xml:space="preserve"> multiplex PCR, and the VITEK2 system for identification of Acinetobacter clinical isolates. </w:t>
      </w:r>
      <w:r w:rsidRPr="00B378D9">
        <w:rPr>
          <w:i/>
          <w:iCs/>
          <w:noProof/>
          <w:color w:val="000000" w:themeColor="text1"/>
          <w:sz w:val="24"/>
          <w:lang w:val="en-US"/>
        </w:rPr>
        <w:t>Diagn Microbiol Infect Dis</w:t>
      </w:r>
      <w:r w:rsidRPr="00B378D9">
        <w:rPr>
          <w:noProof/>
          <w:color w:val="000000" w:themeColor="text1"/>
          <w:sz w:val="24"/>
          <w:lang w:val="en-US"/>
        </w:rPr>
        <w:t xml:space="preserve"> 2014;78:29–34.</w:t>
      </w:r>
    </w:p>
    <w:p w14:paraId="00AFAF83"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14.</w:t>
      </w:r>
      <w:r w:rsidRPr="00B378D9">
        <w:rPr>
          <w:noProof/>
          <w:color w:val="000000" w:themeColor="text1"/>
          <w:sz w:val="24"/>
          <w:lang w:val="en-US"/>
        </w:rPr>
        <w:tab/>
      </w:r>
      <w:r w:rsidRPr="00B378D9">
        <w:rPr>
          <w:b/>
          <w:bCs/>
          <w:noProof/>
          <w:color w:val="000000" w:themeColor="text1"/>
          <w:sz w:val="24"/>
          <w:lang w:val="en-US"/>
        </w:rPr>
        <w:t>La Scola B, Gundi VAKB, Khamis A, Raoult D</w:t>
      </w:r>
      <w:r w:rsidRPr="00B378D9">
        <w:rPr>
          <w:noProof/>
          <w:color w:val="000000" w:themeColor="text1"/>
          <w:sz w:val="24"/>
          <w:lang w:val="en-US"/>
        </w:rPr>
        <w:t xml:space="preserve">. Sequencing of the </w:t>
      </w:r>
      <w:r w:rsidRPr="00B378D9">
        <w:rPr>
          <w:i/>
          <w:noProof/>
          <w:color w:val="000000" w:themeColor="text1"/>
          <w:sz w:val="24"/>
          <w:lang w:val="en-US"/>
        </w:rPr>
        <w:t>rpoB</w:t>
      </w:r>
      <w:r w:rsidRPr="00B378D9">
        <w:rPr>
          <w:noProof/>
          <w:color w:val="000000" w:themeColor="text1"/>
          <w:sz w:val="24"/>
          <w:lang w:val="en-US"/>
        </w:rPr>
        <w:t xml:space="preserve"> gene and flanking spacers for molecular identification of Acinetobacter species. </w:t>
      </w:r>
      <w:r w:rsidRPr="00B378D9">
        <w:rPr>
          <w:i/>
          <w:iCs/>
          <w:noProof/>
          <w:color w:val="000000" w:themeColor="text1"/>
          <w:sz w:val="24"/>
          <w:lang w:val="en-US"/>
        </w:rPr>
        <w:t>J Clin Microbiol</w:t>
      </w:r>
      <w:r w:rsidRPr="00B378D9">
        <w:rPr>
          <w:noProof/>
          <w:color w:val="000000" w:themeColor="text1"/>
          <w:sz w:val="24"/>
          <w:lang w:val="en-US"/>
        </w:rPr>
        <w:t xml:space="preserve"> 2006;44:827–832.</w:t>
      </w:r>
    </w:p>
    <w:p w14:paraId="6EECE212"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15.</w:t>
      </w:r>
      <w:r w:rsidRPr="00B378D9">
        <w:rPr>
          <w:noProof/>
          <w:color w:val="000000" w:themeColor="text1"/>
          <w:sz w:val="24"/>
          <w:lang w:val="en-US"/>
        </w:rPr>
        <w:tab/>
      </w:r>
      <w:r w:rsidRPr="00B378D9">
        <w:rPr>
          <w:b/>
          <w:bCs/>
          <w:noProof/>
          <w:color w:val="000000" w:themeColor="text1"/>
          <w:sz w:val="24"/>
          <w:lang w:val="en-US"/>
        </w:rPr>
        <w:t>Gundi VAKB, Dijkshoorn L, Burignat S, Raoult D, La Scola B</w:t>
      </w:r>
      <w:r w:rsidRPr="00B378D9">
        <w:rPr>
          <w:noProof/>
          <w:color w:val="000000" w:themeColor="text1"/>
          <w:sz w:val="24"/>
          <w:lang w:val="en-US"/>
        </w:rPr>
        <w:t xml:space="preserve">. Validation of partial </w:t>
      </w:r>
      <w:r w:rsidRPr="00B378D9">
        <w:rPr>
          <w:i/>
          <w:noProof/>
          <w:color w:val="000000" w:themeColor="text1"/>
          <w:sz w:val="24"/>
          <w:lang w:val="en-US"/>
        </w:rPr>
        <w:t>rpoB</w:t>
      </w:r>
      <w:r w:rsidRPr="00B378D9">
        <w:rPr>
          <w:noProof/>
          <w:color w:val="000000" w:themeColor="text1"/>
          <w:sz w:val="24"/>
          <w:lang w:val="en-US"/>
        </w:rPr>
        <w:t xml:space="preserve"> gene sequence analysis for the identification of clinically important and emerging Acinetobacter species. </w:t>
      </w:r>
      <w:r w:rsidRPr="00B378D9">
        <w:rPr>
          <w:i/>
          <w:iCs/>
          <w:noProof/>
          <w:color w:val="000000" w:themeColor="text1"/>
          <w:sz w:val="24"/>
          <w:lang w:val="en-US"/>
        </w:rPr>
        <w:t>Microbiology</w:t>
      </w:r>
      <w:r w:rsidRPr="00B378D9">
        <w:rPr>
          <w:noProof/>
          <w:color w:val="000000" w:themeColor="text1"/>
          <w:sz w:val="24"/>
          <w:lang w:val="en-US"/>
        </w:rPr>
        <w:t xml:space="preserve"> 2009;155:2333–2341.</w:t>
      </w:r>
    </w:p>
    <w:p w14:paraId="10A9B033"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16.</w:t>
      </w:r>
      <w:r w:rsidRPr="00B378D9">
        <w:rPr>
          <w:noProof/>
          <w:color w:val="000000" w:themeColor="text1"/>
          <w:sz w:val="24"/>
          <w:lang w:val="en-US"/>
        </w:rPr>
        <w:tab/>
      </w:r>
      <w:r w:rsidRPr="00B378D9">
        <w:rPr>
          <w:b/>
          <w:bCs/>
          <w:noProof/>
          <w:color w:val="000000" w:themeColor="text1"/>
          <w:sz w:val="24"/>
          <w:lang w:val="en-US"/>
        </w:rPr>
        <w:t xml:space="preserve">Lee Y-T, Kuo S-C, Yang S-P, Lin Y-T, Chiang D-H, </w:t>
      </w:r>
      <w:r w:rsidRPr="00B378D9">
        <w:rPr>
          <w:b/>
          <w:bCs/>
          <w:i/>
          <w:iCs/>
          <w:noProof/>
          <w:color w:val="000000" w:themeColor="text1"/>
          <w:sz w:val="24"/>
          <w:lang w:val="en-US"/>
        </w:rPr>
        <w:t>et al.</w:t>
      </w:r>
      <w:r w:rsidRPr="00B378D9">
        <w:rPr>
          <w:noProof/>
          <w:color w:val="000000" w:themeColor="text1"/>
          <w:sz w:val="24"/>
          <w:lang w:val="en-US"/>
        </w:rPr>
        <w:t xml:space="preserve"> Bacteremic nosocomial pneumonia caused by Acinetobacter baumannii and Acinetobacter nosocomialis: a single or two distinct clinical entities? </w:t>
      </w:r>
      <w:r w:rsidRPr="00B378D9">
        <w:rPr>
          <w:i/>
          <w:iCs/>
          <w:noProof/>
          <w:color w:val="000000" w:themeColor="text1"/>
          <w:sz w:val="24"/>
          <w:lang w:val="en-US"/>
        </w:rPr>
        <w:t>Clin Microbiol Infect</w:t>
      </w:r>
      <w:r w:rsidRPr="00B378D9">
        <w:rPr>
          <w:noProof/>
          <w:color w:val="000000" w:themeColor="text1"/>
          <w:sz w:val="24"/>
          <w:lang w:val="en-US"/>
        </w:rPr>
        <w:t xml:space="preserve"> 2013;19:640–645.</w:t>
      </w:r>
    </w:p>
    <w:p w14:paraId="58D94382" w14:textId="1D25B316"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17.</w:t>
      </w:r>
      <w:r w:rsidRPr="00B378D9">
        <w:rPr>
          <w:noProof/>
          <w:color w:val="000000" w:themeColor="text1"/>
          <w:sz w:val="24"/>
          <w:lang w:val="en-US"/>
        </w:rPr>
        <w:tab/>
      </w:r>
      <w:r w:rsidRPr="00B378D9">
        <w:rPr>
          <w:b/>
          <w:bCs/>
          <w:noProof/>
          <w:color w:val="000000" w:themeColor="text1"/>
          <w:sz w:val="24"/>
          <w:lang w:val="en-US"/>
        </w:rPr>
        <w:t xml:space="preserve">Park K-H, Shin J-H, Lee SY, Kim SH, Jang MO, </w:t>
      </w:r>
      <w:r w:rsidRPr="00B378D9">
        <w:rPr>
          <w:b/>
          <w:bCs/>
          <w:i/>
          <w:iCs/>
          <w:noProof/>
          <w:color w:val="000000" w:themeColor="text1"/>
          <w:sz w:val="24"/>
          <w:lang w:val="en-US"/>
        </w:rPr>
        <w:t>et al.</w:t>
      </w:r>
      <w:r w:rsidR="00051659" w:rsidRPr="00B378D9">
        <w:rPr>
          <w:noProof/>
          <w:color w:val="000000" w:themeColor="text1"/>
          <w:sz w:val="24"/>
          <w:lang w:val="en-US"/>
        </w:rPr>
        <w:t xml:space="preserve"> The clinical characteristics, carbapenem resistance, and outcome of Acinetobacter bacteremia according to g</w:t>
      </w:r>
      <w:r w:rsidRPr="00B378D9">
        <w:rPr>
          <w:noProof/>
          <w:color w:val="000000" w:themeColor="text1"/>
          <w:sz w:val="24"/>
          <w:lang w:val="en-US"/>
        </w:rPr>
        <w:t xml:space="preserve">enospecies. </w:t>
      </w:r>
      <w:r w:rsidRPr="00B378D9">
        <w:rPr>
          <w:i/>
          <w:iCs/>
          <w:noProof/>
          <w:color w:val="000000" w:themeColor="text1"/>
          <w:sz w:val="24"/>
          <w:lang w:val="en-US"/>
        </w:rPr>
        <w:t>PLoS One</w:t>
      </w:r>
      <w:r w:rsidRPr="00B378D9">
        <w:rPr>
          <w:noProof/>
          <w:color w:val="000000" w:themeColor="text1"/>
          <w:sz w:val="24"/>
          <w:lang w:val="en-US"/>
        </w:rPr>
        <w:t xml:space="preserve"> 2013;8:e65026.</w:t>
      </w:r>
    </w:p>
    <w:p w14:paraId="21FFA7CC"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18.</w:t>
      </w:r>
      <w:r w:rsidRPr="00B378D9">
        <w:rPr>
          <w:noProof/>
          <w:color w:val="000000" w:themeColor="text1"/>
          <w:sz w:val="24"/>
          <w:lang w:val="en-US"/>
        </w:rPr>
        <w:tab/>
      </w:r>
      <w:r w:rsidRPr="00B378D9">
        <w:rPr>
          <w:b/>
          <w:bCs/>
          <w:noProof/>
          <w:color w:val="000000" w:themeColor="text1"/>
          <w:sz w:val="24"/>
          <w:lang w:val="en-US"/>
        </w:rPr>
        <w:t xml:space="preserve">Mohd. Rani F, A. Rahman NI, Ismail S, Alattraqchi AG, Cleary DW, </w:t>
      </w:r>
      <w:r w:rsidRPr="00B378D9">
        <w:rPr>
          <w:b/>
          <w:bCs/>
          <w:i/>
          <w:iCs/>
          <w:noProof/>
          <w:color w:val="000000" w:themeColor="text1"/>
          <w:sz w:val="24"/>
          <w:lang w:val="en-US"/>
        </w:rPr>
        <w:t>et al.</w:t>
      </w:r>
      <w:r w:rsidRPr="00B378D9">
        <w:rPr>
          <w:noProof/>
          <w:color w:val="000000" w:themeColor="text1"/>
          <w:sz w:val="24"/>
          <w:lang w:val="en-US"/>
        </w:rPr>
        <w:t xml:space="preserve"> Acinetobacter spp. Infections in Malaysia: A Review of Antimicrobial Resistance Trends, Mechanisms and Epidemiology. </w:t>
      </w:r>
      <w:r w:rsidRPr="00B378D9">
        <w:rPr>
          <w:i/>
          <w:iCs/>
          <w:noProof/>
          <w:color w:val="000000" w:themeColor="text1"/>
          <w:sz w:val="24"/>
          <w:lang w:val="en-US"/>
        </w:rPr>
        <w:t>Front Microbiol</w:t>
      </w:r>
      <w:r w:rsidRPr="00B378D9">
        <w:rPr>
          <w:noProof/>
          <w:color w:val="000000" w:themeColor="text1"/>
          <w:sz w:val="24"/>
          <w:lang w:val="en-US"/>
        </w:rPr>
        <w:t xml:space="preserve"> 2017;8:2479.</w:t>
      </w:r>
    </w:p>
    <w:p w14:paraId="67D50138"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19.</w:t>
      </w:r>
      <w:r w:rsidRPr="00B378D9">
        <w:rPr>
          <w:noProof/>
          <w:color w:val="000000" w:themeColor="text1"/>
          <w:sz w:val="24"/>
          <w:lang w:val="en-US"/>
        </w:rPr>
        <w:tab/>
      </w:r>
      <w:r w:rsidRPr="00B378D9">
        <w:rPr>
          <w:b/>
          <w:bCs/>
          <w:noProof/>
          <w:color w:val="000000" w:themeColor="text1"/>
          <w:sz w:val="24"/>
          <w:lang w:val="en-US"/>
        </w:rPr>
        <w:t xml:space="preserve">Lean S-S, Suhaili Z, Ismail S, Rahman NIA, Othman N, </w:t>
      </w:r>
      <w:r w:rsidRPr="00B378D9">
        <w:rPr>
          <w:b/>
          <w:bCs/>
          <w:i/>
          <w:iCs/>
          <w:noProof/>
          <w:color w:val="000000" w:themeColor="text1"/>
          <w:sz w:val="24"/>
          <w:lang w:val="en-US"/>
        </w:rPr>
        <w:t>et al.</w:t>
      </w:r>
      <w:r w:rsidRPr="00B378D9">
        <w:rPr>
          <w:noProof/>
          <w:color w:val="000000" w:themeColor="text1"/>
          <w:sz w:val="24"/>
          <w:lang w:val="en-US"/>
        </w:rPr>
        <w:t xml:space="preserve"> Prevalence and Genetic Characterization of Carbapenem- and Polymyxin-Resistant Acinetobacter baumannii Isolated from a Tertiary Hospital in Terengganu, Malaysia. </w:t>
      </w:r>
      <w:r w:rsidRPr="00B378D9">
        <w:rPr>
          <w:i/>
          <w:iCs/>
          <w:noProof/>
          <w:color w:val="000000" w:themeColor="text1"/>
          <w:sz w:val="24"/>
          <w:lang w:val="en-US"/>
        </w:rPr>
        <w:t>ISRN Microbiol</w:t>
      </w:r>
      <w:r w:rsidRPr="00B378D9">
        <w:rPr>
          <w:noProof/>
          <w:color w:val="000000" w:themeColor="text1"/>
          <w:sz w:val="24"/>
          <w:lang w:val="en-US"/>
        </w:rPr>
        <w:t xml:space="preserve"> 2014;2014:953417.</w:t>
      </w:r>
    </w:p>
    <w:p w14:paraId="719C9F73" w14:textId="65F408FB"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20.</w:t>
      </w:r>
      <w:r w:rsidRPr="00B378D9">
        <w:rPr>
          <w:noProof/>
          <w:color w:val="000000" w:themeColor="text1"/>
          <w:sz w:val="24"/>
          <w:lang w:val="en-US"/>
        </w:rPr>
        <w:tab/>
      </w:r>
      <w:r w:rsidRPr="00B378D9">
        <w:rPr>
          <w:b/>
          <w:bCs/>
          <w:noProof/>
          <w:color w:val="000000" w:themeColor="text1"/>
          <w:sz w:val="24"/>
          <w:lang w:val="en-US"/>
        </w:rPr>
        <w:t>Lean S-S, Yeo CC, Suhaili Z, Thong K-L</w:t>
      </w:r>
      <w:r w:rsidRPr="00B378D9">
        <w:rPr>
          <w:noProof/>
          <w:color w:val="000000" w:themeColor="text1"/>
          <w:sz w:val="24"/>
          <w:lang w:val="en-US"/>
        </w:rPr>
        <w:t>. Comparative ge</w:t>
      </w:r>
      <w:r w:rsidR="00051659" w:rsidRPr="00B378D9">
        <w:rPr>
          <w:noProof/>
          <w:color w:val="000000" w:themeColor="text1"/>
          <w:sz w:val="24"/>
          <w:lang w:val="en-US"/>
        </w:rPr>
        <w:t>nomics of two ST</w:t>
      </w:r>
      <w:r w:rsidRPr="00B378D9">
        <w:rPr>
          <w:noProof/>
          <w:color w:val="000000" w:themeColor="text1"/>
          <w:sz w:val="24"/>
          <w:lang w:val="en-US"/>
        </w:rPr>
        <w:t xml:space="preserve">195 carbapenem-resistant Acinetobacter baumannii with different susceptibility to polymyxin revealed underlying resistance mechanism. </w:t>
      </w:r>
      <w:r w:rsidRPr="00B378D9">
        <w:rPr>
          <w:i/>
          <w:iCs/>
          <w:noProof/>
          <w:color w:val="000000" w:themeColor="text1"/>
          <w:sz w:val="24"/>
          <w:lang w:val="en-US"/>
        </w:rPr>
        <w:t>Front Microbiol</w:t>
      </w:r>
      <w:r w:rsidRPr="00B378D9">
        <w:rPr>
          <w:noProof/>
          <w:color w:val="000000" w:themeColor="text1"/>
          <w:sz w:val="24"/>
          <w:lang w:val="en-US"/>
        </w:rPr>
        <w:t xml:space="preserve"> 2016;6:1445.</w:t>
      </w:r>
    </w:p>
    <w:p w14:paraId="209E0460"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lastRenderedPageBreak/>
        <w:t>21.</w:t>
      </w:r>
      <w:r w:rsidRPr="00B378D9">
        <w:rPr>
          <w:noProof/>
          <w:color w:val="000000" w:themeColor="text1"/>
          <w:sz w:val="24"/>
          <w:lang w:val="en-US"/>
        </w:rPr>
        <w:tab/>
      </w:r>
      <w:r w:rsidRPr="00B378D9">
        <w:rPr>
          <w:b/>
          <w:bCs/>
          <w:noProof/>
          <w:color w:val="000000" w:themeColor="text1"/>
          <w:sz w:val="24"/>
          <w:lang w:val="en-US"/>
        </w:rPr>
        <w:t>Poirel L, Bonnin RA, Nordmann P</w:t>
      </w:r>
      <w:r w:rsidRPr="00B378D9">
        <w:rPr>
          <w:noProof/>
          <w:color w:val="000000" w:themeColor="text1"/>
          <w:sz w:val="24"/>
          <w:lang w:val="en-US"/>
        </w:rPr>
        <w:t xml:space="preserve">. Genetic basis of antibiotic resistance in pathogenic Acinetobacter species. </w:t>
      </w:r>
      <w:r w:rsidRPr="00B378D9">
        <w:rPr>
          <w:i/>
          <w:iCs/>
          <w:noProof/>
          <w:color w:val="000000" w:themeColor="text1"/>
          <w:sz w:val="24"/>
          <w:lang w:val="en-US"/>
        </w:rPr>
        <w:t>IUBMB Life</w:t>
      </w:r>
      <w:r w:rsidRPr="00B378D9">
        <w:rPr>
          <w:noProof/>
          <w:color w:val="000000" w:themeColor="text1"/>
          <w:sz w:val="24"/>
          <w:lang w:val="en-US"/>
        </w:rPr>
        <w:t xml:space="preserve"> 2011;63:1061–1067.</w:t>
      </w:r>
    </w:p>
    <w:p w14:paraId="691AAB9E"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22.</w:t>
      </w:r>
      <w:r w:rsidRPr="00B378D9">
        <w:rPr>
          <w:noProof/>
          <w:color w:val="000000" w:themeColor="text1"/>
          <w:sz w:val="24"/>
          <w:lang w:val="en-US"/>
        </w:rPr>
        <w:tab/>
      </w:r>
      <w:r w:rsidRPr="00B378D9">
        <w:rPr>
          <w:b/>
          <w:bCs/>
          <w:noProof/>
          <w:color w:val="000000" w:themeColor="text1"/>
          <w:sz w:val="24"/>
          <w:lang w:val="en-US"/>
        </w:rPr>
        <w:t xml:space="preserve">Hsu L-Y, Apisarnthanarak A, Khan E, Suwantarat N, Ghafur A, </w:t>
      </w:r>
      <w:r w:rsidRPr="00B378D9">
        <w:rPr>
          <w:b/>
          <w:bCs/>
          <w:i/>
          <w:iCs/>
          <w:noProof/>
          <w:color w:val="000000" w:themeColor="text1"/>
          <w:sz w:val="24"/>
          <w:lang w:val="en-US"/>
        </w:rPr>
        <w:t>et al.</w:t>
      </w:r>
      <w:r w:rsidRPr="00B378D9">
        <w:rPr>
          <w:noProof/>
          <w:color w:val="000000" w:themeColor="text1"/>
          <w:sz w:val="24"/>
          <w:lang w:val="en-US"/>
        </w:rPr>
        <w:t xml:space="preserve"> Carbapenem-Resistant Acinetobacter baumannii and Enterobacteriaceae in South and Southeast Asia. </w:t>
      </w:r>
      <w:r w:rsidRPr="00B378D9">
        <w:rPr>
          <w:i/>
          <w:iCs/>
          <w:noProof/>
          <w:color w:val="000000" w:themeColor="text1"/>
          <w:sz w:val="24"/>
          <w:lang w:val="en-US"/>
        </w:rPr>
        <w:t>Clin Microbiol Rev</w:t>
      </w:r>
      <w:r w:rsidRPr="00B378D9">
        <w:rPr>
          <w:noProof/>
          <w:color w:val="000000" w:themeColor="text1"/>
          <w:sz w:val="24"/>
          <w:lang w:val="en-US"/>
        </w:rPr>
        <w:t xml:space="preserve"> 2017;30:1–22.</w:t>
      </w:r>
    </w:p>
    <w:p w14:paraId="3F36B6F2"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23.</w:t>
      </w:r>
      <w:r w:rsidRPr="00B378D9">
        <w:rPr>
          <w:noProof/>
          <w:color w:val="000000" w:themeColor="text1"/>
          <w:sz w:val="24"/>
          <w:lang w:val="en-US"/>
        </w:rPr>
        <w:tab/>
      </w:r>
      <w:r w:rsidRPr="00B378D9">
        <w:rPr>
          <w:b/>
          <w:bCs/>
          <w:noProof/>
          <w:color w:val="000000" w:themeColor="text1"/>
          <w:sz w:val="24"/>
          <w:lang w:val="en-US"/>
        </w:rPr>
        <w:t xml:space="preserve">Vaneechoutte M, Dijkshoorn L, Tjernberg I, Elaichouni A, de Vos P, </w:t>
      </w:r>
      <w:r w:rsidRPr="00B378D9">
        <w:rPr>
          <w:b/>
          <w:bCs/>
          <w:i/>
          <w:iCs/>
          <w:noProof/>
          <w:color w:val="000000" w:themeColor="text1"/>
          <w:sz w:val="24"/>
          <w:lang w:val="en-US"/>
        </w:rPr>
        <w:t>et al.</w:t>
      </w:r>
      <w:r w:rsidRPr="00B378D9">
        <w:rPr>
          <w:noProof/>
          <w:color w:val="000000" w:themeColor="text1"/>
          <w:sz w:val="24"/>
          <w:lang w:val="en-US"/>
        </w:rPr>
        <w:t xml:space="preserve"> Identification of Acinetobacter genomic species by amplified ribosomal DNA restriction analysis. </w:t>
      </w:r>
      <w:r w:rsidRPr="00B378D9">
        <w:rPr>
          <w:i/>
          <w:iCs/>
          <w:noProof/>
          <w:color w:val="000000" w:themeColor="text1"/>
          <w:sz w:val="24"/>
          <w:lang w:val="en-US"/>
        </w:rPr>
        <w:t>J Clin Microbiol</w:t>
      </w:r>
      <w:r w:rsidRPr="00B378D9">
        <w:rPr>
          <w:noProof/>
          <w:color w:val="000000" w:themeColor="text1"/>
          <w:sz w:val="24"/>
          <w:lang w:val="en-US"/>
        </w:rPr>
        <w:t xml:space="preserve"> 1995;33:11–15.</w:t>
      </w:r>
    </w:p>
    <w:p w14:paraId="311546FE"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24.</w:t>
      </w:r>
      <w:r w:rsidRPr="00B378D9">
        <w:rPr>
          <w:noProof/>
          <w:color w:val="000000" w:themeColor="text1"/>
          <w:sz w:val="24"/>
          <w:lang w:val="en-US"/>
        </w:rPr>
        <w:tab/>
      </w:r>
      <w:r w:rsidRPr="00B378D9">
        <w:rPr>
          <w:b/>
          <w:bCs/>
          <w:noProof/>
          <w:color w:val="000000" w:themeColor="text1"/>
          <w:sz w:val="24"/>
          <w:lang w:val="en-US"/>
        </w:rPr>
        <w:t>Dijkshoorn L, van Harsselaar B, Tjernberg I, Bouvet PJM., Vaneechoutte M</w:t>
      </w:r>
      <w:r w:rsidRPr="00B378D9">
        <w:rPr>
          <w:noProof/>
          <w:color w:val="000000" w:themeColor="text1"/>
          <w:sz w:val="24"/>
          <w:lang w:val="en-US"/>
        </w:rPr>
        <w:t xml:space="preserve">. Evaluation of amplified ribosomal DNA restriction analysis for identification of Acinetobacter genomic species. </w:t>
      </w:r>
      <w:r w:rsidRPr="00B378D9">
        <w:rPr>
          <w:i/>
          <w:iCs/>
          <w:noProof/>
          <w:color w:val="000000" w:themeColor="text1"/>
          <w:sz w:val="24"/>
          <w:lang w:val="en-US"/>
        </w:rPr>
        <w:t>Syst Appl Microbiol</w:t>
      </w:r>
      <w:r w:rsidRPr="00B378D9">
        <w:rPr>
          <w:noProof/>
          <w:color w:val="000000" w:themeColor="text1"/>
          <w:sz w:val="24"/>
          <w:lang w:val="en-US"/>
        </w:rPr>
        <w:t xml:space="preserve"> 1998;21:33–39.</w:t>
      </w:r>
    </w:p>
    <w:p w14:paraId="18515964"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25.</w:t>
      </w:r>
      <w:r w:rsidRPr="00B378D9">
        <w:rPr>
          <w:noProof/>
          <w:color w:val="000000" w:themeColor="text1"/>
          <w:sz w:val="24"/>
          <w:lang w:val="en-US"/>
        </w:rPr>
        <w:tab/>
      </w:r>
      <w:r w:rsidRPr="00B378D9">
        <w:rPr>
          <w:b/>
          <w:bCs/>
          <w:noProof/>
          <w:color w:val="000000" w:themeColor="text1"/>
          <w:sz w:val="24"/>
          <w:lang w:val="en-US"/>
        </w:rPr>
        <w:t>CLSI</w:t>
      </w:r>
      <w:r w:rsidRPr="00B378D9">
        <w:rPr>
          <w:noProof/>
          <w:color w:val="000000" w:themeColor="text1"/>
          <w:sz w:val="24"/>
          <w:lang w:val="en-US"/>
        </w:rPr>
        <w:t xml:space="preserve">. </w:t>
      </w:r>
      <w:r w:rsidRPr="00B378D9">
        <w:rPr>
          <w:i/>
          <w:iCs/>
          <w:noProof/>
          <w:color w:val="000000" w:themeColor="text1"/>
          <w:sz w:val="24"/>
          <w:lang w:val="en-US"/>
        </w:rPr>
        <w:t>M100-S27 Performance Standards for Antimicrobial Susceptibility Testing, Twenty-Seventh Informational Supplement</w:t>
      </w:r>
      <w:r w:rsidRPr="00B378D9">
        <w:rPr>
          <w:noProof/>
          <w:color w:val="000000" w:themeColor="text1"/>
          <w:sz w:val="24"/>
          <w:lang w:val="en-US"/>
        </w:rPr>
        <w:t>. Wayne, PA 19087 USA: Clinical and Laboratory Standards Institute. http://clsi.org/m100/ (2017).</w:t>
      </w:r>
    </w:p>
    <w:p w14:paraId="03DF0003"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26.</w:t>
      </w:r>
      <w:r w:rsidRPr="00B378D9">
        <w:rPr>
          <w:noProof/>
          <w:color w:val="000000" w:themeColor="text1"/>
          <w:sz w:val="24"/>
          <w:lang w:val="en-US"/>
        </w:rPr>
        <w:tab/>
      </w:r>
      <w:r w:rsidRPr="00B378D9">
        <w:rPr>
          <w:b/>
          <w:bCs/>
          <w:noProof/>
          <w:color w:val="000000" w:themeColor="text1"/>
          <w:sz w:val="24"/>
          <w:lang w:val="en-US"/>
        </w:rPr>
        <w:t>Nicolau DP, Quintana A, Korth- Bradley JM, Wible M, Dowzicky MJ</w:t>
      </w:r>
      <w:r w:rsidRPr="00B378D9">
        <w:rPr>
          <w:noProof/>
          <w:color w:val="000000" w:themeColor="text1"/>
          <w:sz w:val="24"/>
          <w:lang w:val="en-US"/>
        </w:rPr>
        <w:t xml:space="preserve">. A Rationale for Maintaining Current Tigecycline Breakpoints as Established by the USA Food and Drug Administration. </w:t>
      </w:r>
      <w:r w:rsidRPr="00B378D9">
        <w:rPr>
          <w:i/>
          <w:iCs/>
          <w:noProof/>
          <w:color w:val="000000" w:themeColor="text1"/>
          <w:sz w:val="24"/>
          <w:lang w:val="en-US"/>
        </w:rPr>
        <w:t>Arch Clin Microbiol</w:t>
      </w:r>
      <w:r w:rsidRPr="00B378D9">
        <w:rPr>
          <w:noProof/>
          <w:color w:val="000000" w:themeColor="text1"/>
          <w:sz w:val="24"/>
          <w:lang w:val="en-US"/>
        </w:rPr>
        <w:t xml:space="preserve"> 2015;6:7.</w:t>
      </w:r>
    </w:p>
    <w:p w14:paraId="1D102CC9"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27.</w:t>
      </w:r>
      <w:r w:rsidRPr="00B378D9">
        <w:rPr>
          <w:noProof/>
          <w:color w:val="000000" w:themeColor="text1"/>
          <w:sz w:val="24"/>
          <w:lang w:val="en-US"/>
        </w:rPr>
        <w:tab/>
      </w:r>
      <w:r w:rsidRPr="00B378D9">
        <w:rPr>
          <w:b/>
          <w:bCs/>
          <w:noProof/>
          <w:color w:val="000000" w:themeColor="text1"/>
          <w:sz w:val="24"/>
          <w:lang w:val="en-US"/>
        </w:rPr>
        <w:t xml:space="preserve">Van Den Broek PJ, Van Der Reijden TJK, Van Strijen E, Helmig-Schurter A V., Bernards AT, </w:t>
      </w:r>
      <w:r w:rsidRPr="00B378D9">
        <w:rPr>
          <w:b/>
          <w:bCs/>
          <w:i/>
          <w:iCs/>
          <w:noProof/>
          <w:color w:val="000000" w:themeColor="text1"/>
          <w:sz w:val="24"/>
          <w:lang w:val="en-US"/>
        </w:rPr>
        <w:t>et al.</w:t>
      </w:r>
      <w:r w:rsidRPr="00B378D9">
        <w:rPr>
          <w:noProof/>
          <w:color w:val="000000" w:themeColor="text1"/>
          <w:sz w:val="24"/>
          <w:lang w:val="en-US"/>
        </w:rPr>
        <w:t xml:space="preserve"> Endemic and epidemic Acinetobacter species in a university hospital: An 8-year survey. </w:t>
      </w:r>
      <w:r w:rsidRPr="00B378D9">
        <w:rPr>
          <w:i/>
          <w:iCs/>
          <w:noProof/>
          <w:color w:val="000000" w:themeColor="text1"/>
          <w:sz w:val="24"/>
          <w:lang w:val="en-US"/>
        </w:rPr>
        <w:t>J Clin Microbiol</w:t>
      </w:r>
      <w:r w:rsidRPr="00B378D9">
        <w:rPr>
          <w:noProof/>
          <w:color w:val="000000" w:themeColor="text1"/>
          <w:sz w:val="24"/>
          <w:lang w:val="en-US"/>
        </w:rPr>
        <w:t xml:space="preserve"> 2009;47:3593–3599.</w:t>
      </w:r>
    </w:p>
    <w:p w14:paraId="1092EF9E"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28.</w:t>
      </w:r>
      <w:r w:rsidRPr="00B378D9">
        <w:rPr>
          <w:noProof/>
          <w:color w:val="000000" w:themeColor="text1"/>
          <w:sz w:val="24"/>
          <w:lang w:val="en-US"/>
        </w:rPr>
        <w:tab/>
      </w:r>
      <w:r w:rsidRPr="00B378D9">
        <w:rPr>
          <w:b/>
          <w:bCs/>
          <w:noProof/>
          <w:color w:val="000000" w:themeColor="text1"/>
          <w:sz w:val="24"/>
          <w:lang w:val="en-US"/>
        </w:rPr>
        <w:t xml:space="preserve">Magiorakos A, Srinivasan A, Carey R, Carmeli Y, Falagas M, </w:t>
      </w:r>
      <w:r w:rsidRPr="00B378D9">
        <w:rPr>
          <w:b/>
          <w:bCs/>
          <w:i/>
          <w:iCs/>
          <w:noProof/>
          <w:color w:val="000000" w:themeColor="text1"/>
          <w:sz w:val="24"/>
          <w:lang w:val="en-US"/>
        </w:rPr>
        <w:t>et al.</w:t>
      </w:r>
      <w:r w:rsidRPr="00B378D9">
        <w:rPr>
          <w:noProof/>
          <w:color w:val="000000" w:themeColor="text1"/>
          <w:sz w:val="24"/>
          <w:lang w:val="en-US"/>
        </w:rPr>
        <w:t xml:space="preserve"> Multidrug-resistant, extensively drug-resistant and pandrug-resistant bacteria: an international expert proposal for interim standard definitions for acquired resistance. </w:t>
      </w:r>
      <w:r w:rsidRPr="00B378D9">
        <w:rPr>
          <w:i/>
          <w:iCs/>
          <w:noProof/>
          <w:color w:val="000000" w:themeColor="text1"/>
          <w:sz w:val="24"/>
          <w:lang w:val="en-US"/>
        </w:rPr>
        <w:t>Clin Microbiol Infect</w:t>
      </w:r>
      <w:r w:rsidRPr="00B378D9">
        <w:rPr>
          <w:noProof/>
          <w:color w:val="000000" w:themeColor="text1"/>
          <w:sz w:val="24"/>
          <w:lang w:val="en-US"/>
        </w:rPr>
        <w:t xml:space="preserve"> 2012;18:268–281.</w:t>
      </w:r>
    </w:p>
    <w:p w14:paraId="6FFF36A5"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29.</w:t>
      </w:r>
      <w:r w:rsidRPr="00B378D9">
        <w:rPr>
          <w:noProof/>
          <w:color w:val="000000" w:themeColor="text1"/>
          <w:sz w:val="24"/>
          <w:lang w:val="en-US"/>
        </w:rPr>
        <w:tab/>
      </w:r>
      <w:r w:rsidRPr="00B378D9">
        <w:rPr>
          <w:b/>
          <w:bCs/>
          <w:noProof/>
          <w:color w:val="000000" w:themeColor="text1"/>
          <w:sz w:val="24"/>
          <w:lang w:val="en-US"/>
        </w:rPr>
        <w:t xml:space="preserve">De Vos D, Pirnay JP, Bilocq F, Jennes S, Verbeken G, </w:t>
      </w:r>
      <w:r w:rsidRPr="00B378D9">
        <w:rPr>
          <w:b/>
          <w:bCs/>
          <w:i/>
          <w:iCs/>
          <w:noProof/>
          <w:color w:val="000000" w:themeColor="text1"/>
          <w:sz w:val="24"/>
          <w:lang w:val="en-US"/>
        </w:rPr>
        <w:t>et al.</w:t>
      </w:r>
      <w:r w:rsidRPr="00B378D9">
        <w:rPr>
          <w:noProof/>
          <w:color w:val="000000" w:themeColor="text1"/>
          <w:sz w:val="24"/>
          <w:lang w:val="en-US"/>
        </w:rPr>
        <w:t xml:space="preserve"> Molecular epidemiology and clinical impact of acinetobacter calcoaceticus-baumannii complex in a belgian burn wound center. </w:t>
      </w:r>
      <w:r w:rsidRPr="00B378D9">
        <w:rPr>
          <w:i/>
          <w:iCs/>
          <w:noProof/>
          <w:color w:val="000000" w:themeColor="text1"/>
          <w:sz w:val="24"/>
          <w:lang w:val="en-US"/>
        </w:rPr>
        <w:t>PLoS One</w:t>
      </w:r>
      <w:r w:rsidRPr="00B378D9">
        <w:rPr>
          <w:noProof/>
          <w:color w:val="000000" w:themeColor="text1"/>
          <w:sz w:val="24"/>
          <w:lang w:val="en-US"/>
        </w:rPr>
        <w:t xml:space="preserve"> 2016;11:e0156237.</w:t>
      </w:r>
    </w:p>
    <w:p w14:paraId="2CE04543"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30.</w:t>
      </w:r>
      <w:r w:rsidRPr="00B378D9">
        <w:rPr>
          <w:noProof/>
          <w:color w:val="000000" w:themeColor="text1"/>
          <w:sz w:val="24"/>
          <w:lang w:val="en-US"/>
        </w:rPr>
        <w:tab/>
      </w:r>
      <w:r w:rsidRPr="00B378D9">
        <w:rPr>
          <w:b/>
          <w:bCs/>
          <w:noProof/>
          <w:color w:val="000000" w:themeColor="text1"/>
          <w:sz w:val="24"/>
          <w:lang w:val="en-US"/>
        </w:rPr>
        <w:t xml:space="preserve">Fujikura Y, Yuki A, Hamamoto T, Kawana A, Ohkusu K, </w:t>
      </w:r>
      <w:r w:rsidRPr="00B378D9">
        <w:rPr>
          <w:b/>
          <w:bCs/>
          <w:i/>
          <w:iCs/>
          <w:noProof/>
          <w:color w:val="000000" w:themeColor="text1"/>
          <w:sz w:val="24"/>
          <w:lang w:val="en-US"/>
        </w:rPr>
        <w:t>et al.</w:t>
      </w:r>
      <w:r w:rsidRPr="00B378D9">
        <w:rPr>
          <w:noProof/>
          <w:color w:val="000000" w:themeColor="text1"/>
          <w:sz w:val="24"/>
          <w:lang w:val="en-US"/>
        </w:rPr>
        <w:t xml:space="preserve"> Blood stream infections caused by Acinetobacter baumannii group in Japan - Epidemiological and clinical investigation. </w:t>
      </w:r>
      <w:r w:rsidRPr="00B378D9">
        <w:rPr>
          <w:i/>
          <w:iCs/>
          <w:noProof/>
          <w:color w:val="000000" w:themeColor="text1"/>
          <w:sz w:val="24"/>
          <w:lang w:val="en-US"/>
        </w:rPr>
        <w:t>J Infect Chemother</w:t>
      </w:r>
      <w:r w:rsidRPr="00B378D9">
        <w:rPr>
          <w:noProof/>
          <w:color w:val="000000" w:themeColor="text1"/>
          <w:sz w:val="24"/>
          <w:lang w:val="en-US"/>
        </w:rPr>
        <w:t xml:space="preserve"> 2016;22:366–371.</w:t>
      </w:r>
    </w:p>
    <w:p w14:paraId="32CDF5C8"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31.</w:t>
      </w:r>
      <w:r w:rsidRPr="00B378D9">
        <w:rPr>
          <w:noProof/>
          <w:color w:val="000000" w:themeColor="text1"/>
          <w:sz w:val="24"/>
          <w:lang w:val="en-US"/>
        </w:rPr>
        <w:tab/>
      </w:r>
      <w:r w:rsidRPr="00B378D9">
        <w:rPr>
          <w:b/>
          <w:bCs/>
          <w:noProof/>
          <w:color w:val="000000" w:themeColor="text1"/>
          <w:sz w:val="24"/>
          <w:lang w:val="en-US"/>
        </w:rPr>
        <w:t xml:space="preserve">Turton JF, Ward ME, Woodford N, Kaufmann ME, Pike R, </w:t>
      </w:r>
      <w:r w:rsidRPr="00B378D9">
        <w:rPr>
          <w:b/>
          <w:bCs/>
          <w:i/>
          <w:iCs/>
          <w:noProof/>
          <w:color w:val="000000" w:themeColor="text1"/>
          <w:sz w:val="24"/>
          <w:lang w:val="en-US"/>
        </w:rPr>
        <w:t>et al.</w:t>
      </w:r>
      <w:r w:rsidRPr="00B378D9">
        <w:rPr>
          <w:noProof/>
          <w:color w:val="000000" w:themeColor="text1"/>
          <w:sz w:val="24"/>
          <w:lang w:val="en-US"/>
        </w:rPr>
        <w:t xml:space="preserve"> The role of ISAba1 in expression of OXA carbapenemase genes in Acinetobacter baumannii. </w:t>
      </w:r>
      <w:r w:rsidRPr="00B378D9">
        <w:rPr>
          <w:i/>
          <w:iCs/>
          <w:noProof/>
          <w:color w:val="000000" w:themeColor="text1"/>
          <w:sz w:val="24"/>
          <w:lang w:val="en-US"/>
        </w:rPr>
        <w:t>FEMS Microbiol Lett</w:t>
      </w:r>
      <w:r w:rsidRPr="00B378D9">
        <w:rPr>
          <w:noProof/>
          <w:color w:val="000000" w:themeColor="text1"/>
          <w:sz w:val="24"/>
          <w:lang w:val="en-US"/>
        </w:rPr>
        <w:t xml:space="preserve"> 2006;258:72–77.</w:t>
      </w:r>
    </w:p>
    <w:p w14:paraId="225AB65A" w14:textId="3C693A2D"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lastRenderedPageBreak/>
        <w:t>32.</w:t>
      </w:r>
      <w:r w:rsidRPr="00B378D9">
        <w:rPr>
          <w:noProof/>
          <w:color w:val="000000" w:themeColor="text1"/>
          <w:sz w:val="24"/>
          <w:lang w:val="en-US"/>
        </w:rPr>
        <w:tab/>
      </w:r>
      <w:r w:rsidRPr="00B378D9">
        <w:rPr>
          <w:b/>
          <w:bCs/>
          <w:noProof/>
          <w:color w:val="000000" w:themeColor="text1"/>
          <w:sz w:val="24"/>
          <w:lang w:val="en-US"/>
        </w:rPr>
        <w:t>Figueiredo S, Poirel L, Croize J, Recule C, Nordmann P</w:t>
      </w:r>
      <w:r w:rsidRPr="00B378D9">
        <w:rPr>
          <w:noProof/>
          <w:color w:val="000000" w:themeColor="text1"/>
          <w:sz w:val="24"/>
          <w:lang w:val="en-US"/>
        </w:rPr>
        <w:t xml:space="preserve">. In vivo selection of reduced susceptibility to carbapenems in Acinetobacter baumannii related to ISAba1-mediated overexpression of the natural </w:t>
      </w:r>
      <w:r w:rsidRPr="00B378D9">
        <w:rPr>
          <w:i/>
          <w:noProof/>
          <w:color w:val="000000" w:themeColor="text1"/>
          <w:sz w:val="24"/>
          <w:lang w:val="en-US"/>
        </w:rPr>
        <w:t>bla</w:t>
      </w:r>
      <w:r w:rsidRPr="00B378D9">
        <w:rPr>
          <w:noProof/>
          <w:color w:val="000000" w:themeColor="text1"/>
          <w:sz w:val="24"/>
          <w:vertAlign w:val="subscript"/>
          <w:lang w:val="en-US"/>
        </w:rPr>
        <w:t>OXA-66</w:t>
      </w:r>
      <w:r w:rsidR="00051659" w:rsidRPr="00B378D9">
        <w:rPr>
          <w:noProof/>
          <w:color w:val="000000" w:themeColor="text1"/>
          <w:sz w:val="24"/>
          <w:vertAlign w:val="subscript"/>
          <w:lang w:val="en-US"/>
        </w:rPr>
        <w:t xml:space="preserve"> </w:t>
      </w:r>
      <w:r w:rsidRPr="00B378D9">
        <w:rPr>
          <w:noProof/>
          <w:color w:val="000000" w:themeColor="text1"/>
          <w:sz w:val="24"/>
          <w:lang w:val="en-US"/>
        </w:rPr>
        <w:t xml:space="preserve">oxacillinase gene. </w:t>
      </w:r>
      <w:r w:rsidRPr="00B378D9">
        <w:rPr>
          <w:i/>
          <w:iCs/>
          <w:noProof/>
          <w:color w:val="000000" w:themeColor="text1"/>
          <w:sz w:val="24"/>
          <w:lang w:val="en-US"/>
        </w:rPr>
        <w:t>Antimicrob Agents Chemother</w:t>
      </w:r>
      <w:r w:rsidRPr="00B378D9">
        <w:rPr>
          <w:noProof/>
          <w:color w:val="000000" w:themeColor="text1"/>
          <w:sz w:val="24"/>
          <w:lang w:val="en-US"/>
        </w:rPr>
        <w:t xml:space="preserve"> 2009;53:2657–2659.</w:t>
      </w:r>
    </w:p>
    <w:p w14:paraId="0D12531F"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33.</w:t>
      </w:r>
      <w:r w:rsidRPr="00B378D9">
        <w:rPr>
          <w:noProof/>
          <w:color w:val="000000" w:themeColor="text1"/>
          <w:sz w:val="24"/>
          <w:lang w:val="en-US"/>
        </w:rPr>
        <w:tab/>
      </w:r>
      <w:r w:rsidRPr="00B378D9">
        <w:rPr>
          <w:b/>
          <w:bCs/>
          <w:noProof/>
          <w:color w:val="000000" w:themeColor="text1"/>
          <w:sz w:val="24"/>
          <w:lang w:val="en-US"/>
        </w:rPr>
        <w:t xml:space="preserve">Ewers C, Klotz P, Leidner U, Stamm I, Prenger-Berninghoff E, </w:t>
      </w:r>
      <w:r w:rsidRPr="00B378D9">
        <w:rPr>
          <w:b/>
          <w:bCs/>
          <w:i/>
          <w:iCs/>
          <w:noProof/>
          <w:color w:val="000000" w:themeColor="text1"/>
          <w:sz w:val="24"/>
          <w:lang w:val="en-US"/>
        </w:rPr>
        <w:t>et al.</w:t>
      </w:r>
      <w:r w:rsidRPr="00B378D9">
        <w:rPr>
          <w:noProof/>
          <w:color w:val="000000" w:themeColor="text1"/>
          <w:sz w:val="24"/>
          <w:lang w:val="en-US"/>
        </w:rPr>
        <w:t xml:space="preserve"> OXA-23 and ISAba1–OXA-66 class D β-lactamases in Acinetobacter baumannii isolates from companion animals. </w:t>
      </w:r>
      <w:r w:rsidRPr="00B378D9">
        <w:rPr>
          <w:i/>
          <w:iCs/>
          <w:noProof/>
          <w:color w:val="000000" w:themeColor="text1"/>
          <w:sz w:val="24"/>
          <w:lang w:val="en-US"/>
        </w:rPr>
        <w:t>Int J Antimicrob Agents</w:t>
      </w:r>
      <w:r w:rsidRPr="00B378D9">
        <w:rPr>
          <w:noProof/>
          <w:color w:val="000000" w:themeColor="text1"/>
          <w:sz w:val="24"/>
          <w:lang w:val="en-US"/>
        </w:rPr>
        <w:t xml:space="preserve"> 2017;49:37–44.</w:t>
      </w:r>
    </w:p>
    <w:p w14:paraId="130B7720"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34.</w:t>
      </w:r>
      <w:r w:rsidRPr="00B378D9">
        <w:rPr>
          <w:noProof/>
          <w:color w:val="000000" w:themeColor="text1"/>
          <w:sz w:val="24"/>
          <w:lang w:val="en-US"/>
        </w:rPr>
        <w:tab/>
      </w:r>
      <w:r w:rsidRPr="00B378D9">
        <w:rPr>
          <w:b/>
          <w:bCs/>
          <w:noProof/>
          <w:color w:val="000000" w:themeColor="text1"/>
          <w:sz w:val="24"/>
          <w:lang w:val="en-US"/>
        </w:rPr>
        <w:t>Biglari S, Alfizah H, Ramliza R, Rahman M</w:t>
      </w:r>
      <w:r w:rsidRPr="00B378D9">
        <w:rPr>
          <w:noProof/>
          <w:color w:val="000000" w:themeColor="text1"/>
          <w:sz w:val="24"/>
          <w:lang w:val="en-US"/>
        </w:rPr>
        <w:t xml:space="preserve">. Molecular characterization of carbapenemase and cephalosporinase genes among clinical isolates of Acinetobacter baumannii in a tertiary medical centre in Malaysia. </w:t>
      </w:r>
      <w:r w:rsidRPr="00B378D9">
        <w:rPr>
          <w:i/>
          <w:iCs/>
          <w:noProof/>
          <w:color w:val="000000" w:themeColor="text1"/>
          <w:sz w:val="24"/>
          <w:lang w:val="en-US"/>
        </w:rPr>
        <w:t>J Med Microbiol</w:t>
      </w:r>
      <w:r w:rsidRPr="00B378D9">
        <w:rPr>
          <w:noProof/>
          <w:color w:val="000000" w:themeColor="text1"/>
          <w:sz w:val="24"/>
          <w:lang w:val="en-US"/>
        </w:rPr>
        <w:t xml:space="preserve"> 2015;64:53–58.</w:t>
      </w:r>
    </w:p>
    <w:p w14:paraId="39E5B635"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35.</w:t>
      </w:r>
      <w:r w:rsidRPr="00B378D9">
        <w:rPr>
          <w:noProof/>
          <w:color w:val="000000" w:themeColor="text1"/>
          <w:sz w:val="24"/>
          <w:lang w:val="en-US"/>
        </w:rPr>
        <w:tab/>
      </w:r>
      <w:r w:rsidRPr="00B378D9">
        <w:rPr>
          <w:b/>
          <w:bCs/>
          <w:noProof/>
          <w:color w:val="000000" w:themeColor="text1"/>
          <w:sz w:val="24"/>
          <w:lang w:val="en-US"/>
        </w:rPr>
        <w:t xml:space="preserve">Wang D, Yan D, Hou W, Zeng X, Qi Y, </w:t>
      </w:r>
      <w:r w:rsidRPr="00B378D9">
        <w:rPr>
          <w:b/>
          <w:bCs/>
          <w:i/>
          <w:iCs/>
          <w:noProof/>
          <w:color w:val="000000" w:themeColor="text1"/>
          <w:sz w:val="24"/>
          <w:lang w:val="en-US"/>
        </w:rPr>
        <w:t>et al.</w:t>
      </w:r>
      <w:r w:rsidRPr="00B378D9">
        <w:rPr>
          <w:noProof/>
          <w:color w:val="000000" w:themeColor="text1"/>
          <w:sz w:val="24"/>
          <w:lang w:val="en-US"/>
        </w:rPr>
        <w:t xml:space="preserve"> Characterization of </w:t>
      </w:r>
      <w:r w:rsidRPr="00B378D9">
        <w:rPr>
          <w:i/>
          <w:noProof/>
          <w:color w:val="000000" w:themeColor="text1"/>
          <w:sz w:val="24"/>
          <w:lang w:val="en-US"/>
        </w:rPr>
        <w:t>bla</w:t>
      </w:r>
      <w:r w:rsidRPr="00B378D9">
        <w:rPr>
          <w:noProof/>
          <w:color w:val="000000" w:themeColor="text1"/>
          <w:sz w:val="24"/>
          <w:vertAlign w:val="subscript"/>
          <w:lang w:val="en-US"/>
        </w:rPr>
        <w:t>OXA-23</w:t>
      </w:r>
      <w:r w:rsidRPr="00B378D9">
        <w:rPr>
          <w:noProof/>
          <w:color w:val="000000" w:themeColor="text1"/>
          <w:sz w:val="24"/>
          <w:lang w:val="en-US"/>
        </w:rPr>
        <w:t xml:space="preserve"> gene regions in isolates of Acinetobacter baumannii. </w:t>
      </w:r>
      <w:r w:rsidRPr="00B378D9">
        <w:rPr>
          <w:i/>
          <w:iCs/>
          <w:noProof/>
          <w:color w:val="000000" w:themeColor="text1"/>
          <w:sz w:val="24"/>
          <w:lang w:val="en-US"/>
        </w:rPr>
        <w:t>J Microbiol Immunol Infect</w:t>
      </w:r>
      <w:r w:rsidRPr="00B378D9">
        <w:rPr>
          <w:noProof/>
          <w:color w:val="000000" w:themeColor="text1"/>
          <w:sz w:val="24"/>
          <w:lang w:val="en-US"/>
        </w:rPr>
        <w:t xml:space="preserve"> 2015;48:284–290.</w:t>
      </w:r>
    </w:p>
    <w:p w14:paraId="3C8BCFD8"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lang w:val="en-US"/>
        </w:rPr>
      </w:pPr>
      <w:r w:rsidRPr="00B378D9">
        <w:rPr>
          <w:noProof/>
          <w:color w:val="000000" w:themeColor="text1"/>
          <w:sz w:val="24"/>
          <w:lang w:val="en-US"/>
        </w:rPr>
        <w:t>36.</w:t>
      </w:r>
      <w:r w:rsidRPr="00B378D9">
        <w:rPr>
          <w:noProof/>
          <w:color w:val="000000" w:themeColor="text1"/>
          <w:sz w:val="24"/>
          <w:lang w:val="en-US"/>
        </w:rPr>
        <w:tab/>
      </w:r>
      <w:r w:rsidRPr="00B378D9">
        <w:rPr>
          <w:b/>
          <w:bCs/>
          <w:noProof/>
          <w:color w:val="000000" w:themeColor="text1"/>
          <w:sz w:val="24"/>
          <w:lang w:val="en-US"/>
        </w:rPr>
        <w:t>Mugnier PD, Poirel L, Nordmann P</w:t>
      </w:r>
      <w:r w:rsidRPr="00B378D9">
        <w:rPr>
          <w:noProof/>
          <w:color w:val="000000" w:themeColor="text1"/>
          <w:sz w:val="24"/>
          <w:lang w:val="en-US"/>
        </w:rPr>
        <w:t xml:space="preserve">. Functional analysis of insertion sequence ISAba1, responsible for genomic plasticity of Acinetobacter baumannii. </w:t>
      </w:r>
      <w:r w:rsidRPr="00B378D9">
        <w:rPr>
          <w:i/>
          <w:iCs/>
          <w:noProof/>
          <w:color w:val="000000" w:themeColor="text1"/>
          <w:sz w:val="24"/>
          <w:lang w:val="en-US"/>
        </w:rPr>
        <w:t>J Bacteriol</w:t>
      </w:r>
      <w:r w:rsidRPr="00B378D9">
        <w:rPr>
          <w:noProof/>
          <w:color w:val="000000" w:themeColor="text1"/>
          <w:sz w:val="24"/>
          <w:lang w:val="en-US"/>
        </w:rPr>
        <w:t xml:space="preserve"> 2009;191:2414–8.</w:t>
      </w:r>
    </w:p>
    <w:p w14:paraId="5AB15AF9" w14:textId="77777777" w:rsidR="003872C7" w:rsidRPr="00B378D9" w:rsidRDefault="003872C7" w:rsidP="003872C7">
      <w:pPr>
        <w:widowControl w:val="0"/>
        <w:autoSpaceDE w:val="0"/>
        <w:autoSpaceDN w:val="0"/>
        <w:adjustRightInd w:val="0"/>
        <w:spacing w:line="360" w:lineRule="auto"/>
        <w:ind w:left="640" w:hanging="640"/>
        <w:rPr>
          <w:noProof/>
          <w:color w:val="000000" w:themeColor="text1"/>
          <w:sz w:val="24"/>
        </w:rPr>
      </w:pPr>
      <w:r w:rsidRPr="00B378D9">
        <w:rPr>
          <w:noProof/>
          <w:color w:val="000000" w:themeColor="text1"/>
          <w:sz w:val="24"/>
          <w:lang w:val="en-US"/>
        </w:rPr>
        <w:t>37.</w:t>
      </w:r>
      <w:r w:rsidRPr="00B378D9">
        <w:rPr>
          <w:noProof/>
          <w:color w:val="000000" w:themeColor="text1"/>
          <w:sz w:val="24"/>
          <w:lang w:val="en-US"/>
        </w:rPr>
        <w:tab/>
      </w:r>
      <w:r w:rsidRPr="00B378D9">
        <w:rPr>
          <w:b/>
          <w:bCs/>
          <w:noProof/>
          <w:color w:val="000000" w:themeColor="text1"/>
          <w:sz w:val="24"/>
          <w:lang w:val="en-US"/>
        </w:rPr>
        <w:t>Boo TW, Crowley B</w:t>
      </w:r>
      <w:r w:rsidRPr="00B378D9">
        <w:rPr>
          <w:noProof/>
          <w:color w:val="000000" w:themeColor="text1"/>
          <w:sz w:val="24"/>
          <w:lang w:val="en-US"/>
        </w:rPr>
        <w:t xml:space="preserve">. Detection of </w:t>
      </w:r>
      <w:r w:rsidRPr="00B378D9">
        <w:rPr>
          <w:i/>
          <w:noProof/>
          <w:color w:val="000000" w:themeColor="text1"/>
          <w:sz w:val="24"/>
          <w:lang w:val="en-US"/>
        </w:rPr>
        <w:t>bla</w:t>
      </w:r>
      <w:r w:rsidRPr="00B378D9">
        <w:rPr>
          <w:noProof/>
          <w:color w:val="000000" w:themeColor="text1"/>
          <w:sz w:val="24"/>
          <w:vertAlign w:val="subscript"/>
          <w:lang w:val="en-US"/>
        </w:rPr>
        <w:t>OXA-58</w:t>
      </w:r>
      <w:r w:rsidRPr="00B378D9">
        <w:rPr>
          <w:noProof/>
          <w:color w:val="000000" w:themeColor="text1"/>
          <w:sz w:val="24"/>
          <w:lang w:val="en-US"/>
        </w:rPr>
        <w:t xml:space="preserve"> and </w:t>
      </w:r>
      <w:r w:rsidRPr="00B378D9">
        <w:rPr>
          <w:i/>
          <w:noProof/>
          <w:color w:val="000000" w:themeColor="text1"/>
          <w:sz w:val="24"/>
          <w:lang w:val="en-US"/>
        </w:rPr>
        <w:t>bla</w:t>
      </w:r>
      <w:r w:rsidRPr="00B378D9">
        <w:rPr>
          <w:noProof/>
          <w:color w:val="000000" w:themeColor="text1"/>
          <w:sz w:val="24"/>
          <w:vertAlign w:val="subscript"/>
          <w:lang w:val="en-US"/>
        </w:rPr>
        <w:t>OXA-23-like</w:t>
      </w:r>
      <w:r w:rsidRPr="00B378D9">
        <w:rPr>
          <w:noProof/>
          <w:color w:val="000000" w:themeColor="text1"/>
          <w:sz w:val="24"/>
          <w:lang w:val="en-US"/>
        </w:rPr>
        <w:t xml:space="preserve"> genes in carbapenem-susceptible Acinetobacter clinical isolates: Should we be concerned? </w:t>
      </w:r>
      <w:r w:rsidRPr="00B378D9">
        <w:rPr>
          <w:i/>
          <w:iCs/>
          <w:noProof/>
          <w:color w:val="000000" w:themeColor="text1"/>
          <w:sz w:val="24"/>
          <w:lang w:val="en-US"/>
        </w:rPr>
        <w:t>J Med Microbiol</w:t>
      </w:r>
      <w:r w:rsidRPr="00B378D9">
        <w:rPr>
          <w:noProof/>
          <w:color w:val="000000" w:themeColor="text1"/>
          <w:sz w:val="24"/>
          <w:lang w:val="en-US"/>
        </w:rPr>
        <w:t xml:space="preserve"> 2009;58:839–841.</w:t>
      </w:r>
    </w:p>
    <w:p w14:paraId="7075FF68" w14:textId="7F914811" w:rsidR="0078136F" w:rsidRPr="00B378D9" w:rsidRDefault="002E2737" w:rsidP="00051659">
      <w:pPr>
        <w:widowControl w:val="0"/>
        <w:autoSpaceDE w:val="0"/>
        <w:autoSpaceDN w:val="0"/>
        <w:adjustRightInd w:val="0"/>
        <w:spacing w:line="360" w:lineRule="auto"/>
        <w:ind w:left="640" w:hanging="640"/>
        <w:rPr>
          <w:color w:val="000000" w:themeColor="text1"/>
          <w:sz w:val="24"/>
          <w:szCs w:val="24"/>
        </w:rPr>
        <w:sectPr w:rsidR="0078136F" w:rsidRPr="00B378D9" w:rsidSect="004A52B5">
          <w:footerReference w:type="default" r:id="rId8"/>
          <w:pgSz w:w="11906" w:h="16838"/>
          <w:pgMar w:top="1418" w:right="1418" w:bottom="1418" w:left="1701" w:header="706" w:footer="1267" w:gutter="0"/>
          <w:lnNumType w:countBy="1" w:restart="continuous"/>
          <w:cols w:space="708"/>
          <w:docGrid w:linePitch="360"/>
        </w:sectPr>
      </w:pPr>
      <w:r w:rsidRPr="00B378D9">
        <w:rPr>
          <w:color w:val="000000" w:themeColor="text1"/>
          <w:sz w:val="24"/>
          <w:szCs w:val="24"/>
        </w:rPr>
        <w:fldChar w:fldCharType="end"/>
      </w:r>
    </w:p>
    <w:p w14:paraId="79D42221" w14:textId="77777777" w:rsidR="0078136F" w:rsidRPr="00B378D9" w:rsidRDefault="0078136F" w:rsidP="00822B81">
      <w:pPr>
        <w:widowControl w:val="0"/>
        <w:autoSpaceDE w:val="0"/>
        <w:autoSpaceDN w:val="0"/>
        <w:adjustRightInd w:val="0"/>
        <w:ind w:left="640" w:hanging="640"/>
        <w:rPr>
          <w:color w:val="000000" w:themeColor="text1"/>
          <w:sz w:val="24"/>
          <w:szCs w:val="24"/>
        </w:rPr>
      </w:pPr>
    </w:p>
    <w:p w14:paraId="5A2E34D0" w14:textId="77777777" w:rsidR="0078136F" w:rsidRPr="00B378D9" w:rsidRDefault="0078136F" w:rsidP="00822B81">
      <w:pPr>
        <w:widowControl w:val="0"/>
        <w:autoSpaceDE w:val="0"/>
        <w:autoSpaceDN w:val="0"/>
        <w:adjustRightInd w:val="0"/>
        <w:ind w:left="640" w:hanging="640"/>
        <w:rPr>
          <w:color w:val="000000" w:themeColor="text1"/>
          <w:sz w:val="24"/>
          <w:szCs w:val="24"/>
        </w:rPr>
      </w:pPr>
    </w:p>
    <w:p w14:paraId="39ACEDE6" w14:textId="77777777" w:rsidR="0078136F" w:rsidRPr="00B378D9" w:rsidRDefault="0078136F" w:rsidP="00273F3E">
      <w:pPr>
        <w:spacing w:line="360" w:lineRule="auto"/>
        <w:ind w:left="0" w:firstLine="0"/>
        <w:jc w:val="center"/>
        <w:rPr>
          <w:color w:val="000000" w:themeColor="text1"/>
          <w:sz w:val="24"/>
          <w:szCs w:val="24"/>
        </w:rPr>
      </w:pPr>
      <w:r w:rsidRPr="00B378D9">
        <w:rPr>
          <w:b/>
          <w:color w:val="000000" w:themeColor="text1"/>
          <w:sz w:val="24"/>
          <w:szCs w:val="24"/>
        </w:rPr>
        <w:t>Table 1</w:t>
      </w:r>
      <w:r w:rsidRPr="00B378D9">
        <w:rPr>
          <w:color w:val="000000" w:themeColor="text1"/>
          <w:sz w:val="24"/>
          <w:szCs w:val="24"/>
        </w:rPr>
        <w:t xml:space="preserve">: Distribution of the </w:t>
      </w:r>
      <w:r w:rsidRPr="00B378D9">
        <w:rPr>
          <w:i/>
          <w:color w:val="000000" w:themeColor="text1"/>
          <w:sz w:val="24"/>
          <w:szCs w:val="24"/>
        </w:rPr>
        <w:t xml:space="preserve">Acinetobacter </w:t>
      </w:r>
      <w:r w:rsidRPr="00B378D9">
        <w:rPr>
          <w:color w:val="000000" w:themeColor="text1"/>
          <w:sz w:val="24"/>
          <w:szCs w:val="24"/>
        </w:rPr>
        <w:t xml:space="preserve">spp. </w:t>
      </w:r>
      <w:r w:rsidRPr="00B378D9">
        <w:rPr>
          <w:noProof/>
          <w:color w:val="000000" w:themeColor="text1"/>
          <w:sz w:val="24"/>
          <w:szCs w:val="24"/>
        </w:rPr>
        <w:t xml:space="preserve">isolates </w:t>
      </w:r>
      <w:r w:rsidRPr="00B378D9">
        <w:rPr>
          <w:color w:val="000000" w:themeColor="text1"/>
          <w:sz w:val="24"/>
          <w:szCs w:val="24"/>
        </w:rPr>
        <w:t>(</w:t>
      </w:r>
      <w:r w:rsidRPr="00B378D9">
        <w:rPr>
          <w:i/>
          <w:color w:val="000000" w:themeColor="text1"/>
          <w:sz w:val="24"/>
          <w:szCs w:val="24"/>
        </w:rPr>
        <w:t>n</w:t>
      </w:r>
      <w:r w:rsidRPr="00B378D9">
        <w:rPr>
          <w:color w:val="000000" w:themeColor="text1"/>
          <w:sz w:val="24"/>
          <w:szCs w:val="24"/>
        </w:rPr>
        <w:t xml:space="preserve"> = 153)  according to the HSNZ hospital wards and other district hospitals and health clinics in Terengganu, Malaysia (2015) </w:t>
      </w:r>
    </w:p>
    <w:p w14:paraId="3A2F5E55" w14:textId="77777777" w:rsidR="0078136F" w:rsidRPr="00B378D9" w:rsidRDefault="0078136F" w:rsidP="00273F3E">
      <w:pPr>
        <w:spacing w:line="360" w:lineRule="auto"/>
        <w:ind w:left="0" w:firstLine="0"/>
        <w:rPr>
          <w:color w:val="000000" w:themeColor="text1"/>
          <w:sz w:val="20"/>
        </w:rPr>
      </w:pPr>
    </w:p>
    <w:tbl>
      <w:tblPr>
        <w:tblW w:w="0" w:type="auto"/>
        <w:jc w:val="center"/>
        <w:tblLook w:val="04A0" w:firstRow="1" w:lastRow="0" w:firstColumn="1" w:lastColumn="0" w:noHBand="0" w:noVBand="1"/>
      </w:tblPr>
      <w:tblGrid>
        <w:gridCol w:w="2523"/>
        <w:gridCol w:w="516"/>
        <w:gridCol w:w="566"/>
        <w:gridCol w:w="492"/>
        <w:gridCol w:w="566"/>
        <w:gridCol w:w="425"/>
        <w:gridCol w:w="516"/>
        <w:gridCol w:w="425"/>
        <w:gridCol w:w="516"/>
        <w:gridCol w:w="425"/>
        <w:gridCol w:w="516"/>
        <w:gridCol w:w="425"/>
        <w:gridCol w:w="516"/>
      </w:tblGrid>
      <w:tr w:rsidR="00B378D9" w:rsidRPr="00B378D9" w14:paraId="6F0D0C93" w14:textId="77777777" w:rsidTr="00224598">
        <w:trPr>
          <w:trHeight w:val="340"/>
          <w:jc w:val="center"/>
        </w:trPr>
        <w:tc>
          <w:tcPr>
            <w:tcW w:w="2523" w:type="dxa"/>
            <w:vMerge w:val="restart"/>
            <w:tcBorders>
              <w:top w:val="single" w:sz="4" w:space="0" w:color="auto"/>
            </w:tcBorders>
            <w:vAlign w:val="center"/>
          </w:tcPr>
          <w:p w14:paraId="4642AB2F" w14:textId="77777777" w:rsidR="0078136F" w:rsidRPr="00B378D9" w:rsidRDefault="0078136F" w:rsidP="00273F3E">
            <w:pPr>
              <w:spacing w:line="360" w:lineRule="auto"/>
              <w:ind w:left="0" w:firstLine="0"/>
              <w:rPr>
                <w:b/>
                <w:i/>
                <w:color w:val="000000" w:themeColor="text1"/>
                <w:sz w:val="20"/>
                <w:szCs w:val="20"/>
              </w:rPr>
            </w:pPr>
            <w:r w:rsidRPr="00B378D9">
              <w:rPr>
                <w:b/>
                <w:i/>
                <w:color w:val="000000" w:themeColor="text1"/>
                <w:sz w:val="20"/>
                <w:szCs w:val="20"/>
              </w:rPr>
              <w:t>Hospital Wards</w:t>
            </w:r>
          </w:p>
        </w:tc>
        <w:tc>
          <w:tcPr>
            <w:tcW w:w="1082" w:type="dxa"/>
            <w:gridSpan w:val="2"/>
            <w:tcBorders>
              <w:top w:val="single" w:sz="4" w:space="0" w:color="auto"/>
              <w:bottom w:val="single" w:sz="4" w:space="0" w:color="auto"/>
            </w:tcBorders>
            <w:vAlign w:val="center"/>
          </w:tcPr>
          <w:p w14:paraId="06AE0EC8"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Aba</w:t>
            </w:r>
          </w:p>
        </w:tc>
        <w:tc>
          <w:tcPr>
            <w:tcW w:w="1058" w:type="dxa"/>
            <w:gridSpan w:val="2"/>
            <w:tcBorders>
              <w:top w:val="single" w:sz="4" w:space="0" w:color="auto"/>
              <w:bottom w:val="single" w:sz="4" w:space="0" w:color="auto"/>
            </w:tcBorders>
            <w:vAlign w:val="center"/>
          </w:tcPr>
          <w:p w14:paraId="5E79C6ED"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Ans</w:t>
            </w:r>
          </w:p>
        </w:tc>
        <w:tc>
          <w:tcPr>
            <w:tcW w:w="941" w:type="dxa"/>
            <w:gridSpan w:val="2"/>
            <w:tcBorders>
              <w:top w:val="single" w:sz="4" w:space="0" w:color="auto"/>
              <w:bottom w:val="single" w:sz="4" w:space="0" w:color="auto"/>
            </w:tcBorders>
            <w:vAlign w:val="center"/>
          </w:tcPr>
          <w:p w14:paraId="00D15BC0"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Aca</w:t>
            </w:r>
          </w:p>
        </w:tc>
        <w:tc>
          <w:tcPr>
            <w:tcW w:w="941" w:type="dxa"/>
            <w:gridSpan w:val="2"/>
            <w:tcBorders>
              <w:top w:val="single" w:sz="4" w:space="0" w:color="auto"/>
              <w:bottom w:val="single" w:sz="4" w:space="0" w:color="auto"/>
            </w:tcBorders>
            <w:vAlign w:val="center"/>
          </w:tcPr>
          <w:p w14:paraId="7AB98C91"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Aso</w:t>
            </w:r>
          </w:p>
        </w:tc>
        <w:tc>
          <w:tcPr>
            <w:tcW w:w="941" w:type="dxa"/>
            <w:gridSpan w:val="2"/>
            <w:tcBorders>
              <w:top w:val="single" w:sz="4" w:space="0" w:color="auto"/>
              <w:bottom w:val="single" w:sz="4" w:space="0" w:color="auto"/>
            </w:tcBorders>
            <w:vAlign w:val="center"/>
          </w:tcPr>
          <w:p w14:paraId="3B52A33E"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Abr</w:t>
            </w:r>
          </w:p>
        </w:tc>
        <w:tc>
          <w:tcPr>
            <w:tcW w:w="941" w:type="dxa"/>
            <w:gridSpan w:val="2"/>
            <w:tcBorders>
              <w:top w:val="single" w:sz="4" w:space="0" w:color="auto"/>
              <w:bottom w:val="single" w:sz="4" w:space="0" w:color="auto"/>
            </w:tcBorders>
            <w:vAlign w:val="center"/>
          </w:tcPr>
          <w:p w14:paraId="6C4D5D9C"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Ava</w:t>
            </w:r>
          </w:p>
        </w:tc>
      </w:tr>
      <w:tr w:rsidR="00B378D9" w:rsidRPr="00B378D9" w14:paraId="25EB9B11" w14:textId="77777777" w:rsidTr="00224598">
        <w:trPr>
          <w:trHeight w:val="340"/>
          <w:jc w:val="center"/>
        </w:trPr>
        <w:tc>
          <w:tcPr>
            <w:tcW w:w="2523" w:type="dxa"/>
            <w:vMerge/>
            <w:tcBorders>
              <w:bottom w:val="single" w:sz="4" w:space="0" w:color="auto"/>
            </w:tcBorders>
          </w:tcPr>
          <w:p w14:paraId="62A85A9D" w14:textId="77777777" w:rsidR="0078136F" w:rsidRPr="00B378D9" w:rsidRDefault="0078136F" w:rsidP="00273F3E">
            <w:pPr>
              <w:spacing w:line="360" w:lineRule="auto"/>
              <w:ind w:left="0" w:firstLine="0"/>
              <w:rPr>
                <w:color w:val="000000" w:themeColor="text1"/>
                <w:sz w:val="20"/>
                <w:szCs w:val="20"/>
              </w:rPr>
            </w:pPr>
          </w:p>
        </w:tc>
        <w:tc>
          <w:tcPr>
            <w:tcW w:w="516" w:type="dxa"/>
            <w:tcBorders>
              <w:top w:val="single" w:sz="4" w:space="0" w:color="auto"/>
              <w:bottom w:val="single" w:sz="4" w:space="0" w:color="auto"/>
            </w:tcBorders>
            <w:vAlign w:val="center"/>
          </w:tcPr>
          <w:p w14:paraId="6FA91292"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66" w:type="dxa"/>
            <w:tcBorders>
              <w:top w:val="single" w:sz="4" w:space="0" w:color="auto"/>
              <w:bottom w:val="single" w:sz="4" w:space="0" w:color="auto"/>
            </w:tcBorders>
            <w:vAlign w:val="center"/>
          </w:tcPr>
          <w:p w14:paraId="443A6D90"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c>
          <w:tcPr>
            <w:tcW w:w="492" w:type="dxa"/>
            <w:tcBorders>
              <w:top w:val="single" w:sz="4" w:space="0" w:color="auto"/>
              <w:bottom w:val="single" w:sz="4" w:space="0" w:color="auto"/>
            </w:tcBorders>
            <w:vAlign w:val="center"/>
          </w:tcPr>
          <w:p w14:paraId="108A1757"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66" w:type="dxa"/>
            <w:tcBorders>
              <w:top w:val="single" w:sz="4" w:space="0" w:color="auto"/>
              <w:bottom w:val="single" w:sz="4" w:space="0" w:color="auto"/>
            </w:tcBorders>
            <w:vAlign w:val="center"/>
          </w:tcPr>
          <w:p w14:paraId="1CAE18E8"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c>
          <w:tcPr>
            <w:tcW w:w="425" w:type="dxa"/>
            <w:tcBorders>
              <w:top w:val="single" w:sz="4" w:space="0" w:color="auto"/>
              <w:bottom w:val="single" w:sz="4" w:space="0" w:color="auto"/>
            </w:tcBorders>
            <w:vAlign w:val="center"/>
          </w:tcPr>
          <w:p w14:paraId="5DFE4DE0"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16" w:type="dxa"/>
            <w:tcBorders>
              <w:top w:val="single" w:sz="4" w:space="0" w:color="auto"/>
              <w:bottom w:val="single" w:sz="4" w:space="0" w:color="auto"/>
            </w:tcBorders>
            <w:vAlign w:val="center"/>
          </w:tcPr>
          <w:p w14:paraId="7FFE8328"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c>
          <w:tcPr>
            <w:tcW w:w="425" w:type="dxa"/>
            <w:tcBorders>
              <w:top w:val="single" w:sz="4" w:space="0" w:color="auto"/>
              <w:bottom w:val="single" w:sz="4" w:space="0" w:color="auto"/>
            </w:tcBorders>
            <w:vAlign w:val="center"/>
          </w:tcPr>
          <w:p w14:paraId="61FA8E3D"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16" w:type="dxa"/>
            <w:tcBorders>
              <w:top w:val="single" w:sz="4" w:space="0" w:color="auto"/>
              <w:bottom w:val="single" w:sz="4" w:space="0" w:color="auto"/>
            </w:tcBorders>
            <w:vAlign w:val="center"/>
          </w:tcPr>
          <w:p w14:paraId="642FABF9"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c>
          <w:tcPr>
            <w:tcW w:w="425" w:type="dxa"/>
            <w:tcBorders>
              <w:top w:val="single" w:sz="4" w:space="0" w:color="auto"/>
              <w:bottom w:val="single" w:sz="4" w:space="0" w:color="auto"/>
            </w:tcBorders>
            <w:vAlign w:val="center"/>
          </w:tcPr>
          <w:p w14:paraId="13E56C4A"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16" w:type="dxa"/>
            <w:tcBorders>
              <w:top w:val="single" w:sz="4" w:space="0" w:color="auto"/>
              <w:bottom w:val="single" w:sz="4" w:space="0" w:color="auto"/>
            </w:tcBorders>
            <w:vAlign w:val="center"/>
          </w:tcPr>
          <w:p w14:paraId="63781DE2"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c>
          <w:tcPr>
            <w:tcW w:w="425" w:type="dxa"/>
            <w:tcBorders>
              <w:top w:val="single" w:sz="4" w:space="0" w:color="auto"/>
              <w:bottom w:val="single" w:sz="4" w:space="0" w:color="auto"/>
            </w:tcBorders>
            <w:vAlign w:val="center"/>
          </w:tcPr>
          <w:p w14:paraId="121F607D"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n</w:t>
            </w:r>
          </w:p>
        </w:tc>
        <w:tc>
          <w:tcPr>
            <w:tcW w:w="516" w:type="dxa"/>
            <w:tcBorders>
              <w:top w:val="single" w:sz="4" w:space="0" w:color="auto"/>
              <w:bottom w:val="single" w:sz="4" w:space="0" w:color="auto"/>
            </w:tcBorders>
            <w:vAlign w:val="center"/>
          </w:tcPr>
          <w:p w14:paraId="58C558C6" w14:textId="77777777" w:rsidR="0078136F" w:rsidRPr="00B378D9" w:rsidRDefault="0078136F" w:rsidP="00273F3E">
            <w:pPr>
              <w:spacing w:line="360" w:lineRule="auto"/>
              <w:ind w:left="0" w:firstLine="0"/>
              <w:jc w:val="center"/>
              <w:rPr>
                <w:b/>
                <w:i/>
                <w:color w:val="000000" w:themeColor="text1"/>
                <w:sz w:val="20"/>
                <w:szCs w:val="20"/>
              </w:rPr>
            </w:pPr>
            <w:r w:rsidRPr="00B378D9">
              <w:rPr>
                <w:b/>
                <w:i/>
                <w:color w:val="000000" w:themeColor="text1"/>
                <w:sz w:val="20"/>
                <w:szCs w:val="20"/>
              </w:rPr>
              <w:t>%</w:t>
            </w:r>
          </w:p>
        </w:tc>
      </w:tr>
      <w:tr w:rsidR="00B378D9" w:rsidRPr="00B378D9" w14:paraId="24600D08" w14:textId="77777777" w:rsidTr="00224598">
        <w:trPr>
          <w:trHeight w:val="340"/>
          <w:jc w:val="center"/>
        </w:trPr>
        <w:tc>
          <w:tcPr>
            <w:tcW w:w="2523" w:type="dxa"/>
            <w:tcBorders>
              <w:top w:val="single" w:sz="4" w:space="0" w:color="auto"/>
            </w:tcBorders>
            <w:vAlign w:val="center"/>
          </w:tcPr>
          <w:p w14:paraId="5AA8ADAC" w14:textId="77777777" w:rsidR="0078136F" w:rsidRPr="00B378D9" w:rsidRDefault="0078136F" w:rsidP="00273F3E">
            <w:pPr>
              <w:spacing w:line="360" w:lineRule="auto"/>
              <w:ind w:left="0" w:firstLine="0"/>
              <w:rPr>
                <w:color w:val="000000" w:themeColor="text1"/>
                <w:sz w:val="20"/>
                <w:szCs w:val="20"/>
              </w:rPr>
            </w:pPr>
            <w:r w:rsidRPr="00B378D9">
              <w:rPr>
                <w:color w:val="000000" w:themeColor="text1"/>
                <w:sz w:val="20"/>
                <w:szCs w:val="20"/>
              </w:rPr>
              <w:t>Intensive Care Units (ICUs)</w:t>
            </w:r>
          </w:p>
        </w:tc>
        <w:tc>
          <w:tcPr>
            <w:tcW w:w="516" w:type="dxa"/>
            <w:tcBorders>
              <w:top w:val="single" w:sz="4" w:space="0" w:color="auto"/>
            </w:tcBorders>
            <w:vAlign w:val="center"/>
          </w:tcPr>
          <w:p w14:paraId="141B78CD"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41</w:t>
            </w:r>
          </w:p>
        </w:tc>
        <w:tc>
          <w:tcPr>
            <w:tcW w:w="566" w:type="dxa"/>
            <w:tcBorders>
              <w:top w:val="single" w:sz="4" w:space="0" w:color="auto"/>
            </w:tcBorders>
            <w:vAlign w:val="center"/>
          </w:tcPr>
          <w:p w14:paraId="7CF617BA"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32.0</w:t>
            </w:r>
          </w:p>
        </w:tc>
        <w:tc>
          <w:tcPr>
            <w:tcW w:w="492" w:type="dxa"/>
            <w:tcBorders>
              <w:top w:val="single" w:sz="4" w:space="0" w:color="auto"/>
            </w:tcBorders>
            <w:vAlign w:val="center"/>
          </w:tcPr>
          <w:p w14:paraId="07F930D0"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6</w:t>
            </w:r>
          </w:p>
        </w:tc>
        <w:tc>
          <w:tcPr>
            <w:tcW w:w="566" w:type="dxa"/>
            <w:tcBorders>
              <w:top w:val="single" w:sz="4" w:space="0" w:color="auto"/>
            </w:tcBorders>
            <w:vAlign w:val="center"/>
          </w:tcPr>
          <w:p w14:paraId="7DD240F3"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37.5</w:t>
            </w:r>
          </w:p>
        </w:tc>
        <w:tc>
          <w:tcPr>
            <w:tcW w:w="425" w:type="dxa"/>
            <w:tcBorders>
              <w:top w:val="single" w:sz="4" w:space="0" w:color="auto"/>
            </w:tcBorders>
            <w:vAlign w:val="center"/>
          </w:tcPr>
          <w:p w14:paraId="06129C9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tcBorders>
              <w:top w:val="single" w:sz="4" w:space="0" w:color="auto"/>
            </w:tcBorders>
            <w:vAlign w:val="center"/>
          </w:tcPr>
          <w:p w14:paraId="130F3A6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20</w:t>
            </w:r>
          </w:p>
        </w:tc>
        <w:tc>
          <w:tcPr>
            <w:tcW w:w="425" w:type="dxa"/>
            <w:tcBorders>
              <w:top w:val="single" w:sz="4" w:space="0" w:color="auto"/>
            </w:tcBorders>
            <w:vAlign w:val="center"/>
          </w:tcPr>
          <w:p w14:paraId="4A41706B"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tcBorders>
              <w:top w:val="single" w:sz="4" w:space="0" w:color="auto"/>
            </w:tcBorders>
            <w:vAlign w:val="center"/>
          </w:tcPr>
          <w:p w14:paraId="4B828646"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50</w:t>
            </w:r>
          </w:p>
        </w:tc>
        <w:tc>
          <w:tcPr>
            <w:tcW w:w="425" w:type="dxa"/>
            <w:tcBorders>
              <w:top w:val="single" w:sz="4" w:space="0" w:color="auto"/>
            </w:tcBorders>
            <w:vAlign w:val="center"/>
          </w:tcPr>
          <w:p w14:paraId="6965F741"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tcBorders>
              <w:top w:val="single" w:sz="4" w:space="0" w:color="auto"/>
            </w:tcBorders>
            <w:vAlign w:val="center"/>
          </w:tcPr>
          <w:p w14:paraId="07CB71ED"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tcBorders>
              <w:top w:val="single" w:sz="4" w:space="0" w:color="auto"/>
            </w:tcBorders>
            <w:vAlign w:val="center"/>
          </w:tcPr>
          <w:p w14:paraId="22DE477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tcBorders>
              <w:top w:val="single" w:sz="4" w:space="0" w:color="auto"/>
            </w:tcBorders>
            <w:vAlign w:val="center"/>
          </w:tcPr>
          <w:p w14:paraId="4469A80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r>
      <w:tr w:rsidR="00B378D9" w:rsidRPr="00B378D9" w14:paraId="7BC272C5" w14:textId="77777777" w:rsidTr="00224598">
        <w:trPr>
          <w:trHeight w:val="340"/>
          <w:jc w:val="center"/>
        </w:trPr>
        <w:tc>
          <w:tcPr>
            <w:tcW w:w="2523" w:type="dxa"/>
            <w:vAlign w:val="center"/>
          </w:tcPr>
          <w:p w14:paraId="13E0A262" w14:textId="77777777" w:rsidR="0078136F" w:rsidRPr="00B378D9" w:rsidRDefault="0078136F" w:rsidP="00273F3E">
            <w:pPr>
              <w:spacing w:line="360" w:lineRule="auto"/>
              <w:ind w:left="0" w:firstLine="0"/>
              <w:rPr>
                <w:color w:val="000000" w:themeColor="text1"/>
                <w:sz w:val="20"/>
                <w:szCs w:val="20"/>
              </w:rPr>
            </w:pPr>
            <w:r w:rsidRPr="00B378D9">
              <w:rPr>
                <w:color w:val="000000" w:themeColor="text1"/>
                <w:sz w:val="20"/>
                <w:szCs w:val="20"/>
              </w:rPr>
              <w:t>Medical Wards</w:t>
            </w:r>
          </w:p>
        </w:tc>
        <w:tc>
          <w:tcPr>
            <w:tcW w:w="516" w:type="dxa"/>
            <w:vAlign w:val="center"/>
          </w:tcPr>
          <w:p w14:paraId="2BC23F1A"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40</w:t>
            </w:r>
          </w:p>
        </w:tc>
        <w:tc>
          <w:tcPr>
            <w:tcW w:w="566" w:type="dxa"/>
            <w:vAlign w:val="center"/>
          </w:tcPr>
          <w:p w14:paraId="55FB967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31.3</w:t>
            </w:r>
          </w:p>
        </w:tc>
        <w:tc>
          <w:tcPr>
            <w:tcW w:w="492" w:type="dxa"/>
            <w:vAlign w:val="center"/>
          </w:tcPr>
          <w:p w14:paraId="2FC770A0"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w:t>
            </w:r>
          </w:p>
        </w:tc>
        <w:tc>
          <w:tcPr>
            <w:tcW w:w="566" w:type="dxa"/>
            <w:vAlign w:val="center"/>
          </w:tcPr>
          <w:p w14:paraId="1138827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25.0</w:t>
            </w:r>
          </w:p>
        </w:tc>
        <w:tc>
          <w:tcPr>
            <w:tcW w:w="425" w:type="dxa"/>
            <w:vAlign w:val="center"/>
          </w:tcPr>
          <w:p w14:paraId="3FF1EEFD"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w:t>
            </w:r>
          </w:p>
        </w:tc>
        <w:tc>
          <w:tcPr>
            <w:tcW w:w="516" w:type="dxa"/>
            <w:vAlign w:val="center"/>
          </w:tcPr>
          <w:p w14:paraId="3F6A3EF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80</w:t>
            </w:r>
          </w:p>
        </w:tc>
        <w:tc>
          <w:tcPr>
            <w:tcW w:w="425" w:type="dxa"/>
            <w:vAlign w:val="center"/>
          </w:tcPr>
          <w:p w14:paraId="69FF835E"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vAlign w:val="center"/>
          </w:tcPr>
          <w:p w14:paraId="0A5F98F9"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50</w:t>
            </w:r>
          </w:p>
        </w:tc>
        <w:tc>
          <w:tcPr>
            <w:tcW w:w="425" w:type="dxa"/>
            <w:vAlign w:val="center"/>
          </w:tcPr>
          <w:p w14:paraId="107C4A8C"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vAlign w:val="center"/>
          </w:tcPr>
          <w:p w14:paraId="0B44984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25" w:type="dxa"/>
            <w:vAlign w:val="center"/>
          </w:tcPr>
          <w:p w14:paraId="6192B734"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vAlign w:val="center"/>
          </w:tcPr>
          <w:p w14:paraId="548B36CE"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r>
      <w:tr w:rsidR="00B378D9" w:rsidRPr="00B378D9" w14:paraId="54BAB263" w14:textId="77777777" w:rsidTr="00224598">
        <w:trPr>
          <w:trHeight w:val="340"/>
          <w:jc w:val="center"/>
        </w:trPr>
        <w:tc>
          <w:tcPr>
            <w:tcW w:w="2523" w:type="dxa"/>
            <w:vAlign w:val="center"/>
          </w:tcPr>
          <w:p w14:paraId="6DB9EC05" w14:textId="77777777" w:rsidR="0078136F" w:rsidRPr="00B378D9" w:rsidRDefault="0078136F" w:rsidP="00273F3E">
            <w:pPr>
              <w:spacing w:line="360" w:lineRule="auto"/>
              <w:ind w:left="0" w:firstLine="0"/>
              <w:rPr>
                <w:color w:val="000000" w:themeColor="text1"/>
                <w:sz w:val="20"/>
                <w:szCs w:val="20"/>
              </w:rPr>
            </w:pPr>
            <w:r w:rsidRPr="00B378D9">
              <w:rPr>
                <w:color w:val="000000" w:themeColor="text1"/>
                <w:sz w:val="20"/>
                <w:szCs w:val="20"/>
              </w:rPr>
              <w:t>Surgical Wards</w:t>
            </w:r>
          </w:p>
        </w:tc>
        <w:tc>
          <w:tcPr>
            <w:tcW w:w="516" w:type="dxa"/>
            <w:vAlign w:val="center"/>
          </w:tcPr>
          <w:p w14:paraId="10A070C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25</w:t>
            </w:r>
          </w:p>
        </w:tc>
        <w:tc>
          <w:tcPr>
            <w:tcW w:w="566" w:type="dxa"/>
            <w:vAlign w:val="center"/>
          </w:tcPr>
          <w:p w14:paraId="761370F6"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19.5</w:t>
            </w:r>
          </w:p>
        </w:tc>
        <w:tc>
          <w:tcPr>
            <w:tcW w:w="492" w:type="dxa"/>
            <w:vAlign w:val="center"/>
          </w:tcPr>
          <w:p w14:paraId="62E1721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w:t>
            </w:r>
          </w:p>
        </w:tc>
        <w:tc>
          <w:tcPr>
            <w:tcW w:w="566" w:type="dxa"/>
            <w:vAlign w:val="center"/>
          </w:tcPr>
          <w:p w14:paraId="7DE1FB2C"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25.0</w:t>
            </w:r>
          </w:p>
        </w:tc>
        <w:tc>
          <w:tcPr>
            <w:tcW w:w="425" w:type="dxa"/>
            <w:vAlign w:val="center"/>
          </w:tcPr>
          <w:p w14:paraId="616DB0A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481E1530"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451FA037"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69522649"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0F93A33A"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2DE9A05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76B91340"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352482CD"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r>
      <w:tr w:rsidR="00B378D9" w:rsidRPr="00B378D9" w14:paraId="0910A335" w14:textId="77777777" w:rsidTr="0078136F">
        <w:trPr>
          <w:trHeight w:val="340"/>
          <w:jc w:val="center"/>
        </w:trPr>
        <w:tc>
          <w:tcPr>
            <w:tcW w:w="2523" w:type="dxa"/>
            <w:vAlign w:val="center"/>
          </w:tcPr>
          <w:p w14:paraId="195A577C" w14:textId="77777777" w:rsidR="0078136F" w:rsidRPr="00B378D9" w:rsidRDefault="0078136F" w:rsidP="00273F3E">
            <w:pPr>
              <w:spacing w:line="360" w:lineRule="auto"/>
              <w:ind w:left="0" w:firstLine="0"/>
              <w:rPr>
                <w:color w:val="000000" w:themeColor="text1"/>
                <w:sz w:val="20"/>
                <w:szCs w:val="20"/>
              </w:rPr>
            </w:pPr>
            <w:r w:rsidRPr="00B378D9">
              <w:rPr>
                <w:color w:val="000000" w:themeColor="text1"/>
                <w:sz w:val="20"/>
                <w:szCs w:val="20"/>
              </w:rPr>
              <w:t>Operation Theatres</w:t>
            </w:r>
          </w:p>
        </w:tc>
        <w:tc>
          <w:tcPr>
            <w:tcW w:w="516" w:type="dxa"/>
            <w:vAlign w:val="center"/>
          </w:tcPr>
          <w:p w14:paraId="39DAE985"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4</w:t>
            </w:r>
          </w:p>
        </w:tc>
        <w:tc>
          <w:tcPr>
            <w:tcW w:w="566" w:type="dxa"/>
            <w:vAlign w:val="center"/>
          </w:tcPr>
          <w:p w14:paraId="1E3D530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3.1</w:t>
            </w:r>
          </w:p>
        </w:tc>
        <w:tc>
          <w:tcPr>
            <w:tcW w:w="492" w:type="dxa"/>
            <w:vAlign w:val="center"/>
          </w:tcPr>
          <w:p w14:paraId="31A63657"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66" w:type="dxa"/>
            <w:vAlign w:val="center"/>
          </w:tcPr>
          <w:p w14:paraId="507F6D70"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4396469E"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771FE89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1E2A2CB1"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53013B5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714D9B64"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494F4D07"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425" w:type="dxa"/>
            <w:vAlign w:val="center"/>
          </w:tcPr>
          <w:p w14:paraId="024AEF92"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c>
          <w:tcPr>
            <w:tcW w:w="516" w:type="dxa"/>
            <w:vAlign w:val="center"/>
          </w:tcPr>
          <w:p w14:paraId="0FD5685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0</w:t>
            </w:r>
          </w:p>
        </w:tc>
      </w:tr>
      <w:tr w:rsidR="00B378D9" w:rsidRPr="00B378D9" w14:paraId="1F7239BC" w14:textId="77777777" w:rsidTr="0078136F">
        <w:trPr>
          <w:trHeight w:val="340"/>
          <w:jc w:val="center"/>
        </w:trPr>
        <w:tc>
          <w:tcPr>
            <w:tcW w:w="2523" w:type="dxa"/>
            <w:tcBorders>
              <w:bottom w:val="single" w:sz="4" w:space="0" w:color="auto"/>
            </w:tcBorders>
            <w:vAlign w:val="center"/>
          </w:tcPr>
          <w:p w14:paraId="5E51EB50" w14:textId="77777777" w:rsidR="000F4E66" w:rsidRPr="00B378D9" w:rsidRDefault="000F4E66" w:rsidP="00273F3E">
            <w:pPr>
              <w:spacing w:line="276" w:lineRule="auto"/>
              <w:ind w:left="0" w:firstLine="0"/>
              <w:rPr>
                <w:color w:val="000000" w:themeColor="text1"/>
                <w:sz w:val="20"/>
                <w:szCs w:val="20"/>
              </w:rPr>
            </w:pPr>
            <w:r w:rsidRPr="00B378D9">
              <w:rPr>
                <w:color w:val="000000" w:themeColor="text1"/>
                <w:sz w:val="20"/>
                <w:szCs w:val="20"/>
              </w:rPr>
              <w:t>Other district hospitals and health clinics in Terengganu</w:t>
            </w:r>
          </w:p>
        </w:tc>
        <w:tc>
          <w:tcPr>
            <w:tcW w:w="516" w:type="dxa"/>
            <w:tcBorders>
              <w:bottom w:val="single" w:sz="4" w:space="0" w:color="auto"/>
            </w:tcBorders>
            <w:vAlign w:val="center"/>
          </w:tcPr>
          <w:p w14:paraId="07BD4BB6"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18</w:t>
            </w:r>
          </w:p>
        </w:tc>
        <w:tc>
          <w:tcPr>
            <w:tcW w:w="566" w:type="dxa"/>
            <w:tcBorders>
              <w:bottom w:val="single" w:sz="4" w:space="0" w:color="auto"/>
            </w:tcBorders>
            <w:vAlign w:val="center"/>
          </w:tcPr>
          <w:p w14:paraId="040E2AF6"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14.0</w:t>
            </w:r>
          </w:p>
        </w:tc>
        <w:tc>
          <w:tcPr>
            <w:tcW w:w="492" w:type="dxa"/>
            <w:tcBorders>
              <w:bottom w:val="single" w:sz="4" w:space="0" w:color="auto"/>
            </w:tcBorders>
            <w:vAlign w:val="center"/>
          </w:tcPr>
          <w:p w14:paraId="2E92C86E"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2</w:t>
            </w:r>
          </w:p>
        </w:tc>
        <w:tc>
          <w:tcPr>
            <w:tcW w:w="566" w:type="dxa"/>
            <w:tcBorders>
              <w:bottom w:val="single" w:sz="4" w:space="0" w:color="auto"/>
            </w:tcBorders>
            <w:vAlign w:val="center"/>
          </w:tcPr>
          <w:p w14:paraId="501FEC1E"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12.5</w:t>
            </w:r>
          </w:p>
        </w:tc>
        <w:tc>
          <w:tcPr>
            <w:tcW w:w="425" w:type="dxa"/>
            <w:tcBorders>
              <w:bottom w:val="single" w:sz="4" w:space="0" w:color="auto"/>
            </w:tcBorders>
            <w:vAlign w:val="center"/>
          </w:tcPr>
          <w:p w14:paraId="73B211AA"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516" w:type="dxa"/>
            <w:tcBorders>
              <w:bottom w:val="single" w:sz="4" w:space="0" w:color="auto"/>
            </w:tcBorders>
            <w:vAlign w:val="center"/>
          </w:tcPr>
          <w:p w14:paraId="115C8DA3"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425" w:type="dxa"/>
            <w:tcBorders>
              <w:bottom w:val="single" w:sz="4" w:space="0" w:color="auto"/>
            </w:tcBorders>
            <w:vAlign w:val="center"/>
          </w:tcPr>
          <w:p w14:paraId="26B268D4"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516" w:type="dxa"/>
            <w:tcBorders>
              <w:bottom w:val="single" w:sz="4" w:space="0" w:color="auto"/>
            </w:tcBorders>
            <w:vAlign w:val="center"/>
          </w:tcPr>
          <w:p w14:paraId="256C52DA"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425" w:type="dxa"/>
            <w:tcBorders>
              <w:bottom w:val="single" w:sz="4" w:space="0" w:color="auto"/>
            </w:tcBorders>
            <w:vAlign w:val="center"/>
          </w:tcPr>
          <w:p w14:paraId="47B333C3"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516" w:type="dxa"/>
            <w:tcBorders>
              <w:bottom w:val="single" w:sz="4" w:space="0" w:color="auto"/>
            </w:tcBorders>
            <w:vAlign w:val="center"/>
          </w:tcPr>
          <w:p w14:paraId="40D58D04"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425" w:type="dxa"/>
            <w:tcBorders>
              <w:bottom w:val="single" w:sz="4" w:space="0" w:color="auto"/>
            </w:tcBorders>
            <w:vAlign w:val="center"/>
          </w:tcPr>
          <w:p w14:paraId="5B8FAFBD"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c>
          <w:tcPr>
            <w:tcW w:w="516" w:type="dxa"/>
            <w:tcBorders>
              <w:bottom w:val="single" w:sz="4" w:space="0" w:color="auto"/>
            </w:tcBorders>
            <w:vAlign w:val="center"/>
          </w:tcPr>
          <w:p w14:paraId="3255C4F8" w14:textId="77777777" w:rsidR="0078136F" w:rsidRPr="00B378D9" w:rsidRDefault="0078136F" w:rsidP="00273F3E">
            <w:pPr>
              <w:spacing w:line="276" w:lineRule="auto"/>
              <w:ind w:left="0" w:firstLine="0"/>
              <w:jc w:val="center"/>
              <w:rPr>
                <w:color w:val="000000" w:themeColor="text1"/>
                <w:sz w:val="20"/>
                <w:szCs w:val="20"/>
              </w:rPr>
            </w:pPr>
            <w:r w:rsidRPr="00B378D9">
              <w:rPr>
                <w:color w:val="000000" w:themeColor="text1"/>
                <w:sz w:val="20"/>
                <w:szCs w:val="20"/>
              </w:rPr>
              <w:t>0</w:t>
            </w:r>
          </w:p>
        </w:tc>
      </w:tr>
      <w:tr w:rsidR="00B378D9" w:rsidRPr="00B378D9" w14:paraId="44DA02AD" w14:textId="77777777" w:rsidTr="00224598">
        <w:trPr>
          <w:trHeight w:val="340"/>
          <w:jc w:val="center"/>
        </w:trPr>
        <w:tc>
          <w:tcPr>
            <w:tcW w:w="2523" w:type="dxa"/>
            <w:tcBorders>
              <w:top w:val="single" w:sz="4" w:space="0" w:color="auto"/>
              <w:bottom w:val="single" w:sz="4" w:space="0" w:color="auto"/>
            </w:tcBorders>
            <w:vAlign w:val="center"/>
          </w:tcPr>
          <w:p w14:paraId="7C1D9A64" w14:textId="77777777" w:rsidR="0078136F" w:rsidRPr="00B378D9" w:rsidRDefault="0078136F" w:rsidP="00273F3E">
            <w:pPr>
              <w:spacing w:line="360" w:lineRule="auto"/>
              <w:ind w:left="0" w:firstLine="0"/>
              <w:rPr>
                <w:color w:val="000000" w:themeColor="text1"/>
                <w:sz w:val="20"/>
                <w:szCs w:val="20"/>
              </w:rPr>
            </w:pPr>
            <w:r w:rsidRPr="00B378D9">
              <w:rPr>
                <w:color w:val="000000" w:themeColor="text1"/>
                <w:sz w:val="20"/>
                <w:szCs w:val="20"/>
              </w:rPr>
              <w:t>Total</w:t>
            </w:r>
          </w:p>
        </w:tc>
        <w:tc>
          <w:tcPr>
            <w:tcW w:w="516" w:type="dxa"/>
            <w:tcBorders>
              <w:top w:val="single" w:sz="4" w:space="0" w:color="auto"/>
              <w:bottom w:val="single" w:sz="4" w:space="0" w:color="auto"/>
            </w:tcBorders>
            <w:vAlign w:val="center"/>
          </w:tcPr>
          <w:p w14:paraId="16B8D7E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128</w:t>
            </w:r>
          </w:p>
        </w:tc>
        <w:tc>
          <w:tcPr>
            <w:tcW w:w="566" w:type="dxa"/>
            <w:tcBorders>
              <w:top w:val="single" w:sz="4" w:space="0" w:color="auto"/>
              <w:bottom w:val="single" w:sz="4" w:space="0" w:color="auto"/>
            </w:tcBorders>
            <w:vAlign w:val="center"/>
          </w:tcPr>
          <w:p w14:paraId="4C3F9036"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92" w:type="dxa"/>
            <w:tcBorders>
              <w:top w:val="single" w:sz="4" w:space="0" w:color="auto"/>
              <w:bottom w:val="single" w:sz="4" w:space="0" w:color="auto"/>
            </w:tcBorders>
            <w:vAlign w:val="center"/>
          </w:tcPr>
          <w:p w14:paraId="3D8C328C"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16</w:t>
            </w:r>
          </w:p>
        </w:tc>
        <w:tc>
          <w:tcPr>
            <w:tcW w:w="566" w:type="dxa"/>
            <w:tcBorders>
              <w:top w:val="single" w:sz="4" w:space="0" w:color="auto"/>
              <w:bottom w:val="single" w:sz="4" w:space="0" w:color="auto"/>
            </w:tcBorders>
            <w:vAlign w:val="center"/>
          </w:tcPr>
          <w:p w14:paraId="467BF0E9"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25" w:type="dxa"/>
            <w:tcBorders>
              <w:top w:val="single" w:sz="4" w:space="0" w:color="auto"/>
              <w:bottom w:val="single" w:sz="4" w:space="0" w:color="auto"/>
            </w:tcBorders>
            <w:vAlign w:val="center"/>
          </w:tcPr>
          <w:p w14:paraId="1BD6027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5</w:t>
            </w:r>
          </w:p>
        </w:tc>
        <w:tc>
          <w:tcPr>
            <w:tcW w:w="516" w:type="dxa"/>
            <w:tcBorders>
              <w:top w:val="single" w:sz="4" w:space="0" w:color="auto"/>
              <w:bottom w:val="single" w:sz="4" w:space="0" w:color="auto"/>
            </w:tcBorders>
            <w:vAlign w:val="center"/>
          </w:tcPr>
          <w:p w14:paraId="7C2A9288"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25" w:type="dxa"/>
            <w:tcBorders>
              <w:top w:val="single" w:sz="4" w:space="0" w:color="auto"/>
              <w:bottom w:val="single" w:sz="4" w:space="0" w:color="auto"/>
            </w:tcBorders>
            <w:vAlign w:val="center"/>
          </w:tcPr>
          <w:p w14:paraId="084467CA"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2</w:t>
            </w:r>
          </w:p>
        </w:tc>
        <w:tc>
          <w:tcPr>
            <w:tcW w:w="516" w:type="dxa"/>
            <w:tcBorders>
              <w:top w:val="single" w:sz="4" w:space="0" w:color="auto"/>
              <w:bottom w:val="single" w:sz="4" w:space="0" w:color="auto"/>
            </w:tcBorders>
            <w:vAlign w:val="center"/>
          </w:tcPr>
          <w:p w14:paraId="434E77F1"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25" w:type="dxa"/>
            <w:tcBorders>
              <w:top w:val="single" w:sz="4" w:space="0" w:color="auto"/>
              <w:bottom w:val="single" w:sz="4" w:space="0" w:color="auto"/>
            </w:tcBorders>
            <w:vAlign w:val="center"/>
          </w:tcPr>
          <w:p w14:paraId="345C1DEF"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tcBorders>
              <w:top w:val="single" w:sz="4" w:space="0" w:color="auto"/>
              <w:bottom w:val="single" w:sz="4" w:space="0" w:color="auto"/>
            </w:tcBorders>
            <w:vAlign w:val="center"/>
          </w:tcPr>
          <w:p w14:paraId="4CF53B4E"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c>
          <w:tcPr>
            <w:tcW w:w="425" w:type="dxa"/>
            <w:tcBorders>
              <w:top w:val="single" w:sz="4" w:space="0" w:color="auto"/>
              <w:bottom w:val="single" w:sz="4" w:space="0" w:color="auto"/>
            </w:tcBorders>
            <w:vAlign w:val="center"/>
          </w:tcPr>
          <w:p w14:paraId="76F1053C"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w:t>
            </w:r>
          </w:p>
        </w:tc>
        <w:tc>
          <w:tcPr>
            <w:tcW w:w="516" w:type="dxa"/>
            <w:tcBorders>
              <w:top w:val="single" w:sz="4" w:space="0" w:color="auto"/>
              <w:bottom w:val="single" w:sz="4" w:space="0" w:color="auto"/>
            </w:tcBorders>
            <w:vAlign w:val="center"/>
          </w:tcPr>
          <w:p w14:paraId="1762D033" w14:textId="77777777" w:rsidR="0078136F" w:rsidRPr="00B378D9" w:rsidRDefault="0078136F" w:rsidP="00273F3E">
            <w:pPr>
              <w:spacing w:line="360" w:lineRule="auto"/>
              <w:ind w:left="0" w:firstLine="0"/>
              <w:jc w:val="center"/>
              <w:rPr>
                <w:color w:val="000000" w:themeColor="text1"/>
                <w:sz w:val="20"/>
                <w:szCs w:val="20"/>
              </w:rPr>
            </w:pPr>
            <w:r w:rsidRPr="00B378D9">
              <w:rPr>
                <w:color w:val="000000" w:themeColor="text1"/>
                <w:sz w:val="20"/>
                <w:szCs w:val="20"/>
              </w:rPr>
              <w:t>100</w:t>
            </w:r>
          </w:p>
        </w:tc>
      </w:tr>
    </w:tbl>
    <w:p w14:paraId="7AA591FE" w14:textId="77777777" w:rsidR="0078136F" w:rsidRPr="00B378D9" w:rsidRDefault="0078136F" w:rsidP="00273F3E">
      <w:pPr>
        <w:spacing w:line="360" w:lineRule="auto"/>
        <w:ind w:left="0" w:firstLine="0"/>
        <w:rPr>
          <w:i/>
          <w:color w:val="000000" w:themeColor="text1"/>
          <w:sz w:val="20"/>
        </w:rPr>
      </w:pPr>
      <w:r w:rsidRPr="00B378D9">
        <w:rPr>
          <w:b/>
          <w:color w:val="000000" w:themeColor="text1"/>
          <w:sz w:val="20"/>
        </w:rPr>
        <w:t xml:space="preserve">Abbreviations used: </w:t>
      </w:r>
      <w:r w:rsidRPr="00B378D9">
        <w:rPr>
          <w:b/>
          <w:i/>
          <w:color w:val="000000" w:themeColor="text1"/>
          <w:sz w:val="20"/>
        </w:rPr>
        <w:t xml:space="preserve">Aba: </w:t>
      </w:r>
      <w:r w:rsidRPr="00B378D9">
        <w:rPr>
          <w:i/>
          <w:color w:val="000000" w:themeColor="text1"/>
          <w:sz w:val="20"/>
        </w:rPr>
        <w:t xml:space="preserve">A. baumannii; </w:t>
      </w:r>
      <w:r w:rsidRPr="00B378D9">
        <w:rPr>
          <w:b/>
          <w:i/>
          <w:color w:val="000000" w:themeColor="text1"/>
          <w:sz w:val="20"/>
        </w:rPr>
        <w:t xml:space="preserve"> Ans: </w:t>
      </w:r>
      <w:r w:rsidRPr="00B378D9">
        <w:rPr>
          <w:i/>
          <w:color w:val="000000" w:themeColor="text1"/>
          <w:sz w:val="20"/>
        </w:rPr>
        <w:t xml:space="preserve">A. nosocomialis;  </w:t>
      </w:r>
      <w:r w:rsidRPr="00B378D9">
        <w:rPr>
          <w:b/>
          <w:i/>
          <w:color w:val="000000" w:themeColor="text1"/>
          <w:sz w:val="20"/>
        </w:rPr>
        <w:t xml:space="preserve">Aca: </w:t>
      </w:r>
      <w:r w:rsidRPr="00B378D9">
        <w:rPr>
          <w:i/>
          <w:color w:val="000000" w:themeColor="text1"/>
          <w:sz w:val="20"/>
        </w:rPr>
        <w:t xml:space="preserve">A. calcoaceticus; </w:t>
      </w:r>
      <w:r w:rsidRPr="00B378D9">
        <w:rPr>
          <w:b/>
          <w:i/>
          <w:color w:val="000000" w:themeColor="text1"/>
          <w:sz w:val="20"/>
        </w:rPr>
        <w:t xml:space="preserve"> Aso: </w:t>
      </w:r>
      <w:r w:rsidRPr="00B378D9">
        <w:rPr>
          <w:i/>
          <w:color w:val="000000" w:themeColor="text1"/>
          <w:sz w:val="20"/>
        </w:rPr>
        <w:t xml:space="preserve">A. soli; </w:t>
      </w:r>
      <w:r w:rsidRPr="00B378D9">
        <w:rPr>
          <w:b/>
          <w:i/>
          <w:color w:val="000000" w:themeColor="text1"/>
          <w:sz w:val="20"/>
        </w:rPr>
        <w:t xml:space="preserve"> Abr:</w:t>
      </w:r>
      <w:r w:rsidRPr="00B378D9">
        <w:rPr>
          <w:i/>
          <w:color w:val="000000" w:themeColor="text1"/>
          <w:sz w:val="20"/>
        </w:rPr>
        <w:t xml:space="preserve"> A. bereziniae;</w:t>
      </w:r>
      <w:r w:rsidRPr="00B378D9">
        <w:rPr>
          <w:b/>
          <w:i/>
          <w:color w:val="000000" w:themeColor="text1"/>
          <w:sz w:val="20"/>
        </w:rPr>
        <w:t xml:space="preserve"> Ava:</w:t>
      </w:r>
      <w:r w:rsidRPr="00B378D9">
        <w:rPr>
          <w:i/>
          <w:color w:val="000000" w:themeColor="text1"/>
          <w:sz w:val="20"/>
        </w:rPr>
        <w:t xml:space="preserve"> A. variabilis</w:t>
      </w:r>
    </w:p>
    <w:p w14:paraId="3CDEB3BC" w14:textId="77777777" w:rsidR="0078136F" w:rsidRPr="00B378D9" w:rsidRDefault="0078136F" w:rsidP="00822B81">
      <w:pPr>
        <w:widowControl w:val="0"/>
        <w:autoSpaceDE w:val="0"/>
        <w:autoSpaceDN w:val="0"/>
        <w:adjustRightInd w:val="0"/>
        <w:ind w:left="640" w:hanging="640"/>
        <w:rPr>
          <w:color w:val="000000" w:themeColor="text1"/>
          <w:sz w:val="24"/>
          <w:szCs w:val="24"/>
        </w:rPr>
      </w:pPr>
    </w:p>
    <w:p w14:paraId="46A213E1" w14:textId="77777777" w:rsidR="002E2737" w:rsidRPr="00B378D9" w:rsidRDefault="002E2737" w:rsidP="007D6E5B">
      <w:pPr>
        <w:ind w:left="0" w:firstLine="0"/>
        <w:jc w:val="both"/>
        <w:rPr>
          <w:color w:val="000000" w:themeColor="text1"/>
          <w:sz w:val="24"/>
          <w:szCs w:val="24"/>
        </w:rPr>
        <w:sectPr w:rsidR="002E2737" w:rsidRPr="00B378D9" w:rsidSect="00F77C55">
          <w:pgSz w:w="11906" w:h="16838"/>
          <w:pgMar w:top="1418" w:right="1418" w:bottom="1418" w:left="1701" w:header="706" w:footer="1267" w:gutter="0"/>
          <w:lnNumType w:countBy="1" w:restart="continuous"/>
          <w:cols w:space="708"/>
          <w:docGrid w:linePitch="360"/>
        </w:sectPr>
      </w:pPr>
    </w:p>
    <w:p w14:paraId="52E17DBF" w14:textId="77777777" w:rsidR="00273F3E" w:rsidRPr="00B378D9" w:rsidRDefault="005F068D" w:rsidP="00E77735">
      <w:pPr>
        <w:spacing w:line="276" w:lineRule="auto"/>
        <w:ind w:left="0" w:firstLine="0"/>
        <w:jc w:val="center"/>
        <w:rPr>
          <w:color w:val="000000" w:themeColor="text1"/>
          <w:sz w:val="24"/>
          <w:szCs w:val="24"/>
          <w:lang w:val="en-MY"/>
        </w:rPr>
      </w:pPr>
      <w:r w:rsidRPr="00B378D9">
        <w:rPr>
          <w:b/>
          <w:color w:val="000000" w:themeColor="text1"/>
          <w:sz w:val="24"/>
          <w:szCs w:val="24"/>
          <w:lang w:val="en-MY"/>
        </w:rPr>
        <w:lastRenderedPageBreak/>
        <w:t xml:space="preserve">Table </w:t>
      </w:r>
      <w:r w:rsidR="000F4E66" w:rsidRPr="00B378D9">
        <w:rPr>
          <w:b/>
          <w:color w:val="000000" w:themeColor="text1"/>
          <w:sz w:val="24"/>
          <w:szCs w:val="24"/>
          <w:lang w:val="en-MY"/>
        </w:rPr>
        <w:t>2</w:t>
      </w:r>
      <w:r w:rsidR="00E910AF" w:rsidRPr="00B378D9">
        <w:rPr>
          <w:color w:val="000000" w:themeColor="text1"/>
          <w:sz w:val="24"/>
          <w:szCs w:val="24"/>
          <w:lang w:val="en-MY"/>
        </w:rPr>
        <w:t>:</w:t>
      </w:r>
      <w:r w:rsidR="00E910AF" w:rsidRPr="00B378D9">
        <w:rPr>
          <w:b/>
          <w:color w:val="000000" w:themeColor="text1"/>
          <w:sz w:val="24"/>
          <w:szCs w:val="24"/>
          <w:lang w:val="en-MY"/>
        </w:rPr>
        <w:t xml:space="preserve"> </w:t>
      </w:r>
      <w:r w:rsidR="00E910AF" w:rsidRPr="00B378D9">
        <w:rPr>
          <w:color w:val="000000" w:themeColor="text1"/>
          <w:sz w:val="24"/>
          <w:szCs w:val="24"/>
          <w:lang w:val="en-MY"/>
        </w:rPr>
        <w:t xml:space="preserve">Resistance rates of the </w:t>
      </w:r>
      <w:r w:rsidR="00E910AF" w:rsidRPr="00B378D9">
        <w:rPr>
          <w:i/>
          <w:color w:val="000000" w:themeColor="text1"/>
          <w:sz w:val="24"/>
          <w:szCs w:val="24"/>
          <w:lang w:val="en-MY"/>
        </w:rPr>
        <w:t>Acinetobacter</w:t>
      </w:r>
      <w:r w:rsidR="00E910AF" w:rsidRPr="00B378D9">
        <w:rPr>
          <w:color w:val="000000" w:themeColor="text1"/>
          <w:sz w:val="24"/>
          <w:szCs w:val="24"/>
          <w:lang w:val="en-MY"/>
        </w:rPr>
        <w:t xml:space="preserve"> spp.</w:t>
      </w:r>
      <w:r w:rsidRPr="00B378D9">
        <w:rPr>
          <w:color w:val="000000" w:themeColor="text1"/>
          <w:sz w:val="24"/>
          <w:szCs w:val="24"/>
          <w:lang w:val="en-MY"/>
        </w:rPr>
        <w:t xml:space="preserve"> </w:t>
      </w:r>
      <w:r w:rsidR="003C4E71" w:rsidRPr="00B378D9">
        <w:rPr>
          <w:color w:val="000000" w:themeColor="text1"/>
          <w:sz w:val="24"/>
          <w:szCs w:val="24"/>
          <w:lang w:val="en-MY"/>
        </w:rPr>
        <w:t xml:space="preserve">isolates </w:t>
      </w:r>
      <w:r w:rsidRPr="00B378D9">
        <w:rPr>
          <w:color w:val="000000" w:themeColor="text1"/>
          <w:sz w:val="24"/>
          <w:szCs w:val="24"/>
          <w:lang w:val="en-MY"/>
        </w:rPr>
        <w:t>from HSNZ,</w:t>
      </w:r>
      <w:r w:rsidR="003C4E71" w:rsidRPr="00B378D9">
        <w:rPr>
          <w:color w:val="000000" w:themeColor="text1"/>
          <w:sz w:val="24"/>
          <w:szCs w:val="24"/>
          <w:lang w:val="en-MY"/>
        </w:rPr>
        <w:t xml:space="preserve"> Terengganu, Malaysia in 2015</w:t>
      </w:r>
      <w:r w:rsidR="00E77735" w:rsidRPr="00B378D9">
        <w:rPr>
          <w:color w:val="000000" w:themeColor="text1"/>
          <w:sz w:val="24"/>
          <w:szCs w:val="24"/>
          <w:lang w:val="en-MY"/>
        </w:rPr>
        <w:t xml:space="preserve"> </w:t>
      </w:r>
    </w:p>
    <w:p w14:paraId="2FA1EE84" w14:textId="77777777" w:rsidR="00956754" w:rsidRPr="00B378D9" w:rsidRDefault="00956754" w:rsidP="00E77735">
      <w:pPr>
        <w:spacing w:line="276" w:lineRule="auto"/>
        <w:ind w:left="0" w:firstLine="0"/>
        <w:jc w:val="center"/>
        <w:rPr>
          <w:color w:val="000000" w:themeColor="text1"/>
          <w:szCs w:val="24"/>
          <w:lang w:val="en-MY"/>
        </w:rPr>
      </w:pPr>
    </w:p>
    <w:tbl>
      <w:tblPr>
        <w:tblW w:w="13273" w:type="dxa"/>
        <w:tblInd w:w="534" w:type="dxa"/>
        <w:tblLayout w:type="fixed"/>
        <w:tblLook w:val="04A0" w:firstRow="1" w:lastRow="0" w:firstColumn="1" w:lastColumn="0" w:noHBand="0" w:noVBand="1"/>
      </w:tblPr>
      <w:tblGrid>
        <w:gridCol w:w="2634"/>
        <w:gridCol w:w="1508"/>
        <w:gridCol w:w="741"/>
        <w:gridCol w:w="767"/>
        <w:gridCol w:w="792"/>
        <w:gridCol w:w="930"/>
        <w:gridCol w:w="771"/>
        <w:gridCol w:w="929"/>
        <w:gridCol w:w="540"/>
        <w:gridCol w:w="630"/>
        <w:gridCol w:w="736"/>
        <w:gridCol w:w="841"/>
        <w:gridCol w:w="718"/>
        <w:gridCol w:w="736"/>
      </w:tblGrid>
      <w:tr w:rsidR="00B378D9" w:rsidRPr="00B378D9" w14:paraId="0EF2AE77" w14:textId="77777777" w:rsidTr="000E0914">
        <w:trPr>
          <w:trHeight w:val="340"/>
        </w:trPr>
        <w:tc>
          <w:tcPr>
            <w:tcW w:w="2634" w:type="dxa"/>
            <w:vMerge w:val="restart"/>
            <w:tcBorders>
              <w:top w:val="single" w:sz="4" w:space="0" w:color="auto"/>
              <w:left w:val="nil"/>
              <w:right w:val="nil"/>
            </w:tcBorders>
            <w:shd w:val="clear" w:color="auto" w:fill="auto"/>
            <w:noWrap/>
            <w:vAlign w:val="center"/>
            <w:hideMark/>
          </w:tcPr>
          <w:p w14:paraId="72480788" w14:textId="77777777" w:rsidR="00E910AF" w:rsidRPr="00B378D9" w:rsidRDefault="00E910AF" w:rsidP="000D334C">
            <w:pPr>
              <w:spacing w:line="276" w:lineRule="auto"/>
              <w:ind w:left="6"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Antimicrobials</w:t>
            </w:r>
          </w:p>
        </w:tc>
        <w:tc>
          <w:tcPr>
            <w:tcW w:w="1508" w:type="dxa"/>
            <w:vMerge w:val="restart"/>
            <w:tcBorders>
              <w:top w:val="single" w:sz="4" w:space="0" w:color="auto"/>
              <w:left w:val="nil"/>
              <w:right w:val="nil"/>
            </w:tcBorders>
            <w:shd w:val="clear" w:color="auto" w:fill="auto"/>
          </w:tcPr>
          <w:p w14:paraId="5055D47B"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b/>
                <w:color w:val="000000" w:themeColor="text1"/>
                <w:sz w:val="18"/>
                <w:szCs w:val="18"/>
              </w:rPr>
              <w:t xml:space="preserve">CONCENTRA-TION </w:t>
            </w:r>
            <w:r w:rsidR="00934FAF" w:rsidRPr="00B378D9">
              <w:rPr>
                <w:b/>
                <w:i/>
                <w:color w:val="000000" w:themeColor="text1"/>
                <w:sz w:val="18"/>
                <w:szCs w:val="18"/>
                <w:vertAlign w:val="superscript"/>
              </w:rPr>
              <w:t>a</w:t>
            </w:r>
            <w:r w:rsidR="00956754" w:rsidRPr="00B378D9">
              <w:rPr>
                <w:b/>
                <w:color w:val="000000" w:themeColor="text1"/>
                <w:sz w:val="18"/>
                <w:szCs w:val="18"/>
              </w:rPr>
              <w:br/>
            </w:r>
            <w:r w:rsidRPr="00B378D9">
              <w:rPr>
                <w:b/>
                <w:color w:val="000000" w:themeColor="text1"/>
                <w:sz w:val="18"/>
                <w:szCs w:val="18"/>
              </w:rPr>
              <w:t>(µg/disc)</w:t>
            </w:r>
          </w:p>
        </w:tc>
        <w:tc>
          <w:tcPr>
            <w:tcW w:w="1508" w:type="dxa"/>
            <w:gridSpan w:val="2"/>
            <w:tcBorders>
              <w:top w:val="single" w:sz="4" w:space="0" w:color="auto"/>
              <w:left w:val="nil"/>
              <w:bottom w:val="single" w:sz="4" w:space="0" w:color="auto"/>
              <w:right w:val="nil"/>
            </w:tcBorders>
            <w:shd w:val="clear" w:color="auto" w:fill="auto"/>
            <w:noWrap/>
            <w:vAlign w:val="center"/>
            <w:hideMark/>
          </w:tcPr>
          <w:p w14:paraId="07C55811"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baumanni</w:t>
            </w:r>
          </w:p>
          <w:p w14:paraId="38D02E70"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 xml:space="preserve">n = </w:t>
            </w:r>
            <w:r w:rsidRPr="00B378D9">
              <w:rPr>
                <w:rFonts w:eastAsia="Times New Roman"/>
                <w:b/>
                <w:color w:val="000000" w:themeColor="text1"/>
                <w:sz w:val="18"/>
                <w:szCs w:val="18"/>
                <w:lang w:val="en-MY" w:eastAsia="ms-MY"/>
              </w:rPr>
              <w:t>128)</w:t>
            </w:r>
          </w:p>
        </w:tc>
        <w:tc>
          <w:tcPr>
            <w:tcW w:w="1722" w:type="dxa"/>
            <w:gridSpan w:val="2"/>
            <w:tcBorders>
              <w:top w:val="single" w:sz="4" w:space="0" w:color="auto"/>
              <w:left w:val="nil"/>
              <w:bottom w:val="single" w:sz="4" w:space="0" w:color="auto"/>
              <w:right w:val="nil"/>
            </w:tcBorders>
            <w:shd w:val="clear" w:color="auto" w:fill="auto"/>
            <w:noWrap/>
            <w:vAlign w:val="center"/>
            <w:hideMark/>
          </w:tcPr>
          <w:p w14:paraId="25924340"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nosocomialis</w:t>
            </w:r>
          </w:p>
          <w:p w14:paraId="772AA971"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n</w:t>
            </w:r>
            <w:r w:rsidRPr="00B378D9">
              <w:rPr>
                <w:rFonts w:eastAsia="Times New Roman"/>
                <w:b/>
                <w:color w:val="000000" w:themeColor="text1"/>
                <w:sz w:val="18"/>
                <w:szCs w:val="18"/>
                <w:lang w:val="en-MY" w:eastAsia="ms-MY"/>
              </w:rPr>
              <w:t xml:space="preserve"> =</w:t>
            </w:r>
            <w:r w:rsidRPr="00B378D9">
              <w:rPr>
                <w:rFonts w:eastAsia="Times New Roman"/>
                <w:b/>
                <w:i/>
                <w:color w:val="000000" w:themeColor="text1"/>
                <w:sz w:val="18"/>
                <w:szCs w:val="18"/>
                <w:lang w:val="en-MY" w:eastAsia="ms-MY"/>
              </w:rPr>
              <w:t xml:space="preserve"> </w:t>
            </w:r>
            <w:r w:rsidRPr="00B378D9">
              <w:rPr>
                <w:rFonts w:eastAsia="Times New Roman"/>
                <w:b/>
                <w:color w:val="000000" w:themeColor="text1"/>
                <w:sz w:val="18"/>
                <w:szCs w:val="18"/>
                <w:lang w:val="en-MY" w:eastAsia="ms-MY"/>
              </w:rPr>
              <w:t>16)</w:t>
            </w:r>
          </w:p>
        </w:tc>
        <w:tc>
          <w:tcPr>
            <w:tcW w:w="1700" w:type="dxa"/>
            <w:gridSpan w:val="2"/>
            <w:tcBorders>
              <w:top w:val="single" w:sz="4" w:space="0" w:color="auto"/>
              <w:left w:val="nil"/>
              <w:bottom w:val="single" w:sz="4" w:space="0" w:color="auto"/>
              <w:right w:val="nil"/>
            </w:tcBorders>
            <w:shd w:val="clear" w:color="auto" w:fill="auto"/>
            <w:vAlign w:val="center"/>
          </w:tcPr>
          <w:p w14:paraId="3AB340EC"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calcoaceticus</w:t>
            </w:r>
          </w:p>
          <w:p w14:paraId="09CE74BB"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n</w:t>
            </w:r>
            <w:r w:rsidRPr="00B378D9">
              <w:rPr>
                <w:rFonts w:eastAsia="Times New Roman"/>
                <w:b/>
                <w:color w:val="000000" w:themeColor="text1"/>
                <w:sz w:val="18"/>
                <w:szCs w:val="18"/>
                <w:lang w:val="en-MY" w:eastAsia="ms-MY"/>
              </w:rPr>
              <w:t xml:space="preserve"> = 5)</w:t>
            </w:r>
          </w:p>
        </w:tc>
        <w:tc>
          <w:tcPr>
            <w:tcW w:w="1170" w:type="dxa"/>
            <w:gridSpan w:val="2"/>
            <w:tcBorders>
              <w:top w:val="single" w:sz="4" w:space="0" w:color="auto"/>
              <w:left w:val="nil"/>
              <w:bottom w:val="single" w:sz="4" w:space="0" w:color="auto"/>
              <w:right w:val="nil"/>
            </w:tcBorders>
            <w:shd w:val="clear" w:color="auto" w:fill="auto"/>
            <w:vAlign w:val="center"/>
          </w:tcPr>
          <w:p w14:paraId="5060D8FD"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soli</w:t>
            </w:r>
          </w:p>
          <w:p w14:paraId="2E713E73"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 xml:space="preserve">n </w:t>
            </w:r>
            <w:r w:rsidRPr="00B378D9">
              <w:rPr>
                <w:rFonts w:eastAsia="Times New Roman"/>
                <w:b/>
                <w:color w:val="000000" w:themeColor="text1"/>
                <w:sz w:val="18"/>
                <w:szCs w:val="18"/>
                <w:lang w:val="en-MY" w:eastAsia="ms-MY"/>
              </w:rPr>
              <w:t>= 2)</w:t>
            </w:r>
          </w:p>
        </w:tc>
        <w:tc>
          <w:tcPr>
            <w:tcW w:w="1577" w:type="dxa"/>
            <w:gridSpan w:val="2"/>
            <w:tcBorders>
              <w:top w:val="single" w:sz="4" w:space="0" w:color="auto"/>
              <w:left w:val="nil"/>
              <w:bottom w:val="single" w:sz="4" w:space="0" w:color="auto"/>
              <w:right w:val="nil"/>
            </w:tcBorders>
            <w:shd w:val="clear" w:color="auto" w:fill="auto"/>
            <w:vAlign w:val="center"/>
          </w:tcPr>
          <w:p w14:paraId="497581C4"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berezeniae</w:t>
            </w:r>
          </w:p>
          <w:p w14:paraId="3C001AB0"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 xml:space="preserve">n </w:t>
            </w:r>
            <w:r w:rsidRPr="00B378D9">
              <w:rPr>
                <w:rFonts w:eastAsia="Times New Roman"/>
                <w:b/>
                <w:color w:val="000000" w:themeColor="text1"/>
                <w:sz w:val="18"/>
                <w:szCs w:val="18"/>
                <w:lang w:val="en-MY" w:eastAsia="ms-MY"/>
              </w:rPr>
              <w:t>= 1)</w:t>
            </w:r>
          </w:p>
        </w:tc>
        <w:tc>
          <w:tcPr>
            <w:tcW w:w="1454" w:type="dxa"/>
            <w:gridSpan w:val="2"/>
            <w:tcBorders>
              <w:top w:val="single" w:sz="4" w:space="0" w:color="auto"/>
              <w:left w:val="nil"/>
              <w:bottom w:val="single" w:sz="4" w:space="0" w:color="auto"/>
              <w:right w:val="nil"/>
            </w:tcBorders>
            <w:shd w:val="clear" w:color="auto" w:fill="auto"/>
            <w:vAlign w:val="center"/>
          </w:tcPr>
          <w:p w14:paraId="6B0CADA6"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A. variabilis</w:t>
            </w:r>
          </w:p>
          <w:p w14:paraId="606E9FBB"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color w:val="000000" w:themeColor="text1"/>
                <w:sz w:val="18"/>
                <w:szCs w:val="18"/>
                <w:lang w:val="en-MY" w:eastAsia="ms-MY"/>
              </w:rPr>
              <w:t>(</w:t>
            </w:r>
            <w:r w:rsidRPr="00B378D9">
              <w:rPr>
                <w:rFonts w:eastAsia="Times New Roman"/>
                <w:b/>
                <w:i/>
                <w:color w:val="000000" w:themeColor="text1"/>
                <w:sz w:val="18"/>
                <w:szCs w:val="18"/>
                <w:lang w:val="en-MY" w:eastAsia="ms-MY"/>
              </w:rPr>
              <w:t xml:space="preserve">n </w:t>
            </w:r>
            <w:r w:rsidRPr="00B378D9">
              <w:rPr>
                <w:rFonts w:eastAsia="Times New Roman"/>
                <w:b/>
                <w:color w:val="000000" w:themeColor="text1"/>
                <w:sz w:val="18"/>
                <w:szCs w:val="18"/>
                <w:lang w:val="en-MY" w:eastAsia="ms-MY"/>
              </w:rPr>
              <w:t>=1)</w:t>
            </w:r>
          </w:p>
        </w:tc>
      </w:tr>
      <w:tr w:rsidR="00B378D9" w:rsidRPr="00B378D9" w14:paraId="7AE1F308" w14:textId="77777777" w:rsidTr="000E0914">
        <w:trPr>
          <w:trHeight w:val="340"/>
        </w:trPr>
        <w:tc>
          <w:tcPr>
            <w:tcW w:w="2634" w:type="dxa"/>
            <w:vMerge/>
            <w:tcBorders>
              <w:left w:val="nil"/>
              <w:bottom w:val="single" w:sz="4" w:space="0" w:color="auto"/>
              <w:right w:val="nil"/>
            </w:tcBorders>
            <w:shd w:val="clear" w:color="auto" w:fill="auto"/>
            <w:noWrap/>
            <w:vAlign w:val="center"/>
            <w:hideMark/>
          </w:tcPr>
          <w:p w14:paraId="0F1BC36E"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p>
        </w:tc>
        <w:tc>
          <w:tcPr>
            <w:tcW w:w="1508" w:type="dxa"/>
            <w:vMerge/>
            <w:tcBorders>
              <w:left w:val="nil"/>
              <w:bottom w:val="single" w:sz="4" w:space="0" w:color="auto"/>
              <w:right w:val="nil"/>
            </w:tcBorders>
            <w:shd w:val="clear" w:color="auto" w:fill="auto"/>
          </w:tcPr>
          <w:p w14:paraId="37250F47"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p>
        </w:tc>
        <w:tc>
          <w:tcPr>
            <w:tcW w:w="741" w:type="dxa"/>
            <w:tcBorders>
              <w:top w:val="single" w:sz="4" w:space="0" w:color="auto"/>
              <w:left w:val="nil"/>
              <w:bottom w:val="single" w:sz="4" w:space="0" w:color="auto"/>
              <w:right w:val="nil"/>
            </w:tcBorders>
            <w:shd w:val="clear" w:color="auto" w:fill="auto"/>
            <w:noWrap/>
            <w:vAlign w:val="center"/>
            <w:hideMark/>
          </w:tcPr>
          <w:p w14:paraId="23C7F91A"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767" w:type="dxa"/>
            <w:tcBorders>
              <w:top w:val="single" w:sz="4" w:space="0" w:color="auto"/>
              <w:left w:val="nil"/>
              <w:bottom w:val="single" w:sz="4" w:space="0" w:color="auto"/>
              <w:right w:val="nil"/>
            </w:tcBorders>
            <w:shd w:val="clear" w:color="auto" w:fill="auto"/>
            <w:noWrap/>
            <w:vAlign w:val="center"/>
            <w:hideMark/>
          </w:tcPr>
          <w:p w14:paraId="49AC19E9"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c>
          <w:tcPr>
            <w:tcW w:w="792" w:type="dxa"/>
            <w:tcBorders>
              <w:top w:val="single" w:sz="4" w:space="0" w:color="auto"/>
              <w:left w:val="nil"/>
              <w:bottom w:val="single" w:sz="4" w:space="0" w:color="auto"/>
              <w:right w:val="nil"/>
            </w:tcBorders>
            <w:shd w:val="clear" w:color="auto" w:fill="auto"/>
            <w:noWrap/>
            <w:vAlign w:val="center"/>
            <w:hideMark/>
          </w:tcPr>
          <w:p w14:paraId="6A6AD3B6"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930" w:type="dxa"/>
            <w:tcBorders>
              <w:top w:val="single" w:sz="4" w:space="0" w:color="auto"/>
              <w:left w:val="nil"/>
              <w:bottom w:val="single" w:sz="4" w:space="0" w:color="auto"/>
              <w:right w:val="nil"/>
            </w:tcBorders>
            <w:shd w:val="clear" w:color="auto" w:fill="auto"/>
            <w:noWrap/>
            <w:vAlign w:val="center"/>
            <w:hideMark/>
          </w:tcPr>
          <w:p w14:paraId="1F48E5AE"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c>
          <w:tcPr>
            <w:tcW w:w="771" w:type="dxa"/>
            <w:tcBorders>
              <w:top w:val="single" w:sz="4" w:space="0" w:color="auto"/>
              <w:left w:val="nil"/>
              <w:bottom w:val="single" w:sz="4" w:space="0" w:color="auto"/>
              <w:right w:val="nil"/>
            </w:tcBorders>
            <w:shd w:val="clear" w:color="auto" w:fill="auto"/>
            <w:vAlign w:val="center"/>
          </w:tcPr>
          <w:p w14:paraId="4AA001A7"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929" w:type="dxa"/>
            <w:tcBorders>
              <w:top w:val="single" w:sz="4" w:space="0" w:color="auto"/>
              <w:left w:val="nil"/>
              <w:bottom w:val="single" w:sz="4" w:space="0" w:color="auto"/>
              <w:right w:val="nil"/>
            </w:tcBorders>
            <w:shd w:val="clear" w:color="auto" w:fill="auto"/>
            <w:vAlign w:val="center"/>
          </w:tcPr>
          <w:p w14:paraId="776C3B68"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c>
          <w:tcPr>
            <w:tcW w:w="540" w:type="dxa"/>
            <w:tcBorders>
              <w:top w:val="single" w:sz="4" w:space="0" w:color="auto"/>
              <w:left w:val="nil"/>
              <w:bottom w:val="single" w:sz="4" w:space="0" w:color="auto"/>
              <w:right w:val="nil"/>
            </w:tcBorders>
            <w:shd w:val="clear" w:color="auto" w:fill="auto"/>
            <w:vAlign w:val="center"/>
          </w:tcPr>
          <w:p w14:paraId="0E2FF986"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630" w:type="dxa"/>
            <w:tcBorders>
              <w:top w:val="single" w:sz="4" w:space="0" w:color="auto"/>
              <w:left w:val="nil"/>
              <w:bottom w:val="single" w:sz="4" w:space="0" w:color="auto"/>
              <w:right w:val="nil"/>
            </w:tcBorders>
            <w:shd w:val="clear" w:color="auto" w:fill="auto"/>
            <w:vAlign w:val="center"/>
          </w:tcPr>
          <w:p w14:paraId="61843D27"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c>
          <w:tcPr>
            <w:tcW w:w="736" w:type="dxa"/>
            <w:tcBorders>
              <w:top w:val="single" w:sz="4" w:space="0" w:color="auto"/>
              <w:left w:val="nil"/>
              <w:bottom w:val="single" w:sz="4" w:space="0" w:color="auto"/>
              <w:right w:val="nil"/>
            </w:tcBorders>
            <w:shd w:val="clear" w:color="auto" w:fill="auto"/>
            <w:vAlign w:val="center"/>
          </w:tcPr>
          <w:p w14:paraId="292AF934"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841" w:type="dxa"/>
            <w:tcBorders>
              <w:top w:val="single" w:sz="4" w:space="0" w:color="auto"/>
              <w:left w:val="nil"/>
              <w:bottom w:val="single" w:sz="4" w:space="0" w:color="auto"/>
              <w:right w:val="nil"/>
            </w:tcBorders>
            <w:shd w:val="clear" w:color="auto" w:fill="auto"/>
            <w:vAlign w:val="center"/>
          </w:tcPr>
          <w:p w14:paraId="70A71947"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c>
          <w:tcPr>
            <w:tcW w:w="718" w:type="dxa"/>
            <w:tcBorders>
              <w:top w:val="single" w:sz="4" w:space="0" w:color="auto"/>
              <w:left w:val="nil"/>
              <w:bottom w:val="single" w:sz="4" w:space="0" w:color="auto"/>
              <w:right w:val="nil"/>
            </w:tcBorders>
            <w:shd w:val="clear" w:color="auto" w:fill="auto"/>
            <w:vAlign w:val="center"/>
          </w:tcPr>
          <w:p w14:paraId="5581AD61" w14:textId="77777777" w:rsidR="00E910AF" w:rsidRPr="00B378D9" w:rsidRDefault="00E910AF" w:rsidP="000D334C">
            <w:pPr>
              <w:spacing w:line="276" w:lineRule="auto"/>
              <w:ind w:left="0" w:firstLine="0"/>
              <w:jc w:val="center"/>
              <w:rPr>
                <w:rFonts w:eastAsia="Times New Roman"/>
                <w:b/>
                <w:i/>
                <w:color w:val="000000" w:themeColor="text1"/>
                <w:sz w:val="18"/>
                <w:szCs w:val="18"/>
                <w:lang w:val="en-MY" w:eastAsia="ms-MY"/>
              </w:rPr>
            </w:pPr>
            <w:r w:rsidRPr="00B378D9">
              <w:rPr>
                <w:rFonts w:eastAsia="Times New Roman"/>
                <w:b/>
                <w:i/>
                <w:color w:val="000000" w:themeColor="text1"/>
                <w:sz w:val="18"/>
                <w:szCs w:val="18"/>
                <w:lang w:val="en-MY" w:eastAsia="ms-MY"/>
              </w:rPr>
              <w:t>n</w:t>
            </w:r>
          </w:p>
        </w:tc>
        <w:tc>
          <w:tcPr>
            <w:tcW w:w="736" w:type="dxa"/>
            <w:tcBorders>
              <w:top w:val="single" w:sz="4" w:space="0" w:color="auto"/>
              <w:left w:val="nil"/>
              <w:bottom w:val="single" w:sz="4" w:space="0" w:color="auto"/>
              <w:right w:val="nil"/>
            </w:tcBorders>
            <w:shd w:val="clear" w:color="auto" w:fill="auto"/>
            <w:vAlign w:val="center"/>
          </w:tcPr>
          <w:p w14:paraId="6AE5545A" w14:textId="77777777" w:rsidR="00E910AF" w:rsidRPr="00B378D9" w:rsidRDefault="00E910AF" w:rsidP="000D334C">
            <w:pPr>
              <w:spacing w:line="276" w:lineRule="auto"/>
              <w:ind w:left="0" w:firstLine="0"/>
              <w:jc w:val="center"/>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w:t>
            </w:r>
          </w:p>
        </w:tc>
      </w:tr>
      <w:tr w:rsidR="00B378D9" w:rsidRPr="00B378D9" w14:paraId="0CFCEA12" w14:textId="77777777" w:rsidTr="000E0914">
        <w:trPr>
          <w:trHeight w:val="340"/>
        </w:trPr>
        <w:tc>
          <w:tcPr>
            <w:tcW w:w="2634" w:type="dxa"/>
            <w:tcBorders>
              <w:top w:val="single" w:sz="4" w:space="0" w:color="auto"/>
              <w:left w:val="nil"/>
              <w:right w:val="nil"/>
            </w:tcBorders>
            <w:shd w:val="clear" w:color="auto" w:fill="auto"/>
            <w:noWrap/>
            <w:vAlign w:val="center"/>
          </w:tcPr>
          <w:p w14:paraId="4935814D"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Aminoglycosides</w:t>
            </w:r>
          </w:p>
        </w:tc>
        <w:tc>
          <w:tcPr>
            <w:tcW w:w="1508" w:type="dxa"/>
            <w:tcBorders>
              <w:top w:val="single" w:sz="4" w:space="0" w:color="auto"/>
              <w:left w:val="nil"/>
              <w:right w:val="nil"/>
            </w:tcBorders>
            <w:vAlign w:val="center"/>
          </w:tcPr>
          <w:p w14:paraId="24AE498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41" w:type="dxa"/>
            <w:tcBorders>
              <w:top w:val="single" w:sz="4" w:space="0" w:color="auto"/>
              <w:left w:val="nil"/>
              <w:right w:val="nil"/>
            </w:tcBorders>
            <w:shd w:val="clear" w:color="auto" w:fill="auto"/>
            <w:noWrap/>
            <w:vAlign w:val="center"/>
          </w:tcPr>
          <w:p w14:paraId="4D46AE3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67" w:type="dxa"/>
            <w:tcBorders>
              <w:top w:val="single" w:sz="4" w:space="0" w:color="auto"/>
              <w:left w:val="nil"/>
              <w:right w:val="nil"/>
            </w:tcBorders>
            <w:shd w:val="clear" w:color="auto" w:fill="auto"/>
            <w:noWrap/>
            <w:vAlign w:val="center"/>
          </w:tcPr>
          <w:p w14:paraId="2B96FB8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92" w:type="dxa"/>
            <w:tcBorders>
              <w:top w:val="single" w:sz="4" w:space="0" w:color="auto"/>
              <w:left w:val="nil"/>
              <w:right w:val="nil"/>
            </w:tcBorders>
            <w:shd w:val="clear" w:color="auto" w:fill="auto"/>
            <w:noWrap/>
            <w:vAlign w:val="center"/>
          </w:tcPr>
          <w:p w14:paraId="5A3B572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30" w:type="dxa"/>
            <w:tcBorders>
              <w:top w:val="single" w:sz="4" w:space="0" w:color="auto"/>
              <w:left w:val="nil"/>
              <w:right w:val="nil"/>
            </w:tcBorders>
            <w:shd w:val="clear" w:color="auto" w:fill="auto"/>
            <w:noWrap/>
            <w:vAlign w:val="center"/>
          </w:tcPr>
          <w:p w14:paraId="318C7F5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71" w:type="dxa"/>
            <w:tcBorders>
              <w:top w:val="single" w:sz="4" w:space="0" w:color="auto"/>
              <w:left w:val="nil"/>
              <w:right w:val="nil"/>
            </w:tcBorders>
            <w:vAlign w:val="center"/>
          </w:tcPr>
          <w:p w14:paraId="75FD06B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29" w:type="dxa"/>
            <w:tcBorders>
              <w:top w:val="single" w:sz="4" w:space="0" w:color="auto"/>
              <w:left w:val="nil"/>
              <w:right w:val="nil"/>
            </w:tcBorders>
            <w:vAlign w:val="center"/>
          </w:tcPr>
          <w:p w14:paraId="06F76E7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540" w:type="dxa"/>
            <w:tcBorders>
              <w:top w:val="single" w:sz="4" w:space="0" w:color="auto"/>
              <w:left w:val="nil"/>
              <w:right w:val="nil"/>
            </w:tcBorders>
            <w:vAlign w:val="center"/>
          </w:tcPr>
          <w:p w14:paraId="5D56099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630" w:type="dxa"/>
            <w:tcBorders>
              <w:top w:val="single" w:sz="4" w:space="0" w:color="auto"/>
              <w:left w:val="nil"/>
              <w:right w:val="nil"/>
            </w:tcBorders>
            <w:vAlign w:val="center"/>
          </w:tcPr>
          <w:p w14:paraId="48BC07A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single" w:sz="4" w:space="0" w:color="auto"/>
              <w:left w:val="nil"/>
              <w:right w:val="nil"/>
            </w:tcBorders>
            <w:vAlign w:val="center"/>
          </w:tcPr>
          <w:p w14:paraId="707E8B4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841" w:type="dxa"/>
            <w:tcBorders>
              <w:top w:val="single" w:sz="4" w:space="0" w:color="auto"/>
              <w:left w:val="nil"/>
              <w:right w:val="nil"/>
            </w:tcBorders>
            <w:vAlign w:val="center"/>
          </w:tcPr>
          <w:p w14:paraId="41B1F51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18" w:type="dxa"/>
            <w:tcBorders>
              <w:top w:val="single" w:sz="4" w:space="0" w:color="auto"/>
              <w:left w:val="nil"/>
              <w:right w:val="nil"/>
            </w:tcBorders>
            <w:vAlign w:val="center"/>
          </w:tcPr>
          <w:p w14:paraId="631351B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single" w:sz="4" w:space="0" w:color="auto"/>
              <w:left w:val="nil"/>
              <w:right w:val="nil"/>
            </w:tcBorders>
            <w:vAlign w:val="center"/>
          </w:tcPr>
          <w:p w14:paraId="77337AD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r>
      <w:tr w:rsidR="00B378D9" w:rsidRPr="00B378D9" w14:paraId="6373CF66" w14:textId="77777777" w:rsidTr="000E0914">
        <w:trPr>
          <w:trHeight w:val="340"/>
        </w:trPr>
        <w:tc>
          <w:tcPr>
            <w:tcW w:w="2634" w:type="dxa"/>
            <w:tcBorders>
              <w:left w:val="nil"/>
              <w:bottom w:val="nil"/>
              <w:right w:val="nil"/>
            </w:tcBorders>
            <w:shd w:val="clear" w:color="auto" w:fill="auto"/>
            <w:noWrap/>
            <w:vAlign w:val="center"/>
            <w:hideMark/>
          </w:tcPr>
          <w:p w14:paraId="5DAC652B"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Gentamicin</w:t>
            </w:r>
          </w:p>
        </w:tc>
        <w:tc>
          <w:tcPr>
            <w:tcW w:w="1508" w:type="dxa"/>
            <w:tcBorders>
              <w:left w:val="nil"/>
              <w:bottom w:val="nil"/>
              <w:right w:val="nil"/>
            </w:tcBorders>
            <w:vAlign w:val="center"/>
          </w:tcPr>
          <w:p w14:paraId="39B1F80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left w:val="nil"/>
              <w:bottom w:val="nil"/>
              <w:right w:val="nil"/>
            </w:tcBorders>
            <w:shd w:val="clear" w:color="auto" w:fill="auto"/>
            <w:noWrap/>
            <w:vAlign w:val="center"/>
            <w:hideMark/>
          </w:tcPr>
          <w:p w14:paraId="7B85742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78</w:t>
            </w:r>
          </w:p>
        </w:tc>
        <w:tc>
          <w:tcPr>
            <w:tcW w:w="767" w:type="dxa"/>
            <w:tcBorders>
              <w:left w:val="nil"/>
              <w:bottom w:val="nil"/>
              <w:right w:val="nil"/>
            </w:tcBorders>
            <w:shd w:val="clear" w:color="auto" w:fill="auto"/>
            <w:noWrap/>
            <w:vAlign w:val="center"/>
            <w:hideMark/>
          </w:tcPr>
          <w:p w14:paraId="49C67BF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60.9</w:t>
            </w:r>
          </w:p>
        </w:tc>
        <w:tc>
          <w:tcPr>
            <w:tcW w:w="792" w:type="dxa"/>
            <w:tcBorders>
              <w:left w:val="nil"/>
              <w:bottom w:val="nil"/>
              <w:right w:val="nil"/>
            </w:tcBorders>
            <w:shd w:val="clear" w:color="auto" w:fill="auto"/>
            <w:noWrap/>
            <w:vAlign w:val="center"/>
            <w:hideMark/>
          </w:tcPr>
          <w:p w14:paraId="5E8EDE1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left w:val="nil"/>
              <w:bottom w:val="nil"/>
              <w:right w:val="nil"/>
            </w:tcBorders>
            <w:shd w:val="clear" w:color="auto" w:fill="auto"/>
            <w:noWrap/>
            <w:vAlign w:val="center"/>
            <w:hideMark/>
          </w:tcPr>
          <w:p w14:paraId="29EB020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left w:val="nil"/>
              <w:bottom w:val="nil"/>
              <w:right w:val="nil"/>
            </w:tcBorders>
            <w:vAlign w:val="center"/>
          </w:tcPr>
          <w:p w14:paraId="37B8BE8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left w:val="nil"/>
              <w:bottom w:val="nil"/>
              <w:right w:val="nil"/>
            </w:tcBorders>
            <w:vAlign w:val="center"/>
          </w:tcPr>
          <w:p w14:paraId="4572E71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left w:val="nil"/>
              <w:bottom w:val="nil"/>
              <w:right w:val="nil"/>
            </w:tcBorders>
            <w:vAlign w:val="center"/>
          </w:tcPr>
          <w:p w14:paraId="6417215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left w:val="nil"/>
              <w:bottom w:val="nil"/>
              <w:right w:val="nil"/>
            </w:tcBorders>
            <w:vAlign w:val="center"/>
          </w:tcPr>
          <w:p w14:paraId="6667AA6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left w:val="nil"/>
              <w:bottom w:val="nil"/>
              <w:right w:val="nil"/>
            </w:tcBorders>
            <w:vAlign w:val="center"/>
          </w:tcPr>
          <w:p w14:paraId="32000A8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left w:val="nil"/>
              <w:bottom w:val="nil"/>
              <w:right w:val="nil"/>
            </w:tcBorders>
            <w:vAlign w:val="center"/>
          </w:tcPr>
          <w:p w14:paraId="46A1AFB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left w:val="nil"/>
              <w:bottom w:val="nil"/>
              <w:right w:val="nil"/>
            </w:tcBorders>
            <w:vAlign w:val="center"/>
          </w:tcPr>
          <w:p w14:paraId="43DF004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left w:val="nil"/>
              <w:bottom w:val="nil"/>
              <w:right w:val="nil"/>
            </w:tcBorders>
            <w:vAlign w:val="center"/>
          </w:tcPr>
          <w:p w14:paraId="5D1AAD3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500FDDC6" w14:textId="77777777" w:rsidTr="000E0914">
        <w:trPr>
          <w:trHeight w:val="340"/>
        </w:trPr>
        <w:tc>
          <w:tcPr>
            <w:tcW w:w="2634" w:type="dxa"/>
            <w:tcBorders>
              <w:top w:val="nil"/>
              <w:left w:val="nil"/>
              <w:bottom w:val="nil"/>
              <w:right w:val="nil"/>
            </w:tcBorders>
            <w:shd w:val="clear" w:color="auto" w:fill="auto"/>
            <w:noWrap/>
            <w:vAlign w:val="center"/>
            <w:hideMark/>
          </w:tcPr>
          <w:p w14:paraId="6CE873A3"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Amikacin</w:t>
            </w:r>
          </w:p>
        </w:tc>
        <w:tc>
          <w:tcPr>
            <w:tcW w:w="1508" w:type="dxa"/>
            <w:tcBorders>
              <w:top w:val="nil"/>
              <w:left w:val="nil"/>
              <w:bottom w:val="nil"/>
              <w:right w:val="nil"/>
            </w:tcBorders>
            <w:vAlign w:val="center"/>
          </w:tcPr>
          <w:p w14:paraId="2CA9308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w:t>
            </w:r>
          </w:p>
        </w:tc>
        <w:tc>
          <w:tcPr>
            <w:tcW w:w="741" w:type="dxa"/>
            <w:tcBorders>
              <w:top w:val="nil"/>
              <w:left w:val="nil"/>
              <w:bottom w:val="nil"/>
              <w:right w:val="nil"/>
            </w:tcBorders>
            <w:shd w:val="clear" w:color="auto" w:fill="auto"/>
            <w:noWrap/>
            <w:vAlign w:val="center"/>
            <w:hideMark/>
          </w:tcPr>
          <w:p w14:paraId="71B7455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78</w:t>
            </w:r>
          </w:p>
        </w:tc>
        <w:tc>
          <w:tcPr>
            <w:tcW w:w="767" w:type="dxa"/>
            <w:tcBorders>
              <w:top w:val="nil"/>
              <w:left w:val="nil"/>
              <w:bottom w:val="nil"/>
              <w:right w:val="nil"/>
            </w:tcBorders>
            <w:shd w:val="clear" w:color="auto" w:fill="auto"/>
            <w:noWrap/>
            <w:vAlign w:val="center"/>
            <w:hideMark/>
          </w:tcPr>
          <w:p w14:paraId="1EEC117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60.9</w:t>
            </w:r>
          </w:p>
        </w:tc>
        <w:tc>
          <w:tcPr>
            <w:tcW w:w="792" w:type="dxa"/>
            <w:tcBorders>
              <w:top w:val="nil"/>
              <w:left w:val="nil"/>
              <w:bottom w:val="nil"/>
              <w:right w:val="nil"/>
            </w:tcBorders>
            <w:shd w:val="clear" w:color="auto" w:fill="auto"/>
            <w:noWrap/>
            <w:vAlign w:val="center"/>
            <w:hideMark/>
          </w:tcPr>
          <w:p w14:paraId="6165F92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201577D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72A2241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514EF1F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5CA5CE1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5FDF88F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1D96524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2AE06DB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7EDE47E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3079E9E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7E12CFE0" w14:textId="77777777" w:rsidTr="000E0914">
        <w:trPr>
          <w:trHeight w:val="340"/>
        </w:trPr>
        <w:tc>
          <w:tcPr>
            <w:tcW w:w="2634" w:type="dxa"/>
            <w:tcBorders>
              <w:top w:val="nil"/>
              <w:left w:val="nil"/>
              <w:bottom w:val="nil"/>
              <w:right w:val="nil"/>
            </w:tcBorders>
            <w:shd w:val="clear" w:color="auto" w:fill="auto"/>
            <w:noWrap/>
            <w:vAlign w:val="center"/>
          </w:tcPr>
          <w:p w14:paraId="0BBBC302"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Carbapenems</w:t>
            </w:r>
          </w:p>
        </w:tc>
        <w:tc>
          <w:tcPr>
            <w:tcW w:w="1508" w:type="dxa"/>
            <w:tcBorders>
              <w:top w:val="nil"/>
              <w:left w:val="nil"/>
              <w:bottom w:val="nil"/>
              <w:right w:val="nil"/>
            </w:tcBorders>
            <w:vAlign w:val="center"/>
          </w:tcPr>
          <w:p w14:paraId="3D34E18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30BD65B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6CF3FD9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67554B9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4E42053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55CF30F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0896B56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18BAB87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4E438AF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1037087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2A4D665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765B397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24B9919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r>
      <w:tr w:rsidR="00B378D9" w:rsidRPr="00B378D9" w14:paraId="686FE8FF" w14:textId="77777777" w:rsidTr="000E0914">
        <w:trPr>
          <w:trHeight w:val="340"/>
        </w:trPr>
        <w:tc>
          <w:tcPr>
            <w:tcW w:w="2634" w:type="dxa"/>
            <w:tcBorders>
              <w:top w:val="nil"/>
              <w:left w:val="nil"/>
              <w:bottom w:val="nil"/>
              <w:right w:val="nil"/>
            </w:tcBorders>
            <w:shd w:val="clear" w:color="auto" w:fill="auto"/>
            <w:noWrap/>
            <w:vAlign w:val="center"/>
            <w:hideMark/>
          </w:tcPr>
          <w:p w14:paraId="32BDC0E8"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Imipenem</w:t>
            </w:r>
          </w:p>
        </w:tc>
        <w:tc>
          <w:tcPr>
            <w:tcW w:w="1508" w:type="dxa"/>
            <w:tcBorders>
              <w:top w:val="nil"/>
              <w:left w:val="nil"/>
              <w:bottom w:val="nil"/>
              <w:right w:val="nil"/>
            </w:tcBorders>
            <w:vAlign w:val="center"/>
          </w:tcPr>
          <w:p w14:paraId="349E59E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w:t>
            </w:r>
          </w:p>
        </w:tc>
        <w:tc>
          <w:tcPr>
            <w:tcW w:w="741" w:type="dxa"/>
            <w:tcBorders>
              <w:top w:val="nil"/>
              <w:left w:val="nil"/>
              <w:bottom w:val="nil"/>
              <w:right w:val="nil"/>
            </w:tcBorders>
            <w:shd w:val="clear" w:color="auto" w:fill="auto"/>
            <w:noWrap/>
            <w:vAlign w:val="center"/>
            <w:hideMark/>
          </w:tcPr>
          <w:p w14:paraId="39ECA42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88</w:t>
            </w:r>
          </w:p>
        </w:tc>
        <w:tc>
          <w:tcPr>
            <w:tcW w:w="767" w:type="dxa"/>
            <w:tcBorders>
              <w:top w:val="nil"/>
              <w:left w:val="nil"/>
              <w:bottom w:val="nil"/>
              <w:right w:val="nil"/>
            </w:tcBorders>
            <w:shd w:val="clear" w:color="auto" w:fill="auto"/>
            <w:noWrap/>
            <w:vAlign w:val="center"/>
            <w:hideMark/>
          </w:tcPr>
          <w:p w14:paraId="46632C5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68.8</w:t>
            </w:r>
          </w:p>
        </w:tc>
        <w:tc>
          <w:tcPr>
            <w:tcW w:w="792" w:type="dxa"/>
            <w:tcBorders>
              <w:top w:val="nil"/>
              <w:left w:val="nil"/>
              <w:bottom w:val="nil"/>
              <w:right w:val="nil"/>
            </w:tcBorders>
            <w:shd w:val="clear" w:color="auto" w:fill="auto"/>
            <w:noWrap/>
            <w:vAlign w:val="center"/>
            <w:hideMark/>
          </w:tcPr>
          <w:p w14:paraId="65A8BED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bottom w:val="nil"/>
              <w:right w:val="nil"/>
            </w:tcBorders>
            <w:shd w:val="clear" w:color="auto" w:fill="auto"/>
            <w:noWrap/>
            <w:vAlign w:val="center"/>
            <w:hideMark/>
          </w:tcPr>
          <w:p w14:paraId="15AE825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bottom w:val="nil"/>
              <w:right w:val="nil"/>
            </w:tcBorders>
            <w:vAlign w:val="center"/>
          </w:tcPr>
          <w:p w14:paraId="62CB38F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29" w:type="dxa"/>
            <w:tcBorders>
              <w:top w:val="nil"/>
              <w:left w:val="nil"/>
              <w:bottom w:val="nil"/>
              <w:right w:val="nil"/>
            </w:tcBorders>
            <w:vAlign w:val="center"/>
          </w:tcPr>
          <w:p w14:paraId="295460A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20</w:t>
            </w:r>
          </w:p>
        </w:tc>
        <w:tc>
          <w:tcPr>
            <w:tcW w:w="540" w:type="dxa"/>
            <w:tcBorders>
              <w:top w:val="nil"/>
              <w:left w:val="nil"/>
              <w:bottom w:val="nil"/>
              <w:right w:val="nil"/>
            </w:tcBorders>
            <w:vAlign w:val="center"/>
          </w:tcPr>
          <w:p w14:paraId="250BA34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4A82D93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18D4F73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3D1BDA3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708F011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3928AC8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70E58E1C" w14:textId="77777777" w:rsidTr="000E0914">
        <w:trPr>
          <w:trHeight w:val="340"/>
        </w:trPr>
        <w:tc>
          <w:tcPr>
            <w:tcW w:w="2634" w:type="dxa"/>
            <w:tcBorders>
              <w:top w:val="nil"/>
              <w:left w:val="nil"/>
              <w:bottom w:val="nil"/>
              <w:right w:val="nil"/>
            </w:tcBorders>
            <w:shd w:val="clear" w:color="auto" w:fill="auto"/>
            <w:noWrap/>
            <w:vAlign w:val="center"/>
            <w:hideMark/>
          </w:tcPr>
          <w:p w14:paraId="284A67B0"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Meropenem</w:t>
            </w:r>
          </w:p>
        </w:tc>
        <w:tc>
          <w:tcPr>
            <w:tcW w:w="1508" w:type="dxa"/>
            <w:tcBorders>
              <w:top w:val="nil"/>
              <w:left w:val="nil"/>
              <w:bottom w:val="nil"/>
              <w:right w:val="nil"/>
            </w:tcBorders>
            <w:vAlign w:val="center"/>
          </w:tcPr>
          <w:p w14:paraId="497897B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w:t>
            </w:r>
          </w:p>
        </w:tc>
        <w:tc>
          <w:tcPr>
            <w:tcW w:w="741" w:type="dxa"/>
            <w:tcBorders>
              <w:top w:val="nil"/>
              <w:left w:val="nil"/>
              <w:bottom w:val="nil"/>
              <w:right w:val="nil"/>
            </w:tcBorders>
            <w:shd w:val="clear" w:color="auto" w:fill="auto"/>
            <w:noWrap/>
            <w:vAlign w:val="center"/>
            <w:hideMark/>
          </w:tcPr>
          <w:p w14:paraId="32620E7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88</w:t>
            </w:r>
          </w:p>
        </w:tc>
        <w:tc>
          <w:tcPr>
            <w:tcW w:w="767" w:type="dxa"/>
            <w:tcBorders>
              <w:top w:val="nil"/>
              <w:left w:val="nil"/>
              <w:bottom w:val="nil"/>
              <w:right w:val="nil"/>
            </w:tcBorders>
            <w:shd w:val="clear" w:color="auto" w:fill="auto"/>
            <w:noWrap/>
            <w:vAlign w:val="center"/>
            <w:hideMark/>
          </w:tcPr>
          <w:p w14:paraId="76D1DF2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68.8</w:t>
            </w:r>
          </w:p>
        </w:tc>
        <w:tc>
          <w:tcPr>
            <w:tcW w:w="792" w:type="dxa"/>
            <w:tcBorders>
              <w:top w:val="nil"/>
              <w:left w:val="nil"/>
              <w:bottom w:val="nil"/>
              <w:right w:val="nil"/>
            </w:tcBorders>
            <w:shd w:val="clear" w:color="auto" w:fill="auto"/>
            <w:noWrap/>
            <w:vAlign w:val="center"/>
            <w:hideMark/>
          </w:tcPr>
          <w:p w14:paraId="6C6A683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bottom w:val="nil"/>
              <w:right w:val="nil"/>
            </w:tcBorders>
            <w:shd w:val="clear" w:color="auto" w:fill="auto"/>
            <w:noWrap/>
            <w:vAlign w:val="center"/>
            <w:hideMark/>
          </w:tcPr>
          <w:p w14:paraId="492C841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bottom w:val="nil"/>
              <w:right w:val="nil"/>
            </w:tcBorders>
            <w:vAlign w:val="center"/>
          </w:tcPr>
          <w:p w14:paraId="4BD4EB5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29" w:type="dxa"/>
            <w:tcBorders>
              <w:top w:val="nil"/>
              <w:left w:val="nil"/>
              <w:bottom w:val="nil"/>
              <w:right w:val="nil"/>
            </w:tcBorders>
            <w:vAlign w:val="center"/>
          </w:tcPr>
          <w:p w14:paraId="4254E87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20</w:t>
            </w:r>
          </w:p>
        </w:tc>
        <w:tc>
          <w:tcPr>
            <w:tcW w:w="540" w:type="dxa"/>
            <w:tcBorders>
              <w:top w:val="nil"/>
              <w:left w:val="nil"/>
              <w:bottom w:val="nil"/>
              <w:right w:val="nil"/>
            </w:tcBorders>
            <w:vAlign w:val="center"/>
          </w:tcPr>
          <w:p w14:paraId="4E669C6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518B1BB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60B2544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3459099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56D24DE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5D03ABE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630C8D57" w14:textId="77777777" w:rsidTr="000E0914">
        <w:trPr>
          <w:trHeight w:val="340"/>
        </w:trPr>
        <w:tc>
          <w:tcPr>
            <w:tcW w:w="2634" w:type="dxa"/>
            <w:tcBorders>
              <w:top w:val="nil"/>
              <w:left w:val="nil"/>
              <w:bottom w:val="nil"/>
              <w:right w:val="nil"/>
            </w:tcBorders>
            <w:shd w:val="clear" w:color="auto" w:fill="auto"/>
            <w:noWrap/>
            <w:vAlign w:val="center"/>
            <w:hideMark/>
          </w:tcPr>
          <w:p w14:paraId="3189AAEE"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Doripenem</w:t>
            </w:r>
          </w:p>
        </w:tc>
        <w:tc>
          <w:tcPr>
            <w:tcW w:w="1508" w:type="dxa"/>
            <w:tcBorders>
              <w:top w:val="nil"/>
              <w:left w:val="nil"/>
              <w:bottom w:val="nil"/>
              <w:right w:val="nil"/>
            </w:tcBorders>
            <w:vAlign w:val="center"/>
          </w:tcPr>
          <w:p w14:paraId="096F2F8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w:t>
            </w:r>
          </w:p>
        </w:tc>
        <w:tc>
          <w:tcPr>
            <w:tcW w:w="741" w:type="dxa"/>
            <w:tcBorders>
              <w:top w:val="nil"/>
              <w:left w:val="nil"/>
              <w:bottom w:val="nil"/>
              <w:right w:val="nil"/>
            </w:tcBorders>
            <w:shd w:val="clear" w:color="auto" w:fill="auto"/>
            <w:noWrap/>
            <w:vAlign w:val="center"/>
            <w:hideMark/>
          </w:tcPr>
          <w:p w14:paraId="097EF0F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88</w:t>
            </w:r>
          </w:p>
        </w:tc>
        <w:tc>
          <w:tcPr>
            <w:tcW w:w="767" w:type="dxa"/>
            <w:tcBorders>
              <w:top w:val="nil"/>
              <w:left w:val="nil"/>
              <w:bottom w:val="nil"/>
              <w:right w:val="nil"/>
            </w:tcBorders>
            <w:shd w:val="clear" w:color="auto" w:fill="auto"/>
            <w:noWrap/>
            <w:vAlign w:val="center"/>
            <w:hideMark/>
          </w:tcPr>
          <w:p w14:paraId="65EED99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68.8</w:t>
            </w:r>
          </w:p>
        </w:tc>
        <w:tc>
          <w:tcPr>
            <w:tcW w:w="792" w:type="dxa"/>
            <w:tcBorders>
              <w:top w:val="nil"/>
              <w:left w:val="nil"/>
              <w:bottom w:val="nil"/>
              <w:right w:val="nil"/>
            </w:tcBorders>
            <w:shd w:val="clear" w:color="auto" w:fill="auto"/>
            <w:noWrap/>
            <w:vAlign w:val="center"/>
            <w:hideMark/>
          </w:tcPr>
          <w:p w14:paraId="171D857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bottom w:val="nil"/>
              <w:right w:val="nil"/>
            </w:tcBorders>
            <w:shd w:val="clear" w:color="auto" w:fill="auto"/>
            <w:noWrap/>
            <w:vAlign w:val="center"/>
            <w:hideMark/>
          </w:tcPr>
          <w:p w14:paraId="6295EE6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bottom w:val="nil"/>
              <w:right w:val="nil"/>
            </w:tcBorders>
            <w:vAlign w:val="center"/>
          </w:tcPr>
          <w:p w14:paraId="2CE722B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29" w:type="dxa"/>
            <w:tcBorders>
              <w:top w:val="nil"/>
              <w:left w:val="nil"/>
              <w:bottom w:val="nil"/>
              <w:right w:val="nil"/>
            </w:tcBorders>
            <w:vAlign w:val="center"/>
          </w:tcPr>
          <w:p w14:paraId="3A2C46D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20</w:t>
            </w:r>
          </w:p>
        </w:tc>
        <w:tc>
          <w:tcPr>
            <w:tcW w:w="540" w:type="dxa"/>
            <w:tcBorders>
              <w:top w:val="nil"/>
              <w:left w:val="nil"/>
              <w:bottom w:val="nil"/>
              <w:right w:val="nil"/>
            </w:tcBorders>
            <w:vAlign w:val="center"/>
          </w:tcPr>
          <w:p w14:paraId="4FA55C1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15CB105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2A3D8FC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16C0858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72D0530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3D0E277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30C2E768" w14:textId="77777777" w:rsidTr="000E0914">
        <w:trPr>
          <w:trHeight w:val="340"/>
        </w:trPr>
        <w:tc>
          <w:tcPr>
            <w:tcW w:w="2634" w:type="dxa"/>
            <w:tcBorders>
              <w:top w:val="nil"/>
              <w:left w:val="nil"/>
              <w:bottom w:val="nil"/>
              <w:right w:val="nil"/>
            </w:tcBorders>
            <w:shd w:val="clear" w:color="auto" w:fill="auto"/>
            <w:noWrap/>
            <w:vAlign w:val="center"/>
          </w:tcPr>
          <w:p w14:paraId="73973AA3"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Fluroquinolones</w:t>
            </w:r>
          </w:p>
        </w:tc>
        <w:tc>
          <w:tcPr>
            <w:tcW w:w="1508" w:type="dxa"/>
            <w:tcBorders>
              <w:top w:val="nil"/>
              <w:left w:val="nil"/>
              <w:bottom w:val="nil"/>
              <w:right w:val="nil"/>
            </w:tcBorders>
            <w:vAlign w:val="center"/>
          </w:tcPr>
          <w:p w14:paraId="0BB17EF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3360BE6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2174FB6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1FDDD95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1CE8A60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2436C4F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64302BA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270858C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064378D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65802ED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0192D52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79086FE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53BA650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r>
      <w:tr w:rsidR="00B378D9" w:rsidRPr="00B378D9" w14:paraId="1518216A" w14:textId="77777777" w:rsidTr="000E0914">
        <w:trPr>
          <w:trHeight w:val="340"/>
        </w:trPr>
        <w:tc>
          <w:tcPr>
            <w:tcW w:w="2634" w:type="dxa"/>
            <w:tcBorders>
              <w:top w:val="nil"/>
              <w:left w:val="nil"/>
              <w:bottom w:val="nil"/>
              <w:right w:val="nil"/>
            </w:tcBorders>
            <w:shd w:val="clear" w:color="auto" w:fill="auto"/>
            <w:noWrap/>
            <w:vAlign w:val="center"/>
            <w:hideMark/>
          </w:tcPr>
          <w:p w14:paraId="40345227"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Ciprofloxacin</w:t>
            </w:r>
          </w:p>
        </w:tc>
        <w:tc>
          <w:tcPr>
            <w:tcW w:w="1508" w:type="dxa"/>
            <w:tcBorders>
              <w:top w:val="nil"/>
              <w:left w:val="nil"/>
              <w:bottom w:val="nil"/>
              <w:right w:val="nil"/>
            </w:tcBorders>
            <w:vAlign w:val="center"/>
          </w:tcPr>
          <w:p w14:paraId="3240860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5</w:t>
            </w:r>
          </w:p>
        </w:tc>
        <w:tc>
          <w:tcPr>
            <w:tcW w:w="741" w:type="dxa"/>
            <w:tcBorders>
              <w:top w:val="nil"/>
              <w:left w:val="nil"/>
              <w:bottom w:val="nil"/>
              <w:right w:val="nil"/>
            </w:tcBorders>
            <w:shd w:val="clear" w:color="auto" w:fill="auto"/>
            <w:noWrap/>
            <w:vAlign w:val="center"/>
            <w:hideMark/>
          </w:tcPr>
          <w:p w14:paraId="7063591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84</w:t>
            </w:r>
          </w:p>
        </w:tc>
        <w:tc>
          <w:tcPr>
            <w:tcW w:w="767" w:type="dxa"/>
            <w:tcBorders>
              <w:top w:val="nil"/>
              <w:left w:val="nil"/>
              <w:bottom w:val="nil"/>
              <w:right w:val="nil"/>
            </w:tcBorders>
            <w:shd w:val="clear" w:color="auto" w:fill="auto"/>
            <w:noWrap/>
            <w:vAlign w:val="center"/>
            <w:hideMark/>
          </w:tcPr>
          <w:p w14:paraId="2E5CD1C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65.6</w:t>
            </w:r>
          </w:p>
        </w:tc>
        <w:tc>
          <w:tcPr>
            <w:tcW w:w="792" w:type="dxa"/>
            <w:tcBorders>
              <w:top w:val="nil"/>
              <w:left w:val="nil"/>
              <w:bottom w:val="nil"/>
              <w:right w:val="nil"/>
            </w:tcBorders>
            <w:shd w:val="clear" w:color="auto" w:fill="auto"/>
            <w:noWrap/>
            <w:vAlign w:val="center"/>
            <w:hideMark/>
          </w:tcPr>
          <w:p w14:paraId="39E932E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4251F5A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5D49AA3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6E13A95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035452A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54F2FD9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08F6B96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7C32D24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44BA847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42781DB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550600C3" w14:textId="77777777" w:rsidTr="000E0914">
        <w:trPr>
          <w:trHeight w:val="340"/>
        </w:trPr>
        <w:tc>
          <w:tcPr>
            <w:tcW w:w="2634" w:type="dxa"/>
            <w:tcBorders>
              <w:top w:val="nil"/>
              <w:left w:val="nil"/>
              <w:bottom w:val="nil"/>
              <w:right w:val="nil"/>
            </w:tcBorders>
            <w:shd w:val="clear" w:color="auto" w:fill="auto"/>
            <w:noWrap/>
            <w:vAlign w:val="center"/>
          </w:tcPr>
          <w:p w14:paraId="59C69AA0"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β-lactam/β-lactamase inhibitor combination</w:t>
            </w:r>
          </w:p>
        </w:tc>
        <w:tc>
          <w:tcPr>
            <w:tcW w:w="1508" w:type="dxa"/>
            <w:tcBorders>
              <w:top w:val="nil"/>
              <w:left w:val="nil"/>
              <w:bottom w:val="nil"/>
              <w:right w:val="nil"/>
            </w:tcBorders>
            <w:vAlign w:val="center"/>
          </w:tcPr>
          <w:p w14:paraId="3326D20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7354319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7FFEEF3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722B823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0A2F809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5B64665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35B6D06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4165CD1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797ADF9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79E0D96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4201491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465ED1C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3EA1820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r>
      <w:tr w:rsidR="00B378D9" w:rsidRPr="00B378D9" w14:paraId="2B252508" w14:textId="77777777" w:rsidTr="000E0914">
        <w:trPr>
          <w:trHeight w:val="340"/>
        </w:trPr>
        <w:tc>
          <w:tcPr>
            <w:tcW w:w="2634" w:type="dxa"/>
            <w:tcBorders>
              <w:top w:val="nil"/>
              <w:left w:val="nil"/>
              <w:bottom w:val="nil"/>
              <w:right w:val="nil"/>
            </w:tcBorders>
            <w:shd w:val="clear" w:color="auto" w:fill="auto"/>
            <w:noWrap/>
            <w:vAlign w:val="center"/>
            <w:hideMark/>
          </w:tcPr>
          <w:p w14:paraId="625817D9"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Piperacillin/Tazobactam</w:t>
            </w:r>
          </w:p>
        </w:tc>
        <w:tc>
          <w:tcPr>
            <w:tcW w:w="1508" w:type="dxa"/>
            <w:tcBorders>
              <w:top w:val="nil"/>
              <w:left w:val="nil"/>
              <w:bottom w:val="nil"/>
              <w:right w:val="nil"/>
            </w:tcBorders>
            <w:vAlign w:val="center"/>
          </w:tcPr>
          <w:p w14:paraId="6897C5F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100/10</w:t>
            </w:r>
          </w:p>
        </w:tc>
        <w:tc>
          <w:tcPr>
            <w:tcW w:w="741" w:type="dxa"/>
            <w:tcBorders>
              <w:top w:val="nil"/>
              <w:left w:val="nil"/>
              <w:bottom w:val="nil"/>
              <w:right w:val="nil"/>
            </w:tcBorders>
            <w:shd w:val="clear" w:color="auto" w:fill="auto"/>
            <w:noWrap/>
            <w:vAlign w:val="center"/>
            <w:hideMark/>
          </w:tcPr>
          <w:p w14:paraId="219237F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85</w:t>
            </w:r>
          </w:p>
        </w:tc>
        <w:tc>
          <w:tcPr>
            <w:tcW w:w="767" w:type="dxa"/>
            <w:tcBorders>
              <w:top w:val="nil"/>
              <w:left w:val="nil"/>
              <w:bottom w:val="nil"/>
              <w:right w:val="nil"/>
            </w:tcBorders>
            <w:shd w:val="clear" w:color="auto" w:fill="auto"/>
            <w:noWrap/>
            <w:vAlign w:val="center"/>
            <w:hideMark/>
          </w:tcPr>
          <w:p w14:paraId="017926F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66.4</w:t>
            </w:r>
          </w:p>
        </w:tc>
        <w:tc>
          <w:tcPr>
            <w:tcW w:w="792" w:type="dxa"/>
            <w:tcBorders>
              <w:top w:val="nil"/>
              <w:left w:val="nil"/>
              <w:bottom w:val="nil"/>
              <w:right w:val="nil"/>
            </w:tcBorders>
            <w:shd w:val="clear" w:color="auto" w:fill="auto"/>
            <w:noWrap/>
            <w:vAlign w:val="center"/>
            <w:hideMark/>
          </w:tcPr>
          <w:p w14:paraId="1FD99D3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7A7110A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5E98116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0AE03F9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57F3320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27D42C8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11BC66D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03C3453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75431E6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2AF243F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2860558B" w14:textId="77777777" w:rsidTr="000E0914">
        <w:trPr>
          <w:trHeight w:val="340"/>
        </w:trPr>
        <w:tc>
          <w:tcPr>
            <w:tcW w:w="2634" w:type="dxa"/>
            <w:tcBorders>
              <w:top w:val="nil"/>
              <w:left w:val="nil"/>
              <w:bottom w:val="nil"/>
              <w:right w:val="nil"/>
            </w:tcBorders>
            <w:shd w:val="clear" w:color="auto" w:fill="auto"/>
            <w:noWrap/>
            <w:vAlign w:val="center"/>
            <w:hideMark/>
          </w:tcPr>
          <w:p w14:paraId="4B0A6B63"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Ticarcillin/Clavulanate</w:t>
            </w:r>
          </w:p>
        </w:tc>
        <w:tc>
          <w:tcPr>
            <w:tcW w:w="1508" w:type="dxa"/>
            <w:tcBorders>
              <w:top w:val="nil"/>
              <w:left w:val="nil"/>
              <w:bottom w:val="nil"/>
              <w:right w:val="nil"/>
            </w:tcBorders>
            <w:vAlign w:val="center"/>
          </w:tcPr>
          <w:p w14:paraId="69C699B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75/10</w:t>
            </w:r>
          </w:p>
        </w:tc>
        <w:tc>
          <w:tcPr>
            <w:tcW w:w="741" w:type="dxa"/>
            <w:tcBorders>
              <w:top w:val="nil"/>
              <w:left w:val="nil"/>
              <w:bottom w:val="nil"/>
              <w:right w:val="nil"/>
            </w:tcBorders>
            <w:shd w:val="clear" w:color="auto" w:fill="auto"/>
            <w:noWrap/>
            <w:vAlign w:val="center"/>
            <w:hideMark/>
          </w:tcPr>
          <w:p w14:paraId="0304F3A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86</w:t>
            </w:r>
          </w:p>
        </w:tc>
        <w:tc>
          <w:tcPr>
            <w:tcW w:w="767" w:type="dxa"/>
            <w:tcBorders>
              <w:top w:val="nil"/>
              <w:left w:val="nil"/>
              <w:bottom w:val="nil"/>
              <w:right w:val="nil"/>
            </w:tcBorders>
            <w:shd w:val="clear" w:color="auto" w:fill="auto"/>
            <w:noWrap/>
            <w:vAlign w:val="center"/>
            <w:hideMark/>
          </w:tcPr>
          <w:p w14:paraId="700326A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67.2</w:t>
            </w:r>
          </w:p>
        </w:tc>
        <w:tc>
          <w:tcPr>
            <w:tcW w:w="792" w:type="dxa"/>
            <w:tcBorders>
              <w:top w:val="nil"/>
              <w:left w:val="nil"/>
              <w:bottom w:val="nil"/>
              <w:right w:val="nil"/>
            </w:tcBorders>
            <w:shd w:val="clear" w:color="auto" w:fill="auto"/>
            <w:noWrap/>
            <w:vAlign w:val="center"/>
            <w:hideMark/>
          </w:tcPr>
          <w:p w14:paraId="43EEB33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2</w:t>
            </w:r>
          </w:p>
        </w:tc>
        <w:tc>
          <w:tcPr>
            <w:tcW w:w="930" w:type="dxa"/>
            <w:tcBorders>
              <w:top w:val="nil"/>
              <w:left w:val="nil"/>
              <w:bottom w:val="nil"/>
              <w:right w:val="nil"/>
            </w:tcBorders>
            <w:shd w:val="clear" w:color="auto" w:fill="auto"/>
            <w:noWrap/>
            <w:vAlign w:val="center"/>
            <w:hideMark/>
          </w:tcPr>
          <w:p w14:paraId="375EB1D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12.5</w:t>
            </w:r>
          </w:p>
        </w:tc>
        <w:tc>
          <w:tcPr>
            <w:tcW w:w="771" w:type="dxa"/>
            <w:tcBorders>
              <w:top w:val="nil"/>
              <w:left w:val="nil"/>
              <w:bottom w:val="nil"/>
              <w:right w:val="nil"/>
            </w:tcBorders>
            <w:vAlign w:val="center"/>
          </w:tcPr>
          <w:p w14:paraId="46D8F23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29" w:type="dxa"/>
            <w:tcBorders>
              <w:top w:val="nil"/>
              <w:left w:val="nil"/>
              <w:bottom w:val="nil"/>
              <w:right w:val="nil"/>
            </w:tcBorders>
            <w:vAlign w:val="center"/>
          </w:tcPr>
          <w:p w14:paraId="0BD1573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20</w:t>
            </w:r>
          </w:p>
        </w:tc>
        <w:tc>
          <w:tcPr>
            <w:tcW w:w="540" w:type="dxa"/>
            <w:tcBorders>
              <w:top w:val="nil"/>
              <w:left w:val="nil"/>
              <w:bottom w:val="nil"/>
              <w:right w:val="nil"/>
            </w:tcBorders>
            <w:vAlign w:val="center"/>
          </w:tcPr>
          <w:p w14:paraId="790C938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7284901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62997BE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353439B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2F98178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78CB3FE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47E02F86" w14:textId="77777777" w:rsidTr="000E0914">
        <w:trPr>
          <w:trHeight w:val="340"/>
        </w:trPr>
        <w:tc>
          <w:tcPr>
            <w:tcW w:w="2634" w:type="dxa"/>
            <w:tcBorders>
              <w:top w:val="nil"/>
              <w:left w:val="nil"/>
              <w:bottom w:val="nil"/>
              <w:right w:val="nil"/>
            </w:tcBorders>
            <w:shd w:val="clear" w:color="auto" w:fill="auto"/>
            <w:noWrap/>
            <w:vAlign w:val="center"/>
            <w:hideMark/>
          </w:tcPr>
          <w:p w14:paraId="12BE8573"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Ampicillin/Sulbactam</w:t>
            </w:r>
          </w:p>
        </w:tc>
        <w:tc>
          <w:tcPr>
            <w:tcW w:w="1508" w:type="dxa"/>
            <w:tcBorders>
              <w:top w:val="nil"/>
              <w:left w:val="nil"/>
              <w:bottom w:val="nil"/>
              <w:right w:val="nil"/>
            </w:tcBorders>
            <w:vAlign w:val="center"/>
          </w:tcPr>
          <w:p w14:paraId="321238F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10/10</w:t>
            </w:r>
          </w:p>
        </w:tc>
        <w:tc>
          <w:tcPr>
            <w:tcW w:w="741" w:type="dxa"/>
            <w:tcBorders>
              <w:top w:val="nil"/>
              <w:left w:val="nil"/>
              <w:bottom w:val="nil"/>
              <w:right w:val="nil"/>
            </w:tcBorders>
            <w:shd w:val="clear" w:color="auto" w:fill="auto"/>
            <w:noWrap/>
            <w:vAlign w:val="center"/>
            <w:hideMark/>
          </w:tcPr>
          <w:p w14:paraId="0020FBD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84</w:t>
            </w:r>
          </w:p>
        </w:tc>
        <w:tc>
          <w:tcPr>
            <w:tcW w:w="767" w:type="dxa"/>
            <w:tcBorders>
              <w:top w:val="nil"/>
              <w:left w:val="nil"/>
              <w:bottom w:val="nil"/>
              <w:right w:val="nil"/>
            </w:tcBorders>
            <w:shd w:val="clear" w:color="auto" w:fill="auto"/>
            <w:noWrap/>
            <w:vAlign w:val="center"/>
            <w:hideMark/>
          </w:tcPr>
          <w:p w14:paraId="0C69DD8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65.6</w:t>
            </w:r>
          </w:p>
        </w:tc>
        <w:tc>
          <w:tcPr>
            <w:tcW w:w="792" w:type="dxa"/>
            <w:tcBorders>
              <w:top w:val="nil"/>
              <w:left w:val="nil"/>
              <w:bottom w:val="nil"/>
              <w:right w:val="nil"/>
            </w:tcBorders>
            <w:shd w:val="clear" w:color="auto" w:fill="auto"/>
            <w:noWrap/>
            <w:vAlign w:val="center"/>
            <w:hideMark/>
          </w:tcPr>
          <w:p w14:paraId="5463E13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16C35E5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60075E6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15BDD96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2F4B316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72B2C0C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4E99E73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0147CB8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3A57A36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4F248A7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5610E3E0" w14:textId="77777777" w:rsidTr="000E0914">
        <w:trPr>
          <w:trHeight w:val="340"/>
        </w:trPr>
        <w:tc>
          <w:tcPr>
            <w:tcW w:w="2634" w:type="dxa"/>
            <w:tcBorders>
              <w:top w:val="nil"/>
              <w:left w:val="nil"/>
              <w:bottom w:val="nil"/>
              <w:right w:val="nil"/>
            </w:tcBorders>
            <w:shd w:val="clear" w:color="auto" w:fill="auto"/>
            <w:noWrap/>
            <w:vAlign w:val="center"/>
          </w:tcPr>
          <w:p w14:paraId="7E8C0809" w14:textId="77777777" w:rsidR="00E910AF" w:rsidRPr="00B378D9" w:rsidRDefault="00E910AF" w:rsidP="000D334C">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Cephalosporins</w:t>
            </w:r>
          </w:p>
        </w:tc>
        <w:tc>
          <w:tcPr>
            <w:tcW w:w="1508" w:type="dxa"/>
            <w:tcBorders>
              <w:top w:val="nil"/>
              <w:left w:val="nil"/>
              <w:bottom w:val="nil"/>
              <w:right w:val="nil"/>
            </w:tcBorders>
            <w:vAlign w:val="center"/>
          </w:tcPr>
          <w:p w14:paraId="5D1D31B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4409EBD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4BAA4CB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5F4DAA4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418A163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6982630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4A1E5F8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0A43C9A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659B34E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0E494EB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2D5DC9A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020DD93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6853131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p>
        </w:tc>
      </w:tr>
      <w:tr w:rsidR="00B378D9" w:rsidRPr="00B378D9" w14:paraId="3389039D" w14:textId="77777777" w:rsidTr="000E0914">
        <w:trPr>
          <w:trHeight w:val="340"/>
        </w:trPr>
        <w:tc>
          <w:tcPr>
            <w:tcW w:w="2634" w:type="dxa"/>
            <w:tcBorders>
              <w:top w:val="nil"/>
              <w:left w:val="nil"/>
              <w:bottom w:val="nil"/>
              <w:right w:val="nil"/>
            </w:tcBorders>
            <w:shd w:val="clear" w:color="auto" w:fill="auto"/>
            <w:noWrap/>
            <w:vAlign w:val="center"/>
            <w:hideMark/>
          </w:tcPr>
          <w:p w14:paraId="6102FCE3"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Cefotaxime</w:t>
            </w:r>
          </w:p>
        </w:tc>
        <w:tc>
          <w:tcPr>
            <w:tcW w:w="1508" w:type="dxa"/>
            <w:tcBorders>
              <w:top w:val="nil"/>
              <w:left w:val="nil"/>
              <w:bottom w:val="nil"/>
              <w:right w:val="nil"/>
            </w:tcBorders>
            <w:vAlign w:val="center"/>
          </w:tcPr>
          <w:p w14:paraId="4AAC7B9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top w:val="nil"/>
              <w:left w:val="nil"/>
              <w:bottom w:val="nil"/>
              <w:right w:val="nil"/>
            </w:tcBorders>
            <w:shd w:val="clear" w:color="auto" w:fill="auto"/>
            <w:noWrap/>
            <w:vAlign w:val="center"/>
            <w:hideMark/>
          </w:tcPr>
          <w:p w14:paraId="560F062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87</w:t>
            </w:r>
          </w:p>
        </w:tc>
        <w:tc>
          <w:tcPr>
            <w:tcW w:w="767" w:type="dxa"/>
            <w:tcBorders>
              <w:top w:val="nil"/>
              <w:left w:val="nil"/>
              <w:bottom w:val="nil"/>
              <w:right w:val="nil"/>
            </w:tcBorders>
            <w:shd w:val="clear" w:color="auto" w:fill="auto"/>
            <w:noWrap/>
            <w:vAlign w:val="center"/>
            <w:hideMark/>
          </w:tcPr>
          <w:p w14:paraId="196B26D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68.0</w:t>
            </w:r>
          </w:p>
        </w:tc>
        <w:tc>
          <w:tcPr>
            <w:tcW w:w="792" w:type="dxa"/>
            <w:tcBorders>
              <w:top w:val="nil"/>
              <w:left w:val="nil"/>
              <w:bottom w:val="nil"/>
              <w:right w:val="nil"/>
            </w:tcBorders>
            <w:shd w:val="clear" w:color="auto" w:fill="auto"/>
            <w:noWrap/>
            <w:vAlign w:val="center"/>
            <w:hideMark/>
          </w:tcPr>
          <w:p w14:paraId="3EBE9DF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bottom w:val="nil"/>
              <w:right w:val="nil"/>
            </w:tcBorders>
            <w:shd w:val="clear" w:color="auto" w:fill="auto"/>
            <w:noWrap/>
            <w:vAlign w:val="center"/>
            <w:hideMark/>
          </w:tcPr>
          <w:p w14:paraId="31BED09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bottom w:val="nil"/>
              <w:right w:val="nil"/>
            </w:tcBorders>
            <w:vAlign w:val="center"/>
          </w:tcPr>
          <w:p w14:paraId="0056069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7F482D8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0F08010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411CD93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0AC6D5A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08FE1426"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1657B20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3D5651B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2583FD64" w14:textId="77777777" w:rsidTr="000E0914">
        <w:trPr>
          <w:trHeight w:val="340"/>
        </w:trPr>
        <w:tc>
          <w:tcPr>
            <w:tcW w:w="2634" w:type="dxa"/>
            <w:tcBorders>
              <w:top w:val="nil"/>
              <w:left w:val="nil"/>
              <w:bottom w:val="nil"/>
              <w:right w:val="nil"/>
            </w:tcBorders>
            <w:shd w:val="clear" w:color="auto" w:fill="auto"/>
            <w:noWrap/>
            <w:vAlign w:val="center"/>
            <w:hideMark/>
          </w:tcPr>
          <w:p w14:paraId="2A5C71BB"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Ceftriaxone</w:t>
            </w:r>
          </w:p>
        </w:tc>
        <w:tc>
          <w:tcPr>
            <w:tcW w:w="1508" w:type="dxa"/>
            <w:tcBorders>
              <w:top w:val="nil"/>
              <w:left w:val="nil"/>
              <w:bottom w:val="nil"/>
              <w:right w:val="nil"/>
            </w:tcBorders>
            <w:vAlign w:val="center"/>
          </w:tcPr>
          <w:p w14:paraId="3783E8A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top w:val="nil"/>
              <w:left w:val="nil"/>
              <w:bottom w:val="nil"/>
              <w:right w:val="nil"/>
            </w:tcBorders>
            <w:shd w:val="clear" w:color="auto" w:fill="auto"/>
            <w:noWrap/>
            <w:vAlign w:val="center"/>
            <w:hideMark/>
          </w:tcPr>
          <w:p w14:paraId="5A8120B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86</w:t>
            </w:r>
          </w:p>
        </w:tc>
        <w:tc>
          <w:tcPr>
            <w:tcW w:w="767" w:type="dxa"/>
            <w:tcBorders>
              <w:top w:val="nil"/>
              <w:left w:val="nil"/>
              <w:bottom w:val="nil"/>
              <w:right w:val="nil"/>
            </w:tcBorders>
            <w:shd w:val="clear" w:color="auto" w:fill="auto"/>
            <w:noWrap/>
            <w:vAlign w:val="center"/>
            <w:hideMark/>
          </w:tcPr>
          <w:p w14:paraId="26D0E25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67.2</w:t>
            </w:r>
          </w:p>
        </w:tc>
        <w:tc>
          <w:tcPr>
            <w:tcW w:w="792" w:type="dxa"/>
            <w:tcBorders>
              <w:top w:val="nil"/>
              <w:left w:val="nil"/>
              <w:bottom w:val="nil"/>
              <w:right w:val="nil"/>
            </w:tcBorders>
            <w:shd w:val="clear" w:color="auto" w:fill="auto"/>
            <w:noWrap/>
            <w:vAlign w:val="center"/>
            <w:hideMark/>
          </w:tcPr>
          <w:p w14:paraId="3688505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bottom w:val="nil"/>
              <w:right w:val="nil"/>
            </w:tcBorders>
            <w:shd w:val="clear" w:color="auto" w:fill="auto"/>
            <w:noWrap/>
            <w:vAlign w:val="center"/>
            <w:hideMark/>
          </w:tcPr>
          <w:p w14:paraId="267E010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bottom w:val="nil"/>
              <w:right w:val="nil"/>
            </w:tcBorders>
            <w:vAlign w:val="center"/>
          </w:tcPr>
          <w:p w14:paraId="4AFB3074"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217EBF1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16758CE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36AA5E1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40E7933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0F073AB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2364258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54002B2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51656024" w14:textId="77777777" w:rsidTr="000E0914">
        <w:trPr>
          <w:trHeight w:val="340"/>
        </w:trPr>
        <w:tc>
          <w:tcPr>
            <w:tcW w:w="2634" w:type="dxa"/>
            <w:tcBorders>
              <w:top w:val="nil"/>
              <w:left w:val="nil"/>
              <w:right w:val="nil"/>
            </w:tcBorders>
            <w:shd w:val="clear" w:color="auto" w:fill="auto"/>
            <w:noWrap/>
            <w:vAlign w:val="center"/>
            <w:hideMark/>
          </w:tcPr>
          <w:p w14:paraId="539C9BBA"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Ceftazidime</w:t>
            </w:r>
          </w:p>
        </w:tc>
        <w:tc>
          <w:tcPr>
            <w:tcW w:w="1508" w:type="dxa"/>
            <w:tcBorders>
              <w:top w:val="nil"/>
              <w:left w:val="nil"/>
              <w:right w:val="nil"/>
            </w:tcBorders>
            <w:vAlign w:val="center"/>
          </w:tcPr>
          <w:p w14:paraId="3A0F037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top w:val="nil"/>
              <w:left w:val="nil"/>
              <w:right w:val="nil"/>
            </w:tcBorders>
            <w:shd w:val="clear" w:color="auto" w:fill="auto"/>
            <w:noWrap/>
            <w:vAlign w:val="center"/>
            <w:hideMark/>
          </w:tcPr>
          <w:p w14:paraId="6D04BE5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85</w:t>
            </w:r>
          </w:p>
        </w:tc>
        <w:tc>
          <w:tcPr>
            <w:tcW w:w="767" w:type="dxa"/>
            <w:tcBorders>
              <w:top w:val="nil"/>
              <w:left w:val="nil"/>
              <w:right w:val="nil"/>
            </w:tcBorders>
            <w:shd w:val="clear" w:color="auto" w:fill="auto"/>
            <w:noWrap/>
            <w:vAlign w:val="center"/>
            <w:hideMark/>
          </w:tcPr>
          <w:p w14:paraId="6A075F8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66.4</w:t>
            </w:r>
          </w:p>
        </w:tc>
        <w:tc>
          <w:tcPr>
            <w:tcW w:w="792" w:type="dxa"/>
            <w:tcBorders>
              <w:top w:val="nil"/>
              <w:left w:val="nil"/>
              <w:right w:val="nil"/>
            </w:tcBorders>
            <w:shd w:val="clear" w:color="auto" w:fill="auto"/>
            <w:noWrap/>
            <w:vAlign w:val="center"/>
            <w:hideMark/>
          </w:tcPr>
          <w:p w14:paraId="37E8C058"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right w:val="nil"/>
            </w:tcBorders>
            <w:shd w:val="clear" w:color="auto" w:fill="auto"/>
            <w:noWrap/>
            <w:vAlign w:val="center"/>
            <w:hideMark/>
          </w:tcPr>
          <w:p w14:paraId="7727C4E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right w:val="nil"/>
            </w:tcBorders>
            <w:vAlign w:val="center"/>
          </w:tcPr>
          <w:p w14:paraId="4BBB044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right w:val="nil"/>
            </w:tcBorders>
            <w:vAlign w:val="center"/>
          </w:tcPr>
          <w:p w14:paraId="609FF09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right w:val="nil"/>
            </w:tcBorders>
            <w:vAlign w:val="center"/>
          </w:tcPr>
          <w:p w14:paraId="72DD675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right w:val="nil"/>
            </w:tcBorders>
            <w:vAlign w:val="center"/>
          </w:tcPr>
          <w:p w14:paraId="32D2149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406D2100"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right w:val="nil"/>
            </w:tcBorders>
            <w:vAlign w:val="center"/>
          </w:tcPr>
          <w:p w14:paraId="3597DAA9"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right w:val="nil"/>
            </w:tcBorders>
            <w:vAlign w:val="center"/>
          </w:tcPr>
          <w:p w14:paraId="1DAC612F"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79190F1A"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31A7AE47" w14:textId="77777777" w:rsidTr="000E0914">
        <w:trPr>
          <w:trHeight w:val="340"/>
        </w:trPr>
        <w:tc>
          <w:tcPr>
            <w:tcW w:w="2634" w:type="dxa"/>
            <w:tcBorders>
              <w:top w:val="nil"/>
              <w:left w:val="nil"/>
              <w:right w:val="nil"/>
            </w:tcBorders>
            <w:shd w:val="clear" w:color="auto" w:fill="auto"/>
            <w:noWrap/>
            <w:vAlign w:val="center"/>
            <w:hideMark/>
          </w:tcPr>
          <w:p w14:paraId="39261D1F" w14:textId="77777777" w:rsidR="00E910AF" w:rsidRPr="00B378D9" w:rsidRDefault="00E910AF" w:rsidP="000D334C">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Cefepime</w:t>
            </w:r>
          </w:p>
        </w:tc>
        <w:tc>
          <w:tcPr>
            <w:tcW w:w="1508" w:type="dxa"/>
            <w:tcBorders>
              <w:top w:val="nil"/>
              <w:left w:val="nil"/>
              <w:right w:val="nil"/>
            </w:tcBorders>
            <w:vAlign w:val="center"/>
          </w:tcPr>
          <w:p w14:paraId="0637F227"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top w:val="nil"/>
              <w:left w:val="nil"/>
              <w:right w:val="nil"/>
            </w:tcBorders>
            <w:shd w:val="clear" w:color="auto" w:fill="auto"/>
            <w:noWrap/>
            <w:vAlign w:val="center"/>
            <w:hideMark/>
          </w:tcPr>
          <w:p w14:paraId="2B51650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85</w:t>
            </w:r>
          </w:p>
        </w:tc>
        <w:tc>
          <w:tcPr>
            <w:tcW w:w="767" w:type="dxa"/>
            <w:tcBorders>
              <w:top w:val="nil"/>
              <w:left w:val="nil"/>
              <w:right w:val="nil"/>
            </w:tcBorders>
            <w:shd w:val="clear" w:color="auto" w:fill="auto"/>
            <w:noWrap/>
            <w:vAlign w:val="center"/>
            <w:hideMark/>
          </w:tcPr>
          <w:p w14:paraId="6C9CE95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66.4</w:t>
            </w:r>
          </w:p>
        </w:tc>
        <w:tc>
          <w:tcPr>
            <w:tcW w:w="792" w:type="dxa"/>
            <w:tcBorders>
              <w:top w:val="nil"/>
              <w:left w:val="nil"/>
              <w:right w:val="nil"/>
            </w:tcBorders>
            <w:shd w:val="clear" w:color="auto" w:fill="auto"/>
            <w:noWrap/>
            <w:vAlign w:val="center"/>
            <w:hideMark/>
          </w:tcPr>
          <w:p w14:paraId="5AAFE8B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1</w:t>
            </w:r>
          </w:p>
        </w:tc>
        <w:tc>
          <w:tcPr>
            <w:tcW w:w="930" w:type="dxa"/>
            <w:tcBorders>
              <w:top w:val="nil"/>
              <w:left w:val="nil"/>
              <w:right w:val="nil"/>
            </w:tcBorders>
            <w:shd w:val="clear" w:color="auto" w:fill="auto"/>
            <w:noWrap/>
            <w:vAlign w:val="center"/>
            <w:hideMark/>
          </w:tcPr>
          <w:p w14:paraId="297EE2E3"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6.3</w:t>
            </w:r>
          </w:p>
        </w:tc>
        <w:tc>
          <w:tcPr>
            <w:tcW w:w="771" w:type="dxa"/>
            <w:tcBorders>
              <w:top w:val="nil"/>
              <w:left w:val="nil"/>
              <w:right w:val="nil"/>
            </w:tcBorders>
            <w:vAlign w:val="center"/>
          </w:tcPr>
          <w:p w14:paraId="03D2D95D"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right w:val="nil"/>
            </w:tcBorders>
            <w:vAlign w:val="center"/>
          </w:tcPr>
          <w:p w14:paraId="4AE96F6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right w:val="nil"/>
            </w:tcBorders>
            <w:vAlign w:val="center"/>
          </w:tcPr>
          <w:p w14:paraId="78644345"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right w:val="nil"/>
            </w:tcBorders>
            <w:vAlign w:val="center"/>
          </w:tcPr>
          <w:p w14:paraId="3975A162"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70BCF50E"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right w:val="nil"/>
            </w:tcBorders>
            <w:vAlign w:val="center"/>
          </w:tcPr>
          <w:p w14:paraId="1C120CBB"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right w:val="nil"/>
            </w:tcBorders>
            <w:vAlign w:val="center"/>
          </w:tcPr>
          <w:p w14:paraId="7B7F121C"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54E6B481" w14:textId="77777777" w:rsidR="00E910AF" w:rsidRPr="00B378D9" w:rsidRDefault="00E910AF" w:rsidP="000D334C">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60A04E4C" w14:textId="77777777" w:rsidTr="000E0914">
        <w:trPr>
          <w:trHeight w:val="340"/>
        </w:trPr>
        <w:tc>
          <w:tcPr>
            <w:tcW w:w="2634" w:type="dxa"/>
            <w:tcBorders>
              <w:top w:val="nil"/>
              <w:left w:val="nil"/>
              <w:right w:val="nil"/>
            </w:tcBorders>
            <w:shd w:val="clear" w:color="auto" w:fill="auto"/>
            <w:noWrap/>
            <w:vAlign w:val="center"/>
          </w:tcPr>
          <w:p w14:paraId="08D5A579" w14:textId="77777777" w:rsidR="003C4E71" w:rsidRPr="00B378D9" w:rsidRDefault="003C4E71" w:rsidP="00224598">
            <w:pPr>
              <w:spacing w:line="276" w:lineRule="auto"/>
              <w:ind w:left="0"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t>Tetracyclines</w:t>
            </w:r>
          </w:p>
        </w:tc>
        <w:tc>
          <w:tcPr>
            <w:tcW w:w="1508" w:type="dxa"/>
            <w:tcBorders>
              <w:top w:val="nil"/>
              <w:left w:val="nil"/>
              <w:right w:val="nil"/>
            </w:tcBorders>
          </w:tcPr>
          <w:p w14:paraId="0739D7F8"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right w:val="nil"/>
            </w:tcBorders>
            <w:shd w:val="clear" w:color="auto" w:fill="auto"/>
            <w:noWrap/>
            <w:vAlign w:val="center"/>
          </w:tcPr>
          <w:p w14:paraId="511F03BC"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right w:val="nil"/>
            </w:tcBorders>
            <w:shd w:val="clear" w:color="auto" w:fill="auto"/>
            <w:noWrap/>
            <w:vAlign w:val="center"/>
          </w:tcPr>
          <w:p w14:paraId="2DDF1771"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right w:val="nil"/>
            </w:tcBorders>
            <w:shd w:val="clear" w:color="auto" w:fill="auto"/>
            <w:noWrap/>
            <w:vAlign w:val="center"/>
          </w:tcPr>
          <w:p w14:paraId="62932337"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right w:val="nil"/>
            </w:tcBorders>
            <w:shd w:val="clear" w:color="auto" w:fill="auto"/>
            <w:noWrap/>
            <w:vAlign w:val="center"/>
          </w:tcPr>
          <w:p w14:paraId="41BAD4A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right w:val="nil"/>
            </w:tcBorders>
            <w:vAlign w:val="center"/>
          </w:tcPr>
          <w:p w14:paraId="377D55E0"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right w:val="nil"/>
            </w:tcBorders>
            <w:vAlign w:val="center"/>
          </w:tcPr>
          <w:p w14:paraId="5E543D3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right w:val="nil"/>
            </w:tcBorders>
            <w:vAlign w:val="center"/>
          </w:tcPr>
          <w:p w14:paraId="60BDC584"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right w:val="nil"/>
            </w:tcBorders>
            <w:vAlign w:val="center"/>
          </w:tcPr>
          <w:p w14:paraId="6B4F44EC"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right w:val="nil"/>
            </w:tcBorders>
            <w:vAlign w:val="center"/>
          </w:tcPr>
          <w:p w14:paraId="5B14081F"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right w:val="nil"/>
            </w:tcBorders>
            <w:vAlign w:val="center"/>
          </w:tcPr>
          <w:p w14:paraId="2A8866CD"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right w:val="nil"/>
            </w:tcBorders>
            <w:vAlign w:val="center"/>
          </w:tcPr>
          <w:p w14:paraId="4DDCA2A2"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right w:val="nil"/>
            </w:tcBorders>
            <w:vAlign w:val="center"/>
          </w:tcPr>
          <w:p w14:paraId="24580AB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p>
        </w:tc>
      </w:tr>
      <w:tr w:rsidR="00B378D9" w:rsidRPr="00B378D9" w14:paraId="24EE08FD" w14:textId="77777777" w:rsidTr="00956754">
        <w:trPr>
          <w:trHeight w:val="340"/>
        </w:trPr>
        <w:tc>
          <w:tcPr>
            <w:tcW w:w="2634" w:type="dxa"/>
            <w:tcBorders>
              <w:top w:val="nil"/>
              <w:left w:val="nil"/>
              <w:bottom w:val="nil"/>
              <w:right w:val="nil"/>
            </w:tcBorders>
            <w:shd w:val="clear" w:color="auto" w:fill="auto"/>
            <w:noWrap/>
            <w:vAlign w:val="center"/>
            <w:hideMark/>
          </w:tcPr>
          <w:p w14:paraId="00E89374" w14:textId="77777777" w:rsidR="003C4E71" w:rsidRPr="00B378D9" w:rsidRDefault="003C4E71" w:rsidP="00224598">
            <w:pPr>
              <w:spacing w:line="276" w:lineRule="auto"/>
              <w:ind w:left="366" w:firstLine="0"/>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Tetracycline</w:t>
            </w:r>
          </w:p>
        </w:tc>
        <w:tc>
          <w:tcPr>
            <w:tcW w:w="1508" w:type="dxa"/>
            <w:tcBorders>
              <w:top w:val="nil"/>
              <w:left w:val="nil"/>
              <w:bottom w:val="nil"/>
              <w:right w:val="nil"/>
            </w:tcBorders>
            <w:vAlign w:val="center"/>
          </w:tcPr>
          <w:p w14:paraId="756D7472"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30</w:t>
            </w:r>
          </w:p>
        </w:tc>
        <w:tc>
          <w:tcPr>
            <w:tcW w:w="741" w:type="dxa"/>
            <w:tcBorders>
              <w:top w:val="nil"/>
              <w:left w:val="nil"/>
              <w:bottom w:val="nil"/>
              <w:right w:val="nil"/>
            </w:tcBorders>
            <w:shd w:val="clear" w:color="auto" w:fill="auto"/>
            <w:noWrap/>
            <w:vAlign w:val="center"/>
            <w:hideMark/>
          </w:tcPr>
          <w:p w14:paraId="0319392C"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83</w:t>
            </w:r>
          </w:p>
        </w:tc>
        <w:tc>
          <w:tcPr>
            <w:tcW w:w="767" w:type="dxa"/>
            <w:tcBorders>
              <w:top w:val="nil"/>
              <w:left w:val="nil"/>
              <w:bottom w:val="nil"/>
              <w:right w:val="nil"/>
            </w:tcBorders>
            <w:shd w:val="clear" w:color="auto" w:fill="auto"/>
            <w:noWrap/>
            <w:vAlign w:val="center"/>
            <w:hideMark/>
          </w:tcPr>
          <w:p w14:paraId="79B30075"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64.8</w:t>
            </w:r>
          </w:p>
        </w:tc>
        <w:tc>
          <w:tcPr>
            <w:tcW w:w="792" w:type="dxa"/>
            <w:tcBorders>
              <w:top w:val="nil"/>
              <w:left w:val="nil"/>
              <w:bottom w:val="nil"/>
              <w:right w:val="nil"/>
            </w:tcBorders>
            <w:shd w:val="clear" w:color="auto" w:fill="auto"/>
            <w:noWrap/>
            <w:vAlign w:val="center"/>
            <w:hideMark/>
          </w:tcPr>
          <w:p w14:paraId="6325808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30C11E9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7BBFC612"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071E8F5D"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3A6E88C6"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3D81F14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3D128A29"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0B4B1E6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5BDA81FA"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68B939DF" w14:textId="77777777" w:rsidR="003C4E71" w:rsidRPr="00B378D9" w:rsidRDefault="003C4E71" w:rsidP="00224598">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1CCA1F6D" w14:textId="77777777" w:rsidTr="00956754">
        <w:trPr>
          <w:trHeight w:val="340"/>
        </w:trPr>
        <w:tc>
          <w:tcPr>
            <w:tcW w:w="2634" w:type="dxa"/>
            <w:tcBorders>
              <w:top w:val="nil"/>
              <w:left w:val="nil"/>
              <w:bottom w:val="nil"/>
              <w:right w:val="nil"/>
            </w:tcBorders>
            <w:shd w:val="clear" w:color="auto" w:fill="auto"/>
            <w:noWrap/>
            <w:vAlign w:val="center"/>
          </w:tcPr>
          <w:p w14:paraId="5ADB97BE" w14:textId="77777777" w:rsidR="00956754" w:rsidRPr="00B378D9" w:rsidRDefault="00956754" w:rsidP="00956754">
            <w:pPr>
              <w:spacing w:line="276" w:lineRule="auto"/>
              <w:ind w:left="6" w:firstLine="0"/>
              <w:rPr>
                <w:rFonts w:eastAsia="Times New Roman"/>
                <w:b/>
                <w:color w:val="000000" w:themeColor="text1"/>
                <w:sz w:val="18"/>
                <w:szCs w:val="18"/>
                <w:lang w:val="en-MY" w:eastAsia="ms-MY"/>
              </w:rPr>
            </w:pPr>
            <w:r w:rsidRPr="00B378D9">
              <w:rPr>
                <w:rFonts w:eastAsia="Times New Roman"/>
                <w:b/>
                <w:color w:val="000000" w:themeColor="text1"/>
                <w:sz w:val="18"/>
                <w:szCs w:val="18"/>
                <w:lang w:val="en-MY" w:eastAsia="ms-MY"/>
              </w:rPr>
              <w:lastRenderedPageBreak/>
              <w:t>Glycylcylines</w:t>
            </w:r>
          </w:p>
        </w:tc>
        <w:tc>
          <w:tcPr>
            <w:tcW w:w="1508" w:type="dxa"/>
            <w:tcBorders>
              <w:top w:val="nil"/>
              <w:left w:val="nil"/>
              <w:bottom w:val="nil"/>
              <w:right w:val="nil"/>
            </w:tcBorders>
            <w:vAlign w:val="center"/>
          </w:tcPr>
          <w:p w14:paraId="355938F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3AEAB5D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594DF036"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1E0526EE"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46B32DBC"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62EE64C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6E9C29AF"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77F81C27"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045CEE7F"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7C362805"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44AA3643"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50F0784A"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3443817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r>
      <w:tr w:rsidR="00B378D9" w:rsidRPr="00B378D9" w14:paraId="5BCCE15C" w14:textId="77777777" w:rsidTr="00956754">
        <w:trPr>
          <w:trHeight w:val="340"/>
        </w:trPr>
        <w:tc>
          <w:tcPr>
            <w:tcW w:w="2634" w:type="dxa"/>
            <w:tcBorders>
              <w:top w:val="nil"/>
              <w:left w:val="nil"/>
              <w:bottom w:val="nil"/>
              <w:right w:val="nil"/>
            </w:tcBorders>
            <w:shd w:val="clear" w:color="auto" w:fill="auto"/>
            <w:noWrap/>
            <w:vAlign w:val="center"/>
            <w:hideMark/>
          </w:tcPr>
          <w:p w14:paraId="11245BBD" w14:textId="77777777" w:rsidR="00956754" w:rsidRPr="00B378D9" w:rsidRDefault="00934FAF" w:rsidP="00956754">
            <w:pPr>
              <w:spacing w:line="276" w:lineRule="auto"/>
              <w:ind w:left="366" w:firstLine="0"/>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Tigecycline</w:t>
            </w:r>
            <w:r w:rsidRPr="00B378D9">
              <w:rPr>
                <w:rFonts w:eastAsia="Times New Roman"/>
                <w:i/>
                <w:color w:val="000000" w:themeColor="text1"/>
                <w:sz w:val="18"/>
                <w:szCs w:val="18"/>
                <w:vertAlign w:val="superscript"/>
                <w:lang w:val="en-MY" w:eastAsia="ms-MY"/>
              </w:rPr>
              <w:t>b</w:t>
            </w:r>
          </w:p>
        </w:tc>
        <w:tc>
          <w:tcPr>
            <w:tcW w:w="1508" w:type="dxa"/>
            <w:tcBorders>
              <w:top w:val="nil"/>
              <w:left w:val="nil"/>
              <w:bottom w:val="nil"/>
              <w:right w:val="nil"/>
            </w:tcBorders>
            <w:vAlign w:val="center"/>
          </w:tcPr>
          <w:p w14:paraId="3AE00B8C" w14:textId="77777777" w:rsidR="00956754" w:rsidRPr="00B378D9" w:rsidRDefault="00956754" w:rsidP="00956754">
            <w:pPr>
              <w:spacing w:line="276" w:lineRule="auto"/>
              <w:ind w:left="0" w:firstLine="0"/>
              <w:jc w:val="center"/>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NA</w:t>
            </w:r>
            <w:r w:rsidR="00934FAF" w:rsidRPr="00B378D9">
              <w:rPr>
                <w:rFonts w:eastAsia="Times New Roman"/>
                <w:i/>
                <w:color w:val="000000" w:themeColor="text1"/>
                <w:sz w:val="18"/>
                <w:szCs w:val="18"/>
                <w:vertAlign w:val="superscript"/>
                <w:lang w:val="en-MY" w:eastAsia="ms-MY"/>
              </w:rPr>
              <w:t>d</w:t>
            </w:r>
          </w:p>
        </w:tc>
        <w:tc>
          <w:tcPr>
            <w:tcW w:w="741" w:type="dxa"/>
            <w:tcBorders>
              <w:top w:val="nil"/>
              <w:left w:val="nil"/>
              <w:bottom w:val="nil"/>
              <w:right w:val="nil"/>
            </w:tcBorders>
            <w:shd w:val="clear" w:color="auto" w:fill="auto"/>
            <w:noWrap/>
            <w:vAlign w:val="center"/>
            <w:hideMark/>
          </w:tcPr>
          <w:p w14:paraId="4027C1F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67" w:type="dxa"/>
            <w:tcBorders>
              <w:top w:val="nil"/>
              <w:left w:val="nil"/>
              <w:bottom w:val="nil"/>
              <w:right w:val="nil"/>
            </w:tcBorders>
            <w:shd w:val="clear" w:color="auto" w:fill="auto"/>
            <w:noWrap/>
            <w:vAlign w:val="center"/>
            <w:hideMark/>
          </w:tcPr>
          <w:p w14:paraId="50480A5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92" w:type="dxa"/>
            <w:tcBorders>
              <w:top w:val="nil"/>
              <w:left w:val="nil"/>
              <w:bottom w:val="nil"/>
              <w:right w:val="nil"/>
            </w:tcBorders>
            <w:shd w:val="clear" w:color="auto" w:fill="auto"/>
            <w:noWrap/>
            <w:vAlign w:val="center"/>
            <w:hideMark/>
          </w:tcPr>
          <w:p w14:paraId="76C1E35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nil"/>
              <w:right w:val="nil"/>
            </w:tcBorders>
            <w:shd w:val="clear" w:color="auto" w:fill="auto"/>
            <w:noWrap/>
            <w:vAlign w:val="center"/>
            <w:hideMark/>
          </w:tcPr>
          <w:p w14:paraId="073AF60B"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nil"/>
              <w:right w:val="nil"/>
            </w:tcBorders>
            <w:vAlign w:val="center"/>
          </w:tcPr>
          <w:p w14:paraId="7BFDC67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nil"/>
              <w:right w:val="nil"/>
            </w:tcBorders>
            <w:vAlign w:val="center"/>
          </w:tcPr>
          <w:p w14:paraId="51B354C3"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nil"/>
              <w:right w:val="nil"/>
            </w:tcBorders>
            <w:vAlign w:val="center"/>
          </w:tcPr>
          <w:p w14:paraId="67C7AA2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nil"/>
              <w:right w:val="nil"/>
            </w:tcBorders>
            <w:vAlign w:val="center"/>
          </w:tcPr>
          <w:p w14:paraId="71D7C14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7D1DDD0F"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nil"/>
              <w:right w:val="nil"/>
            </w:tcBorders>
            <w:vAlign w:val="center"/>
          </w:tcPr>
          <w:p w14:paraId="7DB691CA"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nil"/>
              <w:right w:val="nil"/>
            </w:tcBorders>
            <w:vAlign w:val="center"/>
          </w:tcPr>
          <w:p w14:paraId="6003F0A3"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nil"/>
              <w:right w:val="nil"/>
            </w:tcBorders>
            <w:vAlign w:val="center"/>
          </w:tcPr>
          <w:p w14:paraId="1233799B"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24D9A082" w14:textId="77777777" w:rsidTr="00956754">
        <w:trPr>
          <w:trHeight w:val="340"/>
        </w:trPr>
        <w:tc>
          <w:tcPr>
            <w:tcW w:w="2634" w:type="dxa"/>
            <w:tcBorders>
              <w:top w:val="nil"/>
              <w:left w:val="nil"/>
              <w:bottom w:val="nil"/>
              <w:right w:val="nil"/>
            </w:tcBorders>
            <w:shd w:val="clear" w:color="auto" w:fill="auto"/>
            <w:noWrap/>
            <w:vAlign w:val="center"/>
          </w:tcPr>
          <w:p w14:paraId="5DEE6D26" w14:textId="77777777" w:rsidR="00956754" w:rsidRPr="00B378D9" w:rsidRDefault="00934FAF" w:rsidP="00956754">
            <w:pPr>
              <w:spacing w:line="276" w:lineRule="auto"/>
              <w:ind w:left="0" w:firstLine="0"/>
              <w:rPr>
                <w:rFonts w:eastAsia="Times New Roman"/>
                <w:color w:val="000000" w:themeColor="text1"/>
                <w:sz w:val="18"/>
                <w:szCs w:val="18"/>
                <w:lang w:val="en-MY" w:eastAsia="ms-MY"/>
              </w:rPr>
            </w:pPr>
            <w:r w:rsidRPr="00B378D9">
              <w:rPr>
                <w:rFonts w:eastAsia="Times New Roman"/>
                <w:b/>
                <w:color w:val="000000" w:themeColor="text1"/>
                <w:sz w:val="18"/>
                <w:szCs w:val="18"/>
                <w:lang w:val="en-MY" w:eastAsia="ms-MY"/>
              </w:rPr>
              <w:t>Lipopeptides (Polymyxins)</w:t>
            </w:r>
          </w:p>
        </w:tc>
        <w:tc>
          <w:tcPr>
            <w:tcW w:w="1508" w:type="dxa"/>
            <w:tcBorders>
              <w:top w:val="nil"/>
              <w:left w:val="nil"/>
              <w:bottom w:val="nil"/>
              <w:right w:val="nil"/>
            </w:tcBorders>
          </w:tcPr>
          <w:p w14:paraId="1EDE25C5"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41" w:type="dxa"/>
            <w:tcBorders>
              <w:top w:val="nil"/>
              <w:left w:val="nil"/>
              <w:bottom w:val="nil"/>
              <w:right w:val="nil"/>
            </w:tcBorders>
            <w:shd w:val="clear" w:color="auto" w:fill="auto"/>
            <w:noWrap/>
            <w:vAlign w:val="center"/>
          </w:tcPr>
          <w:p w14:paraId="4B5BBDAC"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67" w:type="dxa"/>
            <w:tcBorders>
              <w:top w:val="nil"/>
              <w:left w:val="nil"/>
              <w:bottom w:val="nil"/>
              <w:right w:val="nil"/>
            </w:tcBorders>
            <w:shd w:val="clear" w:color="auto" w:fill="auto"/>
            <w:noWrap/>
            <w:vAlign w:val="center"/>
          </w:tcPr>
          <w:p w14:paraId="198857CA"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92" w:type="dxa"/>
            <w:tcBorders>
              <w:top w:val="nil"/>
              <w:left w:val="nil"/>
              <w:bottom w:val="nil"/>
              <w:right w:val="nil"/>
            </w:tcBorders>
            <w:shd w:val="clear" w:color="auto" w:fill="auto"/>
            <w:noWrap/>
            <w:vAlign w:val="center"/>
          </w:tcPr>
          <w:p w14:paraId="1E9C8DDE"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930" w:type="dxa"/>
            <w:tcBorders>
              <w:top w:val="nil"/>
              <w:left w:val="nil"/>
              <w:bottom w:val="nil"/>
              <w:right w:val="nil"/>
            </w:tcBorders>
            <w:shd w:val="clear" w:color="auto" w:fill="auto"/>
            <w:noWrap/>
            <w:vAlign w:val="center"/>
          </w:tcPr>
          <w:p w14:paraId="76FB3AF0"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71" w:type="dxa"/>
            <w:tcBorders>
              <w:top w:val="nil"/>
              <w:left w:val="nil"/>
              <w:bottom w:val="nil"/>
              <w:right w:val="nil"/>
            </w:tcBorders>
            <w:vAlign w:val="center"/>
          </w:tcPr>
          <w:p w14:paraId="1F10F95C"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929" w:type="dxa"/>
            <w:tcBorders>
              <w:top w:val="nil"/>
              <w:left w:val="nil"/>
              <w:bottom w:val="nil"/>
              <w:right w:val="nil"/>
            </w:tcBorders>
            <w:vAlign w:val="center"/>
          </w:tcPr>
          <w:p w14:paraId="693AEEC0"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540" w:type="dxa"/>
            <w:tcBorders>
              <w:top w:val="nil"/>
              <w:left w:val="nil"/>
              <w:bottom w:val="nil"/>
              <w:right w:val="nil"/>
            </w:tcBorders>
            <w:vAlign w:val="center"/>
          </w:tcPr>
          <w:p w14:paraId="14E61BA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630" w:type="dxa"/>
            <w:tcBorders>
              <w:top w:val="nil"/>
              <w:left w:val="nil"/>
              <w:bottom w:val="nil"/>
              <w:right w:val="nil"/>
            </w:tcBorders>
            <w:vAlign w:val="center"/>
          </w:tcPr>
          <w:p w14:paraId="5ABFE90D"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0F5C7C9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841" w:type="dxa"/>
            <w:tcBorders>
              <w:top w:val="nil"/>
              <w:left w:val="nil"/>
              <w:bottom w:val="nil"/>
              <w:right w:val="nil"/>
            </w:tcBorders>
            <w:vAlign w:val="center"/>
          </w:tcPr>
          <w:p w14:paraId="6A23FFF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18" w:type="dxa"/>
            <w:tcBorders>
              <w:top w:val="nil"/>
              <w:left w:val="nil"/>
              <w:bottom w:val="nil"/>
              <w:right w:val="nil"/>
            </w:tcBorders>
            <w:vAlign w:val="center"/>
          </w:tcPr>
          <w:p w14:paraId="021FD4DE"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c>
          <w:tcPr>
            <w:tcW w:w="736" w:type="dxa"/>
            <w:tcBorders>
              <w:top w:val="nil"/>
              <w:left w:val="nil"/>
              <w:bottom w:val="nil"/>
              <w:right w:val="nil"/>
            </w:tcBorders>
            <w:vAlign w:val="center"/>
          </w:tcPr>
          <w:p w14:paraId="1A36013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p>
        </w:tc>
      </w:tr>
      <w:tr w:rsidR="00B378D9" w:rsidRPr="00B378D9" w14:paraId="70C5101C" w14:textId="77777777" w:rsidTr="00956754">
        <w:trPr>
          <w:trHeight w:val="340"/>
        </w:trPr>
        <w:tc>
          <w:tcPr>
            <w:tcW w:w="2634" w:type="dxa"/>
            <w:tcBorders>
              <w:top w:val="nil"/>
              <w:left w:val="nil"/>
              <w:right w:val="nil"/>
            </w:tcBorders>
            <w:shd w:val="clear" w:color="auto" w:fill="auto"/>
            <w:noWrap/>
            <w:vAlign w:val="center"/>
            <w:hideMark/>
          </w:tcPr>
          <w:p w14:paraId="4BEF5991" w14:textId="77777777" w:rsidR="00956754" w:rsidRPr="00B378D9" w:rsidRDefault="00956754" w:rsidP="00956754">
            <w:pPr>
              <w:spacing w:line="276" w:lineRule="auto"/>
              <w:ind w:left="366" w:firstLine="0"/>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Polymyxin B</w:t>
            </w:r>
            <w:r w:rsidR="00D825C1" w:rsidRPr="00B378D9">
              <w:rPr>
                <w:rFonts w:eastAsia="Times New Roman"/>
                <w:i/>
                <w:color w:val="000000" w:themeColor="text1"/>
                <w:sz w:val="18"/>
                <w:szCs w:val="18"/>
                <w:vertAlign w:val="superscript"/>
                <w:lang w:val="en-MY" w:eastAsia="ms-MY"/>
              </w:rPr>
              <w:t>c</w:t>
            </w:r>
          </w:p>
        </w:tc>
        <w:tc>
          <w:tcPr>
            <w:tcW w:w="1508" w:type="dxa"/>
            <w:tcBorders>
              <w:top w:val="nil"/>
              <w:left w:val="nil"/>
              <w:right w:val="nil"/>
            </w:tcBorders>
            <w:vAlign w:val="center"/>
          </w:tcPr>
          <w:p w14:paraId="384BEE50" w14:textId="77777777" w:rsidR="00956754" w:rsidRPr="00B378D9" w:rsidRDefault="00956754" w:rsidP="00956754">
            <w:pPr>
              <w:spacing w:line="276" w:lineRule="auto"/>
              <w:ind w:left="0" w:firstLine="0"/>
              <w:jc w:val="center"/>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NA</w:t>
            </w:r>
            <w:r w:rsidR="00934FAF" w:rsidRPr="00B378D9">
              <w:rPr>
                <w:rFonts w:eastAsia="Times New Roman"/>
                <w:i/>
                <w:color w:val="000000" w:themeColor="text1"/>
                <w:sz w:val="18"/>
                <w:szCs w:val="18"/>
                <w:vertAlign w:val="superscript"/>
                <w:lang w:val="en-MY" w:eastAsia="ms-MY"/>
              </w:rPr>
              <w:t>d</w:t>
            </w:r>
          </w:p>
        </w:tc>
        <w:tc>
          <w:tcPr>
            <w:tcW w:w="741" w:type="dxa"/>
            <w:tcBorders>
              <w:top w:val="nil"/>
              <w:left w:val="nil"/>
              <w:right w:val="nil"/>
            </w:tcBorders>
            <w:shd w:val="clear" w:color="auto" w:fill="auto"/>
            <w:noWrap/>
            <w:vAlign w:val="center"/>
            <w:hideMark/>
          </w:tcPr>
          <w:p w14:paraId="5402365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67" w:type="dxa"/>
            <w:tcBorders>
              <w:top w:val="nil"/>
              <w:left w:val="nil"/>
              <w:right w:val="nil"/>
            </w:tcBorders>
            <w:shd w:val="clear" w:color="auto" w:fill="auto"/>
            <w:noWrap/>
            <w:vAlign w:val="center"/>
            <w:hideMark/>
          </w:tcPr>
          <w:p w14:paraId="73EBD284"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92" w:type="dxa"/>
            <w:tcBorders>
              <w:top w:val="nil"/>
              <w:left w:val="nil"/>
              <w:right w:val="nil"/>
            </w:tcBorders>
            <w:shd w:val="clear" w:color="auto" w:fill="auto"/>
            <w:noWrap/>
            <w:vAlign w:val="center"/>
            <w:hideMark/>
          </w:tcPr>
          <w:p w14:paraId="38F7F82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right w:val="nil"/>
            </w:tcBorders>
            <w:shd w:val="clear" w:color="auto" w:fill="auto"/>
            <w:noWrap/>
            <w:vAlign w:val="center"/>
            <w:hideMark/>
          </w:tcPr>
          <w:p w14:paraId="1BF7E715"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right w:val="nil"/>
            </w:tcBorders>
            <w:vAlign w:val="center"/>
          </w:tcPr>
          <w:p w14:paraId="1068CE3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right w:val="nil"/>
            </w:tcBorders>
            <w:vAlign w:val="center"/>
          </w:tcPr>
          <w:p w14:paraId="1FBC2006"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right w:val="nil"/>
            </w:tcBorders>
            <w:vAlign w:val="center"/>
          </w:tcPr>
          <w:p w14:paraId="0F254C5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right w:val="nil"/>
            </w:tcBorders>
            <w:vAlign w:val="center"/>
          </w:tcPr>
          <w:p w14:paraId="24ED738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4474D88E"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right w:val="nil"/>
            </w:tcBorders>
            <w:vAlign w:val="center"/>
          </w:tcPr>
          <w:p w14:paraId="51A49E5F"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right w:val="nil"/>
            </w:tcBorders>
            <w:vAlign w:val="center"/>
          </w:tcPr>
          <w:p w14:paraId="335C73BC"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right w:val="nil"/>
            </w:tcBorders>
            <w:vAlign w:val="center"/>
          </w:tcPr>
          <w:p w14:paraId="7CD0C93C"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r w:rsidR="00B378D9" w:rsidRPr="00B378D9" w14:paraId="6BC3C731" w14:textId="77777777" w:rsidTr="00956754">
        <w:trPr>
          <w:trHeight w:val="340"/>
        </w:trPr>
        <w:tc>
          <w:tcPr>
            <w:tcW w:w="2634" w:type="dxa"/>
            <w:tcBorders>
              <w:top w:val="nil"/>
              <w:left w:val="nil"/>
              <w:bottom w:val="single" w:sz="4" w:space="0" w:color="auto"/>
              <w:right w:val="nil"/>
            </w:tcBorders>
            <w:shd w:val="clear" w:color="auto" w:fill="auto"/>
            <w:noWrap/>
            <w:vAlign w:val="center"/>
            <w:hideMark/>
          </w:tcPr>
          <w:p w14:paraId="5307F230" w14:textId="77777777" w:rsidR="00956754" w:rsidRPr="00B378D9" w:rsidRDefault="00956754" w:rsidP="00956754">
            <w:pPr>
              <w:spacing w:line="276" w:lineRule="auto"/>
              <w:ind w:left="366" w:firstLine="0"/>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Colistin</w:t>
            </w:r>
            <w:r w:rsidR="00964E56" w:rsidRPr="00B378D9">
              <w:rPr>
                <w:rFonts w:eastAsia="Times New Roman"/>
                <w:i/>
                <w:color w:val="000000" w:themeColor="text1"/>
                <w:sz w:val="18"/>
                <w:szCs w:val="18"/>
                <w:vertAlign w:val="superscript"/>
                <w:lang w:val="en-MY" w:eastAsia="ms-MY"/>
              </w:rPr>
              <w:t>c</w:t>
            </w:r>
          </w:p>
        </w:tc>
        <w:tc>
          <w:tcPr>
            <w:tcW w:w="1508" w:type="dxa"/>
            <w:tcBorders>
              <w:top w:val="nil"/>
              <w:left w:val="nil"/>
              <w:bottom w:val="single" w:sz="4" w:space="0" w:color="auto"/>
              <w:right w:val="nil"/>
            </w:tcBorders>
            <w:vAlign w:val="center"/>
          </w:tcPr>
          <w:p w14:paraId="72E30A8E" w14:textId="77777777" w:rsidR="00956754" w:rsidRPr="00B378D9" w:rsidRDefault="00956754" w:rsidP="00956754">
            <w:pPr>
              <w:spacing w:line="276" w:lineRule="auto"/>
              <w:ind w:left="0" w:firstLine="0"/>
              <w:jc w:val="center"/>
              <w:rPr>
                <w:rFonts w:eastAsia="Times New Roman"/>
                <w:i/>
                <w:color w:val="000000" w:themeColor="text1"/>
                <w:sz w:val="18"/>
                <w:szCs w:val="18"/>
                <w:vertAlign w:val="superscript"/>
                <w:lang w:val="en-MY" w:eastAsia="ms-MY"/>
              </w:rPr>
            </w:pPr>
            <w:r w:rsidRPr="00B378D9">
              <w:rPr>
                <w:rFonts w:eastAsia="Times New Roman"/>
                <w:color w:val="000000" w:themeColor="text1"/>
                <w:sz w:val="18"/>
                <w:szCs w:val="18"/>
                <w:lang w:val="en-MY" w:eastAsia="ms-MY"/>
              </w:rPr>
              <w:t>NA</w:t>
            </w:r>
            <w:r w:rsidR="00934FAF" w:rsidRPr="00B378D9">
              <w:rPr>
                <w:rFonts w:eastAsia="Times New Roman"/>
                <w:i/>
                <w:color w:val="000000" w:themeColor="text1"/>
                <w:sz w:val="18"/>
                <w:szCs w:val="18"/>
                <w:vertAlign w:val="superscript"/>
                <w:lang w:val="en-MY" w:eastAsia="ms-MY"/>
              </w:rPr>
              <w:t>d</w:t>
            </w:r>
          </w:p>
        </w:tc>
        <w:tc>
          <w:tcPr>
            <w:tcW w:w="741" w:type="dxa"/>
            <w:tcBorders>
              <w:top w:val="nil"/>
              <w:left w:val="nil"/>
              <w:bottom w:val="single" w:sz="4" w:space="0" w:color="auto"/>
              <w:right w:val="nil"/>
            </w:tcBorders>
            <w:shd w:val="clear" w:color="auto" w:fill="auto"/>
            <w:noWrap/>
            <w:vAlign w:val="center"/>
            <w:hideMark/>
          </w:tcPr>
          <w:p w14:paraId="0B18D1BD"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67" w:type="dxa"/>
            <w:tcBorders>
              <w:top w:val="nil"/>
              <w:left w:val="nil"/>
              <w:bottom w:val="single" w:sz="4" w:space="0" w:color="auto"/>
              <w:right w:val="nil"/>
            </w:tcBorders>
            <w:shd w:val="clear" w:color="auto" w:fill="auto"/>
            <w:noWrap/>
            <w:vAlign w:val="center"/>
            <w:hideMark/>
          </w:tcPr>
          <w:p w14:paraId="523305B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92" w:type="dxa"/>
            <w:tcBorders>
              <w:top w:val="nil"/>
              <w:left w:val="nil"/>
              <w:bottom w:val="single" w:sz="4" w:space="0" w:color="auto"/>
              <w:right w:val="nil"/>
            </w:tcBorders>
            <w:shd w:val="clear" w:color="auto" w:fill="auto"/>
            <w:noWrap/>
            <w:vAlign w:val="center"/>
            <w:hideMark/>
          </w:tcPr>
          <w:p w14:paraId="0A6F375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30" w:type="dxa"/>
            <w:tcBorders>
              <w:top w:val="nil"/>
              <w:left w:val="nil"/>
              <w:bottom w:val="single" w:sz="4" w:space="0" w:color="auto"/>
              <w:right w:val="nil"/>
            </w:tcBorders>
            <w:shd w:val="clear" w:color="auto" w:fill="auto"/>
            <w:noWrap/>
            <w:vAlign w:val="center"/>
            <w:hideMark/>
          </w:tcPr>
          <w:p w14:paraId="67A9DF3D"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71" w:type="dxa"/>
            <w:tcBorders>
              <w:top w:val="nil"/>
              <w:left w:val="nil"/>
              <w:bottom w:val="single" w:sz="4" w:space="0" w:color="auto"/>
              <w:right w:val="nil"/>
            </w:tcBorders>
            <w:vAlign w:val="center"/>
          </w:tcPr>
          <w:p w14:paraId="7AE60591"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929" w:type="dxa"/>
            <w:tcBorders>
              <w:top w:val="nil"/>
              <w:left w:val="nil"/>
              <w:bottom w:val="single" w:sz="4" w:space="0" w:color="auto"/>
              <w:right w:val="nil"/>
            </w:tcBorders>
            <w:vAlign w:val="center"/>
          </w:tcPr>
          <w:p w14:paraId="657086C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540" w:type="dxa"/>
            <w:tcBorders>
              <w:top w:val="nil"/>
              <w:left w:val="nil"/>
              <w:bottom w:val="single" w:sz="4" w:space="0" w:color="auto"/>
              <w:right w:val="nil"/>
            </w:tcBorders>
            <w:vAlign w:val="center"/>
          </w:tcPr>
          <w:p w14:paraId="28EF914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630" w:type="dxa"/>
            <w:tcBorders>
              <w:top w:val="nil"/>
              <w:left w:val="nil"/>
              <w:bottom w:val="single" w:sz="4" w:space="0" w:color="auto"/>
              <w:right w:val="nil"/>
            </w:tcBorders>
            <w:vAlign w:val="center"/>
          </w:tcPr>
          <w:p w14:paraId="09A53CD8"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single" w:sz="4" w:space="0" w:color="auto"/>
              <w:right w:val="nil"/>
            </w:tcBorders>
            <w:vAlign w:val="center"/>
          </w:tcPr>
          <w:p w14:paraId="231BDB1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841" w:type="dxa"/>
            <w:tcBorders>
              <w:top w:val="nil"/>
              <w:left w:val="nil"/>
              <w:bottom w:val="single" w:sz="4" w:space="0" w:color="auto"/>
              <w:right w:val="nil"/>
            </w:tcBorders>
            <w:vAlign w:val="center"/>
          </w:tcPr>
          <w:p w14:paraId="7EB1237F"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18" w:type="dxa"/>
            <w:tcBorders>
              <w:top w:val="nil"/>
              <w:left w:val="nil"/>
              <w:bottom w:val="single" w:sz="4" w:space="0" w:color="auto"/>
              <w:right w:val="nil"/>
            </w:tcBorders>
            <w:vAlign w:val="center"/>
          </w:tcPr>
          <w:p w14:paraId="6CABC209"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c>
          <w:tcPr>
            <w:tcW w:w="736" w:type="dxa"/>
            <w:tcBorders>
              <w:top w:val="nil"/>
              <w:left w:val="nil"/>
              <w:bottom w:val="single" w:sz="4" w:space="0" w:color="auto"/>
              <w:right w:val="nil"/>
            </w:tcBorders>
            <w:vAlign w:val="center"/>
          </w:tcPr>
          <w:p w14:paraId="143FB9B3" w14:textId="77777777" w:rsidR="00956754" w:rsidRPr="00B378D9" w:rsidRDefault="00956754" w:rsidP="00956754">
            <w:pPr>
              <w:spacing w:line="276" w:lineRule="auto"/>
              <w:ind w:left="0" w:firstLine="0"/>
              <w:jc w:val="center"/>
              <w:rPr>
                <w:rFonts w:eastAsia="Times New Roman"/>
                <w:color w:val="000000" w:themeColor="text1"/>
                <w:sz w:val="18"/>
                <w:szCs w:val="18"/>
                <w:lang w:val="en-MY" w:eastAsia="ms-MY"/>
              </w:rPr>
            </w:pPr>
            <w:r w:rsidRPr="00B378D9">
              <w:rPr>
                <w:rFonts w:eastAsia="Times New Roman"/>
                <w:color w:val="000000" w:themeColor="text1"/>
                <w:sz w:val="18"/>
                <w:szCs w:val="18"/>
                <w:lang w:val="en-MY" w:eastAsia="ms-MY"/>
              </w:rPr>
              <w:t>0</w:t>
            </w:r>
          </w:p>
        </w:tc>
      </w:tr>
    </w:tbl>
    <w:p w14:paraId="50BD815C" w14:textId="77777777" w:rsidR="00512C5F" w:rsidRPr="00B378D9" w:rsidRDefault="00934FAF" w:rsidP="00E77735">
      <w:pPr>
        <w:spacing w:line="276" w:lineRule="auto"/>
        <w:ind w:left="0" w:firstLine="0"/>
        <w:rPr>
          <w:color w:val="000000" w:themeColor="text1"/>
          <w:sz w:val="20"/>
          <w:szCs w:val="20"/>
          <w:lang w:val="en-MY"/>
        </w:rPr>
      </w:pPr>
      <w:r w:rsidRPr="00B378D9">
        <w:rPr>
          <w:i/>
          <w:color w:val="000000" w:themeColor="text1"/>
          <w:sz w:val="20"/>
          <w:szCs w:val="20"/>
          <w:vertAlign w:val="superscript"/>
          <w:lang w:val="en-MY"/>
        </w:rPr>
        <w:t>a</w:t>
      </w:r>
      <w:r w:rsidRPr="00B378D9">
        <w:rPr>
          <w:color w:val="000000" w:themeColor="text1"/>
          <w:sz w:val="20"/>
          <w:szCs w:val="20"/>
          <w:lang w:val="en-MY"/>
        </w:rPr>
        <w:t xml:space="preserve"> Susceptibilities were determined using the disc diffusion method following the guidelines from the Clinical and Laboratory Standards Institute (CLSI) </w:t>
      </w:r>
      <w:r w:rsidRPr="00B378D9">
        <w:rPr>
          <w:color w:val="000000" w:themeColor="text1"/>
          <w:sz w:val="20"/>
          <w:szCs w:val="20"/>
          <w:lang w:val="en-MY"/>
        </w:rPr>
        <w:fldChar w:fldCharType="begin" w:fldLock="1"/>
      </w:r>
      <w:r w:rsidR="002A21E2" w:rsidRPr="00B378D9">
        <w:rPr>
          <w:color w:val="000000" w:themeColor="text1"/>
          <w:sz w:val="20"/>
          <w:szCs w:val="20"/>
          <w:lang w:val="en-MY"/>
        </w:rPr>
        <w:instrText>ADDIN CSL_CITATION {"citationItems":[{"id":"ITEM-1","itemData":{"ISBN":"1-56238-804-5","author":[{"dropping-particle":"","family":"CLSI","given":"","non-dropping-particle":"","parse-names":false,"suffix":""}],"id":"ITEM-1","issued":{"date-parts":[["2017"]]},"publisher":"Clinical and Laboratory Standards Institute","publisher-place":"Wayne, PA 19087 USA","title":"M100-S27 Performance Standards for Antimicrobial Susceptibility Testing, Twenty-Seventh Informational Supplement","type":"book"},"uris":["http://www.mendeley.com/documents/?uuid=81ca8dd7-cd27-4f9d-aef4-7785d30dad86"]}],"mendeley":{"formattedCitation":"[25]","plainTextFormattedCitation":"[25]","previouslyFormattedCitation":"[25]"},"properties":{"noteIndex":0},"schema":"https://github.com/citation-style-language/schema/raw/master/csl-citation.json"}</w:instrText>
      </w:r>
      <w:r w:rsidRPr="00B378D9">
        <w:rPr>
          <w:color w:val="000000" w:themeColor="text1"/>
          <w:sz w:val="20"/>
          <w:szCs w:val="20"/>
          <w:lang w:val="en-MY"/>
        </w:rPr>
        <w:fldChar w:fldCharType="separate"/>
      </w:r>
      <w:r w:rsidR="00575F7D" w:rsidRPr="00B378D9">
        <w:rPr>
          <w:noProof/>
          <w:color w:val="000000" w:themeColor="text1"/>
          <w:sz w:val="20"/>
          <w:szCs w:val="20"/>
          <w:lang w:val="en-MY"/>
        </w:rPr>
        <w:t>[25]</w:t>
      </w:r>
      <w:r w:rsidRPr="00B378D9">
        <w:rPr>
          <w:color w:val="000000" w:themeColor="text1"/>
          <w:sz w:val="20"/>
          <w:szCs w:val="20"/>
          <w:lang w:val="en-MY"/>
        </w:rPr>
        <w:fldChar w:fldCharType="end"/>
      </w:r>
      <w:r w:rsidRPr="00B378D9">
        <w:rPr>
          <w:color w:val="000000" w:themeColor="text1"/>
          <w:sz w:val="20"/>
          <w:szCs w:val="20"/>
          <w:lang w:val="en-MY"/>
        </w:rPr>
        <w:t xml:space="preserve"> with the exception of tigecycline and the polymyxins</w:t>
      </w:r>
    </w:p>
    <w:p w14:paraId="11188941" w14:textId="77777777" w:rsidR="00934FAF" w:rsidRPr="00B378D9" w:rsidRDefault="00934FAF" w:rsidP="00E77735">
      <w:pPr>
        <w:spacing w:line="276" w:lineRule="auto"/>
        <w:ind w:left="0" w:firstLine="0"/>
        <w:rPr>
          <w:color w:val="000000" w:themeColor="text1"/>
          <w:sz w:val="20"/>
          <w:szCs w:val="20"/>
          <w:lang w:val="en-MY"/>
        </w:rPr>
      </w:pPr>
      <w:r w:rsidRPr="00B378D9">
        <w:rPr>
          <w:i/>
          <w:color w:val="000000" w:themeColor="text1"/>
          <w:sz w:val="20"/>
          <w:szCs w:val="20"/>
          <w:vertAlign w:val="superscript"/>
          <w:lang w:val="en-MY"/>
        </w:rPr>
        <w:t>b</w:t>
      </w:r>
      <w:r w:rsidRPr="00B378D9">
        <w:rPr>
          <w:color w:val="000000" w:themeColor="text1"/>
          <w:sz w:val="20"/>
          <w:szCs w:val="20"/>
          <w:lang w:val="en-MY"/>
        </w:rPr>
        <w:t xml:space="preserve"> Tigecycline susceptibility was determined by the E-test which measures the MIC values and the breakpoints were obtained from the United States Food and Drug Administration (FDA) as outlined by Nicolau et al. (2015) </w:t>
      </w:r>
      <w:r w:rsidRPr="00B378D9">
        <w:rPr>
          <w:color w:val="000000" w:themeColor="text1"/>
          <w:sz w:val="20"/>
          <w:szCs w:val="20"/>
          <w:lang w:val="en-MY"/>
        </w:rPr>
        <w:fldChar w:fldCharType="begin" w:fldLock="1"/>
      </w:r>
      <w:r w:rsidR="002A21E2" w:rsidRPr="00B378D9">
        <w:rPr>
          <w:color w:val="000000" w:themeColor="text1"/>
          <w:sz w:val="20"/>
          <w:szCs w:val="20"/>
          <w:lang w:val="en-MY"/>
        </w:rPr>
        <w:instrText>ADDIN CSL_CITATION {"citationItems":[{"id":"ITEM-1","itemData":{"abstract":"Background: Tigecycline has demonstrated good rates of microbiological eradication and clinical cure among indicated infections [Complicated intra- Abdominal infections (cIAIs), complicated Skin and Skin Structure Infections (cSSSI), Community-Acquired Bacterial Pneumonia (CAP), in the USA]. This investigation evaluates the FDA approved breakpoints for tigecycline using microbiological and clinical data derived from cSSSI, cIAI and CAP clinical trials. Methods and findings: Clinical and microbiological success rates from phase III and phase IIIb/IV clinical trials were analyzed by MIC. Additionally, a surveillance program was utilized to assess changes in the antimicrobial potency of tigecycline between 2004 and 2012. Microbiological eradiation and clinical cure rates for patients with infections caused by Enterobacteriaceae at a tigecycline MIC of ≤2 mg/L or S. aureus with a tigecycline MIC of ≤0.5 mg/L were ≥81%. Against tigecycline non-susceptible pathogens microbiological and clinical successes were reported for 13/22 (59.1%) and 12/22 (54.5%), respectively. Using the Fisher’s exact test a comparison of microbiological success rates for patients (ME population) with Enterobacteriaceae with tigecycline MICs of ≤2 mg/L (n=922) and ≥4 mg/L (n=16) yielded a statistically significant two-tailed P value of 0.046. In the case of S. aureus, a comparison of MICs of ≤0.5 mg/L (n=287) and ≥1 mg/L (n=1) gave no statistically significant difference (P=1.000). Using the Cochran Armitage trend test statistically significant increases in tigecycline in vitro susceptibility were observed for Enterobacter spp. (p&lt;0.01) and Enterobacteriaceae (p&lt;0.01) and a statistically significant decrease in susceptibility among Enterococcus faecium (p&lt;0.0001). Conclusions: The current clinical FDA breakpoints for tigecycline are appropriate. Only E. faecium has shown a statistically significant decrease in susceptibility to tigecycline since tigecycline was first introduced into clinical practice in the USA in 2005.","author":[{"dropping-particle":"","family":"Nicolau","given":"David P.","non-dropping-particle":"","parse-names":false,"suffix":""},{"dropping-particle":"","family":"Quintana","given":"Alvaro","non-dropping-particle":"","parse-names":false,"suffix":""},{"dropping-particle":"","family":"Korth- Bradley","given":"Joan M.","non-dropping-particle":"","parse-names":false,"suffix":""},{"dropping-particle":"","family":"Wible","given":"Michele","non-dropping-particle":"","parse-names":false,"suffix":""},{"dropping-particle":"","family":"Dowzicky","given":"Micahel J.","non-dropping-particle":"","parse-names":false,"suffix":""}],"container-title":"Archives of Clinical Microbiology","id":"ITEM-1","issue":"4","issued":{"date-parts":[["2015"]]},"page":"7","publisher":"iMedPub","title":"A Rationale for Maintaining Current Tigecycline Breakpoints as Established by the USA Food and Drug Administration","type":"article-journal","volume":"6"},"uris":["http://www.mendeley.com/documents/?uuid=6176823b-6a48-3d62-9dcd-64ef7485583b"]}],"mendeley":{"formattedCitation":"[26]","plainTextFormattedCitation":"[26]","previouslyFormattedCitation":"[26]"},"properties":{"noteIndex":0},"schema":"https://github.com/citation-style-language/schema/raw/master/csl-citation.json"}</w:instrText>
      </w:r>
      <w:r w:rsidRPr="00B378D9">
        <w:rPr>
          <w:color w:val="000000" w:themeColor="text1"/>
          <w:sz w:val="20"/>
          <w:szCs w:val="20"/>
          <w:lang w:val="en-MY"/>
        </w:rPr>
        <w:fldChar w:fldCharType="separate"/>
      </w:r>
      <w:r w:rsidR="00575F7D" w:rsidRPr="00B378D9">
        <w:rPr>
          <w:noProof/>
          <w:color w:val="000000" w:themeColor="text1"/>
          <w:sz w:val="20"/>
          <w:szCs w:val="20"/>
          <w:lang w:val="en-MY"/>
        </w:rPr>
        <w:t>[26]</w:t>
      </w:r>
      <w:r w:rsidRPr="00B378D9">
        <w:rPr>
          <w:color w:val="000000" w:themeColor="text1"/>
          <w:sz w:val="20"/>
          <w:szCs w:val="20"/>
          <w:lang w:val="en-MY"/>
        </w:rPr>
        <w:fldChar w:fldCharType="end"/>
      </w:r>
    </w:p>
    <w:p w14:paraId="75564C7D" w14:textId="77777777" w:rsidR="00934FAF" w:rsidRPr="00B378D9" w:rsidRDefault="00934FAF" w:rsidP="00E77735">
      <w:pPr>
        <w:spacing w:line="276" w:lineRule="auto"/>
        <w:ind w:left="0" w:firstLine="0"/>
        <w:rPr>
          <w:color w:val="000000" w:themeColor="text1"/>
          <w:sz w:val="20"/>
          <w:szCs w:val="20"/>
          <w:lang w:val="en-MY"/>
        </w:rPr>
      </w:pPr>
      <w:r w:rsidRPr="00B378D9">
        <w:rPr>
          <w:i/>
          <w:color w:val="000000" w:themeColor="text1"/>
          <w:sz w:val="20"/>
          <w:szCs w:val="20"/>
          <w:vertAlign w:val="superscript"/>
          <w:lang w:val="en-MY"/>
        </w:rPr>
        <w:t>c</w:t>
      </w:r>
      <w:r w:rsidRPr="00B378D9">
        <w:rPr>
          <w:color w:val="000000" w:themeColor="text1"/>
          <w:sz w:val="20"/>
          <w:szCs w:val="20"/>
          <w:lang w:val="en-MY"/>
        </w:rPr>
        <w:t xml:space="preserve"> Polymyxin B and colistin susceptibility were determined by obtaining the MIC values by the agar dilution method </w:t>
      </w:r>
      <w:r w:rsidRPr="00B378D9">
        <w:rPr>
          <w:color w:val="000000" w:themeColor="text1"/>
          <w:sz w:val="20"/>
          <w:szCs w:val="20"/>
          <w:lang w:val="en-MY"/>
        </w:rPr>
        <w:fldChar w:fldCharType="begin" w:fldLock="1"/>
      </w:r>
      <w:r w:rsidR="002A21E2" w:rsidRPr="00B378D9">
        <w:rPr>
          <w:color w:val="000000" w:themeColor="text1"/>
          <w:sz w:val="20"/>
          <w:szCs w:val="20"/>
          <w:lang w:val="en-MY"/>
        </w:rPr>
        <w:instrText>ADDIN CSL_CITATION {"citationItems":[{"id":"ITEM-1","itemData":{"DOI":"10.1155/2014/953417","ISSN":"2090-7478","PMID":"25006521","abstract":"Nosocomial infection caused by Acinetobacter baumannii is of great concern due to its increasing resistance to most antimicrobials. In this study, 54 nonrepeat isolates of A. baumannii from the main tertiary hospital in Terengganu, Malaysia, were analyzed for their antibiograms and genotypes. Out of the 54 isolates, 39 (72.2%) were multidrug resistant (MDR) and resistant to carbapenems whereas 14 (25.9%) were categorized as extensive drug resistant (XDR) with additional resistance to polymyxin B, the drug of \"last resort.\" Pulsed-field gel electrophoresis analyses showed that the polymyxin-resistant isolates were genetically diverse while the carbapenem-resistant isolates were clonally related. The 14 XDR isolates were further investigated for mutations in genes known to mediate polymyxin resistance, namely, pmrCAB, and the lipopolysaccharide biosynthesis genes, lpxA, lpxC, lpxD, and lpsB. All 14 isolates had a P102H mutation in pmrA with no mutation detected in pmrC and pmrB. No mutation was detected in lpxA but each polymyxin-resistant isolate had 2-4 amino acid substitutions in lpxD and 1-2 substitutions in lpxC. Eight resistant isolates also displayed a unique H181Y mutation in lpsB. The extent of polymyxin resistance is of concern and the novel mutations discovered here warrant further investigations.","author":[{"dropping-particle":"","family":"Lean","given":"Soo-Sum","non-dropping-particle":"","parse-names":false,"suffix":""},{"dropping-particle":"","family":"Suhaili","given":"Zarizal","non-dropping-particle":"","parse-names":false,"suffix":""},{"dropping-particle":"","family":"Ismail","given":"Salwani","non-dropping-particle":"","parse-names":false,"suffix":""},{"dropping-particle":"","family":"Rahman","given":"Nor Iza A","non-dropping-particle":"","parse-names":false,"suffix":""},{"dropping-particle":"","family":"Othman","given":"Norlela","non-dropping-particle":"","parse-names":false,"suffix":""},{"dropping-particle":"","family":"Abdullah","given":"Fatimah Haslina","non-dropping-particle":"","parse-names":false,"suffix":""},{"dropping-particle":"","family":"Jusoh","given":"Zakaria","non-dropping-particle":"","parse-names":false,"suffix":""},{"dropping-particle":"","family":"Yeo","given":"Chew Chieng","non-dropping-particle":"","parse-names":false,"suffix":""},{"dropping-particle":"","family":"Thong","given":"Kwai-Lin","non-dropping-particle":"","parse-names":false,"suffix":""}],"container-title":"ISRN microbiology","id":"ITEM-1","issued":{"date-parts":[["2014","1"]]},"page":"953417","title":"Prevalence and Genetic Characterization of Carbapenem- and Polymyxin-Resistant Acinetobacter baumannii Isolated from a Tertiary Hospital in Terengganu, Malaysia.","type":"article-journal","volume":"2014"},"uris":["http://www.mendeley.com/documents/?uuid=f46a3671-3c01-4b9a-80d4-a5d7deed4c7a"]}],"mendeley":{"formattedCitation":"[19]","plainTextFormattedCitation":"[19]","previouslyFormattedCitation":"[19]"},"properties":{"noteIndex":0},"schema":"https://github.com/citation-style-language/schema/raw/master/csl-citation.json"}</w:instrText>
      </w:r>
      <w:r w:rsidRPr="00B378D9">
        <w:rPr>
          <w:color w:val="000000" w:themeColor="text1"/>
          <w:sz w:val="20"/>
          <w:szCs w:val="20"/>
          <w:lang w:val="en-MY"/>
        </w:rPr>
        <w:fldChar w:fldCharType="separate"/>
      </w:r>
      <w:r w:rsidR="00575F7D" w:rsidRPr="00B378D9">
        <w:rPr>
          <w:noProof/>
          <w:color w:val="000000" w:themeColor="text1"/>
          <w:sz w:val="20"/>
          <w:szCs w:val="20"/>
          <w:lang w:val="en-MY"/>
        </w:rPr>
        <w:t>[19]</w:t>
      </w:r>
      <w:r w:rsidRPr="00B378D9">
        <w:rPr>
          <w:color w:val="000000" w:themeColor="text1"/>
          <w:sz w:val="20"/>
          <w:szCs w:val="20"/>
          <w:lang w:val="en-MY"/>
        </w:rPr>
        <w:fldChar w:fldCharType="end"/>
      </w:r>
      <w:r w:rsidRPr="00B378D9">
        <w:rPr>
          <w:color w:val="000000" w:themeColor="text1"/>
          <w:sz w:val="20"/>
          <w:szCs w:val="20"/>
          <w:lang w:val="en-MY"/>
        </w:rPr>
        <w:t xml:space="preserve"> and the breakpoints from CLSI </w:t>
      </w:r>
      <w:r w:rsidRPr="00B378D9">
        <w:rPr>
          <w:color w:val="000000" w:themeColor="text1"/>
          <w:sz w:val="20"/>
          <w:szCs w:val="20"/>
          <w:lang w:val="en-MY"/>
        </w:rPr>
        <w:fldChar w:fldCharType="begin" w:fldLock="1"/>
      </w:r>
      <w:r w:rsidR="002A21E2" w:rsidRPr="00B378D9">
        <w:rPr>
          <w:color w:val="000000" w:themeColor="text1"/>
          <w:sz w:val="20"/>
          <w:szCs w:val="20"/>
          <w:lang w:val="en-MY"/>
        </w:rPr>
        <w:instrText>ADDIN CSL_CITATION {"citationItems":[{"id":"ITEM-1","itemData":{"ISBN":"1-56238-804-5","author":[{"dropping-particle":"","family":"CLSI","given":"","non-dropping-particle":"","parse-names":false,"suffix":""}],"id":"ITEM-1","issued":{"date-parts":[["2017"]]},"publisher":"Clinical and Laboratory Standards Institute","publisher-place":"Wayne, PA 19087 USA","title":"M100-S27 Performance Standards for Antimicrobial Susceptibility Testing, Twenty-Seventh Informational Supplement","type":"book"},"uris":["http://www.mendeley.com/documents/?uuid=81ca8dd7-cd27-4f9d-aef4-7785d30dad86"]}],"mendeley":{"formattedCitation":"[25]","plainTextFormattedCitation":"[25]","previouslyFormattedCitation":"[25]"},"properties":{"noteIndex":0},"schema":"https://github.com/citation-style-language/schema/raw/master/csl-citation.json"}</w:instrText>
      </w:r>
      <w:r w:rsidRPr="00B378D9">
        <w:rPr>
          <w:color w:val="000000" w:themeColor="text1"/>
          <w:sz w:val="20"/>
          <w:szCs w:val="20"/>
          <w:lang w:val="en-MY"/>
        </w:rPr>
        <w:fldChar w:fldCharType="separate"/>
      </w:r>
      <w:r w:rsidR="00575F7D" w:rsidRPr="00B378D9">
        <w:rPr>
          <w:noProof/>
          <w:color w:val="000000" w:themeColor="text1"/>
          <w:sz w:val="20"/>
          <w:szCs w:val="20"/>
          <w:lang w:val="en-MY"/>
        </w:rPr>
        <w:t>[25]</w:t>
      </w:r>
      <w:r w:rsidRPr="00B378D9">
        <w:rPr>
          <w:color w:val="000000" w:themeColor="text1"/>
          <w:sz w:val="20"/>
          <w:szCs w:val="20"/>
          <w:lang w:val="en-MY"/>
        </w:rPr>
        <w:fldChar w:fldCharType="end"/>
      </w:r>
      <w:r w:rsidRPr="00B378D9">
        <w:rPr>
          <w:color w:val="000000" w:themeColor="text1"/>
          <w:sz w:val="20"/>
          <w:szCs w:val="20"/>
          <w:lang w:val="en-MY"/>
        </w:rPr>
        <w:t>.</w:t>
      </w:r>
    </w:p>
    <w:p w14:paraId="0AC15B5D" w14:textId="77777777" w:rsidR="00934FAF" w:rsidRPr="00B378D9" w:rsidRDefault="00934FAF" w:rsidP="00E77735">
      <w:pPr>
        <w:spacing w:line="276" w:lineRule="auto"/>
        <w:ind w:left="0" w:firstLine="0"/>
        <w:rPr>
          <w:color w:val="000000" w:themeColor="text1"/>
          <w:sz w:val="20"/>
          <w:szCs w:val="20"/>
          <w:lang w:val="en-MY"/>
        </w:rPr>
      </w:pPr>
      <w:r w:rsidRPr="00B378D9">
        <w:rPr>
          <w:i/>
          <w:color w:val="000000" w:themeColor="text1"/>
          <w:sz w:val="20"/>
          <w:szCs w:val="20"/>
          <w:vertAlign w:val="superscript"/>
          <w:lang w:val="en-MY"/>
        </w:rPr>
        <w:t>d</w:t>
      </w:r>
      <w:r w:rsidRPr="00B378D9">
        <w:rPr>
          <w:color w:val="000000" w:themeColor="text1"/>
          <w:sz w:val="20"/>
          <w:szCs w:val="20"/>
          <w:lang w:val="en-MY"/>
        </w:rPr>
        <w:t xml:space="preserve"> NA = not applicable</w:t>
      </w:r>
    </w:p>
    <w:p w14:paraId="36DAAD51" w14:textId="77777777" w:rsidR="00934FAF" w:rsidRPr="00B378D9" w:rsidRDefault="00934FAF" w:rsidP="00E77735">
      <w:pPr>
        <w:spacing w:line="276" w:lineRule="auto"/>
        <w:ind w:left="0" w:firstLine="0"/>
        <w:rPr>
          <w:color w:val="000000" w:themeColor="text1"/>
          <w:sz w:val="24"/>
          <w:szCs w:val="24"/>
          <w:lang w:val="en-MY"/>
        </w:rPr>
      </w:pPr>
    </w:p>
    <w:sectPr w:rsidR="00934FAF" w:rsidRPr="00B378D9" w:rsidSect="00F77C55">
      <w:pgSz w:w="16838" w:h="11906" w:orient="landscape"/>
      <w:pgMar w:top="1418" w:right="1418" w:bottom="1701" w:left="1418" w:header="706" w:footer="1267"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EE87" w14:textId="77777777" w:rsidR="00C1385E" w:rsidRDefault="00C1385E" w:rsidP="003B2FD2">
      <w:r>
        <w:separator/>
      </w:r>
    </w:p>
  </w:endnote>
  <w:endnote w:type="continuationSeparator" w:id="0">
    <w:p w14:paraId="609A1311" w14:textId="77777777" w:rsidR="00C1385E" w:rsidRDefault="00C1385E" w:rsidP="003B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Adobe Caslon Pro">
    <w:panose1 w:val="00000000000000000000"/>
    <w:charset w:val="00"/>
    <w:family w:val="roman"/>
    <w:notTrueType/>
    <w:pitch w:val="variable"/>
    <w:sig w:usb0="00000007" w:usb1="00000001" w:usb2="00000000" w:usb3="00000000" w:csb0="00000093" w:csb1="00000000"/>
  </w:font>
  <w:font w:name="GMKMGM+TimesNewRomanPS">
    <w:altName w:val="GMKMGM+TimesNewRoman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E75F" w14:textId="77777777" w:rsidR="00B9791C" w:rsidRPr="00C05C6D" w:rsidRDefault="00B9791C">
    <w:pPr>
      <w:pStyle w:val="Footer"/>
      <w:jc w:val="right"/>
      <w:rPr>
        <w:sz w:val="24"/>
        <w:szCs w:val="24"/>
      </w:rPr>
    </w:pPr>
    <w:r w:rsidRPr="00C05C6D">
      <w:rPr>
        <w:sz w:val="24"/>
        <w:szCs w:val="24"/>
      </w:rPr>
      <w:fldChar w:fldCharType="begin"/>
    </w:r>
    <w:r w:rsidRPr="00C05C6D">
      <w:rPr>
        <w:sz w:val="24"/>
        <w:szCs w:val="24"/>
      </w:rPr>
      <w:instrText xml:space="preserve"> PAGE   \* MERGEFORMAT </w:instrText>
    </w:r>
    <w:r w:rsidRPr="00C05C6D">
      <w:rPr>
        <w:sz w:val="24"/>
        <w:szCs w:val="24"/>
      </w:rPr>
      <w:fldChar w:fldCharType="separate"/>
    </w:r>
    <w:r w:rsidR="007D0224">
      <w:rPr>
        <w:noProof/>
        <w:sz w:val="24"/>
        <w:szCs w:val="24"/>
      </w:rPr>
      <w:t>1</w:t>
    </w:r>
    <w:r w:rsidRPr="00C05C6D">
      <w:rPr>
        <w:sz w:val="24"/>
        <w:szCs w:val="24"/>
      </w:rPr>
      <w:fldChar w:fldCharType="end"/>
    </w:r>
  </w:p>
  <w:p w14:paraId="68D6E52D" w14:textId="77777777" w:rsidR="00B9791C" w:rsidRDefault="00B9791C">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4DD4" w14:textId="77777777" w:rsidR="00C1385E" w:rsidRDefault="00C1385E" w:rsidP="003B2FD2">
      <w:r>
        <w:separator/>
      </w:r>
    </w:p>
  </w:footnote>
  <w:footnote w:type="continuationSeparator" w:id="0">
    <w:p w14:paraId="04843BE8" w14:textId="77777777" w:rsidR="00C1385E" w:rsidRDefault="00C1385E" w:rsidP="003B2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6A0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85A75"/>
    <w:multiLevelType w:val="hybridMultilevel"/>
    <w:tmpl w:val="AC12B9E4"/>
    <w:lvl w:ilvl="0" w:tplc="A6047C8C">
      <w:start w:val="3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B22D2"/>
    <w:multiLevelType w:val="hybridMultilevel"/>
    <w:tmpl w:val="FC4A5B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C53B60"/>
    <w:multiLevelType w:val="hybridMultilevel"/>
    <w:tmpl w:val="16CE452C"/>
    <w:lvl w:ilvl="0" w:tplc="0BEE0272">
      <w:start w:val="1"/>
      <w:numFmt w:val="upperLetter"/>
      <w:lvlText w:val="%1."/>
      <w:lvlJc w:val="left"/>
      <w:pPr>
        <w:ind w:left="786" w:hanging="360"/>
      </w:pPr>
      <w:rPr>
        <w:rFonts w:hint="default"/>
        <w:i/>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4" w15:restartNumberingAfterBreak="0">
    <w:nsid w:val="0C0E36D5"/>
    <w:multiLevelType w:val="hybridMultilevel"/>
    <w:tmpl w:val="45A66CD2"/>
    <w:lvl w:ilvl="0" w:tplc="2B7A64CA">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ECA2111"/>
    <w:multiLevelType w:val="hybridMultilevel"/>
    <w:tmpl w:val="A02667F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 w15:restartNumberingAfterBreak="0">
    <w:nsid w:val="10AC485C"/>
    <w:multiLevelType w:val="hybridMultilevel"/>
    <w:tmpl w:val="21A87090"/>
    <w:lvl w:ilvl="0" w:tplc="4409000F">
      <w:start w:val="1"/>
      <w:numFmt w:val="decimal"/>
      <w:lvlText w:val="%1."/>
      <w:lvlJc w:val="left"/>
      <w:pPr>
        <w:ind w:left="644" w:hanging="36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7" w15:restartNumberingAfterBreak="0">
    <w:nsid w:val="13293F47"/>
    <w:multiLevelType w:val="hybridMultilevel"/>
    <w:tmpl w:val="767ABA22"/>
    <w:lvl w:ilvl="0" w:tplc="886656DA">
      <w:start w:val="3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20830"/>
    <w:multiLevelType w:val="hybridMultilevel"/>
    <w:tmpl w:val="04D6E734"/>
    <w:lvl w:ilvl="0" w:tplc="42DEA56C">
      <w:start w:val="1"/>
      <w:numFmt w:val="decimal"/>
      <w:lvlText w:val="%1."/>
      <w:lvlJc w:val="left"/>
      <w:pPr>
        <w:ind w:left="720" w:hanging="360"/>
      </w:pPr>
      <w:rPr>
        <w:b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13506E"/>
    <w:multiLevelType w:val="hybridMultilevel"/>
    <w:tmpl w:val="1B7E056A"/>
    <w:lvl w:ilvl="0" w:tplc="C61E0CB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E183F"/>
    <w:multiLevelType w:val="hybridMultilevel"/>
    <w:tmpl w:val="FA8C8EB4"/>
    <w:lvl w:ilvl="0" w:tplc="A73E64AE">
      <w:start w:val="1"/>
      <w:numFmt w:val="upperLetter"/>
      <w:lvlText w:val="%1."/>
      <w:lvlJc w:val="left"/>
      <w:pPr>
        <w:ind w:left="786" w:hanging="360"/>
      </w:pPr>
      <w:rPr>
        <w:rFonts w:hint="default"/>
        <w:i/>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1" w15:restartNumberingAfterBreak="0">
    <w:nsid w:val="290A1FAE"/>
    <w:multiLevelType w:val="hybridMultilevel"/>
    <w:tmpl w:val="C412696A"/>
    <w:lvl w:ilvl="0" w:tplc="7EC011C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98F042F"/>
    <w:multiLevelType w:val="hybridMultilevel"/>
    <w:tmpl w:val="5F64EC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20B18A6"/>
    <w:multiLevelType w:val="hybridMultilevel"/>
    <w:tmpl w:val="7A0CAC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AA5161C"/>
    <w:multiLevelType w:val="hybridMultilevel"/>
    <w:tmpl w:val="1A824620"/>
    <w:lvl w:ilvl="0" w:tplc="260276AC">
      <w:start w:val="4"/>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B0607B8"/>
    <w:multiLevelType w:val="hybridMultilevel"/>
    <w:tmpl w:val="B1C2D0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80228EA"/>
    <w:multiLevelType w:val="hybridMultilevel"/>
    <w:tmpl w:val="B0401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D0365"/>
    <w:multiLevelType w:val="hybridMultilevel"/>
    <w:tmpl w:val="B5C866EA"/>
    <w:lvl w:ilvl="0" w:tplc="EE1C563C">
      <w:start w:val="1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64B4094A"/>
    <w:multiLevelType w:val="hybridMultilevel"/>
    <w:tmpl w:val="0696E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30580"/>
    <w:multiLevelType w:val="hybridMultilevel"/>
    <w:tmpl w:val="389AEF34"/>
    <w:lvl w:ilvl="0" w:tplc="F8125F80">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F6B194A"/>
    <w:multiLevelType w:val="hybridMultilevel"/>
    <w:tmpl w:val="5F92BF90"/>
    <w:lvl w:ilvl="0" w:tplc="B0C60BA0">
      <w:start w:val="4"/>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758965D7"/>
    <w:multiLevelType w:val="multilevel"/>
    <w:tmpl w:val="7020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CE119A"/>
    <w:multiLevelType w:val="hybridMultilevel"/>
    <w:tmpl w:val="EE62CF0C"/>
    <w:lvl w:ilvl="0" w:tplc="67BCED02">
      <w:start w:val="3"/>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1"/>
  </w:num>
  <w:num w:numId="5">
    <w:abstractNumId w:val="20"/>
  </w:num>
  <w:num w:numId="6">
    <w:abstractNumId w:val="14"/>
  </w:num>
  <w:num w:numId="7">
    <w:abstractNumId w:val="11"/>
  </w:num>
  <w:num w:numId="8">
    <w:abstractNumId w:val="22"/>
  </w:num>
  <w:num w:numId="9">
    <w:abstractNumId w:val="13"/>
  </w:num>
  <w:num w:numId="10">
    <w:abstractNumId w:val="6"/>
  </w:num>
  <w:num w:numId="11">
    <w:abstractNumId w:val="8"/>
  </w:num>
  <w:num w:numId="12">
    <w:abstractNumId w:val="17"/>
  </w:num>
  <w:num w:numId="13">
    <w:abstractNumId w:val="2"/>
  </w:num>
  <w:num w:numId="14">
    <w:abstractNumId w:val="3"/>
  </w:num>
  <w:num w:numId="15">
    <w:abstractNumId w:val="10"/>
  </w:num>
  <w:num w:numId="16">
    <w:abstractNumId w:val="16"/>
  </w:num>
  <w:num w:numId="17">
    <w:abstractNumId w:val="19"/>
  </w:num>
  <w:num w:numId="18">
    <w:abstractNumId w:val="15"/>
  </w:num>
  <w:num w:numId="19">
    <w:abstractNumId w:val="5"/>
  </w:num>
  <w:num w:numId="20">
    <w:abstractNumId w:val="9"/>
  </w:num>
  <w:num w:numId="21">
    <w:abstractNumId w:val="12"/>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xMLUwNTA0MTIxMTNQ0lEKTi0uzszPAykwtqgFABQQQ0MtAAAA"/>
  </w:docVars>
  <w:rsids>
    <w:rsidRoot w:val="003B2FD2"/>
    <w:rsid w:val="00001A24"/>
    <w:rsid w:val="00003DDE"/>
    <w:rsid w:val="000052BE"/>
    <w:rsid w:val="0000655E"/>
    <w:rsid w:val="00006D36"/>
    <w:rsid w:val="00007A23"/>
    <w:rsid w:val="00010EF2"/>
    <w:rsid w:val="00012915"/>
    <w:rsid w:val="0001417F"/>
    <w:rsid w:val="000144EF"/>
    <w:rsid w:val="0001641E"/>
    <w:rsid w:val="0001686A"/>
    <w:rsid w:val="00016B1E"/>
    <w:rsid w:val="00016B58"/>
    <w:rsid w:val="0001757A"/>
    <w:rsid w:val="00022CD6"/>
    <w:rsid w:val="00023CE0"/>
    <w:rsid w:val="0002761B"/>
    <w:rsid w:val="000279B7"/>
    <w:rsid w:val="000319DE"/>
    <w:rsid w:val="00034A31"/>
    <w:rsid w:val="000366BB"/>
    <w:rsid w:val="000402BD"/>
    <w:rsid w:val="00040D75"/>
    <w:rsid w:val="000416BE"/>
    <w:rsid w:val="00042CC0"/>
    <w:rsid w:val="00044942"/>
    <w:rsid w:val="00046593"/>
    <w:rsid w:val="00047C25"/>
    <w:rsid w:val="00051659"/>
    <w:rsid w:val="00051A25"/>
    <w:rsid w:val="000525D7"/>
    <w:rsid w:val="00053B5B"/>
    <w:rsid w:val="000555DE"/>
    <w:rsid w:val="00056850"/>
    <w:rsid w:val="00056B3F"/>
    <w:rsid w:val="00061DB0"/>
    <w:rsid w:val="00062851"/>
    <w:rsid w:val="00063103"/>
    <w:rsid w:val="00065108"/>
    <w:rsid w:val="000656CA"/>
    <w:rsid w:val="000667CA"/>
    <w:rsid w:val="0006787D"/>
    <w:rsid w:val="00067A59"/>
    <w:rsid w:val="00067D4A"/>
    <w:rsid w:val="000734B9"/>
    <w:rsid w:val="000747D8"/>
    <w:rsid w:val="0007661A"/>
    <w:rsid w:val="0007764C"/>
    <w:rsid w:val="000807DA"/>
    <w:rsid w:val="00085006"/>
    <w:rsid w:val="00086CB1"/>
    <w:rsid w:val="00087C3C"/>
    <w:rsid w:val="00090E95"/>
    <w:rsid w:val="00093581"/>
    <w:rsid w:val="000979D3"/>
    <w:rsid w:val="000A100F"/>
    <w:rsid w:val="000A3815"/>
    <w:rsid w:val="000A397C"/>
    <w:rsid w:val="000A65F0"/>
    <w:rsid w:val="000B1948"/>
    <w:rsid w:val="000B1F1B"/>
    <w:rsid w:val="000B39BD"/>
    <w:rsid w:val="000B5B41"/>
    <w:rsid w:val="000B64B2"/>
    <w:rsid w:val="000B72CD"/>
    <w:rsid w:val="000C11C4"/>
    <w:rsid w:val="000C2149"/>
    <w:rsid w:val="000C3A8F"/>
    <w:rsid w:val="000C40D0"/>
    <w:rsid w:val="000C66E5"/>
    <w:rsid w:val="000C6E3A"/>
    <w:rsid w:val="000D0436"/>
    <w:rsid w:val="000D24A9"/>
    <w:rsid w:val="000D334C"/>
    <w:rsid w:val="000D596A"/>
    <w:rsid w:val="000D6C46"/>
    <w:rsid w:val="000D6FC8"/>
    <w:rsid w:val="000E0914"/>
    <w:rsid w:val="000E19E6"/>
    <w:rsid w:val="000E2491"/>
    <w:rsid w:val="000E2BE0"/>
    <w:rsid w:val="000E3310"/>
    <w:rsid w:val="000E33B2"/>
    <w:rsid w:val="000E40B3"/>
    <w:rsid w:val="000E4C1D"/>
    <w:rsid w:val="000E4CA5"/>
    <w:rsid w:val="000E57D3"/>
    <w:rsid w:val="000E6859"/>
    <w:rsid w:val="000F1A3E"/>
    <w:rsid w:val="000F2690"/>
    <w:rsid w:val="000F429C"/>
    <w:rsid w:val="000F4E66"/>
    <w:rsid w:val="000F62A9"/>
    <w:rsid w:val="000F68ED"/>
    <w:rsid w:val="0010055B"/>
    <w:rsid w:val="00100E14"/>
    <w:rsid w:val="001028F4"/>
    <w:rsid w:val="00103044"/>
    <w:rsid w:val="00104C2C"/>
    <w:rsid w:val="00105031"/>
    <w:rsid w:val="00106C3C"/>
    <w:rsid w:val="0010711A"/>
    <w:rsid w:val="00107253"/>
    <w:rsid w:val="00107E3D"/>
    <w:rsid w:val="00111957"/>
    <w:rsid w:val="00111D3E"/>
    <w:rsid w:val="00112490"/>
    <w:rsid w:val="001141FF"/>
    <w:rsid w:val="00114473"/>
    <w:rsid w:val="00114EBB"/>
    <w:rsid w:val="001160C8"/>
    <w:rsid w:val="001175E2"/>
    <w:rsid w:val="001237E5"/>
    <w:rsid w:val="00123D2E"/>
    <w:rsid w:val="00125E9E"/>
    <w:rsid w:val="001268F1"/>
    <w:rsid w:val="00127A5F"/>
    <w:rsid w:val="00135C20"/>
    <w:rsid w:val="00135FBA"/>
    <w:rsid w:val="00136D26"/>
    <w:rsid w:val="00141E57"/>
    <w:rsid w:val="001424A9"/>
    <w:rsid w:val="00146E18"/>
    <w:rsid w:val="00147095"/>
    <w:rsid w:val="00150BA2"/>
    <w:rsid w:val="0015188C"/>
    <w:rsid w:val="00153741"/>
    <w:rsid w:val="00153AE9"/>
    <w:rsid w:val="00154E90"/>
    <w:rsid w:val="00155069"/>
    <w:rsid w:val="00155A16"/>
    <w:rsid w:val="00155AA5"/>
    <w:rsid w:val="00157F63"/>
    <w:rsid w:val="0016395E"/>
    <w:rsid w:val="00165D05"/>
    <w:rsid w:val="001666A7"/>
    <w:rsid w:val="001667D6"/>
    <w:rsid w:val="00167D2A"/>
    <w:rsid w:val="00167E6E"/>
    <w:rsid w:val="001702E7"/>
    <w:rsid w:val="00170B3D"/>
    <w:rsid w:val="001713EF"/>
    <w:rsid w:val="00171821"/>
    <w:rsid w:val="00171F0A"/>
    <w:rsid w:val="00172858"/>
    <w:rsid w:val="00173095"/>
    <w:rsid w:val="001769A9"/>
    <w:rsid w:val="00177D09"/>
    <w:rsid w:val="00186084"/>
    <w:rsid w:val="001877FB"/>
    <w:rsid w:val="00191C1E"/>
    <w:rsid w:val="0019278B"/>
    <w:rsid w:val="00192D84"/>
    <w:rsid w:val="00193207"/>
    <w:rsid w:val="00193E6A"/>
    <w:rsid w:val="00194C3E"/>
    <w:rsid w:val="00195AEF"/>
    <w:rsid w:val="001A121B"/>
    <w:rsid w:val="001A22BF"/>
    <w:rsid w:val="001A5E37"/>
    <w:rsid w:val="001A6C4E"/>
    <w:rsid w:val="001A7F4E"/>
    <w:rsid w:val="001B1634"/>
    <w:rsid w:val="001B4C8D"/>
    <w:rsid w:val="001B4D59"/>
    <w:rsid w:val="001B738F"/>
    <w:rsid w:val="001B794C"/>
    <w:rsid w:val="001B7EB1"/>
    <w:rsid w:val="001C15FA"/>
    <w:rsid w:val="001C26B8"/>
    <w:rsid w:val="001C2CAB"/>
    <w:rsid w:val="001C2EFF"/>
    <w:rsid w:val="001C4CA8"/>
    <w:rsid w:val="001C5A81"/>
    <w:rsid w:val="001C609A"/>
    <w:rsid w:val="001C63BB"/>
    <w:rsid w:val="001C7828"/>
    <w:rsid w:val="001D0539"/>
    <w:rsid w:val="001D4275"/>
    <w:rsid w:val="001D4793"/>
    <w:rsid w:val="001E0360"/>
    <w:rsid w:val="001E281D"/>
    <w:rsid w:val="001E4886"/>
    <w:rsid w:val="001E56F8"/>
    <w:rsid w:val="001E6A36"/>
    <w:rsid w:val="001E6B69"/>
    <w:rsid w:val="001E6FCD"/>
    <w:rsid w:val="001E758F"/>
    <w:rsid w:val="001E7A89"/>
    <w:rsid w:val="001E7FCF"/>
    <w:rsid w:val="001F01F6"/>
    <w:rsid w:val="001F0D15"/>
    <w:rsid w:val="001F18B3"/>
    <w:rsid w:val="001F5797"/>
    <w:rsid w:val="001F79D9"/>
    <w:rsid w:val="00200AB2"/>
    <w:rsid w:val="0020233A"/>
    <w:rsid w:val="0020241C"/>
    <w:rsid w:val="002041B9"/>
    <w:rsid w:val="0020608E"/>
    <w:rsid w:val="00206725"/>
    <w:rsid w:val="00207ACA"/>
    <w:rsid w:val="00211145"/>
    <w:rsid w:val="00211F0F"/>
    <w:rsid w:val="00216230"/>
    <w:rsid w:val="0021769C"/>
    <w:rsid w:val="002178DD"/>
    <w:rsid w:val="00221028"/>
    <w:rsid w:val="0022154E"/>
    <w:rsid w:val="00221D62"/>
    <w:rsid w:val="002221FE"/>
    <w:rsid w:val="00222E01"/>
    <w:rsid w:val="0022300B"/>
    <w:rsid w:val="00224153"/>
    <w:rsid w:val="00224598"/>
    <w:rsid w:val="00225752"/>
    <w:rsid w:val="00225BF3"/>
    <w:rsid w:val="00226024"/>
    <w:rsid w:val="00226FB4"/>
    <w:rsid w:val="00227AB2"/>
    <w:rsid w:val="00230A77"/>
    <w:rsid w:val="002331DD"/>
    <w:rsid w:val="0023609B"/>
    <w:rsid w:val="00236309"/>
    <w:rsid w:val="00237A97"/>
    <w:rsid w:val="00237C65"/>
    <w:rsid w:val="00237E04"/>
    <w:rsid w:val="0024069E"/>
    <w:rsid w:val="00240D6B"/>
    <w:rsid w:val="00241EA6"/>
    <w:rsid w:val="00245DBB"/>
    <w:rsid w:val="00246CDF"/>
    <w:rsid w:val="00250433"/>
    <w:rsid w:val="00252AAE"/>
    <w:rsid w:val="00253ABC"/>
    <w:rsid w:val="00253DDB"/>
    <w:rsid w:val="0025449E"/>
    <w:rsid w:val="002614E3"/>
    <w:rsid w:val="0026280B"/>
    <w:rsid w:val="00264DCF"/>
    <w:rsid w:val="0026784D"/>
    <w:rsid w:val="00270C24"/>
    <w:rsid w:val="0027338A"/>
    <w:rsid w:val="00273F3E"/>
    <w:rsid w:val="00274FF8"/>
    <w:rsid w:val="00275A2C"/>
    <w:rsid w:val="00280C7C"/>
    <w:rsid w:val="002854FC"/>
    <w:rsid w:val="00285DCF"/>
    <w:rsid w:val="0029076F"/>
    <w:rsid w:val="00292A13"/>
    <w:rsid w:val="0029314E"/>
    <w:rsid w:val="00296376"/>
    <w:rsid w:val="002974FD"/>
    <w:rsid w:val="002A1E5A"/>
    <w:rsid w:val="002A21E2"/>
    <w:rsid w:val="002A24D5"/>
    <w:rsid w:val="002A3BF2"/>
    <w:rsid w:val="002A3E18"/>
    <w:rsid w:val="002A5DF2"/>
    <w:rsid w:val="002A6B84"/>
    <w:rsid w:val="002A7F0E"/>
    <w:rsid w:val="002B0559"/>
    <w:rsid w:val="002B31C3"/>
    <w:rsid w:val="002B49FC"/>
    <w:rsid w:val="002B5E15"/>
    <w:rsid w:val="002B6679"/>
    <w:rsid w:val="002C31E6"/>
    <w:rsid w:val="002C518B"/>
    <w:rsid w:val="002C5FA5"/>
    <w:rsid w:val="002C62AC"/>
    <w:rsid w:val="002D2BD1"/>
    <w:rsid w:val="002D31A1"/>
    <w:rsid w:val="002D4A47"/>
    <w:rsid w:val="002D5381"/>
    <w:rsid w:val="002D611C"/>
    <w:rsid w:val="002E0200"/>
    <w:rsid w:val="002E0B93"/>
    <w:rsid w:val="002E2737"/>
    <w:rsid w:val="002E3858"/>
    <w:rsid w:val="002E4DD2"/>
    <w:rsid w:val="002E5AB6"/>
    <w:rsid w:val="002E6D88"/>
    <w:rsid w:val="002E779F"/>
    <w:rsid w:val="002E787B"/>
    <w:rsid w:val="002F2A8D"/>
    <w:rsid w:val="002F2F3E"/>
    <w:rsid w:val="002F4F06"/>
    <w:rsid w:val="002F6744"/>
    <w:rsid w:val="00301AE7"/>
    <w:rsid w:val="00304329"/>
    <w:rsid w:val="003052E7"/>
    <w:rsid w:val="0030578C"/>
    <w:rsid w:val="00305ABF"/>
    <w:rsid w:val="003101C9"/>
    <w:rsid w:val="00311262"/>
    <w:rsid w:val="003119F0"/>
    <w:rsid w:val="003123A2"/>
    <w:rsid w:val="00312A36"/>
    <w:rsid w:val="003152C3"/>
    <w:rsid w:val="00315E00"/>
    <w:rsid w:val="0032109F"/>
    <w:rsid w:val="00321E53"/>
    <w:rsid w:val="00322BB1"/>
    <w:rsid w:val="00324FFA"/>
    <w:rsid w:val="00332AC7"/>
    <w:rsid w:val="0033474E"/>
    <w:rsid w:val="0033554B"/>
    <w:rsid w:val="00337E73"/>
    <w:rsid w:val="0034394E"/>
    <w:rsid w:val="00345802"/>
    <w:rsid w:val="00347DB8"/>
    <w:rsid w:val="0035111E"/>
    <w:rsid w:val="00352185"/>
    <w:rsid w:val="00352B10"/>
    <w:rsid w:val="00353EEB"/>
    <w:rsid w:val="00354802"/>
    <w:rsid w:val="00354EF6"/>
    <w:rsid w:val="003558DC"/>
    <w:rsid w:val="00356B55"/>
    <w:rsid w:val="00360406"/>
    <w:rsid w:val="003609AF"/>
    <w:rsid w:val="003668BA"/>
    <w:rsid w:val="00367783"/>
    <w:rsid w:val="00370C36"/>
    <w:rsid w:val="00371F8F"/>
    <w:rsid w:val="003726BA"/>
    <w:rsid w:val="0037535C"/>
    <w:rsid w:val="00375975"/>
    <w:rsid w:val="003760E5"/>
    <w:rsid w:val="00377F8D"/>
    <w:rsid w:val="0038001E"/>
    <w:rsid w:val="00381C0C"/>
    <w:rsid w:val="00383B6C"/>
    <w:rsid w:val="00385798"/>
    <w:rsid w:val="003872C7"/>
    <w:rsid w:val="00387DE5"/>
    <w:rsid w:val="00390C3F"/>
    <w:rsid w:val="003913E7"/>
    <w:rsid w:val="00391A80"/>
    <w:rsid w:val="00395D2F"/>
    <w:rsid w:val="00396860"/>
    <w:rsid w:val="00397000"/>
    <w:rsid w:val="003A0DAF"/>
    <w:rsid w:val="003A15F8"/>
    <w:rsid w:val="003A179C"/>
    <w:rsid w:val="003A31D5"/>
    <w:rsid w:val="003A3B4E"/>
    <w:rsid w:val="003A416C"/>
    <w:rsid w:val="003B0901"/>
    <w:rsid w:val="003B0A74"/>
    <w:rsid w:val="003B0E55"/>
    <w:rsid w:val="003B1E5E"/>
    <w:rsid w:val="003B2FD2"/>
    <w:rsid w:val="003B739D"/>
    <w:rsid w:val="003C076E"/>
    <w:rsid w:val="003C1D42"/>
    <w:rsid w:val="003C412E"/>
    <w:rsid w:val="003C4E71"/>
    <w:rsid w:val="003C6432"/>
    <w:rsid w:val="003C6AF7"/>
    <w:rsid w:val="003D1DDF"/>
    <w:rsid w:val="003D29FB"/>
    <w:rsid w:val="003D3D12"/>
    <w:rsid w:val="003D53F9"/>
    <w:rsid w:val="003D689D"/>
    <w:rsid w:val="003D7444"/>
    <w:rsid w:val="003E1AE0"/>
    <w:rsid w:val="003E4262"/>
    <w:rsid w:val="003E4EF0"/>
    <w:rsid w:val="003E54C0"/>
    <w:rsid w:val="003E6E7A"/>
    <w:rsid w:val="003F0EBA"/>
    <w:rsid w:val="003F4EBE"/>
    <w:rsid w:val="003F6D65"/>
    <w:rsid w:val="003F7105"/>
    <w:rsid w:val="00404D65"/>
    <w:rsid w:val="00405036"/>
    <w:rsid w:val="004068C3"/>
    <w:rsid w:val="00407837"/>
    <w:rsid w:val="00407E26"/>
    <w:rsid w:val="00411D63"/>
    <w:rsid w:val="00411FD0"/>
    <w:rsid w:val="0041293A"/>
    <w:rsid w:val="00413948"/>
    <w:rsid w:val="0041416A"/>
    <w:rsid w:val="00415D14"/>
    <w:rsid w:val="004171BB"/>
    <w:rsid w:val="00420926"/>
    <w:rsid w:val="00421D6F"/>
    <w:rsid w:val="00423C31"/>
    <w:rsid w:val="00423CD5"/>
    <w:rsid w:val="00425265"/>
    <w:rsid w:val="00426726"/>
    <w:rsid w:val="00427BDD"/>
    <w:rsid w:val="0043075A"/>
    <w:rsid w:val="00432335"/>
    <w:rsid w:val="00433231"/>
    <w:rsid w:val="00433658"/>
    <w:rsid w:val="0043446B"/>
    <w:rsid w:val="004354CF"/>
    <w:rsid w:val="00436044"/>
    <w:rsid w:val="00440712"/>
    <w:rsid w:val="004414C3"/>
    <w:rsid w:val="004414EC"/>
    <w:rsid w:val="00443043"/>
    <w:rsid w:val="004446F4"/>
    <w:rsid w:val="00444EF0"/>
    <w:rsid w:val="0044505D"/>
    <w:rsid w:val="00445561"/>
    <w:rsid w:val="0044689E"/>
    <w:rsid w:val="004513A9"/>
    <w:rsid w:val="00451C52"/>
    <w:rsid w:val="00451C53"/>
    <w:rsid w:val="00452CB0"/>
    <w:rsid w:val="00452E64"/>
    <w:rsid w:val="004546B5"/>
    <w:rsid w:val="0045471D"/>
    <w:rsid w:val="0045529A"/>
    <w:rsid w:val="004604A1"/>
    <w:rsid w:val="0046061E"/>
    <w:rsid w:val="00460FE8"/>
    <w:rsid w:val="004618BF"/>
    <w:rsid w:val="00463833"/>
    <w:rsid w:val="0046444D"/>
    <w:rsid w:val="00464ECA"/>
    <w:rsid w:val="004652E1"/>
    <w:rsid w:val="00465D05"/>
    <w:rsid w:val="00466B06"/>
    <w:rsid w:val="00467B03"/>
    <w:rsid w:val="00467E34"/>
    <w:rsid w:val="004706ED"/>
    <w:rsid w:val="00470AA6"/>
    <w:rsid w:val="004715EF"/>
    <w:rsid w:val="00473601"/>
    <w:rsid w:val="0047363A"/>
    <w:rsid w:val="0047444E"/>
    <w:rsid w:val="0047451F"/>
    <w:rsid w:val="0048082D"/>
    <w:rsid w:val="00481463"/>
    <w:rsid w:val="00481532"/>
    <w:rsid w:val="00482371"/>
    <w:rsid w:val="00484F91"/>
    <w:rsid w:val="00485318"/>
    <w:rsid w:val="00485898"/>
    <w:rsid w:val="00485C3F"/>
    <w:rsid w:val="004919E1"/>
    <w:rsid w:val="00492458"/>
    <w:rsid w:val="00492B5E"/>
    <w:rsid w:val="00493997"/>
    <w:rsid w:val="00494771"/>
    <w:rsid w:val="00495B26"/>
    <w:rsid w:val="00497D7D"/>
    <w:rsid w:val="004A2462"/>
    <w:rsid w:val="004A52B5"/>
    <w:rsid w:val="004A5733"/>
    <w:rsid w:val="004B05E1"/>
    <w:rsid w:val="004B0E7E"/>
    <w:rsid w:val="004B3F0D"/>
    <w:rsid w:val="004C09ED"/>
    <w:rsid w:val="004C1DAE"/>
    <w:rsid w:val="004C2BCA"/>
    <w:rsid w:val="004C2ED3"/>
    <w:rsid w:val="004C4598"/>
    <w:rsid w:val="004C51BD"/>
    <w:rsid w:val="004C7AA9"/>
    <w:rsid w:val="004C7B35"/>
    <w:rsid w:val="004D0A05"/>
    <w:rsid w:val="004D190F"/>
    <w:rsid w:val="004D354D"/>
    <w:rsid w:val="004D3D93"/>
    <w:rsid w:val="004D5ABC"/>
    <w:rsid w:val="004D6DC4"/>
    <w:rsid w:val="004D6F36"/>
    <w:rsid w:val="004D71D7"/>
    <w:rsid w:val="004E1873"/>
    <w:rsid w:val="004E2F0D"/>
    <w:rsid w:val="004E34B2"/>
    <w:rsid w:val="004E4A6D"/>
    <w:rsid w:val="004E4C5B"/>
    <w:rsid w:val="004E5063"/>
    <w:rsid w:val="004E52C0"/>
    <w:rsid w:val="004E699A"/>
    <w:rsid w:val="004E69AD"/>
    <w:rsid w:val="004E7326"/>
    <w:rsid w:val="004F00D0"/>
    <w:rsid w:val="004F0DD2"/>
    <w:rsid w:val="004F1B73"/>
    <w:rsid w:val="004F3DC1"/>
    <w:rsid w:val="004F4A4D"/>
    <w:rsid w:val="004F53A2"/>
    <w:rsid w:val="004F76B6"/>
    <w:rsid w:val="00500973"/>
    <w:rsid w:val="00501BFF"/>
    <w:rsid w:val="005044D1"/>
    <w:rsid w:val="00504C00"/>
    <w:rsid w:val="00507C2F"/>
    <w:rsid w:val="00512C5F"/>
    <w:rsid w:val="0051327E"/>
    <w:rsid w:val="005149AB"/>
    <w:rsid w:val="00514AFC"/>
    <w:rsid w:val="00515951"/>
    <w:rsid w:val="00515E0C"/>
    <w:rsid w:val="00516A1D"/>
    <w:rsid w:val="00516BE2"/>
    <w:rsid w:val="00517B9D"/>
    <w:rsid w:val="00520242"/>
    <w:rsid w:val="00522D80"/>
    <w:rsid w:val="00523597"/>
    <w:rsid w:val="0052362A"/>
    <w:rsid w:val="005238D6"/>
    <w:rsid w:val="00523985"/>
    <w:rsid w:val="00525C38"/>
    <w:rsid w:val="00526DF8"/>
    <w:rsid w:val="005279E0"/>
    <w:rsid w:val="00534782"/>
    <w:rsid w:val="00535179"/>
    <w:rsid w:val="00536A6F"/>
    <w:rsid w:val="0054349E"/>
    <w:rsid w:val="005439C0"/>
    <w:rsid w:val="00543F8A"/>
    <w:rsid w:val="00545552"/>
    <w:rsid w:val="0054573D"/>
    <w:rsid w:val="00545C3C"/>
    <w:rsid w:val="00545C6D"/>
    <w:rsid w:val="00546EC7"/>
    <w:rsid w:val="005470B4"/>
    <w:rsid w:val="0054783A"/>
    <w:rsid w:val="005478C5"/>
    <w:rsid w:val="00552EFF"/>
    <w:rsid w:val="005533A4"/>
    <w:rsid w:val="005547E7"/>
    <w:rsid w:val="0055767C"/>
    <w:rsid w:val="00557818"/>
    <w:rsid w:val="005579B9"/>
    <w:rsid w:val="005608F5"/>
    <w:rsid w:val="005616C7"/>
    <w:rsid w:val="005617E4"/>
    <w:rsid w:val="005621A0"/>
    <w:rsid w:val="005625A1"/>
    <w:rsid w:val="00563D3A"/>
    <w:rsid w:val="00564666"/>
    <w:rsid w:val="00564981"/>
    <w:rsid w:val="005649A7"/>
    <w:rsid w:val="00565C0D"/>
    <w:rsid w:val="00571196"/>
    <w:rsid w:val="00571F6D"/>
    <w:rsid w:val="00572261"/>
    <w:rsid w:val="005745D7"/>
    <w:rsid w:val="005750CD"/>
    <w:rsid w:val="00575904"/>
    <w:rsid w:val="00575F7D"/>
    <w:rsid w:val="00576364"/>
    <w:rsid w:val="00577023"/>
    <w:rsid w:val="005808FE"/>
    <w:rsid w:val="00585E78"/>
    <w:rsid w:val="00591A8F"/>
    <w:rsid w:val="00593571"/>
    <w:rsid w:val="005942D0"/>
    <w:rsid w:val="00594B2B"/>
    <w:rsid w:val="005959F1"/>
    <w:rsid w:val="00595A7E"/>
    <w:rsid w:val="00595F82"/>
    <w:rsid w:val="00595FA3"/>
    <w:rsid w:val="00596060"/>
    <w:rsid w:val="005A1663"/>
    <w:rsid w:val="005A18B1"/>
    <w:rsid w:val="005A2ED6"/>
    <w:rsid w:val="005A50CE"/>
    <w:rsid w:val="005A6868"/>
    <w:rsid w:val="005B0337"/>
    <w:rsid w:val="005B0A24"/>
    <w:rsid w:val="005B1236"/>
    <w:rsid w:val="005B180F"/>
    <w:rsid w:val="005B1A91"/>
    <w:rsid w:val="005B363E"/>
    <w:rsid w:val="005B368A"/>
    <w:rsid w:val="005B439A"/>
    <w:rsid w:val="005B49EB"/>
    <w:rsid w:val="005B5A6E"/>
    <w:rsid w:val="005B7ABB"/>
    <w:rsid w:val="005C20EE"/>
    <w:rsid w:val="005C2C31"/>
    <w:rsid w:val="005C2F7D"/>
    <w:rsid w:val="005C349A"/>
    <w:rsid w:val="005C3ACC"/>
    <w:rsid w:val="005C3E37"/>
    <w:rsid w:val="005C4C76"/>
    <w:rsid w:val="005C4C95"/>
    <w:rsid w:val="005C5583"/>
    <w:rsid w:val="005C67DE"/>
    <w:rsid w:val="005D0F5B"/>
    <w:rsid w:val="005D25B0"/>
    <w:rsid w:val="005D2F1D"/>
    <w:rsid w:val="005D3C0D"/>
    <w:rsid w:val="005D3FD9"/>
    <w:rsid w:val="005D41BC"/>
    <w:rsid w:val="005E0095"/>
    <w:rsid w:val="005E14F1"/>
    <w:rsid w:val="005E1808"/>
    <w:rsid w:val="005E2AFC"/>
    <w:rsid w:val="005E4C73"/>
    <w:rsid w:val="005E5430"/>
    <w:rsid w:val="005E6E18"/>
    <w:rsid w:val="005F068D"/>
    <w:rsid w:val="005F151B"/>
    <w:rsid w:val="005F1D59"/>
    <w:rsid w:val="005F200E"/>
    <w:rsid w:val="005F2DDA"/>
    <w:rsid w:val="005F3015"/>
    <w:rsid w:val="005F46B7"/>
    <w:rsid w:val="005F6B8B"/>
    <w:rsid w:val="00600805"/>
    <w:rsid w:val="00600B2F"/>
    <w:rsid w:val="00601035"/>
    <w:rsid w:val="00605DBB"/>
    <w:rsid w:val="006066AD"/>
    <w:rsid w:val="00610C01"/>
    <w:rsid w:val="0061181A"/>
    <w:rsid w:val="0061186A"/>
    <w:rsid w:val="00616CD7"/>
    <w:rsid w:val="006219EA"/>
    <w:rsid w:val="00622A2A"/>
    <w:rsid w:val="006238F6"/>
    <w:rsid w:val="00625F10"/>
    <w:rsid w:val="00627F1F"/>
    <w:rsid w:val="0063167F"/>
    <w:rsid w:val="00632B42"/>
    <w:rsid w:val="00632E71"/>
    <w:rsid w:val="006330E0"/>
    <w:rsid w:val="00633740"/>
    <w:rsid w:val="00633828"/>
    <w:rsid w:val="0063448F"/>
    <w:rsid w:val="00634F5B"/>
    <w:rsid w:val="006409AA"/>
    <w:rsid w:val="00642776"/>
    <w:rsid w:val="00642FC3"/>
    <w:rsid w:val="00643121"/>
    <w:rsid w:val="006443E6"/>
    <w:rsid w:val="006506F0"/>
    <w:rsid w:val="00650B84"/>
    <w:rsid w:val="00653083"/>
    <w:rsid w:val="0065397C"/>
    <w:rsid w:val="00657A43"/>
    <w:rsid w:val="006628CD"/>
    <w:rsid w:val="00662E02"/>
    <w:rsid w:val="00663D46"/>
    <w:rsid w:val="006652C4"/>
    <w:rsid w:val="00666117"/>
    <w:rsid w:val="0066618D"/>
    <w:rsid w:val="00666AD9"/>
    <w:rsid w:val="006670B1"/>
    <w:rsid w:val="00667E80"/>
    <w:rsid w:val="0067082E"/>
    <w:rsid w:val="006728BD"/>
    <w:rsid w:val="00672CDA"/>
    <w:rsid w:val="0067458A"/>
    <w:rsid w:val="00674DE4"/>
    <w:rsid w:val="0067701B"/>
    <w:rsid w:val="00680FA3"/>
    <w:rsid w:val="0068346C"/>
    <w:rsid w:val="00683DD6"/>
    <w:rsid w:val="00686F74"/>
    <w:rsid w:val="00690850"/>
    <w:rsid w:val="006926D3"/>
    <w:rsid w:val="00694030"/>
    <w:rsid w:val="00695232"/>
    <w:rsid w:val="00697259"/>
    <w:rsid w:val="006978DD"/>
    <w:rsid w:val="00697E6C"/>
    <w:rsid w:val="006A12E4"/>
    <w:rsid w:val="006A1F86"/>
    <w:rsid w:val="006A232F"/>
    <w:rsid w:val="006A2E5D"/>
    <w:rsid w:val="006A3778"/>
    <w:rsid w:val="006A5449"/>
    <w:rsid w:val="006A663D"/>
    <w:rsid w:val="006A7199"/>
    <w:rsid w:val="006B1F99"/>
    <w:rsid w:val="006B2F7F"/>
    <w:rsid w:val="006B361A"/>
    <w:rsid w:val="006B3A67"/>
    <w:rsid w:val="006B4186"/>
    <w:rsid w:val="006B68AA"/>
    <w:rsid w:val="006B6B3A"/>
    <w:rsid w:val="006C36F4"/>
    <w:rsid w:val="006C3A98"/>
    <w:rsid w:val="006C5788"/>
    <w:rsid w:val="006D1AF8"/>
    <w:rsid w:val="006D4EB1"/>
    <w:rsid w:val="006D7897"/>
    <w:rsid w:val="006D7E93"/>
    <w:rsid w:val="006E4874"/>
    <w:rsid w:val="006E4E4A"/>
    <w:rsid w:val="006E5175"/>
    <w:rsid w:val="006E63B0"/>
    <w:rsid w:val="006E68C0"/>
    <w:rsid w:val="006F5299"/>
    <w:rsid w:val="006F6D38"/>
    <w:rsid w:val="006F7A8E"/>
    <w:rsid w:val="007001B0"/>
    <w:rsid w:val="00700597"/>
    <w:rsid w:val="00704FAA"/>
    <w:rsid w:val="00712666"/>
    <w:rsid w:val="00717481"/>
    <w:rsid w:val="007256D2"/>
    <w:rsid w:val="00725E33"/>
    <w:rsid w:val="00726501"/>
    <w:rsid w:val="00727F25"/>
    <w:rsid w:val="00734304"/>
    <w:rsid w:val="00734A13"/>
    <w:rsid w:val="00735096"/>
    <w:rsid w:val="00735359"/>
    <w:rsid w:val="00736172"/>
    <w:rsid w:val="007379EA"/>
    <w:rsid w:val="00740F06"/>
    <w:rsid w:val="00741D7A"/>
    <w:rsid w:val="00744AA2"/>
    <w:rsid w:val="0074565D"/>
    <w:rsid w:val="00745CA8"/>
    <w:rsid w:val="007470E1"/>
    <w:rsid w:val="00751AC2"/>
    <w:rsid w:val="00752744"/>
    <w:rsid w:val="00763462"/>
    <w:rsid w:val="0076414C"/>
    <w:rsid w:val="00764DC2"/>
    <w:rsid w:val="00764E30"/>
    <w:rsid w:val="007666A7"/>
    <w:rsid w:val="0077066A"/>
    <w:rsid w:val="007708C3"/>
    <w:rsid w:val="00771709"/>
    <w:rsid w:val="007733B3"/>
    <w:rsid w:val="0077417F"/>
    <w:rsid w:val="0077496D"/>
    <w:rsid w:val="00774D92"/>
    <w:rsid w:val="00776723"/>
    <w:rsid w:val="00780075"/>
    <w:rsid w:val="0078136F"/>
    <w:rsid w:val="007818AC"/>
    <w:rsid w:val="00782E95"/>
    <w:rsid w:val="00785034"/>
    <w:rsid w:val="0078539D"/>
    <w:rsid w:val="0078781D"/>
    <w:rsid w:val="00787E7A"/>
    <w:rsid w:val="00791297"/>
    <w:rsid w:val="0079361F"/>
    <w:rsid w:val="0079378A"/>
    <w:rsid w:val="00793815"/>
    <w:rsid w:val="00793BB0"/>
    <w:rsid w:val="00795F63"/>
    <w:rsid w:val="007964A1"/>
    <w:rsid w:val="0079678F"/>
    <w:rsid w:val="00797CF7"/>
    <w:rsid w:val="00797DC1"/>
    <w:rsid w:val="007A097E"/>
    <w:rsid w:val="007A2AEC"/>
    <w:rsid w:val="007A3DBB"/>
    <w:rsid w:val="007A3F8D"/>
    <w:rsid w:val="007A614A"/>
    <w:rsid w:val="007A680B"/>
    <w:rsid w:val="007A7A8F"/>
    <w:rsid w:val="007B2142"/>
    <w:rsid w:val="007B3C62"/>
    <w:rsid w:val="007B4A10"/>
    <w:rsid w:val="007B5762"/>
    <w:rsid w:val="007B68B0"/>
    <w:rsid w:val="007B6D67"/>
    <w:rsid w:val="007B774B"/>
    <w:rsid w:val="007C12B1"/>
    <w:rsid w:val="007C3137"/>
    <w:rsid w:val="007C3265"/>
    <w:rsid w:val="007C3911"/>
    <w:rsid w:val="007C595D"/>
    <w:rsid w:val="007C613E"/>
    <w:rsid w:val="007D0224"/>
    <w:rsid w:val="007D0B56"/>
    <w:rsid w:val="007D17E8"/>
    <w:rsid w:val="007D24CF"/>
    <w:rsid w:val="007D4AFC"/>
    <w:rsid w:val="007D5FCF"/>
    <w:rsid w:val="007D6E5B"/>
    <w:rsid w:val="007E0EC9"/>
    <w:rsid w:val="007E14FF"/>
    <w:rsid w:val="007E204B"/>
    <w:rsid w:val="007E25C5"/>
    <w:rsid w:val="007E36BC"/>
    <w:rsid w:val="007E4328"/>
    <w:rsid w:val="007E5282"/>
    <w:rsid w:val="007E6029"/>
    <w:rsid w:val="007E746B"/>
    <w:rsid w:val="007E7F47"/>
    <w:rsid w:val="007F148C"/>
    <w:rsid w:val="007F41DB"/>
    <w:rsid w:val="007F478A"/>
    <w:rsid w:val="007F55FF"/>
    <w:rsid w:val="007F5E21"/>
    <w:rsid w:val="007F5F85"/>
    <w:rsid w:val="007F7A59"/>
    <w:rsid w:val="007F7C84"/>
    <w:rsid w:val="0080386C"/>
    <w:rsid w:val="00803AA2"/>
    <w:rsid w:val="00805B36"/>
    <w:rsid w:val="00806D17"/>
    <w:rsid w:val="00811B02"/>
    <w:rsid w:val="008134EA"/>
    <w:rsid w:val="00813F77"/>
    <w:rsid w:val="008154AE"/>
    <w:rsid w:val="00815B4B"/>
    <w:rsid w:val="0082018C"/>
    <w:rsid w:val="0082148F"/>
    <w:rsid w:val="00822B81"/>
    <w:rsid w:val="00826AAF"/>
    <w:rsid w:val="008270D8"/>
    <w:rsid w:val="008312BB"/>
    <w:rsid w:val="0083138B"/>
    <w:rsid w:val="00833960"/>
    <w:rsid w:val="00833962"/>
    <w:rsid w:val="0083432F"/>
    <w:rsid w:val="00834669"/>
    <w:rsid w:val="00834CF9"/>
    <w:rsid w:val="008359B5"/>
    <w:rsid w:val="008363EF"/>
    <w:rsid w:val="0083786A"/>
    <w:rsid w:val="0084123F"/>
    <w:rsid w:val="00841843"/>
    <w:rsid w:val="0084352F"/>
    <w:rsid w:val="0084404B"/>
    <w:rsid w:val="00845575"/>
    <w:rsid w:val="00845E6C"/>
    <w:rsid w:val="008522BF"/>
    <w:rsid w:val="008524A7"/>
    <w:rsid w:val="0085448E"/>
    <w:rsid w:val="00857386"/>
    <w:rsid w:val="008575FE"/>
    <w:rsid w:val="00861D87"/>
    <w:rsid w:val="00863124"/>
    <w:rsid w:val="00863177"/>
    <w:rsid w:val="00865293"/>
    <w:rsid w:val="008711D3"/>
    <w:rsid w:val="008746E0"/>
    <w:rsid w:val="00880A61"/>
    <w:rsid w:val="00880EFE"/>
    <w:rsid w:val="00881E45"/>
    <w:rsid w:val="00882D6E"/>
    <w:rsid w:val="008838D6"/>
    <w:rsid w:val="00885A39"/>
    <w:rsid w:val="00886428"/>
    <w:rsid w:val="00886DF1"/>
    <w:rsid w:val="00890086"/>
    <w:rsid w:val="008913E0"/>
    <w:rsid w:val="00891C65"/>
    <w:rsid w:val="0089223E"/>
    <w:rsid w:val="00892EF5"/>
    <w:rsid w:val="00894308"/>
    <w:rsid w:val="008943C0"/>
    <w:rsid w:val="00894BF4"/>
    <w:rsid w:val="00895F3F"/>
    <w:rsid w:val="008977D3"/>
    <w:rsid w:val="008A0C6E"/>
    <w:rsid w:val="008A1858"/>
    <w:rsid w:val="008A30B8"/>
    <w:rsid w:val="008A7EDB"/>
    <w:rsid w:val="008B0500"/>
    <w:rsid w:val="008B08AD"/>
    <w:rsid w:val="008B3304"/>
    <w:rsid w:val="008C14CA"/>
    <w:rsid w:val="008C2FA3"/>
    <w:rsid w:val="008C4DB2"/>
    <w:rsid w:val="008C75D3"/>
    <w:rsid w:val="008C79D1"/>
    <w:rsid w:val="008D0FFB"/>
    <w:rsid w:val="008D10A3"/>
    <w:rsid w:val="008D3585"/>
    <w:rsid w:val="008D43B0"/>
    <w:rsid w:val="008D581A"/>
    <w:rsid w:val="008D7DF7"/>
    <w:rsid w:val="008E697A"/>
    <w:rsid w:val="008E7E4D"/>
    <w:rsid w:val="008F06F1"/>
    <w:rsid w:val="008F07B4"/>
    <w:rsid w:val="008F37F0"/>
    <w:rsid w:val="008F3A22"/>
    <w:rsid w:val="008F6F27"/>
    <w:rsid w:val="00900BFB"/>
    <w:rsid w:val="009019FA"/>
    <w:rsid w:val="00902124"/>
    <w:rsid w:val="0090246D"/>
    <w:rsid w:val="009029D3"/>
    <w:rsid w:val="00902CDD"/>
    <w:rsid w:val="0090562A"/>
    <w:rsid w:val="00906558"/>
    <w:rsid w:val="00906607"/>
    <w:rsid w:val="00907C8B"/>
    <w:rsid w:val="00907F4C"/>
    <w:rsid w:val="00911AF2"/>
    <w:rsid w:val="0091274E"/>
    <w:rsid w:val="00912D20"/>
    <w:rsid w:val="00912E65"/>
    <w:rsid w:val="00914FE8"/>
    <w:rsid w:val="0091501F"/>
    <w:rsid w:val="0091722C"/>
    <w:rsid w:val="009203C9"/>
    <w:rsid w:val="00920479"/>
    <w:rsid w:val="009210C7"/>
    <w:rsid w:val="0092194B"/>
    <w:rsid w:val="00923C25"/>
    <w:rsid w:val="009254BC"/>
    <w:rsid w:val="00926E90"/>
    <w:rsid w:val="00927B32"/>
    <w:rsid w:val="00931D51"/>
    <w:rsid w:val="009325FE"/>
    <w:rsid w:val="00934294"/>
    <w:rsid w:val="0093429E"/>
    <w:rsid w:val="00934AD6"/>
    <w:rsid w:val="00934FAF"/>
    <w:rsid w:val="00936DF0"/>
    <w:rsid w:val="009401C0"/>
    <w:rsid w:val="00940CE3"/>
    <w:rsid w:val="00941908"/>
    <w:rsid w:val="0094326C"/>
    <w:rsid w:val="00944B4D"/>
    <w:rsid w:val="00945A0C"/>
    <w:rsid w:val="009465DE"/>
    <w:rsid w:val="00950145"/>
    <w:rsid w:val="009530AE"/>
    <w:rsid w:val="009551DC"/>
    <w:rsid w:val="0095534E"/>
    <w:rsid w:val="00956754"/>
    <w:rsid w:val="00957233"/>
    <w:rsid w:val="009608A6"/>
    <w:rsid w:val="00961087"/>
    <w:rsid w:val="00961187"/>
    <w:rsid w:val="00962D42"/>
    <w:rsid w:val="0096351E"/>
    <w:rsid w:val="00964E56"/>
    <w:rsid w:val="009673F2"/>
    <w:rsid w:val="00970019"/>
    <w:rsid w:val="009704E2"/>
    <w:rsid w:val="00970E40"/>
    <w:rsid w:val="00971852"/>
    <w:rsid w:val="00971FC1"/>
    <w:rsid w:val="009744B8"/>
    <w:rsid w:val="009752CF"/>
    <w:rsid w:val="00977B5B"/>
    <w:rsid w:val="00980AA9"/>
    <w:rsid w:val="00981A26"/>
    <w:rsid w:val="0098245D"/>
    <w:rsid w:val="00983DFA"/>
    <w:rsid w:val="00984E7F"/>
    <w:rsid w:val="00986740"/>
    <w:rsid w:val="00986D03"/>
    <w:rsid w:val="00987072"/>
    <w:rsid w:val="009902A8"/>
    <w:rsid w:val="0099344C"/>
    <w:rsid w:val="009953B1"/>
    <w:rsid w:val="0099585D"/>
    <w:rsid w:val="00996ABD"/>
    <w:rsid w:val="009A1EB2"/>
    <w:rsid w:val="009A2230"/>
    <w:rsid w:val="009A3B2F"/>
    <w:rsid w:val="009A4402"/>
    <w:rsid w:val="009A6CEC"/>
    <w:rsid w:val="009A7E57"/>
    <w:rsid w:val="009B0B8D"/>
    <w:rsid w:val="009B1AF4"/>
    <w:rsid w:val="009B2B65"/>
    <w:rsid w:val="009B35D6"/>
    <w:rsid w:val="009B4FAC"/>
    <w:rsid w:val="009B73E9"/>
    <w:rsid w:val="009C2A4D"/>
    <w:rsid w:val="009C6351"/>
    <w:rsid w:val="009C64F5"/>
    <w:rsid w:val="009C68F4"/>
    <w:rsid w:val="009C6D47"/>
    <w:rsid w:val="009C70D9"/>
    <w:rsid w:val="009C7464"/>
    <w:rsid w:val="009C7578"/>
    <w:rsid w:val="009D03AA"/>
    <w:rsid w:val="009D12E3"/>
    <w:rsid w:val="009D3233"/>
    <w:rsid w:val="009D33B1"/>
    <w:rsid w:val="009D3ED1"/>
    <w:rsid w:val="009D59EC"/>
    <w:rsid w:val="009D6A84"/>
    <w:rsid w:val="009D7AB8"/>
    <w:rsid w:val="009E0AE1"/>
    <w:rsid w:val="009E475C"/>
    <w:rsid w:val="009E5289"/>
    <w:rsid w:val="009E5A54"/>
    <w:rsid w:val="009E6287"/>
    <w:rsid w:val="009E7479"/>
    <w:rsid w:val="009F012B"/>
    <w:rsid w:val="009F29DE"/>
    <w:rsid w:val="009F4AD8"/>
    <w:rsid w:val="009F517D"/>
    <w:rsid w:val="009F552B"/>
    <w:rsid w:val="009F7B8E"/>
    <w:rsid w:val="00A01140"/>
    <w:rsid w:val="00A0142F"/>
    <w:rsid w:val="00A01D7F"/>
    <w:rsid w:val="00A0230F"/>
    <w:rsid w:val="00A02EAF"/>
    <w:rsid w:val="00A03106"/>
    <w:rsid w:val="00A0696B"/>
    <w:rsid w:val="00A12508"/>
    <w:rsid w:val="00A132AC"/>
    <w:rsid w:val="00A170D2"/>
    <w:rsid w:val="00A175E7"/>
    <w:rsid w:val="00A1794A"/>
    <w:rsid w:val="00A17AA1"/>
    <w:rsid w:val="00A17FC0"/>
    <w:rsid w:val="00A2062D"/>
    <w:rsid w:val="00A2113F"/>
    <w:rsid w:val="00A22027"/>
    <w:rsid w:val="00A22994"/>
    <w:rsid w:val="00A22B00"/>
    <w:rsid w:val="00A2321B"/>
    <w:rsid w:val="00A2325F"/>
    <w:rsid w:val="00A25191"/>
    <w:rsid w:val="00A25B35"/>
    <w:rsid w:val="00A25D55"/>
    <w:rsid w:val="00A33DAD"/>
    <w:rsid w:val="00A358EF"/>
    <w:rsid w:val="00A367C8"/>
    <w:rsid w:val="00A4373B"/>
    <w:rsid w:val="00A446EC"/>
    <w:rsid w:val="00A452DF"/>
    <w:rsid w:val="00A46B48"/>
    <w:rsid w:val="00A503C5"/>
    <w:rsid w:val="00A50608"/>
    <w:rsid w:val="00A509E7"/>
    <w:rsid w:val="00A551AB"/>
    <w:rsid w:val="00A55651"/>
    <w:rsid w:val="00A55697"/>
    <w:rsid w:val="00A60765"/>
    <w:rsid w:val="00A6101F"/>
    <w:rsid w:val="00A62977"/>
    <w:rsid w:val="00A629E2"/>
    <w:rsid w:val="00A62F82"/>
    <w:rsid w:val="00A6591C"/>
    <w:rsid w:val="00A66314"/>
    <w:rsid w:val="00A67CF4"/>
    <w:rsid w:val="00A70DA0"/>
    <w:rsid w:val="00A73F95"/>
    <w:rsid w:val="00A73FFB"/>
    <w:rsid w:val="00A746CF"/>
    <w:rsid w:val="00A7559E"/>
    <w:rsid w:val="00A75815"/>
    <w:rsid w:val="00A7772D"/>
    <w:rsid w:val="00A82332"/>
    <w:rsid w:val="00A82A0F"/>
    <w:rsid w:val="00A83B9F"/>
    <w:rsid w:val="00A85BBA"/>
    <w:rsid w:val="00A85D5C"/>
    <w:rsid w:val="00A875FB"/>
    <w:rsid w:val="00A90473"/>
    <w:rsid w:val="00A91388"/>
    <w:rsid w:val="00A91CFC"/>
    <w:rsid w:val="00A93D4B"/>
    <w:rsid w:val="00A93DCA"/>
    <w:rsid w:val="00A96368"/>
    <w:rsid w:val="00A96CB1"/>
    <w:rsid w:val="00AA023C"/>
    <w:rsid w:val="00AA095E"/>
    <w:rsid w:val="00AA1169"/>
    <w:rsid w:val="00AA16C9"/>
    <w:rsid w:val="00AA1CAB"/>
    <w:rsid w:val="00AA2082"/>
    <w:rsid w:val="00AA2483"/>
    <w:rsid w:val="00AA581B"/>
    <w:rsid w:val="00AA64E8"/>
    <w:rsid w:val="00AA6849"/>
    <w:rsid w:val="00AA6BF6"/>
    <w:rsid w:val="00AA772A"/>
    <w:rsid w:val="00AB02FB"/>
    <w:rsid w:val="00AB15CC"/>
    <w:rsid w:val="00AB3462"/>
    <w:rsid w:val="00AB473B"/>
    <w:rsid w:val="00AB5731"/>
    <w:rsid w:val="00AB756C"/>
    <w:rsid w:val="00AC08DE"/>
    <w:rsid w:val="00AC2BA7"/>
    <w:rsid w:val="00AC3B1F"/>
    <w:rsid w:val="00AC45D0"/>
    <w:rsid w:val="00AC56E4"/>
    <w:rsid w:val="00AC5701"/>
    <w:rsid w:val="00AD0AFF"/>
    <w:rsid w:val="00AD1419"/>
    <w:rsid w:val="00AD1B6D"/>
    <w:rsid w:val="00AD35CE"/>
    <w:rsid w:val="00AD3712"/>
    <w:rsid w:val="00AD4BA3"/>
    <w:rsid w:val="00AD4E47"/>
    <w:rsid w:val="00AD4FE6"/>
    <w:rsid w:val="00AD545C"/>
    <w:rsid w:val="00AD5EF2"/>
    <w:rsid w:val="00AD6DB1"/>
    <w:rsid w:val="00AD7B62"/>
    <w:rsid w:val="00AE1234"/>
    <w:rsid w:val="00AE35E7"/>
    <w:rsid w:val="00AE5996"/>
    <w:rsid w:val="00AF0526"/>
    <w:rsid w:val="00AF16D7"/>
    <w:rsid w:val="00AF4690"/>
    <w:rsid w:val="00AF751E"/>
    <w:rsid w:val="00B046C9"/>
    <w:rsid w:val="00B054BF"/>
    <w:rsid w:val="00B06603"/>
    <w:rsid w:val="00B1024A"/>
    <w:rsid w:val="00B10DB5"/>
    <w:rsid w:val="00B11A1B"/>
    <w:rsid w:val="00B11CC5"/>
    <w:rsid w:val="00B11E3E"/>
    <w:rsid w:val="00B121D3"/>
    <w:rsid w:val="00B1388E"/>
    <w:rsid w:val="00B14CDC"/>
    <w:rsid w:val="00B153AA"/>
    <w:rsid w:val="00B15468"/>
    <w:rsid w:val="00B1626A"/>
    <w:rsid w:val="00B16860"/>
    <w:rsid w:val="00B24471"/>
    <w:rsid w:val="00B24911"/>
    <w:rsid w:val="00B24935"/>
    <w:rsid w:val="00B2518E"/>
    <w:rsid w:val="00B26965"/>
    <w:rsid w:val="00B2720E"/>
    <w:rsid w:val="00B33572"/>
    <w:rsid w:val="00B35751"/>
    <w:rsid w:val="00B36556"/>
    <w:rsid w:val="00B36F81"/>
    <w:rsid w:val="00B378D9"/>
    <w:rsid w:val="00B406E0"/>
    <w:rsid w:val="00B42608"/>
    <w:rsid w:val="00B47064"/>
    <w:rsid w:val="00B56A3A"/>
    <w:rsid w:val="00B62479"/>
    <w:rsid w:val="00B62A00"/>
    <w:rsid w:val="00B642E2"/>
    <w:rsid w:val="00B64737"/>
    <w:rsid w:val="00B65F29"/>
    <w:rsid w:val="00B6678A"/>
    <w:rsid w:val="00B6684A"/>
    <w:rsid w:val="00B67313"/>
    <w:rsid w:val="00B678A3"/>
    <w:rsid w:val="00B70CA8"/>
    <w:rsid w:val="00B70F33"/>
    <w:rsid w:val="00B7544B"/>
    <w:rsid w:val="00B75D00"/>
    <w:rsid w:val="00B77820"/>
    <w:rsid w:val="00B80346"/>
    <w:rsid w:val="00B805F9"/>
    <w:rsid w:val="00B82873"/>
    <w:rsid w:val="00B82B60"/>
    <w:rsid w:val="00B854B4"/>
    <w:rsid w:val="00B86AB4"/>
    <w:rsid w:val="00B8720E"/>
    <w:rsid w:val="00B9034B"/>
    <w:rsid w:val="00B91794"/>
    <w:rsid w:val="00B9220E"/>
    <w:rsid w:val="00B93B99"/>
    <w:rsid w:val="00B943C4"/>
    <w:rsid w:val="00B976E2"/>
    <w:rsid w:val="00B9791C"/>
    <w:rsid w:val="00BA4AF8"/>
    <w:rsid w:val="00BA59FE"/>
    <w:rsid w:val="00BB136C"/>
    <w:rsid w:val="00BB1FF9"/>
    <w:rsid w:val="00BC1043"/>
    <w:rsid w:val="00BC1A0C"/>
    <w:rsid w:val="00BC25E7"/>
    <w:rsid w:val="00BC3201"/>
    <w:rsid w:val="00BC4AE5"/>
    <w:rsid w:val="00BC54A1"/>
    <w:rsid w:val="00BC64E4"/>
    <w:rsid w:val="00BD2E89"/>
    <w:rsid w:val="00BD30E6"/>
    <w:rsid w:val="00BD40F1"/>
    <w:rsid w:val="00BD5164"/>
    <w:rsid w:val="00BD5557"/>
    <w:rsid w:val="00BD7B8F"/>
    <w:rsid w:val="00BE09AE"/>
    <w:rsid w:val="00BE317E"/>
    <w:rsid w:val="00BE3720"/>
    <w:rsid w:val="00BE5B28"/>
    <w:rsid w:val="00BE7A42"/>
    <w:rsid w:val="00BF3FDF"/>
    <w:rsid w:val="00BF48CF"/>
    <w:rsid w:val="00BF6257"/>
    <w:rsid w:val="00BF64BF"/>
    <w:rsid w:val="00C00DE6"/>
    <w:rsid w:val="00C03957"/>
    <w:rsid w:val="00C04DDF"/>
    <w:rsid w:val="00C05C6D"/>
    <w:rsid w:val="00C05F82"/>
    <w:rsid w:val="00C1105B"/>
    <w:rsid w:val="00C125BA"/>
    <w:rsid w:val="00C12ED0"/>
    <w:rsid w:val="00C1385E"/>
    <w:rsid w:val="00C138E0"/>
    <w:rsid w:val="00C15423"/>
    <w:rsid w:val="00C15BD2"/>
    <w:rsid w:val="00C179D9"/>
    <w:rsid w:val="00C2000F"/>
    <w:rsid w:val="00C20B3A"/>
    <w:rsid w:val="00C20F59"/>
    <w:rsid w:val="00C234B2"/>
    <w:rsid w:val="00C24EE9"/>
    <w:rsid w:val="00C26ABB"/>
    <w:rsid w:val="00C27C3C"/>
    <w:rsid w:val="00C30B37"/>
    <w:rsid w:val="00C30BB4"/>
    <w:rsid w:val="00C34845"/>
    <w:rsid w:val="00C34BFD"/>
    <w:rsid w:val="00C40133"/>
    <w:rsid w:val="00C40247"/>
    <w:rsid w:val="00C41260"/>
    <w:rsid w:val="00C41624"/>
    <w:rsid w:val="00C41AE9"/>
    <w:rsid w:val="00C41B14"/>
    <w:rsid w:val="00C42073"/>
    <w:rsid w:val="00C426BC"/>
    <w:rsid w:val="00C4473F"/>
    <w:rsid w:val="00C46657"/>
    <w:rsid w:val="00C51A8B"/>
    <w:rsid w:val="00C52BC3"/>
    <w:rsid w:val="00C54CD7"/>
    <w:rsid w:val="00C57069"/>
    <w:rsid w:val="00C578E0"/>
    <w:rsid w:val="00C60712"/>
    <w:rsid w:val="00C6104D"/>
    <w:rsid w:val="00C611A3"/>
    <w:rsid w:val="00C61855"/>
    <w:rsid w:val="00C64F06"/>
    <w:rsid w:val="00C64F8E"/>
    <w:rsid w:val="00C65104"/>
    <w:rsid w:val="00C66092"/>
    <w:rsid w:val="00C67C47"/>
    <w:rsid w:val="00C71D2D"/>
    <w:rsid w:val="00C72577"/>
    <w:rsid w:val="00C73B45"/>
    <w:rsid w:val="00C7431D"/>
    <w:rsid w:val="00C769FF"/>
    <w:rsid w:val="00C76A8C"/>
    <w:rsid w:val="00C80475"/>
    <w:rsid w:val="00C80FE9"/>
    <w:rsid w:val="00C8163C"/>
    <w:rsid w:val="00C83601"/>
    <w:rsid w:val="00C83716"/>
    <w:rsid w:val="00C83777"/>
    <w:rsid w:val="00C83D1F"/>
    <w:rsid w:val="00C842E4"/>
    <w:rsid w:val="00C85F95"/>
    <w:rsid w:val="00C86D78"/>
    <w:rsid w:val="00C87F09"/>
    <w:rsid w:val="00C926BE"/>
    <w:rsid w:val="00C93B89"/>
    <w:rsid w:val="00C95336"/>
    <w:rsid w:val="00C9536E"/>
    <w:rsid w:val="00C97535"/>
    <w:rsid w:val="00CA0341"/>
    <w:rsid w:val="00CA1989"/>
    <w:rsid w:val="00CA1DFC"/>
    <w:rsid w:val="00CA5A79"/>
    <w:rsid w:val="00CA5BA2"/>
    <w:rsid w:val="00CB0053"/>
    <w:rsid w:val="00CB1AA9"/>
    <w:rsid w:val="00CB4E4E"/>
    <w:rsid w:val="00CB5204"/>
    <w:rsid w:val="00CC0C5A"/>
    <w:rsid w:val="00CC1DE5"/>
    <w:rsid w:val="00CC2557"/>
    <w:rsid w:val="00CC3027"/>
    <w:rsid w:val="00CC3C8E"/>
    <w:rsid w:val="00CC3DEA"/>
    <w:rsid w:val="00CC4543"/>
    <w:rsid w:val="00CC5A94"/>
    <w:rsid w:val="00CC7541"/>
    <w:rsid w:val="00CD113C"/>
    <w:rsid w:val="00CD40CE"/>
    <w:rsid w:val="00CD5A27"/>
    <w:rsid w:val="00CD5B7C"/>
    <w:rsid w:val="00CD6C4C"/>
    <w:rsid w:val="00CD6FA4"/>
    <w:rsid w:val="00CE0A86"/>
    <w:rsid w:val="00CE22F6"/>
    <w:rsid w:val="00CE3EB8"/>
    <w:rsid w:val="00CE7070"/>
    <w:rsid w:val="00CE73E2"/>
    <w:rsid w:val="00CF09FA"/>
    <w:rsid w:val="00CF12A5"/>
    <w:rsid w:val="00CF189D"/>
    <w:rsid w:val="00CF256D"/>
    <w:rsid w:val="00CF41FE"/>
    <w:rsid w:val="00CF652D"/>
    <w:rsid w:val="00CF6DA2"/>
    <w:rsid w:val="00CF6F0D"/>
    <w:rsid w:val="00CF7C16"/>
    <w:rsid w:val="00D0017E"/>
    <w:rsid w:val="00D005FD"/>
    <w:rsid w:val="00D0198F"/>
    <w:rsid w:val="00D0262C"/>
    <w:rsid w:val="00D03180"/>
    <w:rsid w:val="00D0318E"/>
    <w:rsid w:val="00D04E92"/>
    <w:rsid w:val="00D07700"/>
    <w:rsid w:val="00D1126F"/>
    <w:rsid w:val="00D12BCC"/>
    <w:rsid w:val="00D1411C"/>
    <w:rsid w:val="00D1432A"/>
    <w:rsid w:val="00D15453"/>
    <w:rsid w:val="00D1595F"/>
    <w:rsid w:val="00D169AC"/>
    <w:rsid w:val="00D173C2"/>
    <w:rsid w:val="00D17E13"/>
    <w:rsid w:val="00D253BE"/>
    <w:rsid w:val="00D2594F"/>
    <w:rsid w:val="00D3055C"/>
    <w:rsid w:val="00D30BC7"/>
    <w:rsid w:val="00D31BCB"/>
    <w:rsid w:val="00D36587"/>
    <w:rsid w:val="00D378CD"/>
    <w:rsid w:val="00D409FC"/>
    <w:rsid w:val="00D42551"/>
    <w:rsid w:val="00D42869"/>
    <w:rsid w:val="00D42AA7"/>
    <w:rsid w:val="00D43788"/>
    <w:rsid w:val="00D43A48"/>
    <w:rsid w:val="00D44148"/>
    <w:rsid w:val="00D44466"/>
    <w:rsid w:val="00D50746"/>
    <w:rsid w:val="00D50D25"/>
    <w:rsid w:val="00D52BF8"/>
    <w:rsid w:val="00D53AAA"/>
    <w:rsid w:val="00D54E2F"/>
    <w:rsid w:val="00D60B68"/>
    <w:rsid w:val="00D60CBE"/>
    <w:rsid w:val="00D616B0"/>
    <w:rsid w:val="00D62107"/>
    <w:rsid w:val="00D6228E"/>
    <w:rsid w:val="00D642F1"/>
    <w:rsid w:val="00D64CF6"/>
    <w:rsid w:val="00D64EDD"/>
    <w:rsid w:val="00D6523B"/>
    <w:rsid w:val="00D6773B"/>
    <w:rsid w:val="00D74186"/>
    <w:rsid w:val="00D74C2A"/>
    <w:rsid w:val="00D750DD"/>
    <w:rsid w:val="00D7579D"/>
    <w:rsid w:val="00D763B6"/>
    <w:rsid w:val="00D763F7"/>
    <w:rsid w:val="00D766DD"/>
    <w:rsid w:val="00D76D27"/>
    <w:rsid w:val="00D773DA"/>
    <w:rsid w:val="00D77E71"/>
    <w:rsid w:val="00D80BC0"/>
    <w:rsid w:val="00D81B6E"/>
    <w:rsid w:val="00D825C1"/>
    <w:rsid w:val="00D825EB"/>
    <w:rsid w:val="00D834F6"/>
    <w:rsid w:val="00D837E5"/>
    <w:rsid w:val="00D90446"/>
    <w:rsid w:val="00D90509"/>
    <w:rsid w:val="00D90516"/>
    <w:rsid w:val="00D91A46"/>
    <w:rsid w:val="00D92B4F"/>
    <w:rsid w:val="00D9443B"/>
    <w:rsid w:val="00D96625"/>
    <w:rsid w:val="00DA27AF"/>
    <w:rsid w:val="00DA32FE"/>
    <w:rsid w:val="00DA59B4"/>
    <w:rsid w:val="00DB3457"/>
    <w:rsid w:val="00DB527F"/>
    <w:rsid w:val="00DB57C1"/>
    <w:rsid w:val="00DB62BC"/>
    <w:rsid w:val="00DC0A32"/>
    <w:rsid w:val="00DC19F0"/>
    <w:rsid w:val="00DC2065"/>
    <w:rsid w:val="00DC5F9B"/>
    <w:rsid w:val="00DC748A"/>
    <w:rsid w:val="00DD06C8"/>
    <w:rsid w:val="00DD17EA"/>
    <w:rsid w:val="00DE1CB4"/>
    <w:rsid w:val="00DE3D10"/>
    <w:rsid w:val="00DE5910"/>
    <w:rsid w:val="00DE60D7"/>
    <w:rsid w:val="00DE78FD"/>
    <w:rsid w:val="00DF2341"/>
    <w:rsid w:val="00DF54D0"/>
    <w:rsid w:val="00DF61A1"/>
    <w:rsid w:val="00E00B90"/>
    <w:rsid w:val="00E02905"/>
    <w:rsid w:val="00E05259"/>
    <w:rsid w:val="00E05FB8"/>
    <w:rsid w:val="00E06E39"/>
    <w:rsid w:val="00E07113"/>
    <w:rsid w:val="00E074A7"/>
    <w:rsid w:val="00E12F57"/>
    <w:rsid w:val="00E13B6E"/>
    <w:rsid w:val="00E20570"/>
    <w:rsid w:val="00E212A2"/>
    <w:rsid w:val="00E2296F"/>
    <w:rsid w:val="00E23C0D"/>
    <w:rsid w:val="00E24AC7"/>
    <w:rsid w:val="00E305C8"/>
    <w:rsid w:val="00E3072D"/>
    <w:rsid w:val="00E339E6"/>
    <w:rsid w:val="00E33BAB"/>
    <w:rsid w:val="00E33D9B"/>
    <w:rsid w:val="00E36387"/>
    <w:rsid w:val="00E367BE"/>
    <w:rsid w:val="00E40D14"/>
    <w:rsid w:val="00E40D9A"/>
    <w:rsid w:val="00E40DDE"/>
    <w:rsid w:val="00E41B5F"/>
    <w:rsid w:val="00E41BF5"/>
    <w:rsid w:val="00E41C18"/>
    <w:rsid w:val="00E43076"/>
    <w:rsid w:val="00E43D50"/>
    <w:rsid w:val="00E44C5B"/>
    <w:rsid w:val="00E44C70"/>
    <w:rsid w:val="00E4502A"/>
    <w:rsid w:val="00E50200"/>
    <w:rsid w:val="00E50E6A"/>
    <w:rsid w:val="00E535E6"/>
    <w:rsid w:val="00E553C3"/>
    <w:rsid w:val="00E553F7"/>
    <w:rsid w:val="00E64697"/>
    <w:rsid w:val="00E65407"/>
    <w:rsid w:val="00E7035E"/>
    <w:rsid w:val="00E71037"/>
    <w:rsid w:val="00E74517"/>
    <w:rsid w:val="00E768FE"/>
    <w:rsid w:val="00E76C05"/>
    <w:rsid w:val="00E77735"/>
    <w:rsid w:val="00E77CFA"/>
    <w:rsid w:val="00E80A79"/>
    <w:rsid w:val="00E80E45"/>
    <w:rsid w:val="00E810D2"/>
    <w:rsid w:val="00E8210C"/>
    <w:rsid w:val="00E8269B"/>
    <w:rsid w:val="00E82DFA"/>
    <w:rsid w:val="00E830F7"/>
    <w:rsid w:val="00E85E7B"/>
    <w:rsid w:val="00E87B6B"/>
    <w:rsid w:val="00E90B22"/>
    <w:rsid w:val="00E90EC0"/>
    <w:rsid w:val="00E910AF"/>
    <w:rsid w:val="00E922E3"/>
    <w:rsid w:val="00E92F2C"/>
    <w:rsid w:val="00E93A9B"/>
    <w:rsid w:val="00E93D38"/>
    <w:rsid w:val="00E940DD"/>
    <w:rsid w:val="00E9491B"/>
    <w:rsid w:val="00E95742"/>
    <w:rsid w:val="00E95787"/>
    <w:rsid w:val="00E95F9F"/>
    <w:rsid w:val="00E96D3F"/>
    <w:rsid w:val="00E96DED"/>
    <w:rsid w:val="00E96EF6"/>
    <w:rsid w:val="00EA7076"/>
    <w:rsid w:val="00EA7286"/>
    <w:rsid w:val="00EA73A8"/>
    <w:rsid w:val="00EB104A"/>
    <w:rsid w:val="00EB1691"/>
    <w:rsid w:val="00EB1D9D"/>
    <w:rsid w:val="00EB2E77"/>
    <w:rsid w:val="00EB3660"/>
    <w:rsid w:val="00EB4A89"/>
    <w:rsid w:val="00EB55DC"/>
    <w:rsid w:val="00EC0891"/>
    <w:rsid w:val="00EC1944"/>
    <w:rsid w:val="00EC23C6"/>
    <w:rsid w:val="00EC41F5"/>
    <w:rsid w:val="00EC5637"/>
    <w:rsid w:val="00EC5A8D"/>
    <w:rsid w:val="00EC692F"/>
    <w:rsid w:val="00ED1BF0"/>
    <w:rsid w:val="00ED2306"/>
    <w:rsid w:val="00ED3170"/>
    <w:rsid w:val="00ED4425"/>
    <w:rsid w:val="00ED72DB"/>
    <w:rsid w:val="00EE1263"/>
    <w:rsid w:val="00EE39E5"/>
    <w:rsid w:val="00EE3B02"/>
    <w:rsid w:val="00EE50A9"/>
    <w:rsid w:val="00EE5DEA"/>
    <w:rsid w:val="00EE6B67"/>
    <w:rsid w:val="00EE6B74"/>
    <w:rsid w:val="00EF46CF"/>
    <w:rsid w:val="00EF5EA3"/>
    <w:rsid w:val="00EF6630"/>
    <w:rsid w:val="00F012DA"/>
    <w:rsid w:val="00F01BC2"/>
    <w:rsid w:val="00F01C24"/>
    <w:rsid w:val="00F02235"/>
    <w:rsid w:val="00F02EC9"/>
    <w:rsid w:val="00F042DC"/>
    <w:rsid w:val="00F04789"/>
    <w:rsid w:val="00F050F8"/>
    <w:rsid w:val="00F058AA"/>
    <w:rsid w:val="00F06620"/>
    <w:rsid w:val="00F06822"/>
    <w:rsid w:val="00F13955"/>
    <w:rsid w:val="00F15192"/>
    <w:rsid w:val="00F16AE7"/>
    <w:rsid w:val="00F17335"/>
    <w:rsid w:val="00F201EE"/>
    <w:rsid w:val="00F22151"/>
    <w:rsid w:val="00F2441A"/>
    <w:rsid w:val="00F251D1"/>
    <w:rsid w:val="00F30306"/>
    <w:rsid w:val="00F32A32"/>
    <w:rsid w:val="00F330D5"/>
    <w:rsid w:val="00F33953"/>
    <w:rsid w:val="00F34CDB"/>
    <w:rsid w:val="00F36F9D"/>
    <w:rsid w:val="00F40555"/>
    <w:rsid w:val="00F41C7D"/>
    <w:rsid w:val="00F42D84"/>
    <w:rsid w:val="00F43A5A"/>
    <w:rsid w:val="00F43B4B"/>
    <w:rsid w:val="00F4517D"/>
    <w:rsid w:val="00F45579"/>
    <w:rsid w:val="00F46062"/>
    <w:rsid w:val="00F50CC6"/>
    <w:rsid w:val="00F51B7F"/>
    <w:rsid w:val="00F568DD"/>
    <w:rsid w:val="00F6092D"/>
    <w:rsid w:val="00F61664"/>
    <w:rsid w:val="00F62192"/>
    <w:rsid w:val="00F62F94"/>
    <w:rsid w:val="00F64F6B"/>
    <w:rsid w:val="00F65333"/>
    <w:rsid w:val="00F679C1"/>
    <w:rsid w:val="00F71F9E"/>
    <w:rsid w:val="00F721F7"/>
    <w:rsid w:val="00F72468"/>
    <w:rsid w:val="00F72BBB"/>
    <w:rsid w:val="00F73353"/>
    <w:rsid w:val="00F7497E"/>
    <w:rsid w:val="00F7532F"/>
    <w:rsid w:val="00F75C3E"/>
    <w:rsid w:val="00F7644D"/>
    <w:rsid w:val="00F77C55"/>
    <w:rsid w:val="00F810BF"/>
    <w:rsid w:val="00F814E0"/>
    <w:rsid w:val="00F8287D"/>
    <w:rsid w:val="00F830B4"/>
    <w:rsid w:val="00F8412E"/>
    <w:rsid w:val="00F851D9"/>
    <w:rsid w:val="00F86C0F"/>
    <w:rsid w:val="00F953A7"/>
    <w:rsid w:val="00F95DA1"/>
    <w:rsid w:val="00F972E5"/>
    <w:rsid w:val="00FA09B6"/>
    <w:rsid w:val="00FA172F"/>
    <w:rsid w:val="00FA181A"/>
    <w:rsid w:val="00FA4222"/>
    <w:rsid w:val="00FA710F"/>
    <w:rsid w:val="00FB2F13"/>
    <w:rsid w:val="00FB3553"/>
    <w:rsid w:val="00FB6ED4"/>
    <w:rsid w:val="00FC0134"/>
    <w:rsid w:val="00FC2DF1"/>
    <w:rsid w:val="00FC58B6"/>
    <w:rsid w:val="00FC694A"/>
    <w:rsid w:val="00FD30CB"/>
    <w:rsid w:val="00FD3CFD"/>
    <w:rsid w:val="00FD4C13"/>
    <w:rsid w:val="00FD58B1"/>
    <w:rsid w:val="00FD6208"/>
    <w:rsid w:val="00FD7CBD"/>
    <w:rsid w:val="00FE0237"/>
    <w:rsid w:val="00FE2468"/>
    <w:rsid w:val="00FE26D3"/>
    <w:rsid w:val="00FE3175"/>
    <w:rsid w:val="00FE44F1"/>
    <w:rsid w:val="00FF2B94"/>
    <w:rsid w:val="00FF2FC0"/>
    <w:rsid w:val="00FF5319"/>
    <w:rsid w:val="00FF55E6"/>
    <w:rsid w:val="00FF6738"/>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56B4C6F"/>
  <w15:docId w15:val="{91A5D9E9-44BF-9C4B-9E53-9CA85A0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5D"/>
    <w:pPr>
      <w:ind w:left="1843" w:hanging="567"/>
    </w:pPr>
    <w:rPr>
      <w:sz w:val="22"/>
      <w:szCs w:val="22"/>
      <w:lang w:val="ms-MY"/>
    </w:rPr>
  </w:style>
  <w:style w:type="paragraph" w:styleId="Heading1">
    <w:name w:val="heading 1"/>
    <w:basedOn w:val="Normal"/>
    <w:next w:val="Normal"/>
    <w:link w:val="Heading1Char"/>
    <w:uiPriority w:val="9"/>
    <w:qFormat/>
    <w:rsid w:val="00A875FB"/>
    <w:pPr>
      <w:keepNext/>
      <w:keepLines/>
      <w:spacing w:before="480" w:line="276" w:lineRule="auto"/>
      <w:ind w:left="0" w:firstLine="0"/>
      <w:outlineLvl w:val="0"/>
    </w:pPr>
    <w:rPr>
      <w:rFonts w:ascii="Cambria" w:eastAsia="Times New Roman" w:hAnsi="Cambria"/>
      <w:b/>
      <w:bCs/>
      <w:color w:val="365F91"/>
      <w:sz w:val="28"/>
      <w:szCs w:val="28"/>
      <w:lang w:val="x-none"/>
    </w:rPr>
  </w:style>
  <w:style w:type="paragraph" w:styleId="Heading2">
    <w:name w:val="heading 2"/>
    <w:aliases w:val="H2-Sec. Head"/>
    <w:basedOn w:val="Normal"/>
    <w:next w:val="Normal"/>
    <w:link w:val="Heading2Char"/>
    <w:qFormat/>
    <w:rsid w:val="00D616B0"/>
    <w:pPr>
      <w:keepNext/>
      <w:tabs>
        <w:tab w:val="left" w:pos="1152"/>
      </w:tabs>
      <w:spacing w:before="240" w:after="120" w:line="240" w:lineRule="atLeast"/>
      <w:ind w:left="1080" w:hanging="720"/>
      <w:outlineLvl w:val="1"/>
    </w:pPr>
    <w:rPr>
      <w:rFonts w:ascii="Arial Bold" w:eastAsia="Times New Roman" w:hAnsi="Arial Bold"/>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FD2"/>
    <w:pPr>
      <w:tabs>
        <w:tab w:val="center" w:pos="4536"/>
        <w:tab w:val="right" w:pos="9072"/>
      </w:tabs>
    </w:pPr>
  </w:style>
  <w:style w:type="character" w:customStyle="1" w:styleId="HeaderChar">
    <w:name w:val="Header Char"/>
    <w:basedOn w:val="DefaultParagraphFont"/>
    <w:link w:val="Header"/>
    <w:uiPriority w:val="99"/>
    <w:rsid w:val="003B2FD2"/>
  </w:style>
  <w:style w:type="paragraph" w:styleId="Footer">
    <w:name w:val="footer"/>
    <w:basedOn w:val="Normal"/>
    <w:link w:val="FooterChar"/>
    <w:uiPriority w:val="99"/>
    <w:unhideWhenUsed/>
    <w:rsid w:val="003B2FD2"/>
    <w:pPr>
      <w:tabs>
        <w:tab w:val="center" w:pos="4536"/>
        <w:tab w:val="right" w:pos="9072"/>
      </w:tabs>
    </w:pPr>
  </w:style>
  <w:style w:type="character" w:customStyle="1" w:styleId="FooterChar">
    <w:name w:val="Footer Char"/>
    <w:basedOn w:val="DefaultParagraphFont"/>
    <w:link w:val="Footer"/>
    <w:uiPriority w:val="99"/>
    <w:rsid w:val="003B2FD2"/>
  </w:style>
  <w:style w:type="table" w:styleId="TableGrid">
    <w:name w:val="Table Grid"/>
    <w:basedOn w:val="TableNormal"/>
    <w:uiPriority w:val="59"/>
    <w:rsid w:val="00337E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D3ED1"/>
    <w:pPr>
      <w:ind w:left="0" w:firstLine="274"/>
      <w:jc w:val="both"/>
    </w:pPr>
    <w:rPr>
      <w:rFonts w:eastAsia="Times New Roman"/>
      <w:sz w:val="20"/>
      <w:szCs w:val="20"/>
      <w:lang w:val="en-US"/>
    </w:rPr>
  </w:style>
  <w:style w:type="paragraph" w:styleId="BalloonText">
    <w:name w:val="Balloon Text"/>
    <w:basedOn w:val="Normal"/>
    <w:link w:val="BalloonTextChar"/>
    <w:uiPriority w:val="99"/>
    <w:semiHidden/>
    <w:unhideWhenUsed/>
    <w:rsid w:val="00BF64BF"/>
    <w:rPr>
      <w:rFonts w:ascii="Tahoma" w:hAnsi="Tahoma"/>
      <w:sz w:val="16"/>
      <w:szCs w:val="16"/>
    </w:rPr>
  </w:style>
  <w:style w:type="character" w:customStyle="1" w:styleId="BalloonTextChar">
    <w:name w:val="Balloon Text Char"/>
    <w:link w:val="BalloonText"/>
    <w:uiPriority w:val="99"/>
    <w:semiHidden/>
    <w:rsid w:val="00BF64BF"/>
    <w:rPr>
      <w:rFonts w:ascii="Tahoma" w:hAnsi="Tahoma" w:cs="Tahoma"/>
      <w:sz w:val="16"/>
      <w:szCs w:val="16"/>
      <w:lang w:val="ms-MY" w:eastAsia="en-US"/>
    </w:rPr>
  </w:style>
  <w:style w:type="character" w:styleId="CommentReference">
    <w:name w:val="annotation reference"/>
    <w:uiPriority w:val="99"/>
    <w:semiHidden/>
    <w:unhideWhenUsed/>
    <w:rsid w:val="008A1858"/>
    <w:rPr>
      <w:sz w:val="18"/>
      <w:szCs w:val="18"/>
    </w:rPr>
  </w:style>
  <w:style w:type="paragraph" w:styleId="CommentText">
    <w:name w:val="annotation text"/>
    <w:basedOn w:val="Normal"/>
    <w:link w:val="CommentTextChar"/>
    <w:uiPriority w:val="99"/>
    <w:unhideWhenUsed/>
    <w:rsid w:val="008A1858"/>
    <w:rPr>
      <w:sz w:val="24"/>
      <w:szCs w:val="24"/>
      <w:lang w:eastAsia="x-none"/>
    </w:rPr>
  </w:style>
  <w:style w:type="character" w:customStyle="1" w:styleId="CommentTextChar">
    <w:name w:val="Comment Text Char"/>
    <w:link w:val="CommentText"/>
    <w:uiPriority w:val="99"/>
    <w:rsid w:val="008A1858"/>
    <w:rPr>
      <w:sz w:val="24"/>
      <w:szCs w:val="24"/>
      <w:lang w:val="ms-MY"/>
    </w:rPr>
  </w:style>
  <w:style w:type="paragraph" w:styleId="CommentSubject">
    <w:name w:val="annotation subject"/>
    <w:basedOn w:val="CommentText"/>
    <w:next w:val="CommentText"/>
    <w:link w:val="CommentSubjectChar"/>
    <w:uiPriority w:val="99"/>
    <w:semiHidden/>
    <w:unhideWhenUsed/>
    <w:rsid w:val="008A1858"/>
    <w:rPr>
      <w:b/>
      <w:bCs/>
    </w:rPr>
  </w:style>
  <w:style w:type="character" w:customStyle="1" w:styleId="CommentSubjectChar">
    <w:name w:val="Comment Subject Char"/>
    <w:link w:val="CommentSubject"/>
    <w:uiPriority w:val="99"/>
    <w:semiHidden/>
    <w:rsid w:val="008A1858"/>
    <w:rPr>
      <w:b/>
      <w:bCs/>
      <w:sz w:val="24"/>
      <w:szCs w:val="24"/>
      <w:lang w:val="ms-MY"/>
    </w:rPr>
  </w:style>
  <w:style w:type="character" w:styleId="Hyperlink">
    <w:name w:val="Hyperlink"/>
    <w:uiPriority w:val="99"/>
    <w:unhideWhenUsed/>
    <w:rsid w:val="002974FD"/>
    <w:rPr>
      <w:color w:val="0000FF"/>
      <w:u w:val="single"/>
    </w:rPr>
  </w:style>
  <w:style w:type="paragraph" w:customStyle="1" w:styleId="AuthorAffiliation">
    <w:name w:val="Author Affiliation"/>
    <w:basedOn w:val="Normal"/>
    <w:rsid w:val="004E2F0D"/>
    <w:pPr>
      <w:ind w:left="0" w:firstLine="0"/>
      <w:jc w:val="center"/>
    </w:pPr>
    <w:rPr>
      <w:rFonts w:eastAsia="Times New Roman"/>
      <w:i/>
      <w:sz w:val="20"/>
      <w:szCs w:val="20"/>
      <w:lang w:val="en-US"/>
    </w:rPr>
  </w:style>
  <w:style w:type="paragraph" w:customStyle="1" w:styleId="Abstract">
    <w:name w:val="Abstract"/>
    <w:basedOn w:val="Normal"/>
    <w:rsid w:val="004E2F0D"/>
    <w:pPr>
      <w:spacing w:before="360"/>
      <w:ind w:left="288" w:right="288" w:firstLine="0"/>
      <w:jc w:val="both"/>
    </w:pPr>
    <w:rPr>
      <w:rFonts w:eastAsia="Times New Roman"/>
      <w:sz w:val="18"/>
      <w:szCs w:val="20"/>
      <w:lang w:val="en-US"/>
    </w:rPr>
  </w:style>
  <w:style w:type="paragraph" w:styleId="ListParagraph">
    <w:name w:val="List Paragraph"/>
    <w:basedOn w:val="Normal"/>
    <w:uiPriority w:val="34"/>
    <w:qFormat/>
    <w:rsid w:val="004E2F0D"/>
    <w:pPr>
      <w:spacing w:after="200" w:line="276" w:lineRule="auto"/>
      <w:ind w:left="720" w:firstLine="0"/>
      <w:contextualSpacing/>
    </w:pPr>
    <w:rPr>
      <w:rFonts w:ascii="Calibri" w:hAnsi="Calibri"/>
    </w:rPr>
  </w:style>
  <w:style w:type="character" w:customStyle="1" w:styleId="A4">
    <w:name w:val="A4"/>
    <w:uiPriority w:val="99"/>
    <w:rsid w:val="001666A7"/>
    <w:rPr>
      <w:rFonts w:cs="Adobe Garamond Pro"/>
      <w:color w:val="000000"/>
      <w:sz w:val="14"/>
      <w:szCs w:val="14"/>
    </w:rPr>
  </w:style>
  <w:style w:type="character" w:customStyle="1" w:styleId="A5">
    <w:name w:val="A5"/>
    <w:uiPriority w:val="99"/>
    <w:rsid w:val="001666A7"/>
    <w:rPr>
      <w:rFonts w:cs="Adobe Caslon Pro"/>
      <w:color w:val="000000"/>
      <w:sz w:val="13"/>
      <w:szCs w:val="13"/>
    </w:rPr>
  </w:style>
  <w:style w:type="character" w:customStyle="1" w:styleId="Heading2Char">
    <w:name w:val="Heading 2 Char"/>
    <w:aliases w:val="H2-Sec. Head Char"/>
    <w:link w:val="Heading2"/>
    <w:rsid w:val="00D616B0"/>
    <w:rPr>
      <w:rFonts w:ascii="Arial Bold" w:eastAsia="Times New Roman" w:hAnsi="Arial Bold"/>
      <w:b/>
      <w:sz w:val="24"/>
      <w:lang w:val="en-US" w:eastAsia="en-US"/>
    </w:rPr>
  </w:style>
  <w:style w:type="numbering" w:customStyle="1" w:styleId="NoList1">
    <w:name w:val="No List1"/>
    <w:next w:val="NoList"/>
    <w:uiPriority w:val="99"/>
    <w:semiHidden/>
    <w:unhideWhenUsed/>
    <w:rsid w:val="00D616B0"/>
  </w:style>
  <w:style w:type="table" w:customStyle="1" w:styleId="TableGrid1">
    <w:name w:val="Table Grid1"/>
    <w:basedOn w:val="TableNormal"/>
    <w:next w:val="TableGrid"/>
    <w:uiPriority w:val="59"/>
    <w:rsid w:val="00D6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16B0"/>
    <w:pPr>
      <w:spacing w:before="100" w:beforeAutospacing="1" w:after="100" w:afterAutospacing="1"/>
      <w:ind w:left="0" w:firstLine="0"/>
    </w:pPr>
    <w:rPr>
      <w:rFonts w:eastAsia="Times New Roman"/>
      <w:sz w:val="24"/>
      <w:szCs w:val="24"/>
      <w:lang w:val="en-MY" w:eastAsia="en-MY"/>
    </w:rPr>
  </w:style>
  <w:style w:type="character" w:customStyle="1" w:styleId="Heading1Char">
    <w:name w:val="Heading 1 Char"/>
    <w:link w:val="Heading1"/>
    <w:uiPriority w:val="9"/>
    <w:rsid w:val="00A875FB"/>
    <w:rPr>
      <w:rFonts w:ascii="Cambria" w:eastAsia="Times New Roman" w:hAnsi="Cambria"/>
      <w:b/>
      <w:bCs/>
      <w:color w:val="365F91"/>
      <w:sz w:val="28"/>
      <w:szCs w:val="28"/>
      <w:lang w:eastAsia="en-US"/>
    </w:rPr>
  </w:style>
  <w:style w:type="character" w:customStyle="1" w:styleId="A9">
    <w:name w:val="A9"/>
    <w:uiPriority w:val="99"/>
    <w:rsid w:val="00A875FB"/>
    <w:rPr>
      <w:color w:val="000000"/>
      <w:sz w:val="11"/>
      <w:szCs w:val="11"/>
    </w:rPr>
  </w:style>
  <w:style w:type="paragraph" w:styleId="BodyText">
    <w:name w:val="Body Text"/>
    <w:basedOn w:val="Normal"/>
    <w:link w:val="BodyTextChar"/>
    <w:rsid w:val="00A875FB"/>
    <w:pPr>
      <w:spacing w:before="240" w:line="274" w:lineRule="auto"/>
      <w:ind w:left="0" w:firstLine="0"/>
    </w:pPr>
    <w:rPr>
      <w:rFonts w:ascii="Arial" w:eastAsia="Times New Roman" w:hAnsi="Arial"/>
      <w:lang w:val="en-US"/>
    </w:rPr>
  </w:style>
  <w:style w:type="character" w:customStyle="1" w:styleId="BodyTextChar">
    <w:name w:val="Body Text Char"/>
    <w:link w:val="BodyText"/>
    <w:rsid w:val="00A875FB"/>
    <w:rPr>
      <w:rFonts w:ascii="Arial" w:eastAsia="Times New Roman" w:hAnsi="Arial" w:cs="Arial"/>
      <w:sz w:val="22"/>
      <w:szCs w:val="22"/>
      <w:lang w:val="en-US" w:eastAsia="en-US"/>
    </w:rPr>
  </w:style>
  <w:style w:type="paragraph" w:styleId="NoSpacing">
    <w:name w:val="No Spacing"/>
    <w:uiPriority w:val="1"/>
    <w:qFormat/>
    <w:rsid w:val="00A875FB"/>
    <w:rPr>
      <w:color w:val="000000"/>
      <w:sz w:val="24"/>
      <w:szCs w:val="22"/>
      <w:lang w:val="en-MY"/>
    </w:rPr>
  </w:style>
  <w:style w:type="paragraph" w:customStyle="1" w:styleId="Default">
    <w:name w:val="Default"/>
    <w:rsid w:val="00A875FB"/>
    <w:pPr>
      <w:autoSpaceDE w:val="0"/>
      <w:autoSpaceDN w:val="0"/>
      <w:adjustRightInd w:val="0"/>
    </w:pPr>
    <w:rPr>
      <w:rFonts w:ascii="GMKMGM+TimesNewRomanPS" w:hAnsi="GMKMGM+TimesNewRomanPS" w:cs="GMKMGM+TimesNewRomanPS"/>
      <w:color w:val="000000"/>
      <w:sz w:val="24"/>
      <w:szCs w:val="24"/>
      <w:lang w:val="en-MY"/>
    </w:rPr>
  </w:style>
  <w:style w:type="character" w:customStyle="1" w:styleId="jrnl">
    <w:name w:val="jrnl"/>
    <w:basedOn w:val="DefaultParagraphFont"/>
    <w:rsid w:val="00A875FB"/>
  </w:style>
  <w:style w:type="character" w:customStyle="1" w:styleId="hiddenreadable">
    <w:name w:val="hiddenreadable"/>
    <w:basedOn w:val="DefaultParagraphFont"/>
    <w:rsid w:val="00A875FB"/>
  </w:style>
  <w:style w:type="character" w:customStyle="1" w:styleId="name">
    <w:name w:val="name"/>
    <w:basedOn w:val="DefaultParagraphFont"/>
    <w:rsid w:val="00A875FB"/>
  </w:style>
  <w:style w:type="character" w:customStyle="1" w:styleId="xref-sep">
    <w:name w:val="xref-sep"/>
    <w:basedOn w:val="DefaultParagraphFont"/>
    <w:rsid w:val="00A875FB"/>
  </w:style>
  <w:style w:type="table" w:customStyle="1" w:styleId="TableGrid2">
    <w:name w:val="Table Grid2"/>
    <w:basedOn w:val="TableNormal"/>
    <w:next w:val="TableGrid"/>
    <w:uiPriority w:val="59"/>
    <w:rsid w:val="00FC2DF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621A0"/>
    <w:rPr>
      <w:color w:val="808080"/>
      <w:shd w:val="clear" w:color="auto" w:fill="E6E6E6"/>
    </w:rPr>
  </w:style>
  <w:style w:type="character" w:styleId="LineNumber">
    <w:name w:val="line number"/>
    <w:uiPriority w:val="99"/>
    <w:semiHidden/>
    <w:unhideWhenUsed/>
    <w:rsid w:val="000E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2919">
      <w:bodyDiv w:val="1"/>
      <w:marLeft w:val="0"/>
      <w:marRight w:val="0"/>
      <w:marTop w:val="0"/>
      <w:marBottom w:val="0"/>
      <w:divBdr>
        <w:top w:val="none" w:sz="0" w:space="0" w:color="auto"/>
        <w:left w:val="none" w:sz="0" w:space="0" w:color="auto"/>
        <w:bottom w:val="none" w:sz="0" w:space="0" w:color="auto"/>
        <w:right w:val="none" w:sz="0" w:space="0" w:color="auto"/>
      </w:divBdr>
    </w:div>
    <w:div w:id="135684305">
      <w:bodyDiv w:val="1"/>
      <w:marLeft w:val="0"/>
      <w:marRight w:val="0"/>
      <w:marTop w:val="0"/>
      <w:marBottom w:val="0"/>
      <w:divBdr>
        <w:top w:val="none" w:sz="0" w:space="0" w:color="auto"/>
        <w:left w:val="none" w:sz="0" w:space="0" w:color="auto"/>
        <w:bottom w:val="none" w:sz="0" w:space="0" w:color="auto"/>
        <w:right w:val="none" w:sz="0" w:space="0" w:color="auto"/>
      </w:divBdr>
    </w:div>
    <w:div w:id="673384003">
      <w:bodyDiv w:val="1"/>
      <w:marLeft w:val="0"/>
      <w:marRight w:val="0"/>
      <w:marTop w:val="0"/>
      <w:marBottom w:val="0"/>
      <w:divBdr>
        <w:top w:val="none" w:sz="0" w:space="0" w:color="auto"/>
        <w:left w:val="none" w:sz="0" w:space="0" w:color="auto"/>
        <w:bottom w:val="none" w:sz="0" w:space="0" w:color="auto"/>
        <w:right w:val="none" w:sz="0" w:space="0" w:color="auto"/>
      </w:divBdr>
    </w:div>
    <w:div w:id="687029131">
      <w:bodyDiv w:val="1"/>
      <w:marLeft w:val="0"/>
      <w:marRight w:val="0"/>
      <w:marTop w:val="0"/>
      <w:marBottom w:val="0"/>
      <w:divBdr>
        <w:top w:val="none" w:sz="0" w:space="0" w:color="auto"/>
        <w:left w:val="none" w:sz="0" w:space="0" w:color="auto"/>
        <w:bottom w:val="none" w:sz="0" w:space="0" w:color="auto"/>
        <w:right w:val="none" w:sz="0" w:space="0" w:color="auto"/>
      </w:divBdr>
    </w:div>
    <w:div w:id="20404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F53F-037F-4C59-A5DD-6D26C74D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27227</Words>
  <Characters>155196</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182059</CharactersWithSpaces>
  <SharedDoc>false</SharedDoc>
  <HLinks>
    <vt:vector size="6" baseType="variant">
      <vt:variant>
        <vt:i4>327734</vt:i4>
      </vt:variant>
      <vt:variant>
        <vt:i4>0</vt:i4>
      </vt:variant>
      <vt:variant>
        <vt:i4>0</vt:i4>
      </vt:variant>
      <vt:variant>
        <vt:i4>5</vt:i4>
      </vt:variant>
      <vt:variant>
        <vt:lpwstr>mailto:chewchieng@gmail.com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Lucas N.</cp:lastModifiedBy>
  <cp:revision>2</cp:revision>
  <cp:lastPrinted>2018-06-04T01:37:00Z</cp:lastPrinted>
  <dcterms:created xsi:type="dcterms:W3CDTF">2018-11-20T16:16:00Z</dcterms:created>
  <dcterms:modified xsi:type="dcterms:W3CDTF">2018-11-20T16:16:00Z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16th edition (author-date)</vt:lpwstr>
  </property>
  <property fmtid="{D5CDD505-2E9C-101B-9397-08002B2CF9AE}" pid="4" name="Mendeley Recent Style Id 1_1">
    <vt:lpwstr>http://www.zotero.org/styles/harvard1</vt:lpwstr>
  </property>
  <property fmtid="{D5CDD505-2E9C-101B-9397-08002B2CF9AE}" pid="5" name="Mendeley Recent Style Name 1_1">
    <vt:lpwstr>Harvard Reference format 1 (author-date)</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http://www.zotero.org/styles/journal-of-global-antimicrobial-resistance</vt:lpwstr>
  </property>
  <property fmtid="{D5CDD505-2E9C-101B-9397-08002B2CF9AE}" pid="9" name="Mendeley Recent Style Name 3_1">
    <vt:lpwstr>Journal of Global Antimicrobial Resistance</vt:lpwstr>
  </property>
  <property fmtid="{D5CDD505-2E9C-101B-9397-08002B2CF9AE}" pid="10" name="Mendeley Recent Style Id 4_1">
    <vt:lpwstr>http://www.zotero.org/styles/journal-of-medical-microbiology</vt:lpwstr>
  </property>
  <property fmtid="{D5CDD505-2E9C-101B-9397-08002B2CF9AE}" pid="11" name="Mendeley Recent Style Name 4_1">
    <vt:lpwstr>Journal of Medical Microbiology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http://www.zotero.org/styles/molecular-microbiology</vt:lpwstr>
  </property>
  <property fmtid="{D5CDD505-2E9C-101B-9397-08002B2CF9AE}" pid="17" name="Mendeley Recent Style Name 7_1">
    <vt:lpwstr>Molecular Microbiology</vt:lpwstr>
  </property>
  <property fmtid="{D5CDD505-2E9C-101B-9397-08002B2CF9AE}" pid="18" name="Mendeley Recent Style Id 8_1">
    <vt:lpwstr>http://www.zotero.org/styles/plasmid</vt:lpwstr>
  </property>
  <property fmtid="{D5CDD505-2E9C-101B-9397-08002B2CF9AE}" pid="19" name="Mendeley Recent Style Name 8_1">
    <vt:lpwstr>Plasmid</vt:lpwstr>
  </property>
  <property fmtid="{D5CDD505-2E9C-101B-9397-08002B2CF9AE}" pid="20" name="Mendeley Recent Style Id 9_1">
    <vt:lpwstr>http://www.zotero.org/styles/toxins</vt:lpwstr>
  </property>
  <property fmtid="{D5CDD505-2E9C-101B-9397-08002B2CF9AE}" pid="21" name="Mendeley Recent Style Name 9_1">
    <vt:lpwstr>Toxins</vt:lpwstr>
  </property>
  <property fmtid="{D5CDD505-2E9C-101B-9397-08002B2CF9AE}" pid="22" name="Mendeley Document_1">
    <vt:lpwstr>True</vt:lpwstr>
  </property>
  <property fmtid="{D5CDD505-2E9C-101B-9397-08002B2CF9AE}" pid="23" name="Mendeley Unique User Id_1">
    <vt:lpwstr>af462dac-1189-3867-8864-b337aae88a38</vt:lpwstr>
  </property>
  <property fmtid="{D5CDD505-2E9C-101B-9397-08002B2CF9AE}" pid="24" name="Mendeley Citation Style_1">
    <vt:lpwstr>http://www.zotero.org/styles/journal-of-medical-microbiology</vt:lpwstr>
  </property>
</Properties>
</file>