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7B02" w14:textId="77777777" w:rsidR="005370AD" w:rsidRDefault="005370AD" w:rsidP="00241AAF">
      <w:pPr>
        <w:rPr>
          <w:bCs/>
          <w:color w:val="FF0000"/>
          <w:sz w:val="24"/>
          <w:szCs w:val="24"/>
        </w:rPr>
      </w:pPr>
    </w:p>
    <w:p w14:paraId="0624C1AC" w14:textId="15F33F1E" w:rsidR="003F7672" w:rsidRPr="001C456D" w:rsidRDefault="003F7672" w:rsidP="00241AAF">
      <w:pPr>
        <w:rPr>
          <w:b/>
          <w:bCs/>
          <w:sz w:val="28"/>
          <w:szCs w:val="28"/>
        </w:rPr>
      </w:pPr>
      <w:r w:rsidRPr="001C456D">
        <w:rPr>
          <w:b/>
          <w:bCs/>
          <w:sz w:val="28"/>
          <w:szCs w:val="28"/>
        </w:rPr>
        <w:t>Patients’ understandings about cellulitis and views about how best to prevent recurrent episodes: mixed methods stud</w:t>
      </w:r>
      <w:r w:rsidR="00DB1FC4" w:rsidRPr="001C456D">
        <w:rPr>
          <w:b/>
          <w:bCs/>
          <w:sz w:val="28"/>
          <w:szCs w:val="28"/>
        </w:rPr>
        <w:t>y in primary and secondary care</w:t>
      </w:r>
    </w:p>
    <w:p w14:paraId="4B269802" w14:textId="77777777" w:rsidR="005370AD" w:rsidRDefault="005370AD" w:rsidP="00241AAF">
      <w:pPr>
        <w:rPr>
          <w:sz w:val="24"/>
          <w:szCs w:val="24"/>
        </w:rPr>
      </w:pPr>
    </w:p>
    <w:p w14:paraId="22A26B3B" w14:textId="77777777" w:rsidR="005370AD" w:rsidRPr="004B32B9" w:rsidRDefault="005370AD" w:rsidP="00241AAF">
      <w:pPr>
        <w:rPr>
          <w:b/>
          <w:bCs/>
          <w:sz w:val="24"/>
          <w:szCs w:val="24"/>
        </w:rPr>
      </w:pPr>
      <w:r w:rsidRPr="00C055C4">
        <w:rPr>
          <w:sz w:val="24"/>
          <w:szCs w:val="24"/>
        </w:rPr>
        <w:t xml:space="preserve">Running head:  </w:t>
      </w:r>
      <w:r>
        <w:rPr>
          <w:sz w:val="24"/>
          <w:szCs w:val="24"/>
        </w:rPr>
        <w:t>Preventing recurrent cellulitis</w:t>
      </w:r>
    </w:p>
    <w:p w14:paraId="4BF87C7E" w14:textId="77777777" w:rsidR="005370AD" w:rsidRPr="002D4607" w:rsidRDefault="005370AD" w:rsidP="00241AAF">
      <w:pPr>
        <w:rPr>
          <w:b/>
          <w:bCs/>
          <w:sz w:val="24"/>
          <w:szCs w:val="24"/>
        </w:rPr>
      </w:pPr>
    </w:p>
    <w:p w14:paraId="16CCC13F" w14:textId="77777777" w:rsidR="005370AD" w:rsidRDefault="005370AD" w:rsidP="00241AAF">
      <w:pPr>
        <w:rPr>
          <w:b/>
          <w:bCs/>
          <w:sz w:val="24"/>
          <w:szCs w:val="24"/>
          <w:vertAlign w:val="superscript"/>
        </w:rPr>
      </w:pPr>
      <w:r w:rsidRPr="0096217C">
        <w:rPr>
          <w:b/>
          <w:bCs/>
          <w:sz w:val="24"/>
          <w:szCs w:val="24"/>
        </w:rPr>
        <w:t>E Teasdale</w:t>
      </w:r>
      <w:r w:rsidRPr="0096217C">
        <w:rPr>
          <w:b/>
          <w:bCs/>
          <w:sz w:val="24"/>
          <w:szCs w:val="24"/>
          <w:vertAlign w:val="superscript"/>
        </w:rPr>
        <w:t>1</w:t>
      </w:r>
      <w:r w:rsidRPr="0096217C">
        <w:rPr>
          <w:b/>
          <w:bCs/>
          <w:sz w:val="24"/>
          <w:szCs w:val="24"/>
        </w:rPr>
        <w:t xml:space="preserve">*, </w:t>
      </w:r>
      <w:r>
        <w:rPr>
          <w:b/>
          <w:bCs/>
          <w:sz w:val="24"/>
          <w:szCs w:val="24"/>
        </w:rPr>
        <w:t>A Lalonde</w:t>
      </w:r>
      <w:r>
        <w:rPr>
          <w:b/>
          <w:bCs/>
          <w:sz w:val="24"/>
          <w:szCs w:val="24"/>
          <w:vertAlign w:val="superscript"/>
        </w:rPr>
        <w:t>1</w:t>
      </w:r>
      <w:r>
        <w:rPr>
          <w:b/>
          <w:bCs/>
          <w:sz w:val="24"/>
          <w:szCs w:val="24"/>
        </w:rPr>
        <w:t xml:space="preserve">, </w:t>
      </w:r>
      <w:r w:rsidRPr="0096217C">
        <w:rPr>
          <w:b/>
          <w:bCs/>
          <w:sz w:val="24"/>
          <w:szCs w:val="24"/>
        </w:rPr>
        <w:t>I Muller</w:t>
      </w:r>
      <w:r>
        <w:rPr>
          <w:b/>
          <w:bCs/>
          <w:sz w:val="24"/>
          <w:szCs w:val="24"/>
          <w:vertAlign w:val="superscript"/>
        </w:rPr>
        <w:t>1</w:t>
      </w:r>
      <w:r w:rsidRPr="0096217C">
        <w:rPr>
          <w:b/>
          <w:bCs/>
          <w:sz w:val="24"/>
          <w:szCs w:val="24"/>
        </w:rPr>
        <w:t xml:space="preserve">, </w:t>
      </w:r>
      <w:r>
        <w:rPr>
          <w:b/>
          <w:bCs/>
          <w:sz w:val="24"/>
          <w:szCs w:val="24"/>
        </w:rPr>
        <w:t>J Chalmers</w:t>
      </w:r>
      <w:r>
        <w:rPr>
          <w:b/>
          <w:bCs/>
          <w:sz w:val="24"/>
          <w:szCs w:val="24"/>
          <w:vertAlign w:val="superscript"/>
        </w:rPr>
        <w:t>2</w:t>
      </w:r>
      <w:r w:rsidRPr="0096217C">
        <w:rPr>
          <w:b/>
          <w:bCs/>
          <w:sz w:val="24"/>
          <w:szCs w:val="24"/>
        </w:rPr>
        <w:t xml:space="preserve">, </w:t>
      </w:r>
      <w:r>
        <w:rPr>
          <w:b/>
          <w:bCs/>
          <w:sz w:val="24"/>
          <w:szCs w:val="24"/>
        </w:rPr>
        <w:t>P Smart</w:t>
      </w:r>
      <w:r>
        <w:rPr>
          <w:b/>
          <w:bCs/>
          <w:sz w:val="24"/>
          <w:szCs w:val="24"/>
          <w:vertAlign w:val="superscript"/>
        </w:rPr>
        <w:t>3</w:t>
      </w:r>
      <w:r>
        <w:rPr>
          <w:b/>
          <w:bCs/>
          <w:sz w:val="24"/>
          <w:szCs w:val="24"/>
        </w:rPr>
        <w:t>, J Hooper</w:t>
      </w:r>
      <w:r>
        <w:rPr>
          <w:b/>
          <w:bCs/>
          <w:sz w:val="24"/>
          <w:szCs w:val="24"/>
          <w:vertAlign w:val="superscript"/>
        </w:rPr>
        <w:t>3</w:t>
      </w:r>
      <w:r>
        <w:rPr>
          <w:b/>
          <w:bCs/>
          <w:sz w:val="24"/>
          <w:szCs w:val="24"/>
        </w:rPr>
        <w:t>, M El-Gohary</w:t>
      </w:r>
      <w:r w:rsidRPr="0096217C">
        <w:rPr>
          <w:b/>
          <w:bCs/>
          <w:sz w:val="24"/>
          <w:szCs w:val="24"/>
          <w:vertAlign w:val="superscript"/>
        </w:rPr>
        <w:t>1</w:t>
      </w:r>
      <w:r>
        <w:rPr>
          <w:b/>
          <w:bCs/>
          <w:sz w:val="24"/>
          <w:szCs w:val="24"/>
        </w:rPr>
        <w:t xml:space="preserve">, </w:t>
      </w:r>
      <w:r w:rsidRPr="0096217C">
        <w:rPr>
          <w:b/>
          <w:bCs/>
          <w:sz w:val="24"/>
          <w:szCs w:val="24"/>
        </w:rPr>
        <w:t>KS Thomas</w:t>
      </w:r>
      <w:r>
        <w:rPr>
          <w:b/>
          <w:bCs/>
          <w:sz w:val="24"/>
          <w:szCs w:val="24"/>
          <w:vertAlign w:val="superscript"/>
        </w:rPr>
        <w:t>2</w:t>
      </w:r>
      <w:r w:rsidRPr="0096217C">
        <w:rPr>
          <w:b/>
          <w:bCs/>
          <w:sz w:val="24"/>
          <w:szCs w:val="24"/>
        </w:rPr>
        <w:t xml:space="preserve"> and M Santer</w:t>
      </w:r>
      <w:r w:rsidRPr="0096217C">
        <w:rPr>
          <w:b/>
          <w:bCs/>
          <w:sz w:val="24"/>
          <w:szCs w:val="24"/>
          <w:vertAlign w:val="superscript"/>
        </w:rPr>
        <w:t>1</w:t>
      </w:r>
    </w:p>
    <w:p w14:paraId="481E4EB3" w14:textId="77777777" w:rsidR="005370AD" w:rsidRPr="0096217C" w:rsidRDefault="005370AD" w:rsidP="00241AAF">
      <w:pPr>
        <w:rPr>
          <w:b/>
          <w:bCs/>
          <w:sz w:val="24"/>
          <w:szCs w:val="24"/>
          <w:vertAlign w:val="superscript"/>
        </w:rPr>
      </w:pPr>
    </w:p>
    <w:p w14:paraId="4DBE0770" w14:textId="77777777" w:rsidR="005370AD" w:rsidRDefault="005370AD" w:rsidP="00241AAF">
      <w:pPr>
        <w:rPr>
          <w:sz w:val="24"/>
          <w:szCs w:val="24"/>
        </w:rPr>
      </w:pPr>
      <w:r w:rsidRPr="00355327">
        <w:rPr>
          <w:sz w:val="24"/>
          <w:szCs w:val="24"/>
          <w:vertAlign w:val="superscript"/>
        </w:rPr>
        <w:t>1</w:t>
      </w:r>
      <w:r w:rsidRPr="00355327">
        <w:rPr>
          <w:sz w:val="24"/>
          <w:szCs w:val="24"/>
        </w:rPr>
        <w:t>Primary Care and Population Science, Faculty of Medicine, University of Southampton, Southampton, UK</w:t>
      </w:r>
    </w:p>
    <w:p w14:paraId="0E30286F" w14:textId="77777777" w:rsidR="005370AD" w:rsidRDefault="005370AD" w:rsidP="00241AAF">
      <w:pPr>
        <w:rPr>
          <w:bCs/>
          <w:sz w:val="24"/>
          <w:szCs w:val="24"/>
        </w:rPr>
      </w:pPr>
      <w:r>
        <w:rPr>
          <w:bCs/>
          <w:sz w:val="24"/>
          <w:szCs w:val="24"/>
          <w:vertAlign w:val="superscript"/>
        </w:rPr>
        <w:t>2</w:t>
      </w:r>
      <w:r w:rsidRPr="00355327">
        <w:rPr>
          <w:bCs/>
          <w:sz w:val="24"/>
          <w:szCs w:val="24"/>
          <w:vertAlign w:val="superscript"/>
        </w:rPr>
        <w:t xml:space="preserve"> </w:t>
      </w:r>
      <w:r w:rsidRPr="00355327">
        <w:rPr>
          <w:bCs/>
          <w:sz w:val="24"/>
          <w:szCs w:val="24"/>
        </w:rPr>
        <w:t>Centre for Evidence Based Dermatology, University of Nottingham, Nottingham, UK</w:t>
      </w:r>
    </w:p>
    <w:p w14:paraId="688BEE82" w14:textId="77777777" w:rsidR="005370AD" w:rsidRPr="00355327" w:rsidRDefault="005370AD" w:rsidP="00241AAF">
      <w:pPr>
        <w:rPr>
          <w:bCs/>
          <w:sz w:val="24"/>
          <w:szCs w:val="24"/>
        </w:rPr>
      </w:pPr>
      <w:r>
        <w:rPr>
          <w:bCs/>
          <w:sz w:val="24"/>
          <w:szCs w:val="24"/>
          <w:vertAlign w:val="superscript"/>
        </w:rPr>
        <w:t>3</w:t>
      </w:r>
      <w:r>
        <w:rPr>
          <w:bCs/>
          <w:sz w:val="24"/>
          <w:szCs w:val="24"/>
        </w:rPr>
        <w:t xml:space="preserve"> Patient </w:t>
      </w:r>
      <w:r w:rsidRPr="003E6F53">
        <w:rPr>
          <w:bCs/>
          <w:sz w:val="24"/>
          <w:szCs w:val="24"/>
        </w:rPr>
        <w:t>representative</w:t>
      </w:r>
    </w:p>
    <w:p w14:paraId="5B49D64E" w14:textId="77777777" w:rsidR="005370AD" w:rsidRPr="00863199" w:rsidRDefault="005370AD" w:rsidP="00241AAF">
      <w:pPr>
        <w:rPr>
          <w:b/>
          <w:bCs/>
          <w:vertAlign w:val="superscript"/>
        </w:rPr>
      </w:pPr>
    </w:p>
    <w:p w14:paraId="3AAF4973" w14:textId="77777777" w:rsidR="005370AD" w:rsidRDefault="005370AD" w:rsidP="00241AAF">
      <w:pPr>
        <w:rPr>
          <w:b/>
          <w:bCs/>
        </w:rPr>
      </w:pPr>
      <w:r w:rsidRPr="00863199">
        <w:rPr>
          <w:b/>
          <w:bCs/>
          <w:vertAlign w:val="superscript"/>
        </w:rPr>
        <w:t>*</w:t>
      </w:r>
      <w:r w:rsidRPr="00863199">
        <w:rPr>
          <w:b/>
          <w:bCs/>
        </w:rPr>
        <w:t xml:space="preserve">Corresponding author: </w:t>
      </w:r>
    </w:p>
    <w:p w14:paraId="71A195D1" w14:textId="77777777" w:rsidR="005370AD" w:rsidRPr="00863199" w:rsidRDefault="005370AD" w:rsidP="00241AAF">
      <w:pPr>
        <w:spacing w:after="0" w:line="240" w:lineRule="auto"/>
      </w:pPr>
      <w:r w:rsidRPr="00863199">
        <w:t xml:space="preserve">Dr Emma Teasdale </w:t>
      </w:r>
    </w:p>
    <w:p w14:paraId="5EFD7958" w14:textId="77777777" w:rsidR="005370AD" w:rsidRPr="00863199" w:rsidRDefault="005370AD" w:rsidP="00241AAF">
      <w:pPr>
        <w:spacing w:after="0" w:line="240" w:lineRule="auto"/>
      </w:pPr>
      <w:r w:rsidRPr="00863199">
        <w:t>Research Fellow</w:t>
      </w:r>
    </w:p>
    <w:p w14:paraId="3D252014" w14:textId="77777777" w:rsidR="005370AD" w:rsidRPr="00863199" w:rsidRDefault="005370AD" w:rsidP="00241AAF">
      <w:pPr>
        <w:spacing w:after="0" w:line="240" w:lineRule="auto"/>
        <w:rPr>
          <w:u w:val="single"/>
        </w:rPr>
      </w:pPr>
      <w:r w:rsidRPr="00863199">
        <w:t>Faculty of Medicine</w:t>
      </w:r>
    </w:p>
    <w:p w14:paraId="544C6373" w14:textId="77777777" w:rsidR="005370AD" w:rsidRPr="00863199" w:rsidRDefault="005370AD" w:rsidP="00241AAF">
      <w:pPr>
        <w:spacing w:after="0" w:line="240" w:lineRule="auto"/>
      </w:pPr>
      <w:r w:rsidRPr="00863199">
        <w:t>University of Southampton</w:t>
      </w:r>
    </w:p>
    <w:p w14:paraId="119017DC" w14:textId="77777777" w:rsidR="005370AD" w:rsidRPr="00863199" w:rsidRDefault="005370AD" w:rsidP="00241AAF">
      <w:pPr>
        <w:spacing w:after="0" w:line="240" w:lineRule="auto"/>
      </w:pPr>
      <w:proofErr w:type="spellStart"/>
      <w:r w:rsidRPr="00863199">
        <w:t>Aldermoor</w:t>
      </w:r>
      <w:proofErr w:type="spellEnd"/>
      <w:r w:rsidRPr="00863199">
        <w:t xml:space="preserve"> Health Centre</w:t>
      </w:r>
    </w:p>
    <w:p w14:paraId="5FF007AB" w14:textId="77777777" w:rsidR="005370AD" w:rsidRPr="00863199" w:rsidRDefault="005370AD" w:rsidP="00241AAF">
      <w:pPr>
        <w:spacing w:after="0" w:line="240" w:lineRule="auto"/>
      </w:pPr>
      <w:proofErr w:type="spellStart"/>
      <w:r w:rsidRPr="00863199">
        <w:t>Aldermoor</w:t>
      </w:r>
      <w:proofErr w:type="spellEnd"/>
      <w:r w:rsidRPr="00863199">
        <w:t xml:space="preserve"> Close</w:t>
      </w:r>
    </w:p>
    <w:p w14:paraId="16632688" w14:textId="77777777" w:rsidR="005370AD" w:rsidRPr="00863199" w:rsidRDefault="005370AD" w:rsidP="00241AAF">
      <w:pPr>
        <w:spacing w:after="0" w:line="240" w:lineRule="auto"/>
      </w:pPr>
      <w:r w:rsidRPr="00863199">
        <w:t>Southampton</w:t>
      </w:r>
    </w:p>
    <w:p w14:paraId="74C9E919" w14:textId="77777777" w:rsidR="005370AD" w:rsidRPr="00863199" w:rsidRDefault="005370AD" w:rsidP="00241AAF">
      <w:pPr>
        <w:spacing w:after="0" w:line="240" w:lineRule="auto"/>
      </w:pPr>
      <w:r w:rsidRPr="00863199">
        <w:t>SO16 5ST</w:t>
      </w:r>
    </w:p>
    <w:p w14:paraId="01005F0B" w14:textId="77777777" w:rsidR="005370AD" w:rsidRPr="00863199" w:rsidRDefault="005370AD" w:rsidP="00241AAF">
      <w:r>
        <w:t>Tel: 02380 591753</w:t>
      </w:r>
    </w:p>
    <w:p w14:paraId="064ADF53" w14:textId="77777777" w:rsidR="005370AD" w:rsidRPr="00863199" w:rsidRDefault="001820ED" w:rsidP="00241AAF">
      <w:pPr>
        <w:rPr>
          <w:b/>
          <w:bCs/>
        </w:rPr>
      </w:pPr>
      <w:hyperlink r:id="rId8" w:history="1">
        <w:r w:rsidR="005370AD" w:rsidRPr="00863199">
          <w:rPr>
            <w:rStyle w:val="Hyperlink"/>
          </w:rPr>
          <w:t>e.j.teasdale@soton.ac.uk</w:t>
        </w:r>
      </w:hyperlink>
    </w:p>
    <w:p w14:paraId="01661AB8" w14:textId="77777777" w:rsidR="005370AD" w:rsidRDefault="005370AD" w:rsidP="00241AAF">
      <w:pPr>
        <w:rPr>
          <w:b/>
          <w:bCs/>
        </w:rPr>
      </w:pPr>
    </w:p>
    <w:p w14:paraId="451BC038" w14:textId="77777777" w:rsidR="005370AD" w:rsidRPr="005146BC" w:rsidRDefault="005370AD" w:rsidP="00241AAF">
      <w:pPr>
        <w:rPr>
          <w:bCs/>
          <w:color w:val="FF0000"/>
        </w:rPr>
      </w:pPr>
      <w:r>
        <w:rPr>
          <w:b/>
          <w:bCs/>
        </w:rPr>
        <w:t xml:space="preserve">Key words </w:t>
      </w:r>
      <w:r>
        <w:rPr>
          <w:bCs/>
        </w:rPr>
        <w:t>(qualitative, cellulitis, cellulitis prevention, survey, primary care)</w:t>
      </w:r>
    </w:p>
    <w:p w14:paraId="54AA07D3" w14:textId="77777777" w:rsidR="005370AD" w:rsidRDefault="005370AD" w:rsidP="00241AAF">
      <w:pPr>
        <w:rPr>
          <w:b/>
          <w:bCs/>
        </w:rPr>
      </w:pPr>
    </w:p>
    <w:p w14:paraId="19FB1793" w14:textId="77777777" w:rsidR="005370AD" w:rsidRPr="00C055C4" w:rsidRDefault="005370AD" w:rsidP="00241AAF">
      <w:pPr>
        <w:rPr>
          <w:b/>
          <w:bCs/>
        </w:rPr>
      </w:pPr>
      <w:r w:rsidRPr="00C055C4">
        <w:rPr>
          <w:b/>
          <w:bCs/>
        </w:rPr>
        <w:t xml:space="preserve">Word count = </w:t>
      </w:r>
      <w:r>
        <w:rPr>
          <w:b/>
          <w:bCs/>
        </w:rPr>
        <w:t>3,498</w:t>
      </w:r>
    </w:p>
    <w:p w14:paraId="50C427C9" w14:textId="77777777" w:rsidR="005370AD" w:rsidRDefault="005370AD" w:rsidP="00241AAF">
      <w:pPr>
        <w:rPr>
          <w:b/>
          <w:bCs/>
        </w:rPr>
      </w:pPr>
    </w:p>
    <w:p w14:paraId="10372B81" w14:textId="77777777" w:rsidR="00C14582" w:rsidRDefault="005370AD" w:rsidP="00241AAF">
      <w:pPr>
        <w:rPr>
          <w:b/>
          <w:bCs/>
        </w:rPr>
      </w:pPr>
      <w:r>
        <w:rPr>
          <w:b/>
          <w:bCs/>
        </w:rPr>
        <w:t>Table count = 4</w:t>
      </w:r>
    </w:p>
    <w:p w14:paraId="2667CD2B" w14:textId="77777777" w:rsidR="001C456D" w:rsidRDefault="001C456D" w:rsidP="00241AAF">
      <w:pPr>
        <w:rPr>
          <w:b/>
          <w:bCs/>
        </w:rPr>
      </w:pPr>
    </w:p>
    <w:p w14:paraId="7736C402" w14:textId="77777777" w:rsidR="001C456D" w:rsidRDefault="001C456D" w:rsidP="00241AAF">
      <w:pPr>
        <w:rPr>
          <w:b/>
          <w:bCs/>
        </w:rPr>
      </w:pPr>
    </w:p>
    <w:p w14:paraId="2F8CB367" w14:textId="77777777" w:rsidR="005370AD" w:rsidRPr="004852E8" w:rsidRDefault="005370AD" w:rsidP="00241AAF">
      <w:pPr>
        <w:rPr>
          <w:b/>
          <w:bCs/>
        </w:rPr>
      </w:pPr>
      <w:r>
        <w:rPr>
          <w:b/>
          <w:bCs/>
        </w:rPr>
        <w:t xml:space="preserve">Funding source: </w:t>
      </w:r>
      <w:r w:rsidRPr="004852E8">
        <w:rPr>
          <w:bCs/>
        </w:rPr>
        <w:t>This research was funded by a National Institute for Health Research School for Primary Care Research (NIHR SPCR) grant (319)</w:t>
      </w:r>
      <w:r>
        <w:rPr>
          <w:bCs/>
        </w:rPr>
        <w:t>.</w:t>
      </w:r>
    </w:p>
    <w:p w14:paraId="43CB5175" w14:textId="77777777" w:rsidR="005370AD" w:rsidRDefault="005370AD" w:rsidP="00241AAF">
      <w:pPr>
        <w:rPr>
          <w:b/>
          <w:bCs/>
        </w:rPr>
      </w:pPr>
    </w:p>
    <w:p w14:paraId="6A00C394" w14:textId="77777777" w:rsidR="005370AD" w:rsidRPr="004852E8" w:rsidRDefault="005370AD" w:rsidP="00241AAF">
      <w:pPr>
        <w:rPr>
          <w:b/>
          <w:bCs/>
        </w:rPr>
      </w:pPr>
      <w:r>
        <w:rPr>
          <w:b/>
          <w:bCs/>
        </w:rPr>
        <w:t xml:space="preserve">Conflicts of interest: </w:t>
      </w:r>
      <w:r w:rsidRPr="000C7629">
        <w:t>The authors have no conflicts of interest to declare.</w:t>
      </w:r>
    </w:p>
    <w:p w14:paraId="3A5BE8F2" w14:textId="77777777" w:rsidR="005370AD" w:rsidRDefault="005370AD" w:rsidP="00241AAF">
      <w:pPr>
        <w:rPr>
          <w:b/>
        </w:rPr>
      </w:pPr>
    </w:p>
    <w:p w14:paraId="73046021" w14:textId="77777777" w:rsidR="00C14582" w:rsidRDefault="00C14582" w:rsidP="00241AAF">
      <w:pPr>
        <w:rPr>
          <w:b/>
        </w:rPr>
      </w:pPr>
    </w:p>
    <w:p w14:paraId="09E8D87D" w14:textId="77777777" w:rsidR="005370AD" w:rsidRPr="004852E8" w:rsidRDefault="005370AD" w:rsidP="00241AAF">
      <w:pPr>
        <w:rPr>
          <w:b/>
        </w:rPr>
      </w:pPr>
      <w:r w:rsidRPr="00664702">
        <w:rPr>
          <w:b/>
        </w:rPr>
        <w:t>Bulleted statements</w:t>
      </w:r>
    </w:p>
    <w:p w14:paraId="44C5E8AF" w14:textId="77777777" w:rsidR="005370AD" w:rsidRPr="008537FA" w:rsidRDefault="005370AD" w:rsidP="00241AAF">
      <w:pPr>
        <w:rPr>
          <w:b/>
          <w:bCs/>
        </w:rPr>
      </w:pPr>
      <w:r w:rsidRPr="008537FA">
        <w:rPr>
          <w:b/>
          <w:bCs/>
        </w:rPr>
        <w:t>What’s already known about this topic?</w:t>
      </w:r>
      <w:r w:rsidRPr="00C055C4">
        <w:t xml:space="preserve"> </w:t>
      </w:r>
    </w:p>
    <w:p w14:paraId="777C6108" w14:textId="77777777" w:rsidR="005370AD" w:rsidRPr="002D4607" w:rsidRDefault="005370AD" w:rsidP="00241AAF">
      <w:pPr>
        <w:pStyle w:val="ListParagraph"/>
        <w:numPr>
          <w:ilvl w:val="0"/>
          <w:numId w:val="16"/>
        </w:numPr>
        <w:spacing w:after="240" w:line="360" w:lineRule="auto"/>
        <w:ind w:left="1077" w:hanging="357"/>
      </w:pPr>
      <w:r w:rsidRPr="002D4607">
        <w:t xml:space="preserve">Cellulitis is an acute, painful and potentially serious </w:t>
      </w:r>
      <w:r>
        <w:t xml:space="preserve">bacterial </w:t>
      </w:r>
      <w:r w:rsidRPr="002D4607">
        <w:t>infection of the skin and underlying tissue, which causes considerable impact on quality of life.</w:t>
      </w:r>
    </w:p>
    <w:p w14:paraId="79A3597A" w14:textId="77777777" w:rsidR="005370AD" w:rsidRPr="002D4607" w:rsidRDefault="005370AD" w:rsidP="00241AAF">
      <w:pPr>
        <w:pStyle w:val="ListParagraph"/>
        <w:numPr>
          <w:ilvl w:val="0"/>
          <w:numId w:val="16"/>
        </w:numPr>
        <w:spacing w:after="240" w:line="360" w:lineRule="auto"/>
        <w:ind w:left="1077" w:hanging="357"/>
      </w:pPr>
      <w:r w:rsidRPr="002D4607">
        <w:t>Approximately a third of patients who have had cellulitis suffer recurrent episodes</w:t>
      </w:r>
      <w:r>
        <w:t>, and a number of different strategies for prevention have been proposed</w:t>
      </w:r>
      <w:r w:rsidRPr="002D4607">
        <w:t xml:space="preserve">. </w:t>
      </w:r>
    </w:p>
    <w:p w14:paraId="0AAC9AFB" w14:textId="77777777" w:rsidR="005370AD" w:rsidRPr="002D4607" w:rsidRDefault="005370AD" w:rsidP="00241AAF">
      <w:pPr>
        <w:pStyle w:val="ListParagraph"/>
        <w:numPr>
          <w:ilvl w:val="0"/>
          <w:numId w:val="16"/>
        </w:numPr>
        <w:spacing w:after="240" w:line="360" w:lineRule="auto"/>
        <w:ind w:left="1077" w:hanging="357"/>
      </w:pPr>
      <w:r w:rsidRPr="002D4607">
        <w:t xml:space="preserve">The only treatment shown to reduce the risk of recurrence is long-term </w:t>
      </w:r>
      <w:r>
        <w:t xml:space="preserve">low-dose </w:t>
      </w:r>
      <w:r w:rsidRPr="002D4607">
        <w:t>antibiotics but these appear to be under-used</w:t>
      </w:r>
      <w:r>
        <w:t xml:space="preserve"> in practice</w:t>
      </w:r>
      <w:r w:rsidRPr="002D4607">
        <w:t>.</w:t>
      </w:r>
    </w:p>
    <w:p w14:paraId="1AC233D3" w14:textId="77777777" w:rsidR="005370AD" w:rsidRPr="00C055C4" w:rsidRDefault="005370AD" w:rsidP="00241AAF">
      <w:pPr>
        <w:pStyle w:val="ListParagraph"/>
        <w:rPr>
          <w:b/>
          <w:bCs/>
        </w:rPr>
      </w:pPr>
    </w:p>
    <w:p w14:paraId="274AF8AD" w14:textId="77777777" w:rsidR="005370AD" w:rsidRDefault="005370AD" w:rsidP="00241AAF">
      <w:r w:rsidRPr="008537FA">
        <w:rPr>
          <w:b/>
          <w:bCs/>
        </w:rPr>
        <w:t xml:space="preserve">What does this study add? </w:t>
      </w:r>
    </w:p>
    <w:p w14:paraId="0232C238" w14:textId="77777777" w:rsidR="005370AD" w:rsidRDefault="005370AD" w:rsidP="00241AAF">
      <w:pPr>
        <w:pStyle w:val="ListParagraph"/>
        <w:numPr>
          <w:ilvl w:val="0"/>
          <w:numId w:val="17"/>
        </w:numPr>
        <w:spacing w:line="360" w:lineRule="auto"/>
        <w:ind w:left="1077" w:hanging="357"/>
      </w:pPr>
      <w:r>
        <w:t>Quantitative and qualitative data showed that people who have had cellulitis are often unaware of risk of recurrence or potential strategies to prevent recurrence.</w:t>
      </w:r>
    </w:p>
    <w:p w14:paraId="705188C0" w14:textId="77777777" w:rsidR="005370AD" w:rsidRDefault="005370AD" w:rsidP="00241AAF">
      <w:pPr>
        <w:pStyle w:val="ListParagraph"/>
        <w:numPr>
          <w:ilvl w:val="0"/>
          <w:numId w:val="17"/>
        </w:numPr>
        <w:spacing w:line="360" w:lineRule="auto"/>
        <w:ind w:left="1077" w:hanging="357"/>
      </w:pPr>
      <w:r>
        <w:t>Enhanced foot hygiene, applying emollients daily and exercise appeared to be more acceptable prevention strategies than compression or long-term antibiotics.</w:t>
      </w:r>
    </w:p>
    <w:p w14:paraId="02F8269E" w14:textId="77777777" w:rsidR="005370AD" w:rsidRPr="001C456D" w:rsidRDefault="005370AD" w:rsidP="00241AAF">
      <w:pPr>
        <w:pStyle w:val="ListParagraph"/>
        <w:numPr>
          <w:ilvl w:val="0"/>
          <w:numId w:val="17"/>
        </w:numPr>
        <w:spacing w:line="360" w:lineRule="auto"/>
        <w:ind w:left="1077" w:hanging="357"/>
        <w:rPr>
          <w:b/>
          <w:bCs/>
        </w:rPr>
      </w:pPr>
      <w:r>
        <w:t xml:space="preserve">People were cautious of using long-term oral antibiotics, particularly if they had only experienced one episode of cellulitis. </w:t>
      </w:r>
    </w:p>
    <w:p w14:paraId="0B0A7552" w14:textId="77777777" w:rsidR="001C456D" w:rsidRPr="00FE4BC9" w:rsidRDefault="001C456D" w:rsidP="001C456D">
      <w:pPr>
        <w:pStyle w:val="ListParagraph"/>
        <w:spacing w:line="360" w:lineRule="auto"/>
        <w:ind w:left="1077"/>
        <w:rPr>
          <w:b/>
          <w:bCs/>
        </w:rPr>
      </w:pPr>
    </w:p>
    <w:p w14:paraId="04EE1EFE" w14:textId="77777777" w:rsidR="005370AD" w:rsidRDefault="005370AD" w:rsidP="00241AAF">
      <w:r w:rsidRPr="008537FA">
        <w:rPr>
          <w:b/>
          <w:bCs/>
        </w:rPr>
        <w:t>What are the clinical implications of the work?</w:t>
      </w:r>
      <w:r>
        <w:t xml:space="preserve"> </w:t>
      </w:r>
    </w:p>
    <w:p w14:paraId="3E27B477" w14:textId="77777777" w:rsidR="005370AD" w:rsidRPr="004852E8" w:rsidRDefault="005370AD" w:rsidP="00241AAF">
      <w:pPr>
        <w:pStyle w:val="ListParagraph"/>
        <w:numPr>
          <w:ilvl w:val="0"/>
          <w:numId w:val="19"/>
        </w:numPr>
        <w:spacing w:line="360" w:lineRule="auto"/>
        <w:rPr>
          <w:lang w:val="en"/>
        </w:rPr>
      </w:pPr>
      <w:r w:rsidRPr="004852E8">
        <w:rPr>
          <w:lang w:val="en"/>
        </w:rPr>
        <w:t xml:space="preserve">Many participants were surprised they had not been informed </w:t>
      </w:r>
      <w:r>
        <w:rPr>
          <w:lang w:val="en"/>
        </w:rPr>
        <w:t>about</w:t>
      </w:r>
      <w:r w:rsidRPr="004852E8">
        <w:rPr>
          <w:lang w:val="en"/>
        </w:rPr>
        <w:t xml:space="preserve"> risk of recurrence and said they would go to substantial lengths to avoid recurrence.</w:t>
      </w:r>
    </w:p>
    <w:p w14:paraId="144320ED" w14:textId="77777777" w:rsidR="005370AD" w:rsidRDefault="005370AD" w:rsidP="00241AAF">
      <w:pPr>
        <w:pStyle w:val="ListParagraph"/>
        <w:numPr>
          <w:ilvl w:val="0"/>
          <w:numId w:val="19"/>
        </w:numPr>
        <w:spacing w:line="360" w:lineRule="auto"/>
      </w:pPr>
      <w:r>
        <w:t>Although there is a lack of evidence for many prevention strategies, people with cellulitis are keen to know about possible preventative practices.</w:t>
      </w:r>
    </w:p>
    <w:p w14:paraId="6E52D745" w14:textId="77777777" w:rsidR="005370AD" w:rsidRDefault="005370AD" w:rsidP="00241AAF">
      <w:pPr>
        <w:pStyle w:val="ListParagraph"/>
        <w:numPr>
          <w:ilvl w:val="0"/>
          <w:numId w:val="19"/>
        </w:numPr>
        <w:spacing w:line="360" w:lineRule="auto"/>
      </w:pPr>
      <w:r>
        <w:t>Enhanced foot hygiene, applying emollients daily and exercise</w:t>
      </w:r>
      <w:r w:rsidRPr="00E41508">
        <w:t xml:space="preserve"> </w:t>
      </w:r>
      <w:r>
        <w:t xml:space="preserve">may be </w:t>
      </w:r>
      <w:r w:rsidRPr="00E41508">
        <w:t>acceptable</w:t>
      </w:r>
      <w:r>
        <w:t xml:space="preserve"> prevention strategies, but further research is needed to explore effectiveness and uptake in practice.</w:t>
      </w:r>
    </w:p>
    <w:p w14:paraId="7B197497" w14:textId="77777777" w:rsidR="005370AD" w:rsidRDefault="005370AD" w:rsidP="00241AAF">
      <w:pPr>
        <w:rPr>
          <w:b/>
          <w:bCs/>
        </w:rPr>
      </w:pPr>
    </w:p>
    <w:p w14:paraId="3B33C87A" w14:textId="77777777" w:rsidR="005370AD" w:rsidRDefault="005370AD" w:rsidP="00241AAF">
      <w:pPr>
        <w:rPr>
          <w:b/>
          <w:bCs/>
        </w:rPr>
      </w:pPr>
      <w:r>
        <w:rPr>
          <w:b/>
          <w:bCs/>
        </w:rPr>
        <w:t xml:space="preserve">SUMMARY </w:t>
      </w:r>
    </w:p>
    <w:p w14:paraId="4C9EC8E3" w14:textId="77777777" w:rsidR="005370AD" w:rsidRPr="00664702" w:rsidRDefault="005370AD" w:rsidP="00241AAF">
      <w:pPr>
        <w:spacing w:after="240" w:line="360" w:lineRule="auto"/>
      </w:pPr>
      <w:r w:rsidRPr="00664702">
        <w:rPr>
          <w:b/>
          <w:bCs/>
          <w:lang w:val="en"/>
        </w:rPr>
        <w:t xml:space="preserve">Background: </w:t>
      </w:r>
      <w:r w:rsidRPr="00664702">
        <w:rPr>
          <w:lang w:val="en"/>
        </w:rPr>
        <w:t xml:space="preserve">Cellulitis is a common painful infection of the skin and underlying tissues that recurs in approximately a third of cases. </w:t>
      </w:r>
      <w:r w:rsidRPr="00664702">
        <w:t>The only proven strategy to reduce the risk of recurrence is long-term</w:t>
      </w:r>
      <w:r>
        <w:t xml:space="preserve">, low-dose </w:t>
      </w:r>
      <w:r w:rsidRPr="00664702">
        <w:t>antibiotics</w:t>
      </w:r>
      <w:r>
        <w:t xml:space="preserve">. Given current concerns about antibiotic resistance and the pressure to </w:t>
      </w:r>
      <w:r w:rsidRPr="00F003CF">
        <w:t xml:space="preserve">reduce antibiotic </w:t>
      </w:r>
      <w:r>
        <w:t>prescribing, o</w:t>
      </w:r>
      <w:r w:rsidRPr="00664702">
        <w:t xml:space="preserve">ther prevention strategies </w:t>
      </w:r>
      <w:r>
        <w:t xml:space="preserve">are needed. </w:t>
      </w:r>
    </w:p>
    <w:p w14:paraId="028D7AC5" w14:textId="77777777" w:rsidR="005370AD" w:rsidRPr="00664702" w:rsidRDefault="005370AD" w:rsidP="00241AAF">
      <w:pPr>
        <w:spacing w:line="360" w:lineRule="auto"/>
        <w:rPr>
          <w:bCs/>
          <w:lang w:val="en"/>
        </w:rPr>
      </w:pPr>
      <w:r w:rsidRPr="00664702">
        <w:rPr>
          <w:b/>
          <w:bCs/>
          <w:lang w:val="en"/>
        </w:rPr>
        <w:t xml:space="preserve">Objectives: </w:t>
      </w:r>
      <w:r w:rsidRPr="00664702">
        <w:rPr>
          <w:bCs/>
          <w:lang w:val="en"/>
        </w:rPr>
        <w:t xml:space="preserve">To explore </w:t>
      </w:r>
      <w:r>
        <w:rPr>
          <w:bCs/>
        </w:rPr>
        <w:t>p</w:t>
      </w:r>
      <w:r w:rsidRPr="00F003CF">
        <w:rPr>
          <w:bCs/>
        </w:rPr>
        <w:t xml:space="preserve">atients’ views about cellulitis and </w:t>
      </w:r>
      <w:r>
        <w:rPr>
          <w:bCs/>
        </w:rPr>
        <w:t>different ways of</w:t>
      </w:r>
      <w:r w:rsidRPr="00F003CF">
        <w:rPr>
          <w:bCs/>
        </w:rPr>
        <w:t xml:space="preserve"> prevent</w:t>
      </w:r>
      <w:r>
        <w:rPr>
          <w:bCs/>
        </w:rPr>
        <w:t>ing</w:t>
      </w:r>
      <w:r w:rsidRPr="00F003CF">
        <w:rPr>
          <w:bCs/>
        </w:rPr>
        <w:t xml:space="preserve"> recurrent episodes</w:t>
      </w:r>
      <w:r>
        <w:rPr>
          <w:bCs/>
        </w:rPr>
        <w:t>.</w:t>
      </w:r>
    </w:p>
    <w:p w14:paraId="08AB83ED" w14:textId="77777777" w:rsidR="005370AD" w:rsidRPr="00664702" w:rsidRDefault="005370AD" w:rsidP="00241AAF">
      <w:pPr>
        <w:spacing w:line="360" w:lineRule="auto"/>
        <w:rPr>
          <w:bCs/>
          <w:lang w:val="en"/>
        </w:rPr>
      </w:pPr>
      <w:r w:rsidRPr="00664702">
        <w:rPr>
          <w:b/>
          <w:bCs/>
          <w:lang w:val="en"/>
        </w:rPr>
        <w:t xml:space="preserve">Methods: </w:t>
      </w:r>
      <w:r w:rsidRPr="00664702">
        <w:rPr>
          <w:rFonts w:cs="Arial"/>
        </w:rPr>
        <w:t xml:space="preserve">Adults aged 18 or over with a history of first </w:t>
      </w:r>
      <w:r>
        <w:rPr>
          <w:rFonts w:cs="Arial"/>
        </w:rPr>
        <w:t xml:space="preserve">episode </w:t>
      </w:r>
      <w:r w:rsidRPr="00664702">
        <w:rPr>
          <w:rFonts w:cs="Arial"/>
        </w:rPr>
        <w:t xml:space="preserve">or recurrent cellulitis were </w:t>
      </w:r>
      <w:r w:rsidRPr="00664702">
        <w:rPr>
          <w:rFonts w:eastAsiaTheme="minorEastAsia"/>
          <w:lang w:eastAsia="zh-CN"/>
        </w:rPr>
        <w:t xml:space="preserve">invited through primary care, hospitals and advertising to complete </w:t>
      </w:r>
      <w:r>
        <w:rPr>
          <w:rFonts w:eastAsiaTheme="minorEastAsia"/>
          <w:lang w:eastAsia="zh-CN"/>
        </w:rPr>
        <w:t>a</w:t>
      </w:r>
      <w:r w:rsidRPr="00664702">
        <w:rPr>
          <w:rFonts w:eastAsiaTheme="minorEastAsia"/>
          <w:lang w:eastAsia="zh-CN"/>
        </w:rPr>
        <w:t xml:space="preserve"> survey, take part in an interview</w:t>
      </w:r>
      <w:r>
        <w:rPr>
          <w:rFonts w:eastAsiaTheme="minorEastAsia"/>
          <w:lang w:eastAsia="zh-CN"/>
        </w:rPr>
        <w:t>,</w:t>
      </w:r>
      <w:r w:rsidRPr="00664702">
        <w:rPr>
          <w:rFonts w:eastAsiaTheme="minorEastAsia"/>
          <w:lang w:eastAsia="zh-CN"/>
        </w:rPr>
        <w:t xml:space="preserve"> or both.</w:t>
      </w:r>
    </w:p>
    <w:p w14:paraId="36F0E2F5" w14:textId="77777777" w:rsidR="005370AD" w:rsidRPr="00664702" w:rsidRDefault="005370AD" w:rsidP="00241AAF">
      <w:pPr>
        <w:spacing w:line="360" w:lineRule="auto"/>
        <w:rPr>
          <w:b/>
          <w:bCs/>
          <w:lang w:val="en"/>
        </w:rPr>
      </w:pPr>
      <w:r w:rsidRPr="00664702">
        <w:rPr>
          <w:b/>
          <w:bCs/>
          <w:lang w:val="en"/>
        </w:rPr>
        <w:t xml:space="preserve">Results: </w:t>
      </w:r>
      <w:r w:rsidRPr="00664702">
        <w:t xml:space="preserve">Thirty interviews were conducted between August 2016 and July 2017. </w:t>
      </w:r>
      <w:r>
        <w:rPr>
          <w:iCs/>
        </w:rPr>
        <w:t xml:space="preserve"> Two hundred and forty </w:t>
      </w:r>
      <w:r w:rsidRPr="00664702">
        <w:t>surveys were completed (response rate 17%). Triangulation of quantitative and qualitative data showed that pe</w:t>
      </w:r>
      <w:r>
        <w:t>ople who have had cellulitis have wide-ranging beliefs about what can cause</w:t>
      </w:r>
      <w:r w:rsidRPr="00664702">
        <w:t xml:space="preserve"> </w:t>
      </w:r>
      <w:r>
        <w:t xml:space="preserve">cellulitis </w:t>
      </w:r>
      <w:r w:rsidRPr="00664702">
        <w:t>and are often unaware of risk of recurrence or potential strategies to prevent recurrence.</w:t>
      </w:r>
      <w:r w:rsidRPr="00664702">
        <w:rPr>
          <w:b/>
          <w:bCs/>
          <w:lang w:val="en"/>
        </w:rPr>
        <w:t xml:space="preserve"> </w:t>
      </w:r>
      <w:r w:rsidRPr="00664702">
        <w:t xml:space="preserve">Enhanced foot hygiene, applying </w:t>
      </w:r>
      <w:r>
        <w:t>emollients daily, exercise and losing weight</w:t>
      </w:r>
      <w:r w:rsidRPr="00664702">
        <w:t xml:space="preserve"> were more popular potential strategies than </w:t>
      </w:r>
      <w:r>
        <w:t xml:space="preserve">use of </w:t>
      </w:r>
      <w:r w:rsidRPr="00664702">
        <w:t xml:space="preserve">compression </w:t>
      </w:r>
      <w:r>
        <w:t xml:space="preserve">stockings </w:t>
      </w:r>
      <w:r w:rsidRPr="00664702">
        <w:t>or long-term antibiotics.</w:t>
      </w:r>
      <w:r w:rsidRPr="00664702">
        <w:rPr>
          <w:b/>
          <w:bCs/>
          <w:lang w:val="en"/>
        </w:rPr>
        <w:t xml:space="preserve"> </w:t>
      </w:r>
      <w:r>
        <w:t>P</w:t>
      </w:r>
      <w:r w:rsidRPr="00664702">
        <w:t>articipants expressed caution about long-term oral antibiotics</w:t>
      </w:r>
      <w:r>
        <w:t>,</w:t>
      </w:r>
      <w:r w:rsidRPr="00664702">
        <w:t xml:space="preserve"> </w:t>
      </w:r>
      <w:r>
        <w:t xml:space="preserve">particularly those who had experienced only one episode of </w:t>
      </w:r>
      <w:r w:rsidRPr="00664702">
        <w:t xml:space="preserve">cellulitis. </w:t>
      </w:r>
    </w:p>
    <w:p w14:paraId="523FA2E4" w14:textId="77777777" w:rsidR="005370AD" w:rsidRPr="00664702" w:rsidRDefault="005370AD" w:rsidP="00241AAF">
      <w:pPr>
        <w:spacing w:line="360" w:lineRule="auto"/>
        <w:rPr>
          <w:b/>
          <w:bCs/>
          <w:iCs/>
        </w:rPr>
      </w:pPr>
      <w:r w:rsidRPr="00664702">
        <w:rPr>
          <w:b/>
          <w:bCs/>
          <w:lang w:val="en"/>
        </w:rPr>
        <w:t xml:space="preserve">Conclusions: </w:t>
      </w:r>
      <w:r>
        <w:t>P</w:t>
      </w:r>
      <w:r w:rsidRPr="00664702">
        <w:t xml:space="preserve">eople </w:t>
      </w:r>
      <w:r>
        <w:t>who have had</w:t>
      </w:r>
      <w:r w:rsidRPr="00664702">
        <w:t xml:space="preserve"> cellulitis are keen to know </w:t>
      </w:r>
      <w:r>
        <w:t>about possible ways to prevent further episodes</w:t>
      </w:r>
      <w:r w:rsidRPr="00664702">
        <w:t xml:space="preserve">. </w:t>
      </w:r>
      <w:r w:rsidRPr="00F003CF">
        <w:t>E</w:t>
      </w:r>
      <w:r>
        <w:t>nhanced foot hygiene, applying emollients</w:t>
      </w:r>
      <w:r w:rsidRPr="00F003CF">
        <w:t xml:space="preserve"> daily, </w:t>
      </w:r>
      <w:r>
        <w:t>exercise</w:t>
      </w:r>
      <w:r w:rsidRPr="00F003CF">
        <w:t xml:space="preserve"> and losing weight </w:t>
      </w:r>
      <w:r>
        <w:t>were generally viewed to be</w:t>
      </w:r>
      <w:r w:rsidRPr="00664702">
        <w:t xml:space="preserve"> mo</w:t>
      </w:r>
      <w:r>
        <w:t>re acceptable, feasible strategies</w:t>
      </w:r>
      <w:r w:rsidRPr="00664702">
        <w:t xml:space="preserve"> than compression or antibiotics, but further research is needed to explore uptake and effectiveness in practice.</w:t>
      </w:r>
    </w:p>
    <w:p w14:paraId="6E58E3D6" w14:textId="77777777" w:rsidR="005370AD" w:rsidRPr="00235F03" w:rsidRDefault="005370AD" w:rsidP="00241AAF">
      <w:pPr>
        <w:spacing w:line="360" w:lineRule="auto"/>
        <w:rPr>
          <w:color w:val="0070C0"/>
        </w:rPr>
      </w:pPr>
    </w:p>
    <w:p w14:paraId="63296EDE" w14:textId="77777777" w:rsidR="005370AD" w:rsidRDefault="005370AD" w:rsidP="00241AAF">
      <w:pPr>
        <w:rPr>
          <w:b/>
        </w:rPr>
      </w:pPr>
    </w:p>
    <w:p w14:paraId="478F2AAB" w14:textId="77777777" w:rsidR="005370AD" w:rsidRDefault="005370AD" w:rsidP="00241AAF">
      <w:pPr>
        <w:rPr>
          <w:b/>
        </w:rPr>
      </w:pPr>
    </w:p>
    <w:p w14:paraId="5A64AACD" w14:textId="77777777" w:rsidR="005370AD" w:rsidRDefault="005370AD" w:rsidP="00241AAF">
      <w:pPr>
        <w:rPr>
          <w:b/>
        </w:rPr>
      </w:pPr>
    </w:p>
    <w:p w14:paraId="62F95BA7" w14:textId="77777777" w:rsidR="005370AD" w:rsidRDefault="005370AD" w:rsidP="00241AAF">
      <w:pPr>
        <w:rPr>
          <w:b/>
        </w:rPr>
      </w:pPr>
    </w:p>
    <w:p w14:paraId="133E0610" w14:textId="77777777" w:rsidR="005370AD" w:rsidRDefault="005370AD" w:rsidP="00241AAF">
      <w:pPr>
        <w:rPr>
          <w:b/>
        </w:rPr>
      </w:pPr>
    </w:p>
    <w:p w14:paraId="4D7B58F9" w14:textId="77777777" w:rsidR="005370AD" w:rsidRDefault="005370AD" w:rsidP="00241AAF">
      <w:pPr>
        <w:rPr>
          <w:b/>
        </w:rPr>
      </w:pPr>
    </w:p>
    <w:p w14:paraId="10111509" w14:textId="77777777" w:rsidR="005370AD" w:rsidRDefault="005370AD" w:rsidP="00241AAF">
      <w:pPr>
        <w:rPr>
          <w:b/>
        </w:rPr>
      </w:pPr>
    </w:p>
    <w:p w14:paraId="7A60C62B" w14:textId="77777777" w:rsidR="005370AD" w:rsidRDefault="005370AD" w:rsidP="00241AAF">
      <w:pPr>
        <w:rPr>
          <w:b/>
        </w:rPr>
      </w:pPr>
    </w:p>
    <w:p w14:paraId="6D9F5FE5" w14:textId="77777777" w:rsidR="005370AD" w:rsidRDefault="005370AD" w:rsidP="00241AAF">
      <w:pPr>
        <w:rPr>
          <w:b/>
        </w:rPr>
      </w:pPr>
      <w:r>
        <w:rPr>
          <w:b/>
        </w:rPr>
        <w:t>INTRODUCTION</w:t>
      </w:r>
    </w:p>
    <w:p w14:paraId="162ED333" w14:textId="77777777" w:rsidR="005370AD" w:rsidRPr="004B0475" w:rsidRDefault="005370AD" w:rsidP="00241AAF">
      <w:pPr>
        <w:spacing w:line="360" w:lineRule="auto"/>
        <w:rPr>
          <w:rFonts w:eastAsiaTheme="minorEastAsia"/>
          <w:lang w:eastAsia="zh-CN"/>
        </w:rPr>
      </w:pPr>
      <w:r w:rsidRPr="00A76E32">
        <w:rPr>
          <w:rFonts w:eastAsiaTheme="minorEastAsia"/>
          <w:lang w:eastAsia="zh-CN"/>
        </w:rPr>
        <w:t>Cellulitis is an acute, painful</w:t>
      </w:r>
      <w:r w:rsidRPr="00A76E32">
        <w:t xml:space="preserve"> and potentially serious</w:t>
      </w:r>
      <w:r w:rsidRPr="00A76E32">
        <w:rPr>
          <w:rFonts w:eastAsiaTheme="minorEastAsia"/>
          <w:lang w:eastAsia="zh-CN"/>
        </w:rPr>
        <w:t xml:space="preserve"> </w:t>
      </w:r>
      <w:r>
        <w:rPr>
          <w:rFonts w:eastAsiaTheme="minorEastAsia"/>
          <w:lang w:eastAsia="zh-CN"/>
        </w:rPr>
        <w:t xml:space="preserve">bacterial </w:t>
      </w:r>
      <w:r w:rsidRPr="00A76E32">
        <w:rPr>
          <w:rFonts w:eastAsiaTheme="minorEastAsia"/>
          <w:lang w:eastAsia="zh-CN"/>
        </w:rPr>
        <w:t xml:space="preserve">infection of </w:t>
      </w:r>
      <w:r>
        <w:rPr>
          <w:rFonts w:eastAsiaTheme="minorEastAsia"/>
          <w:lang w:eastAsia="zh-CN"/>
        </w:rPr>
        <w:t>the skin and underlying tissue that can have a substantial impact on patients</w:t>
      </w:r>
      <w:r w:rsidRPr="000B2564">
        <w:rPr>
          <w:rFonts w:eastAsiaTheme="minorEastAsia"/>
          <w:lang w:eastAsia="zh-CN"/>
        </w:rPr>
        <w:t xml:space="preserve">. </w:t>
      </w:r>
      <w:r>
        <w:rPr>
          <w:rFonts w:eastAsiaTheme="minorEastAsia"/>
          <w:lang w:eastAsia="zh-CN"/>
        </w:rPr>
        <w:t xml:space="preserve">Pain, feeling very unwell </w:t>
      </w:r>
      <w:r w:rsidRPr="000F4A15">
        <w:rPr>
          <w:rFonts w:eastAsiaTheme="minorEastAsia"/>
          <w:lang w:eastAsia="zh-CN"/>
        </w:rPr>
        <w:t>and the</w:t>
      </w:r>
      <w:r>
        <w:rPr>
          <w:rFonts w:eastAsiaTheme="minorEastAsia"/>
          <w:lang w:eastAsia="zh-CN"/>
        </w:rPr>
        <w:t xml:space="preserve"> need for elevation of the affected limb</w:t>
      </w:r>
      <w:r w:rsidRPr="000F4A15">
        <w:rPr>
          <w:rFonts w:eastAsiaTheme="minorEastAsia"/>
          <w:lang w:eastAsia="zh-CN"/>
        </w:rPr>
        <w:t xml:space="preserve"> can result in </w:t>
      </w:r>
      <w:r>
        <w:rPr>
          <w:rFonts w:eastAsiaTheme="minorEastAsia"/>
          <w:lang w:eastAsia="zh-CN"/>
        </w:rPr>
        <w:t xml:space="preserve">reduced quality of life and </w:t>
      </w:r>
      <w:r w:rsidRPr="000F4A15">
        <w:rPr>
          <w:rFonts w:eastAsiaTheme="minorEastAsia"/>
          <w:lang w:eastAsia="zh-CN"/>
        </w:rPr>
        <w:t xml:space="preserve">substantial periods of work absence amongst </w:t>
      </w:r>
      <w:r>
        <w:rPr>
          <w:rFonts w:eastAsiaTheme="minorEastAsia"/>
          <w:lang w:eastAsia="zh-CN"/>
        </w:rPr>
        <w:t>people with cellulitis.</w:t>
      </w:r>
      <w:r w:rsidRPr="002D4607">
        <w:rPr>
          <w:rFonts w:eastAsiaTheme="minorEastAsia"/>
          <w:noProof/>
          <w:vertAlign w:val="superscript"/>
          <w:lang w:eastAsia="zh-CN"/>
        </w:rPr>
        <w:t>1</w:t>
      </w:r>
      <w:r>
        <w:rPr>
          <w:rFonts w:eastAsiaTheme="minorEastAsia"/>
          <w:lang w:eastAsia="zh-CN"/>
        </w:rPr>
        <w:t xml:space="preserve"> Cellulitis also places a considerable burden on the NHS. Between 2015 and 2016, </w:t>
      </w:r>
      <w:r w:rsidRPr="000F4A15">
        <w:rPr>
          <w:rFonts w:eastAsiaTheme="minorEastAsia"/>
          <w:lang w:eastAsia="zh-CN"/>
        </w:rPr>
        <w:t>123,644</w:t>
      </w:r>
      <w:r>
        <w:rPr>
          <w:rFonts w:eastAsiaTheme="minorEastAsia"/>
          <w:lang w:eastAsia="zh-CN"/>
        </w:rPr>
        <w:t xml:space="preserve"> patients were admitted to</w:t>
      </w:r>
      <w:r w:rsidRPr="000F4A15">
        <w:rPr>
          <w:rFonts w:eastAsiaTheme="minorEastAsia"/>
          <w:lang w:eastAsia="zh-CN"/>
        </w:rPr>
        <w:t xml:space="preserve"> hospital</w:t>
      </w:r>
      <w:r>
        <w:rPr>
          <w:rFonts w:eastAsiaTheme="minorEastAsia"/>
          <w:lang w:eastAsia="zh-CN"/>
        </w:rPr>
        <w:t>s in England</w:t>
      </w:r>
      <w:r w:rsidRPr="000F4A15">
        <w:rPr>
          <w:rFonts w:eastAsiaTheme="minorEastAsia"/>
          <w:lang w:eastAsia="zh-CN"/>
        </w:rPr>
        <w:t xml:space="preserve"> for cellulitis</w:t>
      </w:r>
      <w:r>
        <w:rPr>
          <w:rFonts w:eastAsiaTheme="minorEastAsia"/>
          <w:lang w:eastAsia="zh-CN"/>
        </w:rPr>
        <w:t>.</w:t>
      </w:r>
      <w:r w:rsidRPr="004D2853">
        <w:rPr>
          <w:rFonts w:eastAsiaTheme="minorEastAsia"/>
          <w:noProof/>
          <w:vertAlign w:val="superscript"/>
          <w:lang w:eastAsia="zh-CN"/>
        </w:rPr>
        <w:t>2</w:t>
      </w:r>
      <w:r>
        <w:rPr>
          <w:rFonts w:eastAsiaTheme="minorEastAsia"/>
          <w:lang w:eastAsia="zh-CN"/>
        </w:rPr>
        <w:t xml:space="preserve"> </w:t>
      </w:r>
      <w:r>
        <w:t>While even a single episode of cellulitis can have substantial impact on quality of life, a</w:t>
      </w:r>
      <w:r w:rsidRPr="00413B5B">
        <w:t xml:space="preserve">pproximately a third of people with </w:t>
      </w:r>
      <w:r>
        <w:t>cellulitis suffer recurrent episodes</w:t>
      </w:r>
      <w:r>
        <w:rPr>
          <w:rFonts w:eastAsiaTheme="minorEastAsia"/>
          <w:lang w:eastAsia="zh-CN"/>
        </w:rPr>
        <w:t>.</w:t>
      </w:r>
      <w:r w:rsidRPr="00CC340E">
        <w:rPr>
          <w:rFonts w:eastAsiaTheme="minorEastAsia"/>
          <w:noProof/>
          <w:vertAlign w:val="superscript"/>
          <w:lang w:eastAsia="zh-CN"/>
        </w:rPr>
        <w:t>3 4</w:t>
      </w:r>
      <w:r>
        <w:rPr>
          <w:rFonts w:eastAsiaTheme="minorEastAsia"/>
          <w:lang w:eastAsia="zh-CN"/>
        </w:rPr>
        <w:t xml:space="preserve"> </w:t>
      </w:r>
      <w:r w:rsidRPr="000C1E30">
        <w:rPr>
          <w:rFonts w:eastAsiaTheme="minorEastAsia"/>
          <w:lang w:eastAsia="zh-CN"/>
        </w:rPr>
        <w:t xml:space="preserve">Risk factors for cellulitis </w:t>
      </w:r>
      <w:r>
        <w:rPr>
          <w:rFonts w:eastAsiaTheme="minorEastAsia"/>
          <w:lang w:eastAsia="zh-CN"/>
        </w:rPr>
        <w:t xml:space="preserve">recurrence </w:t>
      </w:r>
      <w:r w:rsidRPr="000C1E30">
        <w:rPr>
          <w:rFonts w:eastAsiaTheme="minorEastAsia"/>
          <w:lang w:eastAsia="zh-CN"/>
        </w:rPr>
        <w:t xml:space="preserve">include previous episode(s) of cellulitis; </w:t>
      </w:r>
      <w:proofErr w:type="spellStart"/>
      <w:r w:rsidRPr="000C1E30">
        <w:rPr>
          <w:rFonts w:eastAsiaTheme="minorEastAsia"/>
          <w:lang w:eastAsia="zh-CN"/>
        </w:rPr>
        <w:t>lymphoedema</w:t>
      </w:r>
      <w:proofErr w:type="spellEnd"/>
      <w:r w:rsidRPr="000C1E30">
        <w:rPr>
          <w:rFonts w:eastAsiaTheme="minorEastAsia"/>
          <w:lang w:eastAsia="zh-CN"/>
        </w:rPr>
        <w:t xml:space="preserve">; </w:t>
      </w:r>
      <w:r>
        <w:rPr>
          <w:rFonts w:eastAsiaTheme="minorEastAsia"/>
          <w:lang w:eastAsia="zh-CN"/>
        </w:rPr>
        <w:t xml:space="preserve">obesity; </w:t>
      </w:r>
      <w:r w:rsidRPr="000C1E30">
        <w:rPr>
          <w:rFonts w:eastAsiaTheme="minorEastAsia"/>
          <w:lang w:eastAsia="zh-CN"/>
        </w:rPr>
        <w:t>diabetes</w:t>
      </w:r>
      <w:r>
        <w:rPr>
          <w:rFonts w:eastAsiaTheme="minorEastAsia"/>
          <w:lang w:eastAsia="zh-CN"/>
        </w:rPr>
        <w:t xml:space="preserve"> and </w:t>
      </w:r>
      <w:r w:rsidRPr="000C1E30">
        <w:rPr>
          <w:rFonts w:eastAsiaTheme="minorEastAsia"/>
          <w:lang w:eastAsia="zh-CN"/>
        </w:rPr>
        <w:t>skin disorders produc</w:t>
      </w:r>
      <w:r>
        <w:rPr>
          <w:rFonts w:eastAsiaTheme="minorEastAsia"/>
          <w:lang w:eastAsia="zh-CN"/>
        </w:rPr>
        <w:t xml:space="preserve">ing breaks in the skin (e.g. </w:t>
      </w:r>
      <w:r w:rsidRPr="004B0475">
        <w:rPr>
          <w:rFonts w:eastAsiaTheme="minorEastAsia"/>
          <w:lang w:eastAsia="zh-CN"/>
        </w:rPr>
        <w:t>fungal foot disease, dry skin or insect bites.</w:t>
      </w:r>
      <w:r>
        <w:rPr>
          <w:rFonts w:eastAsiaTheme="minorEastAsia"/>
          <w:lang w:eastAsia="zh-CN"/>
        </w:rPr>
        <w:t>)</w:t>
      </w:r>
    </w:p>
    <w:p w14:paraId="1D68FA83" w14:textId="77777777" w:rsidR="005370AD" w:rsidRDefault="005370AD" w:rsidP="00241AAF">
      <w:pPr>
        <w:spacing w:line="360" w:lineRule="auto"/>
      </w:pPr>
      <w:r w:rsidRPr="00675805">
        <w:t>The only treatment shown to reduce the risk of recu</w:t>
      </w:r>
      <w:r>
        <w:t>rrence is long-term, low-dose antibiotics.</w:t>
      </w:r>
      <w:r w:rsidRPr="00CC340E">
        <w:rPr>
          <w:noProof/>
          <w:vertAlign w:val="superscript"/>
        </w:rPr>
        <w:t>5</w:t>
      </w:r>
      <w:r>
        <w:t xml:space="preserve"> </w:t>
      </w:r>
      <w:proofErr w:type="gramStart"/>
      <w:r w:rsidRPr="00E66520">
        <w:t>This</w:t>
      </w:r>
      <w:proofErr w:type="gramEnd"/>
      <w:r w:rsidRPr="00E66520">
        <w:t xml:space="preserve"> strategy has not been widely implemented, possibly because of growing pressure to reduce antibiotic prescribing amidst fears of antibiotic resistance</w:t>
      </w:r>
      <w:r>
        <w:t xml:space="preserve"> and possible side effects</w:t>
      </w:r>
      <w:r w:rsidRPr="00E66520">
        <w:t xml:space="preserve">. </w:t>
      </w:r>
      <w:r>
        <w:t xml:space="preserve"> The risk of further episodes may also be reduced by </w:t>
      </w:r>
      <w:r>
        <w:rPr>
          <w:rFonts w:eastAsiaTheme="minorEastAsia"/>
          <w:lang w:eastAsia="zh-CN"/>
        </w:rPr>
        <w:t xml:space="preserve">use of emollients for prevention of dry cracked skin, checking for and treating tinea </w:t>
      </w:r>
      <w:proofErr w:type="spellStart"/>
      <w:r>
        <w:rPr>
          <w:rFonts w:eastAsiaTheme="minorEastAsia"/>
          <w:lang w:eastAsia="zh-CN"/>
        </w:rPr>
        <w:t>pedis</w:t>
      </w:r>
      <w:proofErr w:type="spellEnd"/>
      <w:r>
        <w:rPr>
          <w:rFonts w:eastAsiaTheme="minorEastAsia"/>
          <w:lang w:eastAsia="zh-CN"/>
        </w:rPr>
        <w:t xml:space="preserve">, and managing </w:t>
      </w:r>
      <w:proofErr w:type="spellStart"/>
      <w:r>
        <w:rPr>
          <w:rFonts w:eastAsiaTheme="minorEastAsia"/>
          <w:lang w:eastAsia="zh-CN"/>
        </w:rPr>
        <w:t>lymphoedema</w:t>
      </w:r>
      <w:proofErr w:type="spellEnd"/>
      <w:r>
        <w:rPr>
          <w:rFonts w:eastAsiaTheme="minorEastAsia"/>
          <w:lang w:eastAsia="zh-CN"/>
        </w:rPr>
        <w:t xml:space="preserve"> </w:t>
      </w:r>
      <w:r w:rsidRPr="00E12B7A">
        <w:rPr>
          <w:rFonts w:eastAsiaTheme="minorEastAsia"/>
          <w:lang w:eastAsia="zh-CN"/>
        </w:rPr>
        <w:t>using compr</w:t>
      </w:r>
      <w:r>
        <w:rPr>
          <w:rFonts w:eastAsiaTheme="minorEastAsia"/>
          <w:lang w:eastAsia="zh-CN"/>
        </w:rPr>
        <w:t>ession garments.</w:t>
      </w:r>
      <w:r w:rsidRPr="00CC340E">
        <w:rPr>
          <w:rFonts w:eastAsiaTheme="minorEastAsia"/>
          <w:noProof/>
          <w:vertAlign w:val="superscript"/>
          <w:lang w:eastAsia="zh-CN"/>
        </w:rPr>
        <w:t>6</w:t>
      </w:r>
    </w:p>
    <w:p w14:paraId="5F5F22CB" w14:textId="77777777" w:rsidR="005370AD" w:rsidRPr="00130E85" w:rsidRDefault="005370AD" w:rsidP="00241AAF">
      <w:pPr>
        <w:spacing w:line="360" w:lineRule="auto"/>
        <w:rPr>
          <w:rFonts w:eastAsiaTheme="minorEastAsia"/>
          <w:lang w:val="en" w:eastAsia="zh-CN"/>
        </w:rPr>
      </w:pPr>
      <w:r w:rsidRPr="000B2564">
        <w:rPr>
          <w:rFonts w:eastAsiaTheme="minorEastAsia"/>
          <w:lang w:eastAsia="zh-CN"/>
        </w:rPr>
        <w:t xml:space="preserve">There has been little research into the role of skin care in the prevention of cellulitis but a role for dry skin has been hypothesised and regular application of emollient has been shown to reduce </w:t>
      </w:r>
      <w:r>
        <w:rPr>
          <w:rFonts w:eastAsiaTheme="minorEastAsia"/>
          <w:lang w:eastAsia="zh-CN"/>
        </w:rPr>
        <w:t>dryness</w:t>
      </w:r>
      <w:r w:rsidRPr="000B2564">
        <w:rPr>
          <w:rFonts w:eastAsiaTheme="minorEastAsia"/>
          <w:lang w:eastAsia="zh-CN"/>
        </w:rPr>
        <w:t>.</w:t>
      </w:r>
      <w:r w:rsidRPr="006D41B4">
        <w:rPr>
          <w:rFonts w:eastAsiaTheme="minorEastAsia"/>
          <w:noProof/>
          <w:vertAlign w:val="superscript"/>
          <w:lang w:eastAsia="zh-CN"/>
        </w:rPr>
        <w:t>7</w:t>
      </w:r>
      <w:r w:rsidRPr="000B2564">
        <w:rPr>
          <w:rFonts w:eastAsiaTheme="minorEastAsia"/>
          <w:lang w:eastAsia="zh-CN"/>
        </w:rPr>
        <w:t xml:space="preserve"> </w:t>
      </w:r>
      <w:r>
        <w:rPr>
          <w:rFonts w:eastAsiaTheme="minorEastAsia"/>
          <w:lang w:eastAsia="zh-CN"/>
        </w:rPr>
        <w:t>Previous research also suggests that there is a</w:t>
      </w:r>
      <w:r w:rsidRPr="000B2564">
        <w:rPr>
          <w:rFonts w:eastAsiaTheme="minorEastAsia"/>
          <w:lang w:eastAsia="zh-CN"/>
        </w:rPr>
        <w:t xml:space="preserve"> high rate of fungal foot disease in pati</w:t>
      </w:r>
      <w:r>
        <w:rPr>
          <w:rFonts w:eastAsiaTheme="minorEastAsia"/>
          <w:lang w:eastAsia="zh-CN"/>
        </w:rPr>
        <w:t xml:space="preserve">ents with recurrent cellulitis as </w:t>
      </w:r>
      <w:r w:rsidRPr="000B2564">
        <w:rPr>
          <w:rFonts w:eastAsiaTheme="minorEastAsia"/>
          <w:lang w:eastAsia="zh-CN"/>
        </w:rPr>
        <w:t>skin breaks caused by fungal infection provide a ‘po</w:t>
      </w:r>
      <w:r>
        <w:rPr>
          <w:rFonts w:eastAsiaTheme="minorEastAsia"/>
          <w:lang w:eastAsia="zh-CN"/>
        </w:rPr>
        <w:t>rtal of entry’ for bacteria</w:t>
      </w:r>
      <w:r w:rsidRPr="000B2564">
        <w:rPr>
          <w:rFonts w:eastAsiaTheme="minorEastAsia"/>
          <w:lang w:eastAsia="zh-CN"/>
        </w:rPr>
        <w:t>.</w:t>
      </w:r>
      <w:r w:rsidRPr="006D41B4">
        <w:rPr>
          <w:rFonts w:eastAsiaTheme="minorEastAsia"/>
          <w:noProof/>
          <w:vertAlign w:val="superscript"/>
          <w:lang w:eastAsia="zh-CN"/>
        </w:rPr>
        <w:t>8 9</w:t>
      </w:r>
      <w:r>
        <w:rPr>
          <w:rFonts w:eastAsiaTheme="minorEastAsia"/>
          <w:lang w:eastAsia="zh-CN"/>
        </w:rPr>
        <w:t xml:space="preserve"> </w:t>
      </w:r>
      <w:r w:rsidRPr="000B2564">
        <w:rPr>
          <w:rFonts w:eastAsiaTheme="minorEastAsia"/>
          <w:lang w:eastAsia="zh-CN"/>
        </w:rPr>
        <w:t xml:space="preserve">Although fungal foot infection is common, </w:t>
      </w:r>
      <w:r>
        <w:rPr>
          <w:rFonts w:eastAsiaTheme="minorEastAsia"/>
          <w:lang w:eastAsia="zh-CN"/>
        </w:rPr>
        <w:t>many patients under-treat this as it can be asymptomatic</w:t>
      </w:r>
      <w:r w:rsidRPr="006D41B4">
        <w:rPr>
          <w:rFonts w:eastAsiaTheme="minorEastAsia"/>
          <w:noProof/>
          <w:vertAlign w:val="superscript"/>
          <w:lang w:eastAsia="zh-CN"/>
        </w:rPr>
        <w:t>10 11</w:t>
      </w:r>
      <w:r w:rsidRPr="000B2564">
        <w:rPr>
          <w:rFonts w:eastAsiaTheme="minorEastAsia"/>
          <w:lang w:eastAsia="zh-CN"/>
        </w:rPr>
        <w:t xml:space="preserve">, </w:t>
      </w:r>
      <w:r>
        <w:rPr>
          <w:rFonts w:eastAsiaTheme="minorEastAsia"/>
          <w:lang w:eastAsia="zh-CN"/>
        </w:rPr>
        <w:t>so it is possible that more active treatment of fungal foot disease may prevent recurrent cellulitis</w:t>
      </w:r>
      <w:r w:rsidRPr="000B2564">
        <w:rPr>
          <w:rFonts w:eastAsiaTheme="minorEastAsia"/>
          <w:lang w:eastAsia="zh-CN"/>
        </w:rPr>
        <w:t>.</w:t>
      </w:r>
      <w:r>
        <w:rPr>
          <w:rFonts w:eastAsiaTheme="minorEastAsia"/>
          <w:lang w:eastAsia="zh-CN"/>
        </w:rPr>
        <w:t xml:space="preserve"> In a</w:t>
      </w:r>
      <w:r w:rsidRPr="000B2564">
        <w:rPr>
          <w:rFonts w:eastAsiaTheme="minorEastAsia"/>
          <w:lang w:eastAsia="zh-CN"/>
        </w:rPr>
        <w:t xml:space="preserve"> </w:t>
      </w:r>
      <w:r>
        <w:rPr>
          <w:rFonts w:eastAsiaTheme="minorEastAsia"/>
          <w:lang w:eastAsia="zh-CN"/>
        </w:rPr>
        <w:t xml:space="preserve">recent James Lind Alliance Priority Setting Partnership for </w:t>
      </w:r>
      <w:r w:rsidRPr="00A24CEE">
        <w:rPr>
          <w:rFonts w:eastAsiaTheme="minorEastAsia"/>
          <w:lang w:val="en" w:eastAsia="zh-CN"/>
        </w:rPr>
        <w:t xml:space="preserve">Cellulitis </w:t>
      </w:r>
      <w:r>
        <w:rPr>
          <w:rFonts w:eastAsiaTheme="minorEastAsia"/>
          <w:lang w:val="en" w:eastAsia="zh-CN"/>
        </w:rPr>
        <w:t>(</w:t>
      </w:r>
      <w:r w:rsidRPr="00A24CEE">
        <w:rPr>
          <w:rFonts w:eastAsiaTheme="minorEastAsia"/>
          <w:lang w:val="en" w:eastAsia="zh-CN"/>
        </w:rPr>
        <w:t>PSP</w:t>
      </w:r>
      <w:r>
        <w:rPr>
          <w:rFonts w:eastAsiaTheme="minorEastAsia"/>
          <w:lang w:val="en" w:eastAsia="zh-CN"/>
        </w:rPr>
        <w:t xml:space="preserve">), patients and health professionals </w:t>
      </w:r>
      <w:r w:rsidRPr="00A24CEE">
        <w:rPr>
          <w:rFonts w:eastAsiaTheme="minorEastAsia"/>
          <w:lang w:val="en" w:eastAsia="zh-CN"/>
        </w:rPr>
        <w:t>identified</w:t>
      </w:r>
      <w:r>
        <w:t xml:space="preserve"> the need to determine the best non-</w:t>
      </w:r>
      <w:r w:rsidRPr="00426D97">
        <w:t>antibiotic intervention for the prevention of cellulitis (e.g. skin care; foot care; moisturisers; antiseptics; lifestyle changes such as weight loss and exercise; compression garments/bandages; treating athlete's foot; complem</w:t>
      </w:r>
      <w:r>
        <w:t>entary and alternative therapy)</w:t>
      </w:r>
      <w:r>
        <w:rPr>
          <w:rFonts w:eastAsiaTheme="minorEastAsia"/>
          <w:lang w:val="en" w:eastAsia="zh-CN"/>
        </w:rPr>
        <w:t xml:space="preserve"> </w:t>
      </w:r>
      <w:r>
        <w:rPr>
          <w:rFonts w:eastAsiaTheme="minorEastAsia"/>
          <w:lang w:eastAsia="zh-CN"/>
        </w:rPr>
        <w:t>as a priority area for</w:t>
      </w:r>
      <w:r w:rsidRPr="00A24CEE">
        <w:rPr>
          <w:rFonts w:eastAsiaTheme="minorEastAsia"/>
          <w:lang w:val="en" w:eastAsia="zh-CN"/>
        </w:rPr>
        <w:t xml:space="preserve"> future </w:t>
      </w:r>
      <w:r>
        <w:rPr>
          <w:rFonts w:eastAsiaTheme="minorEastAsia"/>
          <w:lang w:val="en" w:eastAsia="zh-CN"/>
        </w:rPr>
        <w:t>research.</w:t>
      </w:r>
      <w:r w:rsidRPr="006D41B4">
        <w:rPr>
          <w:rFonts w:eastAsiaTheme="minorEastAsia"/>
          <w:noProof/>
          <w:vertAlign w:val="superscript"/>
          <w:lang w:val="en" w:eastAsia="zh-CN"/>
        </w:rPr>
        <w:t>12</w:t>
      </w:r>
      <w:r>
        <w:rPr>
          <w:rFonts w:eastAsiaTheme="minorEastAsia"/>
          <w:lang w:val="en" w:eastAsia="zh-CN"/>
        </w:rPr>
        <w:t xml:space="preserve"> </w:t>
      </w:r>
    </w:p>
    <w:p w14:paraId="5FC6B038" w14:textId="77777777" w:rsidR="005370AD" w:rsidRPr="004B21DD" w:rsidRDefault="005370AD" w:rsidP="00241AAF">
      <w:pPr>
        <w:spacing w:line="360" w:lineRule="auto"/>
      </w:pPr>
      <w:r>
        <w:t xml:space="preserve">Our long-term aim is to carry out a trial of non-antibiotic approaches to prevention of cellulitis. In order to effectively design such research, a greater understanding of patients’ beliefs and understandings about cellulitis, their views and experiences of preventing recurrence and the factors </w:t>
      </w:r>
      <w:r w:rsidRPr="00DD25C7">
        <w:rPr>
          <w:rFonts w:eastAsiaTheme="minorEastAsia"/>
          <w:lang w:eastAsia="zh-CN"/>
        </w:rPr>
        <w:t xml:space="preserve">likely to influence the adoption of </w:t>
      </w:r>
      <w:r>
        <w:rPr>
          <w:rFonts w:eastAsiaTheme="minorEastAsia"/>
          <w:lang w:eastAsia="zh-CN"/>
        </w:rPr>
        <w:t xml:space="preserve">different cellulitis prevention strategies is required. </w:t>
      </w:r>
    </w:p>
    <w:p w14:paraId="64633274" w14:textId="77777777" w:rsidR="005370AD" w:rsidRDefault="005370AD" w:rsidP="00241AAF">
      <w:pPr>
        <w:autoSpaceDE w:val="0"/>
        <w:autoSpaceDN w:val="0"/>
        <w:adjustRightInd w:val="0"/>
        <w:spacing w:after="0" w:line="360" w:lineRule="auto"/>
        <w:rPr>
          <w:rFonts w:eastAsiaTheme="minorEastAsia"/>
          <w:lang w:eastAsia="zh-CN"/>
        </w:rPr>
      </w:pPr>
    </w:p>
    <w:p w14:paraId="4C936B60" w14:textId="420BB7BB" w:rsidR="005370AD" w:rsidRPr="005E1965" w:rsidRDefault="005370AD" w:rsidP="00241AAF">
      <w:pPr>
        <w:autoSpaceDE w:val="0"/>
        <w:autoSpaceDN w:val="0"/>
        <w:adjustRightInd w:val="0"/>
        <w:spacing w:after="0" w:line="360" w:lineRule="auto"/>
        <w:rPr>
          <w:rFonts w:eastAsiaTheme="minorEastAsia" w:cs="Calibri"/>
          <w:lang w:eastAsia="zh-CN"/>
        </w:rPr>
      </w:pPr>
      <w:r w:rsidRPr="00290950">
        <w:rPr>
          <w:rFonts w:eastAsiaTheme="minorEastAsia"/>
          <w:lang w:eastAsia="zh-CN"/>
        </w:rPr>
        <w:t xml:space="preserve">The aim of </w:t>
      </w:r>
      <w:r>
        <w:rPr>
          <w:rFonts w:eastAsiaTheme="minorEastAsia"/>
          <w:lang w:eastAsia="zh-CN"/>
        </w:rPr>
        <w:t>our</w:t>
      </w:r>
      <w:r w:rsidRPr="00290950">
        <w:rPr>
          <w:rFonts w:eastAsiaTheme="minorEastAsia"/>
          <w:lang w:eastAsia="zh-CN"/>
        </w:rPr>
        <w:t xml:space="preserve"> mixed </w:t>
      </w:r>
      <w:r>
        <w:rPr>
          <w:rFonts w:eastAsiaTheme="minorEastAsia"/>
          <w:lang w:eastAsia="zh-CN"/>
        </w:rPr>
        <w:t>methods study was</w:t>
      </w:r>
      <w:r w:rsidRPr="00290950">
        <w:rPr>
          <w:rFonts w:eastAsiaTheme="minorEastAsia"/>
          <w:lang w:eastAsia="zh-CN"/>
        </w:rPr>
        <w:t xml:space="preserve"> </w:t>
      </w:r>
      <w:r w:rsidRPr="0003650E">
        <w:rPr>
          <w:rFonts w:eastAsiaTheme="minorEastAsia"/>
          <w:lang w:eastAsia="zh-CN"/>
        </w:rPr>
        <w:t>to explore patients’ views and experiences of cellulitis, beliefs about possible causes of cellulitis, views about potential methods of preventing recurrent episodes and their information needs.</w:t>
      </w:r>
      <w:r>
        <w:rPr>
          <w:rFonts w:eastAsiaTheme="minorEastAsia"/>
          <w:lang w:eastAsia="zh-CN"/>
        </w:rPr>
        <w:t xml:space="preserve"> </w:t>
      </w:r>
      <w:r w:rsidRPr="00290950">
        <w:t xml:space="preserve">This paper </w:t>
      </w:r>
      <w:r>
        <w:t xml:space="preserve">focuses on patients’ </w:t>
      </w:r>
      <w:r w:rsidRPr="00290950">
        <w:t xml:space="preserve">perceived causes of cellulitis </w:t>
      </w:r>
      <w:r>
        <w:rPr>
          <w:rFonts w:eastAsiaTheme="minorEastAsia"/>
          <w:lang w:eastAsia="zh-CN"/>
        </w:rPr>
        <w:t xml:space="preserve">and </w:t>
      </w:r>
      <w:r>
        <w:t xml:space="preserve">views about possible prevention strategies. </w:t>
      </w:r>
      <w:r w:rsidRPr="00290950">
        <w:t xml:space="preserve">Our findings on patients’ </w:t>
      </w:r>
      <w:r>
        <w:t>perceptions</w:t>
      </w:r>
      <w:r w:rsidRPr="00290950">
        <w:t xml:space="preserve"> </w:t>
      </w:r>
      <w:r>
        <w:t xml:space="preserve">of </w:t>
      </w:r>
      <w:r w:rsidRPr="00290950">
        <w:t>cellulitis</w:t>
      </w:r>
      <w:r>
        <w:t xml:space="preserve"> and their information needs are</w:t>
      </w:r>
      <w:r w:rsidRPr="00290950">
        <w:t xml:space="preserve"> reported </w:t>
      </w:r>
      <w:r w:rsidR="008203CE">
        <w:t>elsewhere.</w:t>
      </w:r>
      <w:r w:rsidR="008203CE" w:rsidRPr="008203CE">
        <w:rPr>
          <w:vertAlign w:val="superscript"/>
        </w:rPr>
        <w:t>13</w:t>
      </w:r>
      <w:r w:rsidRPr="00C56013">
        <w:rPr>
          <w:rFonts w:eastAsiaTheme="minorEastAsia" w:cs="Calibri"/>
          <w:color w:val="FF0000"/>
          <w:lang w:eastAsia="zh-CN"/>
        </w:rPr>
        <w:t xml:space="preserve"> </w:t>
      </w:r>
    </w:p>
    <w:p w14:paraId="4E8B168B" w14:textId="77777777" w:rsidR="005370AD" w:rsidRDefault="005370AD" w:rsidP="00241AAF">
      <w:pPr>
        <w:rPr>
          <w:b/>
        </w:rPr>
      </w:pPr>
    </w:p>
    <w:p w14:paraId="48ECB613" w14:textId="77777777" w:rsidR="005370AD" w:rsidRDefault="005370AD" w:rsidP="00241AAF">
      <w:pPr>
        <w:rPr>
          <w:b/>
        </w:rPr>
      </w:pPr>
    </w:p>
    <w:p w14:paraId="3C11E01A" w14:textId="77777777" w:rsidR="005370AD" w:rsidRDefault="005370AD" w:rsidP="00241AAF">
      <w:pPr>
        <w:rPr>
          <w:b/>
        </w:rPr>
      </w:pPr>
      <w:r>
        <w:rPr>
          <w:b/>
        </w:rPr>
        <w:t>METHODS</w:t>
      </w:r>
    </w:p>
    <w:p w14:paraId="14CF2030" w14:textId="166AD896" w:rsidR="005370AD" w:rsidRPr="00252611" w:rsidRDefault="005370AD" w:rsidP="00241AAF">
      <w:pPr>
        <w:autoSpaceDE w:val="0"/>
        <w:autoSpaceDN w:val="0"/>
        <w:adjustRightInd w:val="0"/>
        <w:spacing w:after="0" w:line="360" w:lineRule="auto"/>
        <w:rPr>
          <w:rFonts w:eastAsiaTheme="minorEastAsia"/>
          <w:lang w:eastAsia="zh-CN"/>
        </w:rPr>
      </w:pPr>
      <w:r>
        <w:rPr>
          <w:rFonts w:cs="DIN-Light"/>
        </w:rPr>
        <w:t xml:space="preserve">A </w:t>
      </w:r>
      <w:r w:rsidRPr="00705AD6">
        <w:rPr>
          <w:rFonts w:cs="DIN-Light"/>
        </w:rPr>
        <w:t xml:space="preserve">mixed methods study </w:t>
      </w:r>
      <w:r>
        <w:rPr>
          <w:rFonts w:cs="DIN-Light"/>
        </w:rPr>
        <w:t>comprising a cross-sectional survey and semi-structured, face-to-face interviews was conducted</w:t>
      </w:r>
      <w:r w:rsidRPr="00705AD6">
        <w:rPr>
          <w:rFonts w:cs="DIN-Light"/>
        </w:rPr>
        <w:t xml:space="preserve"> </w:t>
      </w:r>
      <w:r w:rsidRPr="00705AD6">
        <w:rPr>
          <w:rFonts w:eastAsiaTheme="minorEastAsia"/>
          <w:lang w:eastAsia="zh-CN"/>
        </w:rPr>
        <w:t xml:space="preserve">to </w:t>
      </w:r>
      <w:r>
        <w:rPr>
          <w:rFonts w:eastAsiaTheme="minorEastAsia"/>
          <w:lang w:eastAsia="zh-CN"/>
        </w:rPr>
        <w:t>produce</w:t>
      </w:r>
      <w:r w:rsidRPr="00705AD6">
        <w:rPr>
          <w:rFonts w:eastAsiaTheme="minorEastAsia"/>
          <w:lang w:eastAsia="zh-CN"/>
        </w:rPr>
        <w:t xml:space="preserve"> </w:t>
      </w:r>
      <w:proofErr w:type="spellStart"/>
      <w:r w:rsidRPr="00705AD6">
        <w:rPr>
          <w:rFonts w:eastAsiaTheme="minorEastAsia"/>
          <w:lang w:eastAsia="zh-CN"/>
        </w:rPr>
        <w:t>generalisable</w:t>
      </w:r>
      <w:proofErr w:type="spellEnd"/>
      <w:r w:rsidRPr="00705AD6">
        <w:rPr>
          <w:rFonts w:eastAsiaTheme="minorEastAsia"/>
          <w:lang w:eastAsia="zh-CN"/>
        </w:rPr>
        <w:t xml:space="preserve"> as well as i</w:t>
      </w:r>
      <w:r w:rsidRPr="003237A7">
        <w:rPr>
          <w:rFonts w:eastAsiaTheme="minorEastAsia"/>
          <w:lang w:eastAsia="zh-CN"/>
        </w:rPr>
        <w:t>n-depth findings regarding patients’ views and experiences around cellulitis causation and prevention.</w:t>
      </w:r>
      <w:r w:rsidRPr="003237A7">
        <w:rPr>
          <w:rFonts w:ascii="FpskvyAdvTT86d47313" w:hAnsi="FpskvyAdvTT86d47313" w:cs="FpskvyAdvTT86d47313"/>
          <w:sz w:val="20"/>
          <w:szCs w:val="20"/>
        </w:rPr>
        <w:t xml:space="preserve"> </w:t>
      </w:r>
      <w:r w:rsidRPr="003237A7">
        <w:rPr>
          <w:rFonts w:eastAsiaTheme="minorEastAsia"/>
          <w:lang w:eastAsia="zh-CN"/>
        </w:rPr>
        <w:t xml:space="preserve">We adopted a triangulation protocol to integrate the quantitative and qualitative data and gain a more </w:t>
      </w:r>
      <w:r w:rsidRPr="003237A7">
        <w:rPr>
          <w:rFonts w:cs="FpskvyAdvTT86d47313"/>
        </w:rPr>
        <w:t>complete picture of cellulitis patients’ views and experiences.</w:t>
      </w:r>
      <w:r w:rsidR="008203CE">
        <w:rPr>
          <w:rFonts w:cs="FpskvyAdvTT86d47313"/>
          <w:noProof/>
          <w:vertAlign w:val="superscript"/>
        </w:rPr>
        <w:t>14-16</w:t>
      </w:r>
      <w:r>
        <w:rPr>
          <w:rFonts w:eastAsiaTheme="minorEastAsia"/>
          <w:lang w:eastAsia="zh-CN"/>
        </w:rPr>
        <w:t xml:space="preserve"> Ethics approval was obtained from</w:t>
      </w:r>
      <w:r w:rsidRPr="0048506E">
        <w:rPr>
          <w:b/>
        </w:rPr>
        <w:t xml:space="preserve"> </w:t>
      </w:r>
      <w:r w:rsidRPr="0048506E">
        <w:rPr>
          <w:bCs/>
        </w:rPr>
        <w:t>East Midlands - Leicester South Research Ethics Committee</w:t>
      </w:r>
      <w:r>
        <w:rPr>
          <w:bCs/>
        </w:rPr>
        <w:t xml:space="preserve"> (ref: 16/EM/0306).</w:t>
      </w:r>
    </w:p>
    <w:p w14:paraId="691283A3" w14:textId="77777777" w:rsidR="005370AD" w:rsidRDefault="005370AD" w:rsidP="00241AAF">
      <w:pPr>
        <w:rPr>
          <w:b/>
        </w:rPr>
      </w:pPr>
    </w:p>
    <w:p w14:paraId="0650F8E2" w14:textId="77777777" w:rsidR="005370AD" w:rsidRDefault="005370AD" w:rsidP="00241AAF">
      <w:pPr>
        <w:rPr>
          <w:b/>
        </w:rPr>
      </w:pPr>
      <w:r>
        <w:rPr>
          <w:b/>
        </w:rPr>
        <w:t>Participants and recruitment</w:t>
      </w:r>
    </w:p>
    <w:p w14:paraId="6B68A275" w14:textId="70AC0D4A" w:rsidR="00241AAF" w:rsidRPr="00241AAF" w:rsidRDefault="005370AD" w:rsidP="00241AAF">
      <w:pPr>
        <w:spacing w:before="100" w:beforeAutospacing="1" w:after="100" w:afterAutospacing="1" w:line="360" w:lineRule="auto"/>
        <w:rPr>
          <w:rFonts w:eastAsiaTheme="minorEastAsia" w:cs="Calibri"/>
          <w:i/>
          <w:u w:val="single"/>
          <w:lang w:eastAsia="zh-CN"/>
        </w:rPr>
      </w:pPr>
      <w:r w:rsidRPr="009C76AB">
        <w:rPr>
          <w:rFonts w:eastAsiaTheme="minorEastAsia" w:cs="Calibri"/>
          <w:lang w:eastAsia="zh-CN"/>
        </w:rPr>
        <w:t xml:space="preserve">Adults aged 18 </w:t>
      </w:r>
      <w:r>
        <w:rPr>
          <w:rFonts w:eastAsiaTheme="minorEastAsia" w:cs="Calibri"/>
          <w:lang w:eastAsia="zh-CN"/>
        </w:rPr>
        <w:t xml:space="preserve">years </w:t>
      </w:r>
      <w:r w:rsidRPr="009C76AB">
        <w:rPr>
          <w:rFonts w:eastAsiaTheme="minorEastAsia" w:cs="Calibri"/>
          <w:lang w:eastAsia="zh-CN"/>
        </w:rPr>
        <w:t>or over wit</w:t>
      </w:r>
      <w:r>
        <w:rPr>
          <w:rFonts w:eastAsiaTheme="minorEastAsia" w:cs="Calibri"/>
          <w:lang w:eastAsia="zh-CN"/>
        </w:rPr>
        <w:t>h a history of cellulitis (</w:t>
      </w:r>
      <w:r w:rsidRPr="009C76AB">
        <w:rPr>
          <w:rFonts w:eastAsiaTheme="minorEastAsia" w:cs="Calibri"/>
          <w:lang w:eastAsia="zh-CN"/>
        </w:rPr>
        <w:t xml:space="preserve">first </w:t>
      </w:r>
      <w:r>
        <w:rPr>
          <w:rFonts w:eastAsiaTheme="minorEastAsia" w:cs="Calibri"/>
          <w:lang w:eastAsia="zh-CN"/>
        </w:rPr>
        <w:t xml:space="preserve">or </w:t>
      </w:r>
      <w:r w:rsidRPr="009C76AB">
        <w:rPr>
          <w:rFonts w:eastAsiaTheme="minorEastAsia" w:cs="Calibri"/>
          <w:lang w:eastAsia="zh-CN"/>
        </w:rPr>
        <w:t xml:space="preserve">recurrent episodes) </w:t>
      </w:r>
      <w:r w:rsidRPr="00D36222">
        <w:rPr>
          <w:rFonts w:eastAsiaTheme="minorEastAsia" w:cs="Calibri"/>
          <w:lang w:eastAsia="zh-CN"/>
        </w:rPr>
        <w:t xml:space="preserve">were </w:t>
      </w:r>
      <w:r w:rsidRPr="009C76AB">
        <w:rPr>
          <w:rFonts w:eastAsiaTheme="minorEastAsia" w:cs="Calibri"/>
          <w:lang w:eastAsia="zh-CN"/>
        </w:rPr>
        <w:t>eligible to</w:t>
      </w:r>
      <w:r>
        <w:rPr>
          <w:rFonts w:eastAsiaTheme="minorEastAsia" w:cs="Calibri"/>
          <w:lang w:eastAsia="zh-CN"/>
        </w:rPr>
        <w:t xml:space="preserve"> </w:t>
      </w:r>
      <w:r w:rsidRPr="009C76AB">
        <w:rPr>
          <w:rFonts w:eastAsiaTheme="minorEastAsia" w:cs="Calibri"/>
          <w:lang w:eastAsia="zh-CN"/>
        </w:rPr>
        <w:t>participate.</w:t>
      </w:r>
      <w:r>
        <w:rPr>
          <w:rFonts w:eastAsiaTheme="minorEastAsia" w:cs="Calibri"/>
          <w:lang w:eastAsia="zh-CN"/>
        </w:rPr>
        <w:t xml:space="preserve"> </w:t>
      </w:r>
      <w:r w:rsidRPr="00103F24">
        <w:rPr>
          <w:rFonts w:eastAsiaTheme="minorEastAsia" w:cs="Calibri"/>
          <w:lang w:eastAsia="zh-CN"/>
        </w:rPr>
        <w:t>Eligible participants</w:t>
      </w:r>
      <w:r w:rsidR="009578E1" w:rsidRPr="00103F24">
        <w:rPr>
          <w:rFonts w:eastAsiaTheme="minorEastAsia" w:cs="Calibri"/>
          <w:lang w:eastAsia="zh-CN"/>
        </w:rPr>
        <w:t xml:space="preserve"> (i.e.</w:t>
      </w:r>
      <w:r w:rsidR="009578E1" w:rsidRPr="00103F24">
        <w:rPr>
          <w:rFonts w:eastAsiaTheme="minorEastAsia" w:cs="Calibri"/>
          <w:i/>
          <w:lang w:eastAsia="zh-CN"/>
        </w:rPr>
        <w:t xml:space="preserve"> </w:t>
      </w:r>
      <w:r w:rsidR="009578E1" w:rsidRPr="00103F24">
        <w:rPr>
          <w:rFonts w:eastAsiaTheme="minorEastAsia" w:cs="Calibri"/>
          <w:lang w:eastAsia="zh-CN"/>
        </w:rPr>
        <w:t>diagnosed with cellulitis in the past 6 months or with 2 or more episodes of recurrent cellulitis within the past 3 years)</w:t>
      </w:r>
      <w:r w:rsidR="009578E1" w:rsidRPr="00103F24">
        <w:rPr>
          <w:rFonts w:eastAsiaTheme="minorEastAsia" w:cs="Calibri"/>
          <w:i/>
          <w:lang w:eastAsia="zh-CN"/>
        </w:rPr>
        <w:t xml:space="preserve"> </w:t>
      </w:r>
      <w:r w:rsidRPr="00103F24">
        <w:rPr>
          <w:rFonts w:eastAsiaTheme="minorEastAsia" w:cs="Calibri"/>
          <w:lang w:eastAsia="zh-CN"/>
        </w:rPr>
        <w:t xml:space="preserve"> in South West England were recruited through </w:t>
      </w:r>
      <w:r w:rsidR="009578E1" w:rsidRPr="00103F24">
        <w:rPr>
          <w:rFonts w:eastAsiaTheme="minorEastAsia" w:cs="Calibri"/>
          <w:lang w:eastAsia="zh-CN"/>
        </w:rPr>
        <w:t xml:space="preserve">database searches and </w:t>
      </w:r>
      <w:r w:rsidRPr="00103F24">
        <w:rPr>
          <w:rFonts w:eastAsiaTheme="minorEastAsia" w:cs="Calibri"/>
          <w:lang w:eastAsia="zh-CN"/>
        </w:rPr>
        <w:t xml:space="preserve">mail-outs from 25 GP practices, opportunistic recruitment in two NHS hospitals and advertising in local newspaper. </w:t>
      </w:r>
      <w:r w:rsidRPr="00103F24">
        <w:rPr>
          <w:rFonts w:eastAsia="Times New Roman" w:cs="Times New Roman"/>
          <w:lang w:val="en" w:eastAsia="en-GB"/>
        </w:rPr>
        <w:t xml:space="preserve">GP practices and hospitals </w:t>
      </w:r>
      <w:r w:rsidR="00241AAF" w:rsidRPr="00103F24">
        <w:rPr>
          <w:rFonts w:eastAsiaTheme="minorEastAsia" w:cs="Calibri"/>
          <w:lang w:eastAsia="zh-CN"/>
        </w:rPr>
        <w:t>were invited to express an interest in the study in response to study advert circulated by the Wessex Clinical Research Network (CRN)</w:t>
      </w:r>
      <w:r w:rsidR="00241AAF" w:rsidRPr="00103F24">
        <w:rPr>
          <w:rFonts w:eastAsiaTheme="minorEastAsia" w:cs="Calibri"/>
          <w:lang w:val="en" w:eastAsia="zh-CN"/>
        </w:rPr>
        <w:t xml:space="preserve">. We then identified and recruited GP practices in varying locations and </w:t>
      </w:r>
      <w:r w:rsidRPr="00103F24">
        <w:rPr>
          <w:rFonts w:eastAsia="Times New Roman" w:cs="Times New Roman"/>
          <w:lang w:val="en" w:eastAsia="en-GB"/>
        </w:rPr>
        <w:t xml:space="preserve">from areas </w:t>
      </w:r>
      <w:r w:rsidRPr="009B299A">
        <w:rPr>
          <w:rFonts w:eastAsia="Times New Roman" w:cs="Times New Roman"/>
          <w:lang w:val="en" w:eastAsia="en-GB"/>
        </w:rPr>
        <w:t>of differing levels of social deprivation</w:t>
      </w:r>
      <w:r>
        <w:rPr>
          <w:rFonts w:eastAsia="Times New Roman" w:cs="Times New Roman"/>
          <w:lang w:val="en" w:eastAsia="en-GB"/>
        </w:rPr>
        <w:t xml:space="preserve"> (as defined by Public Health England</w:t>
      </w:r>
      <w:r w:rsidR="009A16CD">
        <w:rPr>
          <w:rFonts w:eastAsia="Times New Roman" w:cs="Times New Roman"/>
          <w:noProof/>
          <w:vertAlign w:val="superscript"/>
          <w:lang w:val="en" w:eastAsia="en-GB"/>
        </w:rPr>
        <w:t>17</w:t>
      </w:r>
      <w:r>
        <w:rPr>
          <w:rFonts w:eastAsia="Times New Roman" w:cs="Times New Roman"/>
          <w:lang w:val="en" w:eastAsia="en-GB"/>
        </w:rPr>
        <w:t>) were included</w:t>
      </w:r>
      <w:r w:rsidRPr="009B299A">
        <w:rPr>
          <w:rFonts w:eastAsia="Times New Roman" w:cs="Times New Roman"/>
          <w:lang w:val="en" w:eastAsia="en-GB"/>
        </w:rPr>
        <w:t xml:space="preserve"> in order to </w:t>
      </w:r>
      <w:r w:rsidRPr="009B299A">
        <w:rPr>
          <w:rFonts w:eastAsia="Times New Roman" w:cs="Times New Roman"/>
          <w:lang w:eastAsia="en-GB"/>
        </w:rPr>
        <w:t xml:space="preserve">identify participants with a </w:t>
      </w:r>
      <w:r>
        <w:rPr>
          <w:rFonts w:eastAsia="Times New Roman" w:cs="Times New Roman"/>
          <w:lang w:eastAsia="en-GB"/>
        </w:rPr>
        <w:t>diversity</w:t>
      </w:r>
      <w:r w:rsidRPr="009B299A">
        <w:rPr>
          <w:rFonts w:eastAsia="Times New Roman" w:cs="Times New Roman"/>
          <w:lang w:eastAsia="en-GB"/>
        </w:rPr>
        <w:t xml:space="preserve"> of views.</w:t>
      </w:r>
      <w:r>
        <w:rPr>
          <w:rFonts w:eastAsia="Times New Roman" w:cs="Times New Roman"/>
          <w:i/>
          <w:lang w:val="en" w:eastAsia="en-GB"/>
        </w:rPr>
        <w:t xml:space="preserve"> </w:t>
      </w:r>
      <w:r w:rsidRPr="0061641C">
        <w:rPr>
          <w:rFonts w:eastAsiaTheme="minorEastAsia" w:cs="Calibri"/>
          <w:lang w:eastAsia="zh-CN"/>
        </w:rPr>
        <w:t>Participants could choose to take part in an interview or complete the survey, or both.</w:t>
      </w:r>
    </w:p>
    <w:p w14:paraId="282D50BA" w14:textId="77777777" w:rsidR="005370AD" w:rsidRPr="00252064" w:rsidRDefault="005370AD" w:rsidP="00241AAF">
      <w:pPr>
        <w:rPr>
          <w:b/>
        </w:rPr>
      </w:pPr>
      <w:r w:rsidRPr="00252064">
        <w:rPr>
          <w:b/>
        </w:rPr>
        <w:t>Qualitative interviews</w:t>
      </w:r>
    </w:p>
    <w:p w14:paraId="6D7EAA89" w14:textId="77777777" w:rsidR="005370AD" w:rsidRPr="00FE72F8" w:rsidRDefault="00241AAF" w:rsidP="00241AAF">
      <w:pPr>
        <w:spacing w:before="100" w:beforeAutospacing="1" w:after="100" w:afterAutospacing="1" w:line="360" w:lineRule="auto"/>
      </w:pPr>
      <w:r w:rsidRPr="00103F24">
        <w:t>Eligible participants were invited to complete and return a reply slip to the research team to express their interest in taking part in an interview. Interviewees</w:t>
      </w:r>
      <w:r w:rsidR="005370AD" w:rsidRPr="00103F24">
        <w:t xml:space="preserve"> were</w:t>
      </w:r>
      <w:r w:rsidRPr="00103F24">
        <w:t xml:space="preserve"> then</w:t>
      </w:r>
      <w:r w:rsidR="005370AD" w:rsidRPr="00103F24">
        <w:t xml:space="preserve"> </w:t>
      </w:r>
      <w:r w:rsidR="005370AD" w:rsidRPr="00103F24">
        <w:rPr>
          <w:rFonts w:eastAsia="Times New Roman" w:cs="Times New Roman"/>
          <w:lang w:eastAsia="en-GB"/>
        </w:rPr>
        <w:t xml:space="preserve">purposively sampled for age, gender, recruitment setting and number of episodes of cellulitis </w:t>
      </w:r>
      <w:r w:rsidRPr="00103F24">
        <w:rPr>
          <w:rFonts w:eastAsia="Times New Roman" w:cs="Times New Roman"/>
          <w:lang w:eastAsia="en-GB"/>
        </w:rPr>
        <w:t xml:space="preserve">(according to the reply slip) </w:t>
      </w:r>
      <w:r w:rsidR="005370AD" w:rsidRPr="00103F24">
        <w:rPr>
          <w:rFonts w:eastAsia="Times New Roman" w:cs="Times New Roman"/>
          <w:lang w:eastAsia="en-GB"/>
        </w:rPr>
        <w:t xml:space="preserve">to </w:t>
      </w:r>
      <w:r w:rsidR="005370AD" w:rsidRPr="005715C7">
        <w:rPr>
          <w:rFonts w:eastAsia="Times New Roman" w:cs="Times New Roman"/>
          <w:lang w:eastAsia="en-GB"/>
        </w:rPr>
        <w:t>ach</w:t>
      </w:r>
      <w:r w:rsidR="005370AD">
        <w:rPr>
          <w:rFonts w:eastAsia="Times New Roman" w:cs="Times New Roman"/>
          <w:lang w:eastAsia="en-GB"/>
        </w:rPr>
        <w:t>ieve a maximum variation sample for the qualitative interviews.</w:t>
      </w:r>
      <w:r w:rsidR="005370AD" w:rsidRPr="005715C7">
        <w:rPr>
          <w:rFonts w:eastAsia="Times New Roman" w:cs="Times New Roman"/>
          <w:lang w:eastAsia="en-GB"/>
        </w:rPr>
        <w:t xml:space="preserve">  </w:t>
      </w:r>
      <w:r w:rsidR="005370AD" w:rsidRPr="005715C7">
        <w:t>Written informed consent was sought prior to</w:t>
      </w:r>
      <w:r w:rsidR="005370AD" w:rsidRPr="005715C7">
        <w:rPr>
          <w:rFonts w:eastAsia="Times New Roman" w:cs="Times New Roman"/>
          <w:lang w:eastAsia="en-GB"/>
        </w:rPr>
        <w:t xml:space="preserve"> carrying out interviews</w:t>
      </w:r>
      <w:r w:rsidR="005370AD" w:rsidRPr="005715C7">
        <w:t>. Interviews were conducted in participants’ homes</w:t>
      </w:r>
      <w:r w:rsidR="005370AD">
        <w:t xml:space="preserve"> (n=26) </w:t>
      </w:r>
      <w:r w:rsidR="005370AD" w:rsidRPr="005715C7">
        <w:t>or an alternative location of their choice e.g. local coffee shop</w:t>
      </w:r>
      <w:r w:rsidR="005370AD">
        <w:t xml:space="preserve"> (n=4</w:t>
      </w:r>
      <w:r w:rsidR="005370AD" w:rsidRPr="005715C7">
        <w:t xml:space="preserve">). </w:t>
      </w:r>
      <w:r w:rsidR="005370AD" w:rsidRPr="00FE72F8">
        <w:t>With participants’ permission,</w:t>
      </w:r>
      <w:r w:rsidR="005370AD">
        <w:t xml:space="preserve"> interviews were digitally </w:t>
      </w:r>
      <w:r w:rsidR="005370AD" w:rsidRPr="00FE72F8">
        <w:t>recorded and transcribed verbatim.</w:t>
      </w:r>
      <w:r w:rsidR="005370AD">
        <w:t xml:space="preserve"> We used a</w:t>
      </w:r>
      <w:r w:rsidR="005370AD" w:rsidRPr="005715C7">
        <w:t xml:space="preserve"> semi-structured interview guide developed from </w:t>
      </w:r>
      <w:r w:rsidR="005370AD">
        <w:rPr>
          <w:rFonts w:eastAsia="Times New Roman" w:cs="Times New Roman"/>
          <w:lang w:eastAsia="en-GB"/>
        </w:rPr>
        <w:t>existing literature and</w:t>
      </w:r>
      <w:r w:rsidR="005370AD" w:rsidRPr="005715C7">
        <w:rPr>
          <w:rFonts w:eastAsia="Times New Roman" w:cs="Times New Roman"/>
          <w:lang w:eastAsia="en-GB"/>
        </w:rPr>
        <w:t xml:space="preserve"> input from </w:t>
      </w:r>
      <w:r w:rsidR="005370AD">
        <w:rPr>
          <w:rFonts w:eastAsia="Times New Roman" w:cs="Times New Roman"/>
          <w:lang w:eastAsia="en-GB"/>
        </w:rPr>
        <w:t xml:space="preserve">patient collaborators and the </w:t>
      </w:r>
      <w:r w:rsidR="005370AD" w:rsidRPr="005715C7">
        <w:rPr>
          <w:rFonts w:eastAsia="Times New Roman" w:cs="Times New Roman"/>
          <w:lang w:eastAsia="en-GB"/>
        </w:rPr>
        <w:t>researc</w:t>
      </w:r>
      <w:r w:rsidR="005370AD">
        <w:rPr>
          <w:rFonts w:eastAsia="Times New Roman" w:cs="Times New Roman"/>
          <w:lang w:eastAsia="en-GB"/>
        </w:rPr>
        <w:t xml:space="preserve">h team to guide the interviews (Box 1). All participants who took part in an interview </w:t>
      </w:r>
      <w:r w:rsidR="005370AD" w:rsidRPr="005715C7">
        <w:rPr>
          <w:rFonts w:eastAsia="Times New Roman" w:cs="Times New Roman"/>
          <w:lang w:eastAsia="en-GB"/>
        </w:rPr>
        <w:t>received</w:t>
      </w:r>
      <w:r w:rsidR="005370AD">
        <w:rPr>
          <w:rFonts w:eastAsia="Times New Roman" w:cs="Times New Roman"/>
          <w:lang w:eastAsia="en-GB"/>
        </w:rPr>
        <w:t xml:space="preserve"> a</w:t>
      </w:r>
      <w:r w:rsidR="005370AD" w:rsidRPr="005715C7">
        <w:rPr>
          <w:rFonts w:eastAsia="Times New Roman" w:cs="Times New Roman"/>
          <w:lang w:eastAsia="en-GB"/>
        </w:rPr>
        <w:t xml:space="preserve"> £</w:t>
      </w:r>
      <w:r w:rsidR="005370AD">
        <w:rPr>
          <w:rFonts w:eastAsia="Times New Roman" w:cs="Times New Roman"/>
          <w:lang w:eastAsia="en-GB"/>
        </w:rPr>
        <w:t>10 gift voucher</w:t>
      </w:r>
      <w:r w:rsidR="005370AD" w:rsidRPr="0061388E">
        <w:rPr>
          <w:rFonts w:eastAsia="Times New Roman" w:cs="Times New Roman"/>
          <w:lang w:eastAsia="en-GB"/>
        </w:rPr>
        <w:t xml:space="preserve">. </w:t>
      </w:r>
    </w:p>
    <w:p w14:paraId="2F61481A" w14:textId="77777777" w:rsidR="005370AD" w:rsidRDefault="005370AD" w:rsidP="00241AAF">
      <w:pPr>
        <w:rPr>
          <w:b/>
        </w:rPr>
      </w:pPr>
      <w:r>
        <w:rPr>
          <w:b/>
        </w:rPr>
        <w:t>Quantitative survey</w:t>
      </w:r>
    </w:p>
    <w:p w14:paraId="4217CA83" w14:textId="77777777" w:rsidR="005370AD" w:rsidRDefault="00116B93" w:rsidP="00241AAF">
      <w:pPr>
        <w:spacing w:after="0" w:line="360" w:lineRule="auto"/>
        <w:contextualSpacing/>
        <w:rPr>
          <w:rFonts w:eastAsia="Times New Roman" w:cs="Times New Roman"/>
          <w:lang w:eastAsia="en-GB"/>
        </w:rPr>
      </w:pPr>
      <w:r w:rsidRPr="00103F24">
        <w:t>The questionnaire (see supplementary materials) was developed by the research team based on existing research evidence and input from dermatology research experts, patient collaborators, clinicians and research psychologists.</w:t>
      </w:r>
      <w:r w:rsidRPr="00103F24">
        <w:rPr>
          <w:i/>
        </w:rPr>
        <w:t xml:space="preserve"> </w:t>
      </w:r>
      <w:r w:rsidR="005370AD" w:rsidRPr="00103F24">
        <w:t xml:space="preserve">Eligible </w:t>
      </w:r>
      <w:r w:rsidR="005370AD">
        <w:t>p</w:t>
      </w:r>
      <w:r w:rsidR="005370AD" w:rsidRPr="009B299A">
        <w:t>articipa</w:t>
      </w:r>
      <w:r w:rsidR="005370AD">
        <w:t>nts were provided with a pape</w:t>
      </w:r>
      <w:r w:rsidR="005370AD" w:rsidRPr="009B299A">
        <w:t xml:space="preserve">r version of the survey or a link (included in the study information sheet) to </w:t>
      </w:r>
      <w:r w:rsidR="005370AD">
        <w:t>an identical</w:t>
      </w:r>
      <w:r w:rsidR="005370AD" w:rsidRPr="009B299A">
        <w:t xml:space="preserve"> online survey</w:t>
      </w:r>
      <w:r w:rsidR="005370AD">
        <w:t xml:space="preserve"> on iSurvey, a </w:t>
      </w:r>
      <w:r w:rsidR="005370AD" w:rsidRPr="001F08FC">
        <w:rPr>
          <w:bCs/>
        </w:rPr>
        <w:t>survey generation and research tool</w:t>
      </w:r>
      <w:r w:rsidR="005370AD" w:rsidRPr="001F08FC">
        <w:t xml:space="preserve"> </w:t>
      </w:r>
      <w:r w:rsidR="005370AD">
        <w:t xml:space="preserve">provided by the University of Southampton. The vast majority of participants (95%, n=227) chose to complete the paper survey rather than the online version, and returned it in the freepost envelope provided. </w:t>
      </w:r>
      <w:r w:rsidR="005370AD" w:rsidRPr="00A00075">
        <w:rPr>
          <w:lang w:val="en-MY"/>
        </w:rPr>
        <w:t>Questionnaire data were entered into an Access database.</w:t>
      </w:r>
    </w:p>
    <w:p w14:paraId="25C0DEDB" w14:textId="77777777" w:rsidR="005370AD" w:rsidRPr="00147047" w:rsidRDefault="005370AD" w:rsidP="00241AAF">
      <w:pPr>
        <w:spacing w:after="0" w:line="360" w:lineRule="auto"/>
        <w:contextualSpacing/>
        <w:rPr>
          <w:rFonts w:eastAsia="Times New Roman" w:cs="Times New Roman"/>
          <w:lang w:eastAsia="en-GB"/>
        </w:rPr>
      </w:pPr>
    </w:p>
    <w:p w14:paraId="7332342C" w14:textId="77777777" w:rsidR="005370AD" w:rsidRPr="00147047" w:rsidRDefault="005370AD" w:rsidP="00241AAF">
      <w:pPr>
        <w:rPr>
          <w:b/>
        </w:rPr>
      </w:pPr>
      <w:r w:rsidRPr="00147047">
        <w:rPr>
          <w:b/>
        </w:rPr>
        <w:t>Analysis</w:t>
      </w:r>
    </w:p>
    <w:p w14:paraId="68087A29" w14:textId="368206D0" w:rsidR="005370AD" w:rsidRDefault="005370AD" w:rsidP="00241AAF">
      <w:pPr>
        <w:spacing w:line="360" w:lineRule="auto"/>
        <w:rPr>
          <w:b/>
          <w:iCs/>
        </w:rPr>
      </w:pPr>
      <w:r w:rsidRPr="00B07CAA">
        <w:rPr>
          <w:iCs/>
          <w:lang w:val="en"/>
        </w:rPr>
        <w:t xml:space="preserve">Qualitative and quantitative data were initially </w:t>
      </w:r>
      <w:proofErr w:type="spellStart"/>
      <w:r w:rsidRPr="00B07CAA">
        <w:rPr>
          <w:iCs/>
          <w:lang w:val="en"/>
        </w:rPr>
        <w:t>analysed</w:t>
      </w:r>
      <w:proofErr w:type="spellEnd"/>
      <w:r w:rsidRPr="00B07CAA">
        <w:rPr>
          <w:iCs/>
          <w:lang w:val="en"/>
        </w:rPr>
        <w:t xml:space="preserve"> separately</w:t>
      </w:r>
      <w:r>
        <w:rPr>
          <w:iCs/>
          <w:lang w:val="en"/>
        </w:rPr>
        <w:t xml:space="preserve">. </w:t>
      </w:r>
      <w:r w:rsidRPr="00DE6155">
        <w:rPr>
          <w:iCs/>
        </w:rPr>
        <w:t xml:space="preserve">An inductive thematic analysis was conducted to explore </w:t>
      </w:r>
      <w:r w:rsidRPr="00DE6155">
        <w:rPr>
          <w:iCs/>
          <w:lang w:val="en-US"/>
        </w:rPr>
        <w:t xml:space="preserve">the </w:t>
      </w:r>
      <w:r>
        <w:rPr>
          <w:iCs/>
          <w:lang w:val="en-US"/>
        </w:rPr>
        <w:t xml:space="preserve">qualitative </w:t>
      </w:r>
      <w:r w:rsidRPr="00DE6155">
        <w:rPr>
          <w:iCs/>
          <w:lang w:val="en-US"/>
        </w:rPr>
        <w:t>interview data</w:t>
      </w:r>
      <w:r w:rsidRPr="00DE6155">
        <w:rPr>
          <w:iCs/>
        </w:rPr>
        <w:t>.</w:t>
      </w:r>
      <w:r w:rsidR="009A16CD">
        <w:rPr>
          <w:iCs/>
          <w:noProof/>
          <w:vertAlign w:val="superscript"/>
        </w:rPr>
        <w:t>18</w:t>
      </w:r>
      <w:r>
        <w:rPr>
          <w:iCs/>
        </w:rPr>
        <w:t xml:space="preserve"> </w:t>
      </w:r>
      <w:proofErr w:type="gramStart"/>
      <w:r w:rsidRPr="00DE6155">
        <w:rPr>
          <w:iCs/>
        </w:rPr>
        <w:t>One</w:t>
      </w:r>
      <w:proofErr w:type="gramEnd"/>
      <w:r w:rsidRPr="00DE6155">
        <w:rPr>
          <w:iCs/>
        </w:rPr>
        <w:t xml:space="preserve"> author (EJT) read the </w:t>
      </w:r>
      <w:r>
        <w:rPr>
          <w:iCs/>
        </w:rPr>
        <w:t>transcripts</w:t>
      </w:r>
      <w:r w:rsidRPr="00DE6155">
        <w:rPr>
          <w:iCs/>
        </w:rPr>
        <w:t xml:space="preserve"> several times to achieve familiarisation with the data and codes were applied line by line. </w:t>
      </w:r>
      <w:r w:rsidRPr="00DE6155">
        <w:t xml:space="preserve">Main codes were described and termed according to the language present within the </w:t>
      </w:r>
      <w:r w:rsidRPr="00C86FD2">
        <w:t xml:space="preserve">data. </w:t>
      </w:r>
      <w:r w:rsidRPr="00C86FD2">
        <w:rPr>
          <w:iCs/>
        </w:rPr>
        <w:t>Multiple codes were</w:t>
      </w:r>
      <w:r w:rsidRPr="00C86FD2">
        <w:t xml:space="preserve"> </w:t>
      </w:r>
      <w:r w:rsidRPr="00C86FD2">
        <w:rPr>
          <w:iCs/>
        </w:rPr>
        <w:t>applied to comments that expressed multiple meanings. Codes were derived inductively from the data and grouped together to produce an initial coding frame. Codes were reviewed and compared to identify similarities and differences. A detailed coding manual was created to ensure transparent an</w:t>
      </w:r>
      <w:r>
        <w:rPr>
          <w:iCs/>
        </w:rPr>
        <w:t xml:space="preserve">d systematic coding of the data. </w:t>
      </w:r>
      <w:r w:rsidRPr="00C86FD2">
        <w:rPr>
          <w:iCs/>
        </w:rPr>
        <w:t>Codes and theme/sub-theme definitions were discussed with, and iteratively developed by, members of t</w:t>
      </w:r>
      <w:r>
        <w:rPr>
          <w:iCs/>
        </w:rPr>
        <w:t xml:space="preserve">he research team (EJT, MS, PS, </w:t>
      </w:r>
      <w:proofErr w:type="gramStart"/>
      <w:r>
        <w:rPr>
          <w:iCs/>
        </w:rPr>
        <w:t>JC</w:t>
      </w:r>
      <w:proofErr w:type="gramEnd"/>
      <w:r>
        <w:rPr>
          <w:iCs/>
        </w:rPr>
        <w:t xml:space="preserve"> &amp; AL</w:t>
      </w:r>
      <w:r w:rsidRPr="00C86FD2">
        <w:rPr>
          <w:iCs/>
        </w:rPr>
        <w:t xml:space="preserve">) to offer diverse inferences and interpretation of the data. A negative case analysis was carried out to ensure that all data </w:t>
      </w:r>
      <w:r>
        <w:rPr>
          <w:iCs/>
        </w:rPr>
        <w:t>were</w:t>
      </w:r>
      <w:r w:rsidRPr="00C86FD2">
        <w:rPr>
          <w:iCs/>
        </w:rPr>
        <w:t xml:space="preserve"> taken into account rather than just selecting data that fitted wi</w:t>
      </w:r>
      <w:r>
        <w:rPr>
          <w:iCs/>
        </w:rPr>
        <w:t xml:space="preserve">th the authors’ viewpoint. We finished data collection once data </w:t>
      </w:r>
      <w:r w:rsidRPr="00C86FD2">
        <w:rPr>
          <w:iCs/>
        </w:rPr>
        <w:t xml:space="preserve">saturation of the main themes was reached. Using </w:t>
      </w:r>
      <w:proofErr w:type="spellStart"/>
      <w:r w:rsidRPr="00C86FD2">
        <w:rPr>
          <w:iCs/>
        </w:rPr>
        <w:t>NVivo</w:t>
      </w:r>
      <w:proofErr w:type="spellEnd"/>
      <w:r w:rsidRPr="00C86FD2">
        <w:rPr>
          <w:iCs/>
        </w:rPr>
        <w:t xml:space="preserve"> </w:t>
      </w:r>
      <w:r>
        <w:rPr>
          <w:iCs/>
        </w:rPr>
        <w:t xml:space="preserve">(version 11) </w:t>
      </w:r>
      <w:r w:rsidRPr="00C86FD2">
        <w:rPr>
          <w:iCs/>
        </w:rPr>
        <w:t>enabled a detailed audit trail to be maintained.</w:t>
      </w:r>
      <w:r>
        <w:rPr>
          <w:b/>
          <w:iCs/>
        </w:rPr>
        <w:t xml:space="preserve"> </w:t>
      </w:r>
    </w:p>
    <w:p w14:paraId="2843729A" w14:textId="434F16C7" w:rsidR="005370AD" w:rsidRPr="00FD00F4" w:rsidRDefault="005370AD" w:rsidP="00241AAF">
      <w:pPr>
        <w:spacing w:line="360" w:lineRule="auto"/>
        <w:rPr>
          <w:b/>
          <w:iCs/>
        </w:rPr>
      </w:pPr>
      <w:r w:rsidRPr="00FD00F4">
        <w:rPr>
          <w:lang w:val="en-MY"/>
        </w:rPr>
        <w:t xml:space="preserve">We then used SPSS (version 24) to provide descriptive statistical analysis of the survey data.  Chi-squared tests were used to explore associations between participant characteristics and responses </w:t>
      </w:r>
      <w:r w:rsidRPr="00B07CAA">
        <w:rPr>
          <w:lang w:val="en-MY"/>
        </w:rPr>
        <w:t xml:space="preserve">to key questionnaire items. </w:t>
      </w:r>
      <w:r w:rsidRPr="00B07CAA">
        <w:t xml:space="preserve"> We then integrated the findings of each data set by comparing the key themes in the qualitative data and trends in the quantitative data to </w:t>
      </w:r>
      <w:r w:rsidRPr="00B07CAA">
        <w:rPr>
          <w:lang w:val="en"/>
        </w:rPr>
        <w:t>assess whether data agreed (convergence), complemented one another (complementarity) or contradicted each other (dissonance).</w:t>
      </w:r>
      <w:r w:rsidR="009A16CD">
        <w:rPr>
          <w:noProof/>
          <w:vertAlign w:val="superscript"/>
          <w:lang w:val="en"/>
        </w:rPr>
        <w:t>15</w:t>
      </w:r>
      <w:r w:rsidRPr="00B07CAA">
        <w:rPr>
          <w:lang w:val="en"/>
        </w:rPr>
        <w:t xml:space="preserve"> </w:t>
      </w:r>
    </w:p>
    <w:p w14:paraId="3E905384" w14:textId="77777777" w:rsidR="005370AD" w:rsidRDefault="005370AD" w:rsidP="00241AAF">
      <w:pPr>
        <w:rPr>
          <w:b/>
        </w:rPr>
      </w:pPr>
    </w:p>
    <w:p w14:paraId="41E0B310" w14:textId="77777777" w:rsidR="005370AD" w:rsidRDefault="005370AD" w:rsidP="00241AAF">
      <w:pPr>
        <w:rPr>
          <w:b/>
        </w:rPr>
      </w:pPr>
    </w:p>
    <w:p w14:paraId="64424AEC" w14:textId="77777777" w:rsidR="005370AD" w:rsidRDefault="005370AD" w:rsidP="00241AAF">
      <w:pPr>
        <w:rPr>
          <w:b/>
        </w:rPr>
      </w:pPr>
      <w:r>
        <w:rPr>
          <w:b/>
        </w:rPr>
        <w:t>RESULTS</w:t>
      </w:r>
    </w:p>
    <w:p w14:paraId="5E411EF7" w14:textId="77777777" w:rsidR="005370AD" w:rsidRDefault="005370AD" w:rsidP="00241AAF">
      <w:pPr>
        <w:spacing w:line="360" w:lineRule="auto"/>
        <w:rPr>
          <w:b/>
        </w:rPr>
      </w:pPr>
      <w:r>
        <w:t>The study sites sent or gave out 1,418 surveys (1,343 from primary care and 75 from secondary care). Of which 236 were completed and returned to the research team in the FREEPOST envelope provided (response rate = 17%).</w:t>
      </w:r>
      <w:r w:rsidRPr="008F2526">
        <w:t xml:space="preserve"> </w:t>
      </w:r>
      <w:r>
        <w:t xml:space="preserve">A further 4 surveys were completed by participants recruited via community advertising.  </w:t>
      </w:r>
      <w:r w:rsidRPr="005715C7">
        <w:t xml:space="preserve">One author (EJT) </w:t>
      </w:r>
      <w:r>
        <w:t>conducted 30</w:t>
      </w:r>
      <w:r w:rsidRPr="005715C7">
        <w:t xml:space="preserve"> semi-structured, face-to-face interviews between August 2016 and July 2017.</w:t>
      </w:r>
      <w:r>
        <w:t xml:space="preserve"> The characteristics of our participants are described in Table 1.</w:t>
      </w:r>
    </w:p>
    <w:p w14:paraId="034DE4C4" w14:textId="77777777" w:rsidR="005370AD" w:rsidRDefault="005370AD" w:rsidP="00241AAF">
      <w:pPr>
        <w:rPr>
          <w:b/>
          <w:bCs/>
          <w:iCs/>
        </w:rPr>
      </w:pPr>
    </w:p>
    <w:p w14:paraId="5E4DF06B" w14:textId="77777777" w:rsidR="005370AD" w:rsidRDefault="005370AD" w:rsidP="00241AAF">
      <w:pPr>
        <w:rPr>
          <w:b/>
          <w:bCs/>
          <w:iCs/>
        </w:rPr>
      </w:pPr>
      <w:r>
        <w:rPr>
          <w:b/>
          <w:bCs/>
          <w:iCs/>
        </w:rPr>
        <w:t>[Insert table 1]</w:t>
      </w:r>
    </w:p>
    <w:p w14:paraId="6F0D2212" w14:textId="77777777" w:rsidR="005370AD" w:rsidRDefault="005370AD" w:rsidP="00241AAF">
      <w:pPr>
        <w:rPr>
          <w:b/>
          <w:bCs/>
          <w:iCs/>
        </w:rPr>
      </w:pPr>
    </w:p>
    <w:p w14:paraId="65E0FE47" w14:textId="77777777" w:rsidR="005370AD" w:rsidRDefault="005370AD" w:rsidP="00241AAF">
      <w:pPr>
        <w:rPr>
          <w:b/>
          <w:bCs/>
          <w:iCs/>
        </w:rPr>
      </w:pPr>
    </w:p>
    <w:p w14:paraId="0387DFCF" w14:textId="77777777" w:rsidR="005370AD" w:rsidRPr="00FD00F4" w:rsidRDefault="005370AD" w:rsidP="00241AAF">
      <w:pPr>
        <w:rPr>
          <w:b/>
        </w:rPr>
      </w:pPr>
      <w:r w:rsidRPr="00FD00F4">
        <w:rPr>
          <w:b/>
        </w:rPr>
        <w:t>Main findings</w:t>
      </w:r>
    </w:p>
    <w:p w14:paraId="0EA1BEE6" w14:textId="77777777" w:rsidR="005370AD" w:rsidRPr="008037C5" w:rsidRDefault="005370AD" w:rsidP="00241AAF">
      <w:pPr>
        <w:spacing w:line="360" w:lineRule="auto"/>
        <w:rPr>
          <w:color w:val="0070C0"/>
        </w:rPr>
      </w:pPr>
      <w:r>
        <w:rPr>
          <w:bCs/>
          <w:iCs/>
        </w:rPr>
        <w:t xml:space="preserve">Analysis of interviews </w:t>
      </w:r>
      <w:r w:rsidRPr="00345396">
        <w:rPr>
          <w:bCs/>
          <w:iCs/>
        </w:rPr>
        <w:t xml:space="preserve">highlighted </w:t>
      </w:r>
      <w:r w:rsidRPr="00006BA7">
        <w:rPr>
          <w:bCs/>
          <w:iCs/>
        </w:rPr>
        <w:t xml:space="preserve">four </w:t>
      </w:r>
      <w:r>
        <w:rPr>
          <w:bCs/>
          <w:iCs/>
        </w:rPr>
        <w:t>main</w:t>
      </w:r>
      <w:r w:rsidRPr="00345396">
        <w:rPr>
          <w:bCs/>
          <w:iCs/>
        </w:rPr>
        <w:t xml:space="preserve"> </w:t>
      </w:r>
      <w:r>
        <w:rPr>
          <w:bCs/>
          <w:iCs/>
        </w:rPr>
        <w:t xml:space="preserve">themes around </w:t>
      </w:r>
      <w:r w:rsidRPr="00C41BF7">
        <w:rPr>
          <w:bCs/>
          <w:iCs/>
        </w:rPr>
        <w:t>understandings and concerns about cellulitis</w:t>
      </w:r>
      <w:r>
        <w:rPr>
          <w:bCs/>
          <w:iCs/>
        </w:rPr>
        <w:t>,</w:t>
      </w:r>
      <w:r w:rsidRPr="00C41BF7">
        <w:rPr>
          <w:bCs/>
          <w:iCs/>
        </w:rPr>
        <w:t xml:space="preserve"> </w:t>
      </w:r>
      <w:r>
        <w:rPr>
          <w:bCs/>
          <w:iCs/>
        </w:rPr>
        <w:t>and</w:t>
      </w:r>
      <w:r w:rsidRPr="00C41BF7">
        <w:rPr>
          <w:bCs/>
          <w:iCs/>
        </w:rPr>
        <w:t xml:space="preserve"> views and experiences of cellulitis prevention</w:t>
      </w:r>
      <w:r>
        <w:rPr>
          <w:bCs/>
          <w:iCs/>
        </w:rPr>
        <w:t xml:space="preserve">: </w:t>
      </w:r>
      <w:r w:rsidRPr="004F7A0A">
        <w:rPr>
          <w:b/>
          <w:bCs/>
          <w:iCs/>
        </w:rPr>
        <w:t>1) Diverse understandings about cellulitis causation, risk and recurrence, 2)</w:t>
      </w:r>
      <w:r>
        <w:rPr>
          <w:b/>
        </w:rPr>
        <w:t xml:space="preserve"> Prior experience</w:t>
      </w:r>
      <w:r w:rsidRPr="004F7A0A">
        <w:rPr>
          <w:b/>
        </w:rPr>
        <w:t xml:space="preserve"> of preventing cellulitis recurrence</w:t>
      </w:r>
      <w:r>
        <w:rPr>
          <w:b/>
        </w:rPr>
        <w:t>,</w:t>
      </w:r>
      <w:r w:rsidRPr="00DE6FBB">
        <w:rPr>
          <w:b/>
        </w:rPr>
        <w:t xml:space="preserve"> </w:t>
      </w:r>
      <w:r>
        <w:rPr>
          <w:b/>
        </w:rPr>
        <w:t xml:space="preserve">3) </w:t>
      </w:r>
      <w:r w:rsidRPr="00EB430B">
        <w:rPr>
          <w:b/>
        </w:rPr>
        <w:t>Views about non-antibiotic cellulitis prevention interventions</w:t>
      </w:r>
      <w:r>
        <w:rPr>
          <w:b/>
        </w:rPr>
        <w:t xml:space="preserve">, 4) </w:t>
      </w:r>
      <w:r w:rsidRPr="00EB430B">
        <w:rPr>
          <w:b/>
        </w:rPr>
        <w:t xml:space="preserve">Views about </w:t>
      </w:r>
      <w:r>
        <w:rPr>
          <w:b/>
        </w:rPr>
        <w:t xml:space="preserve">long-term </w:t>
      </w:r>
      <w:r w:rsidRPr="00B07CAA">
        <w:rPr>
          <w:b/>
        </w:rPr>
        <w:t xml:space="preserve">antibiotics for cellulitis prevention. </w:t>
      </w:r>
      <w:r w:rsidRPr="00B07CAA">
        <w:t xml:space="preserve">When we compared/triangulated the themes and subthemes with the trends in the survey data they were mainly convergent and complimentary. Therefore the main findings from the interviews and surveys are presented concurrently below. Quantitative results are presented in Tables 2-4. </w:t>
      </w:r>
      <w:r w:rsidRPr="00B07CAA">
        <w:rPr>
          <w:bCs/>
          <w:iCs/>
        </w:rPr>
        <w:t xml:space="preserve">Selected quotes are used to illustrate each theme. </w:t>
      </w:r>
    </w:p>
    <w:p w14:paraId="6E2547F5" w14:textId="77777777" w:rsidR="005370AD" w:rsidRDefault="005370AD" w:rsidP="00241AAF">
      <w:pPr>
        <w:rPr>
          <w:b/>
          <w:bCs/>
          <w:i/>
          <w:iCs/>
        </w:rPr>
      </w:pPr>
    </w:p>
    <w:p w14:paraId="27466A02" w14:textId="77777777" w:rsidR="005370AD" w:rsidRDefault="005370AD" w:rsidP="00241AAF">
      <w:pPr>
        <w:rPr>
          <w:b/>
          <w:bCs/>
          <w:i/>
          <w:iCs/>
        </w:rPr>
      </w:pPr>
    </w:p>
    <w:p w14:paraId="535D86B2" w14:textId="77777777" w:rsidR="005370AD" w:rsidRPr="00605E96" w:rsidRDefault="005370AD" w:rsidP="00241AAF">
      <w:pPr>
        <w:spacing w:after="0" w:line="360" w:lineRule="auto"/>
        <w:rPr>
          <w:b/>
          <w:bCs/>
          <w:iCs/>
        </w:rPr>
      </w:pPr>
      <w:r w:rsidRPr="00605E96">
        <w:rPr>
          <w:b/>
          <w:bCs/>
          <w:iCs/>
        </w:rPr>
        <w:t>[Insert table 2]</w:t>
      </w:r>
    </w:p>
    <w:p w14:paraId="46054ECE" w14:textId="77777777" w:rsidR="005370AD" w:rsidRDefault="005370AD" w:rsidP="00241AAF">
      <w:pPr>
        <w:rPr>
          <w:b/>
          <w:bCs/>
          <w:i/>
          <w:iCs/>
        </w:rPr>
      </w:pPr>
    </w:p>
    <w:p w14:paraId="54ACFD24" w14:textId="77777777" w:rsidR="005370AD" w:rsidRDefault="005370AD" w:rsidP="00241AAF">
      <w:pPr>
        <w:rPr>
          <w:b/>
          <w:bCs/>
          <w:i/>
          <w:iCs/>
        </w:rPr>
      </w:pPr>
    </w:p>
    <w:p w14:paraId="0B7832C9" w14:textId="77777777" w:rsidR="005370AD" w:rsidRDefault="005370AD" w:rsidP="00241AAF">
      <w:pPr>
        <w:rPr>
          <w:b/>
          <w:bCs/>
          <w:i/>
          <w:iCs/>
        </w:rPr>
      </w:pPr>
      <w:r w:rsidRPr="007A6C57">
        <w:rPr>
          <w:b/>
          <w:bCs/>
          <w:i/>
          <w:iCs/>
        </w:rPr>
        <w:t>Diverse understandings</w:t>
      </w:r>
      <w:r>
        <w:rPr>
          <w:b/>
          <w:bCs/>
          <w:i/>
          <w:iCs/>
        </w:rPr>
        <w:t xml:space="preserve"> about cellulitis causation, </w:t>
      </w:r>
      <w:r w:rsidRPr="007A6C57">
        <w:rPr>
          <w:b/>
          <w:bCs/>
          <w:i/>
          <w:iCs/>
        </w:rPr>
        <w:t>risk</w:t>
      </w:r>
      <w:r>
        <w:rPr>
          <w:b/>
          <w:bCs/>
          <w:i/>
          <w:iCs/>
        </w:rPr>
        <w:t xml:space="preserve"> and recurrence. </w:t>
      </w:r>
    </w:p>
    <w:p w14:paraId="1D41014B" w14:textId="77777777" w:rsidR="005370AD" w:rsidRDefault="005370AD" w:rsidP="00241AAF">
      <w:pPr>
        <w:rPr>
          <w:b/>
          <w:bCs/>
          <w:i/>
          <w:iCs/>
        </w:rPr>
      </w:pPr>
    </w:p>
    <w:p w14:paraId="61DB5D88" w14:textId="77777777" w:rsidR="005370AD" w:rsidRPr="00433D89" w:rsidRDefault="005370AD" w:rsidP="00241AAF">
      <w:pPr>
        <w:rPr>
          <w:bCs/>
          <w:i/>
          <w:iCs/>
        </w:rPr>
      </w:pPr>
      <w:r w:rsidRPr="00433D89">
        <w:rPr>
          <w:bCs/>
          <w:i/>
          <w:iCs/>
        </w:rPr>
        <w:t>Perceived causes of cellulitis</w:t>
      </w:r>
    </w:p>
    <w:p w14:paraId="37A00898" w14:textId="77777777" w:rsidR="005370AD" w:rsidRDefault="005370AD" w:rsidP="00241AAF">
      <w:pPr>
        <w:spacing w:after="0" w:line="360" w:lineRule="auto"/>
      </w:pPr>
      <w:r>
        <w:rPr>
          <w:bCs/>
          <w:iCs/>
        </w:rPr>
        <w:t>In both the qualitative interviews and survey (table 2) participants expressed diverse</w:t>
      </w:r>
      <w:r w:rsidRPr="00306568">
        <w:rPr>
          <w:bCs/>
          <w:iCs/>
        </w:rPr>
        <w:t xml:space="preserve"> beliefs </w:t>
      </w:r>
      <w:r>
        <w:rPr>
          <w:bCs/>
          <w:iCs/>
        </w:rPr>
        <w:t xml:space="preserve">about what had caused their cellulitis </w:t>
      </w:r>
      <w:r w:rsidRPr="00306568">
        <w:rPr>
          <w:bCs/>
          <w:iCs/>
        </w:rPr>
        <w:t xml:space="preserve">including </w:t>
      </w:r>
      <w:r>
        <w:rPr>
          <w:bCs/>
          <w:iCs/>
        </w:rPr>
        <w:t xml:space="preserve">sustaining </w:t>
      </w:r>
      <w:r w:rsidRPr="00F61BAD">
        <w:t xml:space="preserve">damage to the skin from trauma, insect bites </w:t>
      </w:r>
      <w:r>
        <w:t>or surgery, oedema and fungal foot disease. Qualitative interviewees also cited causes that were not included as a response option in the questionnaire, such as ‘</w:t>
      </w:r>
      <w:r w:rsidRPr="00F61BAD">
        <w:t>unhygienic</w:t>
      </w:r>
      <w:r>
        <w:t>’</w:t>
      </w:r>
      <w:r w:rsidRPr="00F61BAD">
        <w:t xml:space="preserve"> environments</w:t>
      </w:r>
      <w:r>
        <w:t xml:space="preserve"> (e.g. woodlands, household lofts or coming into contact with matter such as bird faeces or dead rodents) </w:t>
      </w:r>
      <w:r w:rsidRPr="00F61BAD">
        <w:t xml:space="preserve">and </w:t>
      </w:r>
      <w:r>
        <w:t>stressful life events.</w:t>
      </w:r>
    </w:p>
    <w:p w14:paraId="11766F10" w14:textId="77777777" w:rsidR="005370AD" w:rsidRDefault="005370AD" w:rsidP="00241AAF">
      <w:pPr>
        <w:spacing w:after="0" w:line="360" w:lineRule="auto"/>
      </w:pPr>
    </w:p>
    <w:p w14:paraId="078F6300" w14:textId="77777777" w:rsidR="005370AD" w:rsidRDefault="005370AD" w:rsidP="00241AAF">
      <w:pPr>
        <w:ind w:left="720"/>
        <w:rPr>
          <w:rFonts w:ascii="Calibri" w:hAnsi="Calibri"/>
          <w:b/>
          <w:i/>
          <w:iCs/>
          <w:sz w:val="20"/>
          <w:szCs w:val="20"/>
        </w:rPr>
      </w:pPr>
      <w:r w:rsidRPr="00152EAC">
        <w:rPr>
          <w:rFonts w:ascii="Calibri" w:hAnsi="Calibri"/>
          <w:i/>
          <w:iCs/>
          <w:sz w:val="20"/>
          <w:szCs w:val="20"/>
        </w:rPr>
        <w:t xml:space="preserve">“I knocked that little finger against a wing mirror. And that was all and it didn’t even draw blood or scratch. There must have been something on the wing mirror, you know, it could have been anything, bird droppings or anything, just something obviously.” </w:t>
      </w:r>
      <w:r w:rsidRPr="00152EAC">
        <w:rPr>
          <w:rFonts w:ascii="Calibri" w:hAnsi="Calibri"/>
          <w:b/>
          <w:i/>
          <w:iCs/>
          <w:sz w:val="20"/>
          <w:szCs w:val="20"/>
        </w:rPr>
        <w:t>(P12, male, aged 82, First episode)</w:t>
      </w:r>
    </w:p>
    <w:p w14:paraId="22D5B498" w14:textId="77777777" w:rsidR="005370AD" w:rsidRPr="00306C53" w:rsidRDefault="005370AD" w:rsidP="00241AAF">
      <w:pPr>
        <w:ind w:left="720"/>
        <w:rPr>
          <w:rFonts w:ascii="Calibri" w:hAnsi="Calibri"/>
          <w:b/>
          <w:i/>
          <w:iCs/>
          <w:sz w:val="20"/>
          <w:szCs w:val="20"/>
        </w:rPr>
      </w:pPr>
    </w:p>
    <w:p w14:paraId="7B7DEA88" w14:textId="77777777" w:rsidR="005370AD" w:rsidRPr="00FB6321" w:rsidRDefault="005370AD" w:rsidP="00241AAF">
      <w:pPr>
        <w:spacing w:after="0" w:line="240" w:lineRule="auto"/>
        <w:ind w:left="720"/>
      </w:pPr>
      <w:r>
        <w:rPr>
          <w:rFonts w:ascii="Calibri" w:hAnsi="Calibri"/>
          <w:i/>
          <w:iCs/>
          <w:sz w:val="20"/>
          <w:szCs w:val="20"/>
        </w:rPr>
        <w:t>“A</w:t>
      </w:r>
      <w:r w:rsidRPr="00FB6321">
        <w:rPr>
          <w:rFonts w:ascii="Calibri" w:hAnsi="Calibri"/>
          <w:i/>
          <w:iCs/>
          <w:sz w:val="20"/>
          <w:szCs w:val="20"/>
        </w:rPr>
        <w:t>t that time I was under a considerable amount of pressure and what have you. Then the next big hit was – 2010 an</w:t>
      </w:r>
      <w:r>
        <w:rPr>
          <w:rFonts w:ascii="Calibri" w:hAnsi="Calibri"/>
          <w:i/>
          <w:iCs/>
          <w:sz w:val="20"/>
          <w:szCs w:val="20"/>
        </w:rPr>
        <w:t>d again work was extremely busy…</w:t>
      </w:r>
      <w:r w:rsidRPr="00FB6321">
        <w:rPr>
          <w:rFonts w:ascii="Calibri" w:hAnsi="Calibri"/>
          <w:i/>
          <w:iCs/>
          <w:sz w:val="20"/>
          <w:szCs w:val="20"/>
        </w:rPr>
        <w:t xml:space="preserve"> there was a big amount of stress at the time and just prior to that my father had died in 2009. So 2009, 2010 and it was like – a graze or something like that on my leg and I think I’d been under quite a bit of pressure, being kind of rundown, at a low ebb.” </w:t>
      </w:r>
      <w:r w:rsidRPr="00FB6321">
        <w:rPr>
          <w:rFonts w:ascii="Calibri" w:hAnsi="Calibri"/>
          <w:b/>
          <w:i/>
          <w:iCs/>
          <w:sz w:val="20"/>
          <w:szCs w:val="20"/>
        </w:rPr>
        <w:t>(P15, male, aged 63, recurrent cellulitis)</w:t>
      </w:r>
    </w:p>
    <w:p w14:paraId="289B4FE7" w14:textId="77777777" w:rsidR="005370AD" w:rsidRDefault="005370AD" w:rsidP="00241AAF">
      <w:pPr>
        <w:spacing w:after="0" w:line="360" w:lineRule="auto"/>
      </w:pPr>
    </w:p>
    <w:p w14:paraId="69552B5B" w14:textId="77777777" w:rsidR="005370AD" w:rsidRDefault="005370AD" w:rsidP="00241AAF">
      <w:pPr>
        <w:spacing w:after="0" w:line="360" w:lineRule="auto"/>
      </w:pPr>
    </w:p>
    <w:p w14:paraId="036D251E" w14:textId="77777777" w:rsidR="005370AD" w:rsidRDefault="005370AD" w:rsidP="00241AAF">
      <w:pPr>
        <w:spacing w:after="0" w:line="360" w:lineRule="auto"/>
      </w:pPr>
      <w:r w:rsidRPr="00F61BAD">
        <w:t xml:space="preserve">Although some </w:t>
      </w:r>
      <w:r>
        <w:t>interviewees</w:t>
      </w:r>
      <w:r w:rsidRPr="00F61BAD">
        <w:t xml:space="preserve"> </w:t>
      </w:r>
      <w:r>
        <w:t xml:space="preserve">appeared to have </w:t>
      </w:r>
      <w:r w:rsidRPr="00F61BAD">
        <w:t xml:space="preserve">a clear idea of </w:t>
      </w:r>
      <w:r>
        <w:t>the cause of their cellulitis,</w:t>
      </w:r>
      <w:r w:rsidRPr="00F61BAD">
        <w:t xml:space="preserve"> </w:t>
      </w:r>
      <w:r>
        <w:t xml:space="preserve">many were uncertain due to the lack of visible evidence of a bite mark or cut on the affected area. Similar uncertainty was reflected in the survey data. </w:t>
      </w:r>
    </w:p>
    <w:p w14:paraId="0D35A853" w14:textId="77777777" w:rsidR="005370AD" w:rsidRDefault="005370AD" w:rsidP="00241AAF">
      <w:pPr>
        <w:spacing w:after="0" w:line="360" w:lineRule="auto"/>
      </w:pPr>
    </w:p>
    <w:p w14:paraId="5E872303" w14:textId="77777777" w:rsidR="005370AD" w:rsidRPr="00FB6321" w:rsidRDefault="005370AD" w:rsidP="00241AAF">
      <w:pPr>
        <w:ind w:left="720"/>
        <w:rPr>
          <w:rFonts w:ascii="Calibri" w:hAnsi="Calibri"/>
          <w:b/>
          <w:i/>
          <w:iCs/>
          <w:sz w:val="20"/>
          <w:szCs w:val="20"/>
        </w:rPr>
      </w:pPr>
      <w:r w:rsidRPr="00FB6321">
        <w:rPr>
          <w:rFonts w:ascii="Calibri" w:hAnsi="Calibri"/>
          <w:i/>
          <w:iCs/>
          <w:sz w:val="20"/>
          <w:szCs w:val="20"/>
        </w:rPr>
        <w:t xml:space="preserve">“But the funny thing was, they couldn’t find any reason why; when they were checking my legs for cuts that sort of thing, and mosquito bites, there was nothing. They don’t really know what caused it, other than I got it ... and they treated it.” </w:t>
      </w:r>
      <w:r w:rsidRPr="00FB6321">
        <w:rPr>
          <w:rFonts w:ascii="Calibri" w:hAnsi="Calibri"/>
          <w:b/>
          <w:i/>
          <w:iCs/>
          <w:sz w:val="20"/>
          <w:szCs w:val="20"/>
        </w:rPr>
        <w:t>(P4, male, aged 61, recurrent cellulitis)</w:t>
      </w:r>
    </w:p>
    <w:p w14:paraId="01570009" w14:textId="77777777" w:rsidR="005370AD" w:rsidRDefault="005370AD" w:rsidP="00241AAF">
      <w:pPr>
        <w:spacing w:after="0" w:line="240" w:lineRule="auto"/>
        <w:rPr>
          <w:rFonts w:ascii="Calibri" w:hAnsi="Calibri"/>
          <w:i/>
          <w:iCs/>
          <w:sz w:val="20"/>
          <w:szCs w:val="20"/>
        </w:rPr>
      </w:pPr>
    </w:p>
    <w:p w14:paraId="01A919DD" w14:textId="77777777" w:rsidR="005370AD" w:rsidRPr="00B246A0" w:rsidRDefault="005370AD" w:rsidP="00241AAF">
      <w:pPr>
        <w:ind w:left="720"/>
        <w:rPr>
          <w:rFonts w:ascii="Calibri" w:hAnsi="Calibri"/>
          <w:b/>
          <w:i/>
          <w:iCs/>
          <w:sz w:val="20"/>
          <w:szCs w:val="20"/>
        </w:rPr>
      </w:pPr>
      <w:r w:rsidRPr="00FB6321">
        <w:rPr>
          <w:rFonts w:ascii="Calibri" w:hAnsi="Calibri"/>
          <w:i/>
          <w:iCs/>
          <w:sz w:val="20"/>
          <w:szCs w:val="20"/>
        </w:rPr>
        <w:t xml:space="preserve">“Well my legs were swollen, especially this left one, but then they have been swollen for some time – I mean I didn’t cut myself or scratch myself or anything, you know, to bring on an infection. I just don’t know. And the doctor, I don’t think knows, either.” </w:t>
      </w:r>
      <w:r w:rsidRPr="00FB6321">
        <w:rPr>
          <w:rFonts w:ascii="Calibri" w:hAnsi="Calibri"/>
          <w:b/>
          <w:i/>
          <w:iCs/>
          <w:sz w:val="20"/>
          <w:szCs w:val="20"/>
        </w:rPr>
        <w:t xml:space="preserve">(P3, </w:t>
      </w:r>
      <w:r>
        <w:rPr>
          <w:rFonts w:ascii="Calibri" w:hAnsi="Calibri"/>
          <w:b/>
          <w:i/>
          <w:iCs/>
          <w:sz w:val="20"/>
          <w:szCs w:val="20"/>
        </w:rPr>
        <w:t>female, aged 83, first episode)</w:t>
      </w:r>
    </w:p>
    <w:p w14:paraId="4F51D66D" w14:textId="77777777" w:rsidR="005370AD" w:rsidRDefault="005370AD" w:rsidP="00241AAF">
      <w:pPr>
        <w:rPr>
          <w:b/>
        </w:rPr>
      </w:pPr>
    </w:p>
    <w:p w14:paraId="119C0035" w14:textId="77777777" w:rsidR="005370AD" w:rsidRDefault="005370AD" w:rsidP="00241AAF">
      <w:pPr>
        <w:rPr>
          <w:b/>
        </w:rPr>
      </w:pPr>
    </w:p>
    <w:p w14:paraId="28C0AC00" w14:textId="77777777" w:rsidR="005370AD" w:rsidRDefault="005370AD" w:rsidP="00241AAF">
      <w:pPr>
        <w:spacing w:line="360" w:lineRule="auto"/>
        <w:rPr>
          <w:bCs/>
          <w:i/>
          <w:iCs/>
        </w:rPr>
      </w:pPr>
      <w:r w:rsidRPr="00433D89">
        <w:rPr>
          <w:bCs/>
          <w:i/>
          <w:iCs/>
        </w:rPr>
        <w:t>Perceived risk factors</w:t>
      </w:r>
    </w:p>
    <w:p w14:paraId="02933F11" w14:textId="77777777" w:rsidR="005370AD" w:rsidRDefault="005370AD" w:rsidP="00241AAF">
      <w:pPr>
        <w:spacing w:line="360" w:lineRule="auto"/>
      </w:pPr>
      <w:r>
        <w:t xml:space="preserve">Diverse perceptions about risk factors for cellulitis were evident amongst survey participants and interviewees. </w:t>
      </w:r>
      <w:r>
        <w:rPr>
          <w:bCs/>
          <w:iCs/>
        </w:rPr>
        <w:t xml:space="preserve">A commonly expressed belief amongst interviewees was that cellulitis risk increases with age, which was not a risk factor we had included in the questionnaire. Older participants seemed to associate their risk of cellulitis as ‘just part of ageing’ whereas younger participants expressed surprise that they had got it as they had assumed it was typically something that older people get.  </w:t>
      </w:r>
    </w:p>
    <w:p w14:paraId="65E71217" w14:textId="77777777" w:rsidR="005370AD" w:rsidRPr="002B5E0F" w:rsidRDefault="005370AD" w:rsidP="00241AAF">
      <w:pPr>
        <w:spacing w:line="360" w:lineRule="auto"/>
      </w:pPr>
    </w:p>
    <w:p w14:paraId="6CADEEEC" w14:textId="77777777" w:rsidR="005370AD" w:rsidRPr="0070713F" w:rsidRDefault="005370AD" w:rsidP="00241AAF">
      <w:pPr>
        <w:ind w:left="720"/>
        <w:rPr>
          <w:b/>
        </w:rPr>
      </w:pPr>
      <w:r w:rsidRPr="004D26CE">
        <w:rPr>
          <w:rFonts w:ascii="Calibri" w:hAnsi="Calibri"/>
          <w:i/>
          <w:iCs/>
          <w:sz w:val="20"/>
          <w:szCs w:val="20"/>
        </w:rPr>
        <w:t xml:space="preserve">“I think I’m quite young to have it, because I normally think </w:t>
      </w:r>
      <w:proofErr w:type="gramStart"/>
      <w:r w:rsidRPr="004D26CE">
        <w:rPr>
          <w:rFonts w:ascii="Calibri" w:hAnsi="Calibri"/>
          <w:i/>
          <w:iCs/>
          <w:sz w:val="20"/>
          <w:szCs w:val="20"/>
        </w:rPr>
        <w:t>it’s</w:t>
      </w:r>
      <w:proofErr w:type="gramEnd"/>
      <w:r w:rsidRPr="004D26CE">
        <w:rPr>
          <w:rFonts w:ascii="Calibri" w:hAnsi="Calibri"/>
          <w:i/>
          <w:iCs/>
          <w:sz w:val="20"/>
          <w:szCs w:val="20"/>
        </w:rPr>
        <w:t xml:space="preserve"> people in poor health and quite old, that have it, but – I don’t know. I don’t really know really.” </w:t>
      </w:r>
      <w:r w:rsidRPr="004D26CE">
        <w:rPr>
          <w:rFonts w:ascii="Calibri" w:hAnsi="Calibri"/>
          <w:b/>
          <w:i/>
          <w:iCs/>
          <w:sz w:val="20"/>
          <w:szCs w:val="20"/>
        </w:rPr>
        <w:t>(P27, female, aged 53, recurrent cellulitis)</w:t>
      </w:r>
    </w:p>
    <w:p w14:paraId="67B3BA29" w14:textId="77777777" w:rsidR="005370AD" w:rsidRDefault="005370AD" w:rsidP="00241AAF">
      <w:pPr>
        <w:spacing w:line="360" w:lineRule="auto"/>
        <w:rPr>
          <w:bCs/>
          <w:iCs/>
        </w:rPr>
      </w:pPr>
    </w:p>
    <w:p w14:paraId="74F99C6B" w14:textId="77777777" w:rsidR="005370AD" w:rsidRPr="000D08FB" w:rsidRDefault="005370AD" w:rsidP="00241AAF">
      <w:pPr>
        <w:spacing w:line="360" w:lineRule="auto"/>
        <w:rPr>
          <w:bCs/>
          <w:i/>
          <w:iCs/>
        </w:rPr>
      </w:pPr>
      <w:r w:rsidRPr="000D08FB">
        <w:rPr>
          <w:bCs/>
          <w:iCs/>
        </w:rPr>
        <w:t xml:space="preserve">Other perceived risk factors </w:t>
      </w:r>
      <w:r>
        <w:rPr>
          <w:bCs/>
          <w:iCs/>
        </w:rPr>
        <w:t xml:space="preserve">reported by interviewees and survey respondents </w:t>
      </w:r>
      <w:r w:rsidRPr="000D08FB">
        <w:rPr>
          <w:bCs/>
          <w:iCs/>
        </w:rPr>
        <w:t xml:space="preserve">included having a </w:t>
      </w:r>
      <w:r>
        <w:t xml:space="preserve">comorbidity and </w:t>
      </w:r>
      <w:r w:rsidRPr="000D08FB">
        <w:t>being</w:t>
      </w:r>
      <w:r>
        <w:t xml:space="preserve"> more susceptible to infection. </w:t>
      </w:r>
      <w:r w:rsidRPr="000D08FB">
        <w:t xml:space="preserve">Some </w:t>
      </w:r>
      <w:r>
        <w:t>interviewees</w:t>
      </w:r>
      <w:r w:rsidRPr="000D08FB">
        <w:t xml:space="preserve"> </w:t>
      </w:r>
      <w:r>
        <w:t>acknowledged</w:t>
      </w:r>
      <w:r w:rsidRPr="000D08FB">
        <w:t xml:space="preserve"> that </w:t>
      </w:r>
      <w:r>
        <w:t xml:space="preserve">having </w:t>
      </w:r>
      <w:r w:rsidRPr="000D08FB">
        <w:rPr>
          <w:rFonts w:ascii="Calibri" w:hAnsi="Calibri"/>
        </w:rPr>
        <w:t xml:space="preserve">diabetes or </w:t>
      </w:r>
      <w:proofErr w:type="spellStart"/>
      <w:r w:rsidRPr="000D08FB">
        <w:rPr>
          <w:rFonts w:ascii="Calibri" w:hAnsi="Calibri"/>
        </w:rPr>
        <w:t>lymphoedema</w:t>
      </w:r>
      <w:proofErr w:type="spellEnd"/>
      <w:r>
        <w:rPr>
          <w:rFonts w:ascii="Calibri" w:hAnsi="Calibri"/>
        </w:rPr>
        <w:t xml:space="preserve"> </w:t>
      </w:r>
      <w:r w:rsidRPr="000D08FB">
        <w:rPr>
          <w:rFonts w:ascii="Calibri" w:hAnsi="Calibri"/>
        </w:rPr>
        <w:t xml:space="preserve">or </w:t>
      </w:r>
      <w:r>
        <w:rPr>
          <w:rFonts w:ascii="Calibri" w:hAnsi="Calibri"/>
        </w:rPr>
        <w:t>that</w:t>
      </w:r>
      <w:r w:rsidRPr="000D08FB">
        <w:rPr>
          <w:rFonts w:ascii="Calibri" w:hAnsi="Calibri"/>
        </w:rPr>
        <w:t xml:space="preserve"> taking immunosuppressant medication</w:t>
      </w:r>
      <w:r>
        <w:rPr>
          <w:bCs/>
          <w:i/>
          <w:iCs/>
        </w:rPr>
        <w:t xml:space="preserve"> </w:t>
      </w:r>
      <w:r>
        <w:rPr>
          <w:bCs/>
          <w:iCs/>
        </w:rPr>
        <w:t>was likely to increase their risk of cellulitis.</w:t>
      </w:r>
      <w:r>
        <w:rPr>
          <w:bCs/>
          <w:i/>
          <w:iCs/>
        </w:rPr>
        <w:t xml:space="preserve"> </w:t>
      </w:r>
      <w:r w:rsidRPr="000D08FB">
        <w:rPr>
          <w:rFonts w:ascii="Calibri" w:hAnsi="Calibri"/>
        </w:rPr>
        <w:t>Other</w:t>
      </w:r>
      <w:r>
        <w:rPr>
          <w:rFonts w:ascii="Calibri" w:hAnsi="Calibri"/>
        </w:rPr>
        <w:t>s</w:t>
      </w:r>
      <w:r w:rsidRPr="000D08FB">
        <w:rPr>
          <w:rFonts w:ascii="Calibri" w:hAnsi="Calibri"/>
        </w:rPr>
        <w:t xml:space="preserve"> seemed to feel that </w:t>
      </w:r>
      <w:r>
        <w:rPr>
          <w:rFonts w:ascii="Calibri" w:hAnsi="Calibri"/>
        </w:rPr>
        <w:t xml:space="preserve">they had an </w:t>
      </w:r>
      <w:r w:rsidRPr="000D08FB">
        <w:rPr>
          <w:rFonts w:ascii="Calibri" w:hAnsi="Calibri"/>
        </w:rPr>
        <w:t xml:space="preserve">underlying weakness in </w:t>
      </w:r>
      <w:r>
        <w:rPr>
          <w:rFonts w:ascii="Calibri" w:hAnsi="Calibri"/>
        </w:rPr>
        <w:t xml:space="preserve">their </w:t>
      </w:r>
      <w:r w:rsidRPr="000D08FB">
        <w:rPr>
          <w:rFonts w:ascii="Calibri" w:hAnsi="Calibri"/>
        </w:rPr>
        <w:t xml:space="preserve">skin </w:t>
      </w:r>
      <w:r>
        <w:rPr>
          <w:rFonts w:ascii="Calibri" w:hAnsi="Calibri"/>
        </w:rPr>
        <w:t xml:space="preserve">either </w:t>
      </w:r>
      <w:r w:rsidRPr="000D08FB">
        <w:rPr>
          <w:rFonts w:ascii="Calibri" w:hAnsi="Calibri"/>
        </w:rPr>
        <w:t xml:space="preserve">due to prior trauma or </w:t>
      </w:r>
      <w:r>
        <w:rPr>
          <w:rFonts w:ascii="Calibri" w:hAnsi="Calibri"/>
        </w:rPr>
        <w:t>having patches of thin skin, which made them more susceptible</w:t>
      </w:r>
      <w:r w:rsidRPr="000D08FB">
        <w:rPr>
          <w:rFonts w:ascii="Calibri" w:hAnsi="Calibri"/>
        </w:rPr>
        <w:t xml:space="preserve"> to skin infections</w:t>
      </w:r>
      <w:r>
        <w:rPr>
          <w:rFonts w:ascii="Calibri" w:hAnsi="Calibri"/>
        </w:rPr>
        <w:t xml:space="preserve"> in general. </w:t>
      </w:r>
    </w:p>
    <w:p w14:paraId="26F2B9CC" w14:textId="77777777" w:rsidR="005370AD" w:rsidRPr="00EC7DB6" w:rsidRDefault="005370AD" w:rsidP="00241AAF">
      <w:pPr>
        <w:spacing w:line="240" w:lineRule="auto"/>
        <w:ind w:left="720"/>
        <w:rPr>
          <w:i/>
          <w:iCs/>
          <w:sz w:val="20"/>
          <w:szCs w:val="20"/>
        </w:rPr>
      </w:pPr>
      <w:r w:rsidRPr="00EC7DB6">
        <w:rPr>
          <w:rFonts w:ascii="Calibri" w:hAnsi="Calibri"/>
          <w:i/>
          <w:iCs/>
          <w:sz w:val="20"/>
          <w:szCs w:val="20"/>
        </w:rPr>
        <w:t xml:space="preserve">“It’s my </w:t>
      </w:r>
      <w:proofErr w:type="spellStart"/>
      <w:r w:rsidRPr="00EC7DB6">
        <w:rPr>
          <w:rFonts w:ascii="Calibri" w:hAnsi="Calibri"/>
          <w:i/>
          <w:iCs/>
          <w:sz w:val="20"/>
          <w:szCs w:val="20"/>
        </w:rPr>
        <w:t>lymphoedema</w:t>
      </w:r>
      <w:proofErr w:type="spellEnd"/>
      <w:r w:rsidRPr="00EC7DB6">
        <w:rPr>
          <w:rFonts w:ascii="Calibri" w:hAnsi="Calibri"/>
          <w:i/>
          <w:iCs/>
          <w:sz w:val="20"/>
          <w:szCs w:val="20"/>
        </w:rPr>
        <w:t xml:space="preserve"> because, as you can see, my feet are swollen now and my toes just swell up so big, they just split and then – it’s my fault for walking around but I hate wearing shoes when my feet are like that</w:t>
      </w:r>
      <w:r w:rsidRPr="00EC7DB6">
        <w:rPr>
          <w:rFonts w:ascii="Calibri" w:hAnsi="Calibri"/>
          <w:b/>
          <w:i/>
          <w:iCs/>
          <w:sz w:val="20"/>
          <w:szCs w:val="20"/>
        </w:rPr>
        <w:t>” (P27, female, aged 53, recurrent cellulitis)</w:t>
      </w:r>
    </w:p>
    <w:p w14:paraId="48CE8394" w14:textId="77777777" w:rsidR="005370AD" w:rsidRPr="00A60E88" w:rsidRDefault="005370AD" w:rsidP="00241AAF">
      <w:pPr>
        <w:spacing w:line="240" w:lineRule="auto"/>
        <w:ind w:left="720"/>
        <w:rPr>
          <w:i/>
          <w:iCs/>
          <w:sz w:val="20"/>
          <w:szCs w:val="20"/>
        </w:rPr>
      </w:pPr>
      <w:r w:rsidRPr="00A60E88">
        <w:rPr>
          <w:i/>
          <w:iCs/>
          <w:sz w:val="20"/>
          <w:szCs w:val="20"/>
        </w:rPr>
        <w:t xml:space="preserve"> “Well I’m – I’m on immunosuppressant drugs because of the arthritis and also – this has come on after I’ve had a second drug; it’s one of the ones you go to hospital and you have it over a period of, you know, like an injection, over a period of hours. And – I think that lowers your immune system even more, so I’m wondering whether it was anything to do with that, but I don’t know. I don’t know whether I would have got it anyway, but it’s only come since I’ve had this second drug.” </w:t>
      </w:r>
      <w:r w:rsidRPr="00A60E88">
        <w:rPr>
          <w:b/>
          <w:i/>
          <w:iCs/>
          <w:sz w:val="20"/>
          <w:szCs w:val="20"/>
        </w:rPr>
        <w:t>(P5, female, aged 67, recurrent cellulitis)</w:t>
      </w:r>
    </w:p>
    <w:p w14:paraId="359A8EA5" w14:textId="77777777" w:rsidR="005370AD" w:rsidRDefault="005370AD" w:rsidP="00241AAF">
      <w:pPr>
        <w:spacing w:line="360" w:lineRule="auto"/>
      </w:pPr>
    </w:p>
    <w:p w14:paraId="055F2D88" w14:textId="77777777" w:rsidR="005370AD" w:rsidRPr="00797F78" w:rsidRDefault="005370AD" w:rsidP="00241AAF">
      <w:pPr>
        <w:spacing w:line="360" w:lineRule="auto"/>
        <w:rPr>
          <w:bCs/>
          <w:iCs/>
        </w:rPr>
      </w:pPr>
      <w:r>
        <w:t>A less commonly expressed risk factor for cellulitis recurrence was having had cellulitis before. A few participants felt that they were at greater risk of cellulitis because they had had more than one episode. Sixteen percent (n=39) of survey respondents reported that having had cellulitis before was a risk factor for recurrence.</w:t>
      </w:r>
    </w:p>
    <w:p w14:paraId="2F6268DD" w14:textId="77777777" w:rsidR="005370AD" w:rsidRPr="004D26CE" w:rsidRDefault="005370AD" w:rsidP="00241AAF">
      <w:pPr>
        <w:rPr>
          <w:b/>
        </w:rPr>
      </w:pPr>
    </w:p>
    <w:p w14:paraId="6D5DB170" w14:textId="77777777" w:rsidR="005370AD" w:rsidRPr="004D26CE" w:rsidRDefault="005370AD" w:rsidP="00241AAF">
      <w:pPr>
        <w:ind w:left="720"/>
        <w:rPr>
          <w:rFonts w:ascii="Calibri" w:hAnsi="Calibri"/>
          <w:b/>
          <w:i/>
          <w:iCs/>
          <w:sz w:val="20"/>
          <w:szCs w:val="20"/>
        </w:rPr>
      </w:pPr>
      <w:r w:rsidRPr="004D26CE">
        <w:rPr>
          <w:rFonts w:ascii="Calibri" w:hAnsi="Calibri"/>
          <w:i/>
          <w:iCs/>
          <w:sz w:val="20"/>
          <w:szCs w:val="20"/>
        </w:rPr>
        <w:t xml:space="preserve">“So I’m one of those people </w:t>
      </w:r>
      <w:proofErr w:type="spellStart"/>
      <w:r w:rsidRPr="004D26CE">
        <w:rPr>
          <w:rFonts w:ascii="Calibri" w:hAnsi="Calibri"/>
          <w:i/>
          <w:iCs/>
          <w:sz w:val="20"/>
          <w:szCs w:val="20"/>
        </w:rPr>
        <w:t>who’s</w:t>
      </w:r>
      <w:proofErr w:type="spellEnd"/>
      <w:r w:rsidRPr="004D26CE">
        <w:rPr>
          <w:rFonts w:ascii="Calibri" w:hAnsi="Calibri"/>
          <w:i/>
          <w:iCs/>
          <w:sz w:val="20"/>
          <w:szCs w:val="20"/>
        </w:rPr>
        <w:t xml:space="preserve"> prone to it and once you’ve – all I know is that once you’ve had it once, you’re likely to be more susceptible in the future.” </w:t>
      </w:r>
      <w:r w:rsidRPr="004D26CE">
        <w:rPr>
          <w:rFonts w:ascii="Calibri" w:hAnsi="Calibri"/>
          <w:b/>
          <w:i/>
          <w:iCs/>
          <w:sz w:val="20"/>
          <w:szCs w:val="20"/>
        </w:rPr>
        <w:t>(P2, male, aged 45, recurrent cellulitis)</w:t>
      </w:r>
    </w:p>
    <w:p w14:paraId="3E6CF6A5" w14:textId="77777777" w:rsidR="005370AD" w:rsidRPr="004D26CE" w:rsidRDefault="005370AD" w:rsidP="00241AAF">
      <w:pPr>
        <w:ind w:left="720"/>
        <w:rPr>
          <w:rFonts w:ascii="Calibri" w:hAnsi="Calibri"/>
          <w:i/>
          <w:iCs/>
          <w:sz w:val="20"/>
          <w:szCs w:val="20"/>
        </w:rPr>
      </w:pPr>
      <w:r w:rsidRPr="004D26CE">
        <w:rPr>
          <w:rFonts w:ascii="Calibri" w:hAnsi="Calibri"/>
          <w:i/>
          <w:iCs/>
          <w:sz w:val="20"/>
          <w:szCs w:val="20"/>
        </w:rPr>
        <w:t xml:space="preserve">“Especially after you’ve had it the first time you are susceptible to it again. You’re just going to end up with it again and again. They did warn me, that’s one thing the nice doctor did for me – is warn me that it can come back again. It can re-occur now you’ve had it” </w:t>
      </w:r>
      <w:r w:rsidRPr="004D26CE">
        <w:rPr>
          <w:rFonts w:ascii="Calibri" w:hAnsi="Calibri"/>
          <w:b/>
          <w:i/>
          <w:iCs/>
          <w:sz w:val="20"/>
          <w:szCs w:val="20"/>
        </w:rPr>
        <w:t>(P13, female, aged 32, recurrent cellulitis)</w:t>
      </w:r>
    </w:p>
    <w:p w14:paraId="753EF393" w14:textId="77777777" w:rsidR="005370AD" w:rsidRDefault="005370AD" w:rsidP="00241AAF">
      <w:pPr>
        <w:rPr>
          <w:b/>
        </w:rPr>
      </w:pPr>
    </w:p>
    <w:p w14:paraId="0B13543A" w14:textId="77777777" w:rsidR="005370AD" w:rsidRDefault="005370AD" w:rsidP="00241AAF">
      <w:pPr>
        <w:rPr>
          <w:b/>
        </w:rPr>
      </w:pPr>
    </w:p>
    <w:p w14:paraId="7F92F86D" w14:textId="77777777" w:rsidR="005370AD" w:rsidRPr="00433D89" w:rsidRDefault="005370AD" w:rsidP="00241AAF">
      <w:pPr>
        <w:spacing w:line="360" w:lineRule="auto"/>
        <w:rPr>
          <w:i/>
        </w:rPr>
      </w:pPr>
      <w:r>
        <w:rPr>
          <w:i/>
        </w:rPr>
        <w:t>Views about c</w:t>
      </w:r>
      <w:r w:rsidRPr="00433D89">
        <w:rPr>
          <w:i/>
        </w:rPr>
        <w:t>ellulitis recurrence</w:t>
      </w:r>
    </w:p>
    <w:p w14:paraId="4451791D" w14:textId="77777777" w:rsidR="005370AD" w:rsidRDefault="005370AD" w:rsidP="00241AAF">
      <w:pPr>
        <w:spacing w:line="360" w:lineRule="auto"/>
      </w:pPr>
      <w:r>
        <w:t>Fifty-eight percent of survey respondents felt that they were more likely to experience a recurrence of cellulitis compared to other people (n=138).  However, u</w:t>
      </w:r>
      <w:r w:rsidRPr="00177AB1">
        <w:t>ncertainty about cellulitis rec</w:t>
      </w:r>
      <w:r>
        <w:t>urrence</w:t>
      </w:r>
      <w:r w:rsidRPr="0033251B">
        <w:t xml:space="preserve"> </w:t>
      </w:r>
      <w:r>
        <w:t xml:space="preserve">was apparent amongst interviewees and over a third of survey respondents (n=88) were not sure whether they were more likely to get cellulitis again because they had experienced previous episodes. </w:t>
      </w:r>
    </w:p>
    <w:p w14:paraId="04A02FC5" w14:textId="77777777" w:rsidR="005370AD" w:rsidRPr="00DC1BC1" w:rsidRDefault="005370AD" w:rsidP="00241AAF">
      <w:pPr>
        <w:ind w:left="720"/>
        <w:rPr>
          <w:rFonts w:ascii="Calibri" w:hAnsi="Calibri"/>
          <w:i/>
          <w:iCs/>
          <w:sz w:val="20"/>
          <w:szCs w:val="20"/>
        </w:rPr>
      </w:pPr>
      <w:r w:rsidRPr="00DC1BC1">
        <w:rPr>
          <w:rFonts w:ascii="Calibri" w:hAnsi="Calibri"/>
          <w:i/>
          <w:iCs/>
          <w:sz w:val="20"/>
          <w:szCs w:val="20"/>
        </w:rPr>
        <w:t xml:space="preserve">“I didn’t even know you can get it again and again and again; you told me that, I didn’t even know that and I’ve been on that website. I’ve never read it. I thought you get it once and then it’s gone, you won’t get it again. I’ve only learned you can get a recurrence through you, which the doctor should tell you, really.” </w:t>
      </w:r>
      <w:r w:rsidRPr="00DC1BC1">
        <w:rPr>
          <w:rFonts w:ascii="Calibri" w:hAnsi="Calibri"/>
          <w:b/>
          <w:i/>
          <w:iCs/>
          <w:sz w:val="20"/>
          <w:szCs w:val="20"/>
        </w:rPr>
        <w:t>(P11, male, aged 53, first episode)</w:t>
      </w:r>
    </w:p>
    <w:p w14:paraId="10555111" w14:textId="77777777" w:rsidR="005370AD" w:rsidRDefault="005370AD" w:rsidP="00241AAF">
      <w:pPr>
        <w:spacing w:line="360" w:lineRule="auto"/>
      </w:pPr>
    </w:p>
    <w:p w14:paraId="3413AB01" w14:textId="77777777" w:rsidR="005370AD" w:rsidRPr="004F7A0A" w:rsidRDefault="005370AD" w:rsidP="00241AAF">
      <w:pPr>
        <w:spacing w:line="360" w:lineRule="auto"/>
      </w:pPr>
      <w:r>
        <w:t xml:space="preserve">Furthermore, some interviewees expressed anxiety about possible recurrence of cellulitis and a desire to avoid experiencing another episode, but many expressed confidence about managing future episodes as they felt they had </w:t>
      </w:r>
      <w:r w:rsidRPr="00F61BAD">
        <w:t xml:space="preserve">increased awareness of symptoms and </w:t>
      </w:r>
      <w:r>
        <w:t>so could be more</w:t>
      </w:r>
      <w:r w:rsidRPr="004F7A0A">
        <w:t xml:space="preserve"> proactive in seeking</w:t>
      </w:r>
      <w:r>
        <w:t xml:space="preserve"> treatment. </w:t>
      </w:r>
    </w:p>
    <w:p w14:paraId="7194172F" w14:textId="77777777" w:rsidR="005370AD" w:rsidRPr="00F61BAD" w:rsidRDefault="005370AD" w:rsidP="00241AAF">
      <w:pPr>
        <w:ind w:left="1440"/>
        <w:contextualSpacing/>
      </w:pPr>
    </w:p>
    <w:p w14:paraId="594A4D66" w14:textId="77777777" w:rsidR="005370AD" w:rsidRPr="00DC1BC1" w:rsidRDefault="005370AD" w:rsidP="00241AAF">
      <w:pPr>
        <w:ind w:left="2160"/>
        <w:contextualSpacing/>
      </w:pPr>
    </w:p>
    <w:p w14:paraId="12882E7B" w14:textId="77777777" w:rsidR="005370AD" w:rsidRPr="00DC1BC1" w:rsidRDefault="005370AD" w:rsidP="00241AAF">
      <w:pPr>
        <w:ind w:left="720"/>
        <w:rPr>
          <w:rFonts w:ascii="Calibri" w:hAnsi="Calibri"/>
          <w:b/>
          <w:i/>
          <w:iCs/>
          <w:sz w:val="20"/>
          <w:szCs w:val="20"/>
        </w:rPr>
      </w:pPr>
      <w:r w:rsidRPr="00DC1BC1">
        <w:rPr>
          <w:rFonts w:ascii="Calibri" w:hAnsi="Calibri"/>
          <w:i/>
          <w:iCs/>
          <w:sz w:val="20"/>
          <w:szCs w:val="20"/>
        </w:rPr>
        <w:t xml:space="preserve">“I think this idea that it could come back and – I really don’t want to do that again. I think if it does come back, I will be a little bit more prepared for it and I’ll know what it is and you go in with knowledge then, which reduces my anxiety about it.” </w:t>
      </w:r>
      <w:r w:rsidRPr="00DC1BC1">
        <w:rPr>
          <w:rFonts w:ascii="Calibri" w:hAnsi="Calibri"/>
          <w:b/>
          <w:i/>
          <w:iCs/>
          <w:sz w:val="20"/>
          <w:szCs w:val="20"/>
        </w:rPr>
        <w:t>(P19, female, aged 53, first episode)</w:t>
      </w:r>
    </w:p>
    <w:p w14:paraId="0D6BD1CB" w14:textId="77777777" w:rsidR="005370AD" w:rsidRPr="00DC1BC1" w:rsidRDefault="005370AD" w:rsidP="00241AAF">
      <w:pPr>
        <w:ind w:left="720"/>
        <w:rPr>
          <w:rFonts w:ascii="Calibri" w:hAnsi="Calibri"/>
          <w:i/>
          <w:iCs/>
          <w:sz w:val="20"/>
          <w:szCs w:val="20"/>
        </w:rPr>
      </w:pPr>
      <w:r w:rsidRPr="00DC1BC1">
        <w:rPr>
          <w:rFonts w:ascii="Calibri" w:hAnsi="Calibri"/>
          <w:i/>
          <w:iCs/>
          <w:sz w:val="20"/>
          <w:szCs w:val="20"/>
        </w:rPr>
        <w:t xml:space="preserve"> “Now, when I see the signs, sort of red skin, I go to the doctor’s straightaway and get – if they think it’s cellulitis, then they’ll give me antibiotics straightaway to get it while it’s only the start. I don’t leave it like I used to. As soon as – I mean my wife – she – she knows what to look out for as well, because she’s seen it. My daughter, even – can tell; not that </w:t>
      </w:r>
      <w:proofErr w:type="gramStart"/>
      <w:r w:rsidRPr="00DC1BC1">
        <w:rPr>
          <w:rFonts w:ascii="Calibri" w:hAnsi="Calibri"/>
          <w:i/>
          <w:iCs/>
          <w:sz w:val="20"/>
          <w:szCs w:val="20"/>
        </w:rPr>
        <w:t>it’s</w:t>
      </w:r>
      <w:proofErr w:type="gramEnd"/>
      <w:r w:rsidRPr="00DC1BC1">
        <w:rPr>
          <w:rFonts w:ascii="Calibri" w:hAnsi="Calibri"/>
          <w:i/>
          <w:iCs/>
          <w:sz w:val="20"/>
          <w:szCs w:val="20"/>
        </w:rPr>
        <w:t xml:space="preserve"> cellulitis, but she can tell that – daddy your skin’s a bit red. And I go straight to the doctor.” </w:t>
      </w:r>
      <w:r w:rsidRPr="00DC1BC1">
        <w:rPr>
          <w:rFonts w:ascii="Calibri" w:hAnsi="Calibri"/>
          <w:b/>
          <w:i/>
          <w:iCs/>
          <w:sz w:val="20"/>
          <w:szCs w:val="20"/>
        </w:rPr>
        <w:t>(P25, male, aged 39, recurrent cellulitis)</w:t>
      </w:r>
    </w:p>
    <w:p w14:paraId="7C5C198E" w14:textId="77777777" w:rsidR="005370AD" w:rsidRDefault="005370AD" w:rsidP="00241AAF">
      <w:pPr>
        <w:spacing w:line="360" w:lineRule="auto"/>
      </w:pPr>
    </w:p>
    <w:p w14:paraId="744D615B" w14:textId="77777777" w:rsidR="005370AD" w:rsidRDefault="005370AD">
      <w:pPr>
        <w:rPr>
          <w:b/>
          <w:i/>
        </w:rPr>
      </w:pPr>
    </w:p>
    <w:p w14:paraId="579CDB2A" w14:textId="77777777" w:rsidR="005370AD" w:rsidRPr="00A079A5" w:rsidRDefault="005370AD" w:rsidP="00241AAF">
      <w:pPr>
        <w:spacing w:line="360" w:lineRule="auto"/>
        <w:contextualSpacing/>
        <w:rPr>
          <w:b/>
          <w:i/>
        </w:rPr>
      </w:pPr>
      <w:r w:rsidRPr="00A079A5">
        <w:rPr>
          <w:b/>
          <w:i/>
        </w:rPr>
        <w:t>Prior experience of preventing cellulitis recurrence</w:t>
      </w:r>
    </w:p>
    <w:p w14:paraId="3790C4E2" w14:textId="77777777" w:rsidR="005370AD" w:rsidRDefault="005370AD" w:rsidP="00241AAF">
      <w:pPr>
        <w:spacing w:line="360" w:lineRule="auto"/>
      </w:pPr>
      <w:r>
        <w:t>Two-thirds of survey respondents reported</w:t>
      </w:r>
      <w:r w:rsidRPr="005670BF">
        <w:t xml:space="preserve"> that they were no</w:t>
      </w:r>
      <w:r>
        <w:t xml:space="preserve">t aware of any </w:t>
      </w:r>
      <w:r w:rsidRPr="0090451F">
        <w:t>ways</w:t>
      </w:r>
      <w:r>
        <w:rPr>
          <w:color w:val="FF0000"/>
        </w:rPr>
        <w:t xml:space="preserve"> </w:t>
      </w:r>
      <w:r w:rsidRPr="005670BF">
        <w:t xml:space="preserve">of trying to prevent cellulitis </w:t>
      </w:r>
      <w:r>
        <w:t>recurrence</w:t>
      </w:r>
      <w:r w:rsidRPr="005670BF">
        <w:t xml:space="preserve"> </w:t>
      </w:r>
      <w:r>
        <w:t xml:space="preserve">(66.3%, n=159).  However, when asked whether they were currently </w:t>
      </w:r>
      <w:r w:rsidRPr="00E544D6">
        <w:t>do</w:t>
      </w:r>
      <w:r>
        <w:t>ing</w:t>
      </w:r>
      <w:r w:rsidRPr="00E544D6">
        <w:t xml:space="preserve"> anything to prev</w:t>
      </w:r>
      <w:r>
        <w:t>ent cellulitis from coming back, 46% (n=110) reported that they were currently trying to prevent recurrence (Table 2). This higher proportion for the second question may seem inconsistent, yet free text comments suggested that participants were trying prevention through untested suggestions from friends, and it is also worth noting the lower response rate to this question.</w:t>
      </w:r>
    </w:p>
    <w:p w14:paraId="47DDD7C9" w14:textId="77777777" w:rsidR="005370AD" w:rsidRDefault="005370AD" w:rsidP="00241AAF">
      <w:pPr>
        <w:spacing w:line="360" w:lineRule="auto"/>
      </w:pPr>
    </w:p>
    <w:p w14:paraId="24AC1103" w14:textId="77777777" w:rsidR="005370AD" w:rsidRDefault="005370AD" w:rsidP="00241AAF">
      <w:pPr>
        <w:spacing w:line="360" w:lineRule="auto"/>
      </w:pPr>
      <w:r>
        <w:t>Preventative behaviours that were reported most commonly amongst interviewees were cleaning wounds with antiseptic and using insect repellent. Some participants, particularly those</w:t>
      </w:r>
      <w:r w:rsidRPr="00D4042A">
        <w:t xml:space="preserve"> who had experienced more than one episode of cellulitis</w:t>
      </w:r>
      <w:r>
        <w:t>, also reported moisturising legs and feet to treat or prevent dry skin, wearing compression stockings, leading a healthier lifestyle, taking long-term low-dose antibiotics as means of preventing cellulitis</w:t>
      </w:r>
      <w:r w:rsidRPr="005E3538">
        <w:t xml:space="preserve"> </w:t>
      </w:r>
      <w:r>
        <w:t xml:space="preserve">and avoidance of environments that were thought to lead to infections. </w:t>
      </w:r>
    </w:p>
    <w:p w14:paraId="78157581" w14:textId="77777777" w:rsidR="005370AD" w:rsidRPr="00AB274E" w:rsidRDefault="005370AD" w:rsidP="00241AAF">
      <w:pPr>
        <w:spacing w:line="360" w:lineRule="auto"/>
        <w:rPr>
          <w:rFonts w:ascii="Calibri" w:hAnsi="Calibri"/>
        </w:rPr>
      </w:pPr>
    </w:p>
    <w:p w14:paraId="6A49D8C3" w14:textId="77777777" w:rsidR="005370AD" w:rsidRPr="00AB274E" w:rsidRDefault="005370AD" w:rsidP="00241AAF">
      <w:pPr>
        <w:ind w:left="720"/>
        <w:rPr>
          <w:rFonts w:ascii="Calibri" w:hAnsi="Calibri"/>
          <w:i/>
          <w:iCs/>
          <w:sz w:val="20"/>
          <w:szCs w:val="20"/>
        </w:rPr>
      </w:pPr>
      <w:r>
        <w:rPr>
          <w:rFonts w:ascii="Calibri" w:hAnsi="Calibri"/>
          <w:i/>
          <w:iCs/>
          <w:sz w:val="20"/>
          <w:szCs w:val="20"/>
        </w:rPr>
        <w:t xml:space="preserve"> “</w:t>
      </w:r>
      <w:r w:rsidRPr="00C54412">
        <w:rPr>
          <w:rFonts w:ascii="Calibri" w:hAnsi="Calibri"/>
          <w:i/>
          <w:iCs/>
          <w:sz w:val="20"/>
          <w:szCs w:val="20"/>
        </w:rPr>
        <w:t>It’s just a little bit more awareness of being carefu</w:t>
      </w:r>
      <w:r>
        <w:rPr>
          <w:rFonts w:ascii="Calibri" w:hAnsi="Calibri"/>
          <w:i/>
          <w:iCs/>
          <w:sz w:val="20"/>
          <w:szCs w:val="20"/>
        </w:rPr>
        <w:t>l what you do, where you walk…</w:t>
      </w:r>
      <w:r w:rsidRPr="008D3054">
        <w:rPr>
          <w:rFonts w:ascii="Calibri" w:hAnsi="Calibri"/>
          <w:i/>
          <w:iCs/>
          <w:sz w:val="20"/>
          <w:szCs w:val="20"/>
        </w:rPr>
        <w:t xml:space="preserve">I have been out once or twice, in the fields, and I’ve cut myself and I’ve got a </w:t>
      </w:r>
      <w:proofErr w:type="spellStart"/>
      <w:r w:rsidRPr="008D3054">
        <w:rPr>
          <w:rFonts w:ascii="Calibri" w:hAnsi="Calibri"/>
          <w:i/>
          <w:iCs/>
          <w:sz w:val="20"/>
          <w:szCs w:val="20"/>
        </w:rPr>
        <w:t>medi</w:t>
      </w:r>
      <w:proofErr w:type="spellEnd"/>
      <w:r w:rsidRPr="008D3054">
        <w:rPr>
          <w:rFonts w:ascii="Calibri" w:hAnsi="Calibri"/>
          <w:i/>
          <w:iCs/>
          <w:sz w:val="20"/>
          <w:szCs w:val="20"/>
        </w:rPr>
        <w:t xml:space="preserve"> wipe out straightaway and cleaned it all and so far it’s n</w:t>
      </w:r>
      <w:r>
        <w:rPr>
          <w:rFonts w:ascii="Calibri" w:hAnsi="Calibri"/>
          <w:i/>
          <w:iCs/>
          <w:sz w:val="20"/>
          <w:szCs w:val="20"/>
        </w:rPr>
        <w:t xml:space="preserve">o problem at all. </w:t>
      </w:r>
      <w:r w:rsidRPr="008D3054">
        <w:rPr>
          <w:rFonts w:ascii="Calibri" w:hAnsi="Calibri"/>
          <w:i/>
          <w:iCs/>
          <w:sz w:val="20"/>
          <w:szCs w:val="20"/>
        </w:rPr>
        <w:t>I don’t know what starts it off, to be quite honest. B</w:t>
      </w:r>
      <w:r>
        <w:rPr>
          <w:rFonts w:ascii="Calibri" w:hAnsi="Calibri"/>
          <w:i/>
          <w:iCs/>
          <w:sz w:val="20"/>
          <w:szCs w:val="20"/>
        </w:rPr>
        <w:t>ut, as I say, I’ve kept myself clean</w:t>
      </w:r>
      <w:r w:rsidRPr="008D3054">
        <w:rPr>
          <w:rFonts w:ascii="Calibri" w:hAnsi="Calibri"/>
          <w:i/>
          <w:iCs/>
          <w:sz w:val="20"/>
          <w:szCs w:val="20"/>
        </w:rPr>
        <w:t>.</w:t>
      </w:r>
      <w:r>
        <w:rPr>
          <w:rFonts w:ascii="Calibri" w:hAnsi="Calibri"/>
          <w:i/>
          <w:iCs/>
          <w:sz w:val="20"/>
          <w:szCs w:val="20"/>
        </w:rPr>
        <w:t xml:space="preserve">”  </w:t>
      </w:r>
      <w:r w:rsidRPr="00B51C7D">
        <w:rPr>
          <w:rFonts w:ascii="Calibri" w:hAnsi="Calibri"/>
          <w:b/>
          <w:i/>
          <w:iCs/>
          <w:sz w:val="20"/>
          <w:szCs w:val="20"/>
        </w:rPr>
        <w:t>(P10, male, aged 73, recurrent cellulitis)</w:t>
      </w:r>
    </w:p>
    <w:p w14:paraId="2E0D9745" w14:textId="77777777" w:rsidR="005370AD" w:rsidRPr="00262F2F" w:rsidRDefault="005370AD" w:rsidP="00241AAF">
      <w:pPr>
        <w:ind w:left="720"/>
        <w:rPr>
          <w:rFonts w:ascii="Calibri" w:hAnsi="Calibri"/>
          <w:i/>
          <w:iCs/>
          <w:sz w:val="20"/>
          <w:szCs w:val="20"/>
        </w:rPr>
      </w:pPr>
      <w:r w:rsidRPr="00262F2F">
        <w:rPr>
          <w:rFonts w:ascii="Calibri" w:hAnsi="Calibri"/>
          <w:i/>
          <w:iCs/>
          <w:sz w:val="20"/>
          <w:szCs w:val="20"/>
        </w:rPr>
        <w:t xml:space="preserve">“Yes, I’ve got a big bottle of cream just to keep the skin supple and stop it from drying out. I use my cream if anything goes red and hot, even if it’s my toes or anything, I’ve got </w:t>
      </w:r>
      <w:r>
        <w:rPr>
          <w:rFonts w:ascii="Calibri" w:hAnsi="Calibri"/>
          <w:i/>
          <w:iCs/>
          <w:sz w:val="20"/>
          <w:szCs w:val="20"/>
        </w:rPr>
        <w:t>cream</w:t>
      </w:r>
      <w:r w:rsidRPr="00262F2F">
        <w:rPr>
          <w:rFonts w:ascii="Calibri" w:hAnsi="Calibri"/>
          <w:i/>
          <w:iCs/>
          <w:sz w:val="20"/>
          <w:szCs w:val="20"/>
        </w:rPr>
        <w:t xml:space="preserve"> between my toes so I don’t get athlete’s foot. So even if I end up with a crack, I’ve got </w:t>
      </w:r>
      <w:r>
        <w:rPr>
          <w:rFonts w:ascii="Calibri" w:hAnsi="Calibri"/>
          <w:i/>
          <w:iCs/>
          <w:sz w:val="20"/>
          <w:szCs w:val="20"/>
        </w:rPr>
        <w:t>cream</w:t>
      </w:r>
      <w:r w:rsidRPr="00262F2F">
        <w:rPr>
          <w:rFonts w:ascii="Calibri" w:hAnsi="Calibri"/>
          <w:i/>
          <w:iCs/>
          <w:sz w:val="20"/>
          <w:szCs w:val="20"/>
        </w:rPr>
        <w:t xml:space="preserve"> on there to get rid of it straightaway.”  </w:t>
      </w:r>
      <w:r w:rsidRPr="00262F2F">
        <w:rPr>
          <w:rFonts w:ascii="Calibri" w:hAnsi="Calibri"/>
          <w:b/>
          <w:i/>
          <w:iCs/>
          <w:sz w:val="20"/>
          <w:szCs w:val="20"/>
        </w:rPr>
        <w:t>(P13, female, aged 32, recurrent cellulitis)</w:t>
      </w:r>
    </w:p>
    <w:p w14:paraId="5A70F128" w14:textId="77777777" w:rsidR="005370AD" w:rsidRDefault="005370AD" w:rsidP="00241AAF">
      <w:pPr>
        <w:spacing w:line="240" w:lineRule="auto"/>
        <w:ind w:left="720"/>
      </w:pPr>
    </w:p>
    <w:p w14:paraId="39E06320" w14:textId="77777777" w:rsidR="005370AD" w:rsidRPr="001616EB" w:rsidRDefault="005370AD" w:rsidP="00241AAF">
      <w:pPr>
        <w:spacing w:line="240" w:lineRule="auto"/>
        <w:ind w:left="720"/>
      </w:pPr>
    </w:p>
    <w:p w14:paraId="70478310" w14:textId="77777777" w:rsidR="005370AD" w:rsidRDefault="005370AD" w:rsidP="00241AAF">
      <w:pPr>
        <w:spacing w:line="360" w:lineRule="auto"/>
      </w:pPr>
      <w:r>
        <w:t xml:space="preserve">Some </w:t>
      </w:r>
      <w:r w:rsidRPr="00F61BAD">
        <w:t xml:space="preserve">participants </w:t>
      </w:r>
      <w:r>
        <w:t>spoke about keeping precautionary antibiotics at home that had been prescribed by their GP for immediate use</w:t>
      </w:r>
      <w:r w:rsidRPr="00F61BAD">
        <w:t xml:space="preserve"> if </w:t>
      </w:r>
      <w:r>
        <w:t xml:space="preserve">their </w:t>
      </w:r>
      <w:r w:rsidRPr="00F61BAD">
        <w:t xml:space="preserve">cellulitis </w:t>
      </w:r>
      <w:r>
        <w:t>recurred, which seemed to reduce their anxiety about recurrence.</w:t>
      </w:r>
    </w:p>
    <w:p w14:paraId="027BDEBF" w14:textId="77777777" w:rsidR="005370AD" w:rsidRPr="000B5297" w:rsidRDefault="005370AD" w:rsidP="00241AAF">
      <w:pPr>
        <w:ind w:left="720"/>
        <w:rPr>
          <w:rFonts w:ascii="Calibri" w:hAnsi="Calibri"/>
          <w:i/>
          <w:iCs/>
          <w:sz w:val="20"/>
          <w:szCs w:val="20"/>
        </w:rPr>
      </w:pPr>
      <w:r w:rsidRPr="001616EB">
        <w:rPr>
          <w:rFonts w:ascii="Calibri" w:hAnsi="Calibri"/>
          <w:i/>
          <w:iCs/>
          <w:sz w:val="20"/>
          <w:szCs w:val="20"/>
        </w:rPr>
        <w:t xml:space="preserve">“So when I’ve got it – it just – it’s debilitating, it just knocks you out and you can’t do anything and so the best thing is to see a doctor and get an immediate course of antibiotics. So the good thing, this last time I saw my GP, I’ve got an emergency pack of antibiotics, </w:t>
      </w:r>
      <w:proofErr w:type="spellStart"/>
      <w:r w:rsidRPr="001616EB">
        <w:rPr>
          <w:rFonts w:ascii="Calibri" w:hAnsi="Calibri"/>
          <w:i/>
          <w:iCs/>
          <w:sz w:val="20"/>
          <w:szCs w:val="20"/>
        </w:rPr>
        <w:t>flucloxacillin</w:t>
      </w:r>
      <w:proofErr w:type="spellEnd"/>
      <w:r w:rsidRPr="001616EB">
        <w:rPr>
          <w:rFonts w:ascii="Calibri" w:hAnsi="Calibri"/>
          <w:i/>
          <w:iCs/>
          <w:sz w:val="20"/>
          <w:szCs w:val="20"/>
        </w:rPr>
        <w:t xml:space="preserve"> that I can take in case I get </w:t>
      </w:r>
      <w:r w:rsidRPr="000B5297">
        <w:rPr>
          <w:rFonts w:ascii="Calibri" w:hAnsi="Calibri"/>
          <w:i/>
          <w:iCs/>
          <w:sz w:val="20"/>
          <w:szCs w:val="20"/>
        </w:rPr>
        <w:t xml:space="preserve">it. So thinking about it happening again fills me with dread almost, but the good thing is – I’ve got this backup emergency course of antibiotics that I can take if it happens again.” </w:t>
      </w:r>
      <w:r w:rsidRPr="000B5297">
        <w:rPr>
          <w:rFonts w:ascii="Calibri" w:hAnsi="Calibri"/>
          <w:b/>
          <w:i/>
          <w:iCs/>
          <w:sz w:val="20"/>
          <w:szCs w:val="20"/>
        </w:rPr>
        <w:t xml:space="preserve">(P23, male, aged 48, </w:t>
      </w:r>
    </w:p>
    <w:p w14:paraId="651D0872" w14:textId="77777777" w:rsidR="005370AD" w:rsidRDefault="005370AD" w:rsidP="00241AAF">
      <w:pPr>
        <w:spacing w:line="360" w:lineRule="auto"/>
      </w:pPr>
    </w:p>
    <w:p w14:paraId="25D9ED10" w14:textId="77777777" w:rsidR="005370AD" w:rsidRDefault="005370AD" w:rsidP="00241AAF">
      <w:pPr>
        <w:spacing w:line="360" w:lineRule="auto"/>
      </w:pPr>
      <w:r>
        <w:t xml:space="preserve">For some participants, the uncertainty around what caused their cellulitis seemed to have created uncertainty about prevention of recurrence. Some participants who had only experienced one episode of cellulitis felt that it was difficult to know how to prevent it from coming back as they were not certain what had caused their first episode of cellulitis.  </w:t>
      </w:r>
    </w:p>
    <w:p w14:paraId="34683BA8" w14:textId="77777777" w:rsidR="005370AD" w:rsidRPr="00D77873" w:rsidRDefault="005370AD" w:rsidP="00241AAF">
      <w:pPr>
        <w:spacing w:line="240" w:lineRule="auto"/>
        <w:ind w:left="720"/>
      </w:pPr>
      <w:r w:rsidRPr="00D77873">
        <w:rPr>
          <w:rFonts w:ascii="Calibri" w:hAnsi="Calibri"/>
          <w:i/>
          <w:iCs/>
          <w:sz w:val="20"/>
          <w:szCs w:val="20"/>
        </w:rPr>
        <w:t>“And I must admit, I didn’t know that it was cellulitis till it was all written down; I thought I’d just got Strep A because of – I mean I suppose you won’t know, can cellulitis alone do that to you? I mean, it nearly killed me, I’m very lucky to be alive and I certainly don’t want it again, but I don’t know what to do not to get it again. And no one does, and no one knows how I got it.”</w:t>
      </w:r>
      <w:r w:rsidRPr="00D77873">
        <w:rPr>
          <w:rFonts w:ascii="Calibri" w:hAnsi="Calibri"/>
          <w:b/>
          <w:i/>
          <w:iCs/>
          <w:sz w:val="20"/>
          <w:szCs w:val="20"/>
        </w:rPr>
        <w:t xml:space="preserve"> (P8, female, aged 73, first episode)</w:t>
      </w:r>
    </w:p>
    <w:p w14:paraId="1DC56264" w14:textId="77777777" w:rsidR="005370AD" w:rsidRDefault="005370AD" w:rsidP="00241AAF">
      <w:pPr>
        <w:tabs>
          <w:tab w:val="left" w:pos="567"/>
          <w:tab w:val="left" w:pos="3732"/>
          <w:tab w:val="left" w:pos="4996"/>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0" w:line="240" w:lineRule="auto"/>
        <w:ind w:left="1134" w:hanging="567"/>
        <w:jc w:val="both"/>
        <w:rPr>
          <w:rFonts w:ascii="Calibri" w:hAnsi="Calibri"/>
          <w:i/>
          <w:iCs/>
          <w:sz w:val="20"/>
          <w:szCs w:val="20"/>
        </w:rPr>
      </w:pPr>
    </w:p>
    <w:p w14:paraId="385C5F4F" w14:textId="77777777" w:rsidR="005370AD" w:rsidRPr="00F61BAD" w:rsidRDefault="005370AD" w:rsidP="00241AAF">
      <w:pPr>
        <w:spacing w:line="360" w:lineRule="auto"/>
      </w:pPr>
    </w:p>
    <w:p w14:paraId="4AC13064" w14:textId="77777777" w:rsidR="005370AD" w:rsidRDefault="005370AD" w:rsidP="00241AAF">
      <w:pPr>
        <w:tabs>
          <w:tab w:val="left" w:pos="567"/>
          <w:tab w:val="left" w:pos="3732"/>
          <w:tab w:val="left" w:pos="4996"/>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0" w:line="360" w:lineRule="auto"/>
        <w:jc w:val="both"/>
      </w:pPr>
      <w:r w:rsidRPr="00D77873">
        <w:t>Others</w:t>
      </w:r>
      <w:r>
        <w:t xml:space="preserve"> appeared to be more fatalistic about cellulitis recurrence, and this view of it being something ‘you </w:t>
      </w:r>
      <w:r w:rsidRPr="0008589D">
        <w:t>have to live with</w:t>
      </w:r>
      <w:r>
        <w:t>’ seems likely to have</w:t>
      </w:r>
      <w:r w:rsidRPr="0008589D">
        <w:t xml:space="preserve"> </w:t>
      </w:r>
      <w:r>
        <w:t>influenced their engagement with cellulitis prevention strategies.</w:t>
      </w:r>
    </w:p>
    <w:p w14:paraId="706A4C3C" w14:textId="77777777" w:rsidR="005370AD" w:rsidRDefault="005370AD" w:rsidP="00241AAF">
      <w:pPr>
        <w:tabs>
          <w:tab w:val="left" w:pos="567"/>
          <w:tab w:val="left" w:pos="3732"/>
          <w:tab w:val="left" w:pos="4996"/>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0" w:line="240" w:lineRule="auto"/>
        <w:jc w:val="both"/>
      </w:pPr>
    </w:p>
    <w:p w14:paraId="38FB86D1" w14:textId="77777777" w:rsidR="005370AD" w:rsidRPr="00D77873" w:rsidRDefault="005370AD" w:rsidP="00241AAF">
      <w:pPr>
        <w:tabs>
          <w:tab w:val="left" w:pos="567"/>
          <w:tab w:val="left" w:pos="3732"/>
          <w:tab w:val="left" w:pos="4996"/>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0" w:line="240" w:lineRule="auto"/>
        <w:ind w:left="567"/>
        <w:jc w:val="both"/>
        <w:rPr>
          <w:rFonts w:cs="Times New Roman"/>
          <w:i/>
          <w:sz w:val="20"/>
          <w:szCs w:val="20"/>
        </w:rPr>
      </w:pPr>
      <w:r w:rsidRPr="00D77873">
        <w:rPr>
          <w:rFonts w:cs="Times New Roman"/>
          <w:i/>
          <w:sz w:val="20"/>
          <w:szCs w:val="20"/>
        </w:rPr>
        <w:t xml:space="preserve">“Not deliberately, no, because I don't know what causes it still, even </w:t>
      </w:r>
      <w:r>
        <w:rPr>
          <w:rFonts w:cs="Times New Roman"/>
          <w:i/>
          <w:sz w:val="20"/>
          <w:szCs w:val="20"/>
        </w:rPr>
        <w:t xml:space="preserve">if </w:t>
      </w:r>
      <w:r w:rsidRPr="00D77873">
        <w:rPr>
          <w:rFonts w:cs="Times New Roman"/>
          <w:i/>
          <w:sz w:val="20"/>
          <w:szCs w:val="20"/>
        </w:rPr>
        <w:t>it was a bite. To be fair, I did think – because I never wear socks and I'm wondering whether I should wear socks that cover my ankles</w:t>
      </w:r>
      <w:proofErr w:type="gramStart"/>
      <w:r w:rsidRPr="00D77873">
        <w:rPr>
          <w:rFonts w:cs="Times New Roman"/>
          <w:i/>
          <w:sz w:val="20"/>
          <w:szCs w:val="20"/>
        </w:rPr>
        <w:t>,–</w:t>
      </w:r>
      <w:proofErr w:type="gramEnd"/>
      <w:r w:rsidRPr="00D77873">
        <w:rPr>
          <w:rFonts w:cs="Times New Roman"/>
          <w:i/>
          <w:sz w:val="20"/>
          <w:szCs w:val="20"/>
        </w:rPr>
        <w:t xml:space="preserve"> that was one thing I thought of. I don't know whether just by covering my ankles up, that it wouldn't come back. I haven't tried it yet…I just thought it was a case of bad luck and something I’d have to live with. I never really thought about trying to prevent it; I can’t think – yes. Yes, I just assumed it was something you lived with and happened to be unlucky” </w:t>
      </w:r>
      <w:r w:rsidRPr="00D77873">
        <w:rPr>
          <w:rFonts w:ascii="Calibri" w:hAnsi="Calibri"/>
          <w:b/>
          <w:i/>
          <w:iCs/>
          <w:sz w:val="20"/>
          <w:szCs w:val="20"/>
        </w:rPr>
        <w:t>(P26, female, aged 47, recurrent cellulitis)</w:t>
      </w:r>
    </w:p>
    <w:p w14:paraId="246FE4DB" w14:textId="77777777" w:rsidR="005370AD" w:rsidRDefault="005370AD" w:rsidP="00241AAF">
      <w:pPr>
        <w:rPr>
          <w:b/>
        </w:rPr>
      </w:pPr>
    </w:p>
    <w:p w14:paraId="73AB72BB" w14:textId="77777777" w:rsidR="005370AD" w:rsidRDefault="005370AD" w:rsidP="00241AAF">
      <w:pPr>
        <w:rPr>
          <w:b/>
          <w:sz w:val="24"/>
          <w:szCs w:val="24"/>
        </w:rPr>
      </w:pPr>
    </w:p>
    <w:p w14:paraId="135D7396" w14:textId="77777777" w:rsidR="005370AD" w:rsidRPr="00A05554" w:rsidRDefault="005370AD" w:rsidP="00241AAF">
      <w:pPr>
        <w:rPr>
          <w:b/>
          <w:iCs/>
          <w:sz w:val="24"/>
          <w:szCs w:val="24"/>
        </w:rPr>
      </w:pPr>
      <w:r w:rsidRPr="00A05554">
        <w:rPr>
          <w:b/>
          <w:iCs/>
          <w:sz w:val="24"/>
          <w:szCs w:val="24"/>
        </w:rPr>
        <w:t>[Insert table 3]</w:t>
      </w:r>
    </w:p>
    <w:p w14:paraId="0327FA84" w14:textId="77777777" w:rsidR="005370AD" w:rsidRDefault="005370AD" w:rsidP="00241AAF">
      <w:pPr>
        <w:rPr>
          <w:b/>
          <w:sz w:val="24"/>
          <w:szCs w:val="24"/>
        </w:rPr>
      </w:pPr>
    </w:p>
    <w:p w14:paraId="2FC25632" w14:textId="77777777" w:rsidR="005370AD" w:rsidRDefault="005370AD" w:rsidP="00241AAF">
      <w:pPr>
        <w:contextualSpacing/>
        <w:rPr>
          <w:b/>
          <w:i/>
        </w:rPr>
      </w:pPr>
      <w:r w:rsidRPr="00AF3E04">
        <w:rPr>
          <w:b/>
          <w:i/>
        </w:rPr>
        <w:t xml:space="preserve">Views about </w:t>
      </w:r>
      <w:r>
        <w:rPr>
          <w:b/>
          <w:i/>
        </w:rPr>
        <w:t xml:space="preserve">non-antibiotic </w:t>
      </w:r>
      <w:r w:rsidRPr="00AF3E04">
        <w:rPr>
          <w:b/>
          <w:i/>
        </w:rPr>
        <w:t>cellulitis prevention interventions</w:t>
      </w:r>
      <w:r>
        <w:rPr>
          <w:b/>
          <w:i/>
        </w:rPr>
        <w:t xml:space="preserve"> </w:t>
      </w:r>
    </w:p>
    <w:p w14:paraId="4D719781" w14:textId="77777777" w:rsidR="005370AD" w:rsidRDefault="005370AD" w:rsidP="00241AAF">
      <w:pPr>
        <w:spacing w:line="360" w:lineRule="auto"/>
        <w:rPr>
          <w:i/>
        </w:rPr>
      </w:pPr>
    </w:p>
    <w:p w14:paraId="19CE0A74" w14:textId="77777777" w:rsidR="005370AD" w:rsidRDefault="005370AD" w:rsidP="00241AAF">
      <w:pPr>
        <w:spacing w:line="360" w:lineRule="auto"/>
        <w:rPr>
          <w:i/>
        </w:rPr>
      </w:pPr>
      <w:r w:rsidRPr="00F85972">
        <w:rPr>
          <w:i/>
        </w:rPr>
        <w:t xml:space="preserve">Enhanced </w:t>
      </w:r>
      <w:r>
        <w:rPr>
          <w:i/>
        </w:rPr>
        <w:t>foot hygiene and care</w:t>
      </w:r>
    </w:p>
    <w:p w14:paraId="1073CEC6" w14:textId="77777777" w:rsidR="005370AD" w:rsidRPr="00F4458A" w:rsidRDefault="005370AD" w:rsidP="00241AAF">
      <w:pPr>
        <w:spacing w:line="360" w:lineRule="auto"/>
        <w:rPr>
          <w:rFonts w:ascii="Calibri" w:hAnsi="Calibri"/>
          <w:iCs/>
        </w:rPr>
      </w:pPr>
      <w:r>
        <w:t>Over two thirds of survey respondents reported that they would be willing to w</w:t>
      </w:r>
      <w:r w:rsidRPr="00DF5CAA">
        <w:t>ash and dry feet carefully every day</w:t>
      </w:r>
      <w:r>
        <w:t xml:space="preserve"> (75%, n=180) and apply emollients to their feet once a day (70%, n=168)</w:t>
      </w:r>
      <w:r w:rsidRPr="00AD0F2B">
        <w:t xml:space="preserve"> </w:t>
      </w:r>
      <w:r>
        <w:t xml:space="preserve">or twice a day (46.3%, n=111) (Table 3). Moisturising </w:t>
      </w:r>
      <w:r w:rsidRPr="00F61BAD">
        <w:t xml:space="preserve">feet </w:t>
      </w:r>
      <w:r>
        <w:t>daily</w:t>
      </w:r>
      <w:r w:rsidRPr="00F61BAD">
        <w:t xml:space="preserve"> appeared to be </w:t>
      </w:r>
      <w:r>
        <w:t xml:space="preserve">an </w:t>
      </w:r>
      <w:r w:rsidRPr="00F61BAD">
        <w:t>acceptable and feasible</w:t>
      </w:r>
      <w:r>
        <w:t xml:space="preserve"> option</w:t>
      </w:r>
      <w:r w:rsidRPr="00F61BAD">
        <w:t xml:space="preserve"> of cellulitis recurrence prevention</w:t>
      </w:r>
      <w:r>
        <w:t xml:space="preserve"> for some interviewees, as it was seen as something familiar, similar to what they already do and </w:t>
      </w:r>
      <w:r w:rsidRPr="00F61BAD">
        <w:t>easy to fit into</w:t>
      </w:r>
      <w:r>
        <w:t xml:space="preserve"> established daily routines. </w:t>
      </w:r>
      <w:r w:rsidRPr="00F4458A">
        <w:rPr>
          <w:rFonts w:ascii="Calibri" w:hAnsi="Calibri"/>
          <w:iCs/>
        </w:rPr>
        <w:t>Similarly, many</w:t>
      </w:r>
      <w:r>
        <w:rPr>
          <w:rFonts w:ascii="Calibri" w:hAnsi="Calibri"/>
          <w:iCs/>
        </w:rPr>
        <w:t xml:space="preserve"> interviewees</w:t>
      </w:r>
      <w:r w:rsidRPr="00F4458A">
        <w:rPr>
          <w:rFonts w:ascii="Calibri" w:hAnsi="Calibri"/>
          <w:iCs/>
        </w:rPr>
        <w:t xml:space="preserve"> seemed open to the idea of </w:t>
      </w:r>
      <w:r>
        <w:rPr>
          <w:rFonts w:ascii="Calibri" w:hAnsi="Calibri"/>
          <w:iCs/>
        </w:rPr>
        <w:t>enhanced</w:t>
      </w:r>
      <w:r w:rsidRPr="00F4458A">
        <w:rPr>
          <w:rFonts w:ascii="Calibri" w:hAnsi="Calibri"/>
          <w:iCs/>
        </w:rPr>
        <w:t xml:space="preserve"> foot hygiene as a </w:t>
      </w:r>
      <w:r>
        <w:rPr>
          <w:rFonts w:ascii="Calibri" w:hAnsi="Calibri"/>
          <w:iCs/>
        </w:rPr>
        <w:t xml:space="preserve">means of cellulitis prevention and viewed foot hygiene as a familiar behaviour and easy to adopt into established routines but something that could be improved upon in order to prevent recurrent episodes of cellulitis. </w:t>
      </w:r>
    </w:p>
    <w:p w14:paraId="45D0321C" w14:textId="77777777" w:rsidR="005370AD" w:rsidRDefault="005370AD" w:rsidP="00241AAF">
      <w:pPr>
        <w:spacing w:line="360" w:lineRule="auto"/>
      </w:pPr>
    </w:p>
    <w:p w14:paraId="5F1F2E24" w14:textId="77777777" w:rsidR="005370AD" w:rsidRDefault="005370AD" w:rsidP="00241AAF">
      <w:pPr>
        <w:ind w:left="720"/>
        <w:rPr>
          <w:rFonts w:ascii="Calibri" w:hAnsi="Calibri"/>
          <w:i/>
          <w:iCs/>
          <w:sz w:val="20"/>
          <w:szCs w:val="20"/>
        </w:rPr>
      </w:pPr>
      <w:r w:rsidRPr="00A05554">
        <w:rPr>
          <w:rFonts w:ascii="Calibri" w:hAnsi="Calibri"/>
          <w:i/>
          <w:iCs/>
          <w:sz w:val="20"/>
          <w:szCs w:val="20"/>
        </w:rPr>
        <w:t xml:space="preserve">“It wouldn’t be a problem. I do put cream on my legs every day, I do both legs just from the ankle upwards, to the knee.  Nothing on my feet, I put cream on my feet for something else. But that wouldn’t be a problem.” </w:t>
      </w:r>
      <w:r w:rsidRPr="00A05554">
        <w:rPr>
          <w:rFonts w:ascii="Calibri" w:hAnsi="Calibri"/>
          <w:b/>
          <w:i/>
          <w:iCs/>
          <w:sz w:val="20"/>
          <w:szCs w:val="20"/>
        </w:rPr>
        <w:t>(P4, male, aged 61, recurrent cellulitis)</w:t>
      </w:r>
    </w:p>
    <w:p w14:paraId="4A3A1057" w14:textId="77777777" w:rsidR="005370AD" w:rsidRPr="00605E96" w:rsidRDefault="005370AD" w:rsidP="00241AAF">
      <w:pPr>
        <w:rPr>
          <w:rFonts w:ascii="Calibri" w:hAnsi="Calibri"/>
          <w:b/>
          <w:iCs/>
        </w:rPr>
      </w:pPr>
    </w:p>
    <w:p w14:paraId="3091BDB6" w14:textId="77777777" w:rsidR="005370AD" w:rsidRPr="00581601" w:rsidRDefault="005370AD" w:rsidP="00241AAF">
      <w:pPr>
        <w:ind w:left="720"/>
        <w:rPr>
          <w:rFonts w:ascii="Calibri" w:hAnsi="Calibri"/>
          <w:i/>
          <w:iCs/>
          <w:sz w:val="20"/>
          <w:szCs w:val="20"/>
        </w:rPr>
      </w:pPr>
      <w:r w:rsidRPr="00581601">
        <w:rPr>
          <w:rFonts w:ascii="Calibri" w:hAnsi="Calibri"/>
          <w:i/>
          <w:iCs/>
          <w:sz w:val="20"/>
          <w:szCs w:val="20"/>
        </w:rPr>
        <w:t xml:space="preserve"> “Yes, it would be useful to have more information because I’m one of those people who just sort of stands on a towel and dr</w:t>
      </w:r>
      <w:r>
        <w:rPr>
          <w:rFonts w:ascii="Calibri" w:hAnsi="Calibri"/>
          <w:i/>
          <w:iCs/>
          <w:sz w:val="20"/>
          <w:szCs w:val="20"/>
        </w:rPr>
        <w:t>ies</w:t>
      </w:r>
      <w:r w:rsidRPr="00581601">
        <w:rPr>
          <w:rFonts w:ascii="Calibri" w:hAnsi="Calibri"/>
          <w:i/>
          <w:iCs/>
          <w:sz w:val="20"/>
          <w:szCs w:val="20"/>
        </w:rPr>
        <w:t xml:space="preserve"> my feet and then hope for the best. Yes, that would be something I would – obviously I’m more aware of how you wash your hands now, but feet haven’t really be mentioned very much: so that would be interesting to find out if that will prevent it.” </w:t>
      </w:r>
      <w:r w:rsidRPr="00581601">
        <w:rPr>
          <w:rFonts w:ascii="Calibri" w:hAnsi="Calibri"/>
          <w:b/>
          <w:i/>
          <w:iCs/>
          <w:sz w:val="20"/>
          <w:szCs w:val="20"/>
        </w:rPr>
        <w:t>(P19, female, aged 53, first episode)</w:t>
      </w:r>
    </w:p>
    <w:p w14:paraId="6227BC5E" w14:textId="77777777" w:rsidR="005370AD" w:rsidRDefault="005370AD" w:rsidP="00241AAF">
      <w:pPr>
        <w:spacing w:line="360" w:lineRule="auto"/>
      </w:pPr>
    </w:p>
    <w:p w14:paraId="29724667" w14:textId="77777777" w:rsidR="005370AD" w:rsidRDefault="005370AD" w:rsidP="00241AAF">
      <w:pPr>
        <w:spacing w:line="360" w:lineRule="auto"/>
      </w:pPr>
      <w:r>
        <w:t>In contrast, some interviewees</w:t>
      </w:r>
      <w:r w:rsidRPr="00F61BAD">
        <w:t xml:space="preserve"> </w:t>
      </w:r>
      <w:r>
        <w:t xml:space="preserve">expressed negative views about enhanced skin care and foot hygiene. In particular, participants </w:t>
      </w:r>
      <w:r w:rsidRPr="00F61BAD">
        <w:t xml:space="preserve">felt </w:t>
      </w:r>
      <w:r>
        <w:t>that</w:t>
      </w:r>
      <w:r w:rsidRPr="00F61BAD">
        <w:t xml:space="preserve"> applying foot creams would be messy, </w:t>
      </w:r>
      <w:r>
        <w:t>too t</w:t>
      </w:r>
      <w:r w:rsidRPr="00F61BAD">
        <w:t>ime-consuming and not necessary to do on a dail</w:t>
      </w:r>
      <w:r>
        <w:t>y basis but rather only once the skin is particularly dry or affected by cellulitis. Some interviewees also spoke about perceived difficulties of adopting these prevention strategies such as bending down to reach feet while others felt that such difficulties</w:t>
      </w:r>
      <w:r w:rsidRPr="00F61BAD">
        <w:t xml:space="preserve"> could be overcome with support from significant others or carers, and/or other aids. </w:t>
      </w:r>
    </w:p>
    <w:p w14:paraId="2003B89C" w14:textId="77777777" w:rsidR="005370AD" w:rsidRDefault="005370AD" w:rsidP="00241AAF">
      <w:pPr>
        <w:ind w:left="720"/>
        <w:rPr>
          <w:rFonts w:ascii="Calibri" w:hAnsi="Calibri"/>
          <w:b/>
          <w:i/>
          <w:iCs/>
          <w:sz w:val="20"/>
          <w:szCs w:val="20"/>
        </w:rPr>
      </w:pPr>
      <w:r w:rsidRPr="00574B7F">
        <w:rPr>
          <w:rFonts w:ascii="Calibri" w:hAnsi="Calibri"/>
          <w:i/>
          <w:iCs/>
          <w:sz w:val="20"/>
          <w:szCs w:val="20"/>
        </w:rPr>
        <w:t xml:space="preserve">“Well, because I have a chair to get in and out the bath and I do find it difficult sometimes drying. But what I do in there when I come out the bath and I come downstairs, I put my feet on a stool and I can do them, unless my granddaughters are here, they will do it for me.” </w:t>
      </w:r>
      <w:r w:rsidRPr="00574B7F">
        <w:rPr>
          <w:rFonts w:ascii="Calibri" w:hAnsi="Calibri"/>
          <w:b/>
          <w:i/>
          <w:iCs/>
          <w:sz w:val="20"/>
          <w:szCs w:val="20"/>
        </w:rPr>
        <w:t>(P14, female, aged 67, recurrent cellulitis)</w:t>
      </w:r>
    </w:p>
    <w:p w14:paraId="49CDEE52" w14:textId="77777777" w:rsidR="005370AD" w:rsidRPr="00100656" w:rsidRDefault="005370AD" w:rsidP="00241AAF">
      <w:pPr>
        <w:ind w:left="720"/>
        <w:rPr>
          <w:rFonts w:ascii="Calibri" w:hAnsi="Calibri"/>
          <w:i/>
          <w:iCs/>
          <w:sz w:val="20"/>
          <w:szCs w:val="20"/>
        </w:rPr>
      </w:pPr>
    </w:p>
    <w:p w14:paraId="7C3C9BB9" w14:textId="77777777" w:rsidR="005370AD" w:rsidRPr="00574B7F" w:rsidRDefault="005370AD" w:rsidP="00241AAF">
      <w:pPr>
        <w:ind w:left="720"/>
        <w:rPr>
          <w:rFonts w:ascii="Calibri" w:hAnsi="Calibri"/>
          <w:i/>
          <w:iCs/>
          <w:sz w:val="20"/>
          <w:szCs w:val="20"/>
        </w:rPr>
      </w:pPr>
      <w:r w:rsidDel="005748FC">
        <w:t xml:space="preserve"> </w:t>
      </w:r>
      <w:r w:rsidRPr="00574B7F">
        <w:rPr>
          <w:rFonts w:ascii="Calibri" w:hAnsi="Calibri"/>
          <w:i/>
          <w:iCs/>
          <w:sz w:val="20"/>
          <w:szCs w:val="20"/>
        </w:rPr>
        <w:t xml:space="preserve">“No, feet is a difficulty with me because of the arthritis but I’ve always thought I’ve been very careful; I always make sure I get in between my toes and if I can’t, even when I couldn’t get down when I had my hip operation, I used to put cotton wool buds in my – grabber, you know, I’ve got a grabber, so I used to put the cotton wool and then sort of – put cream on.” </w:t>
      </w:r>
      <w:r w:rsidRPr="00574B7F">
        <w:rPr>
          <w:rFonts w:ascii="Calibri" w:hAnsi="Calibri"/>
          <w:b/>
          <w:i/>
          <w:iCs/>
          <w:sz w:val="20"/>
          <w:szCs w:val="20"/>
        </w:rPr>
        <w:t>(P5, female, aged 67, recurrent cellulitis)</w:t>
      </w:r>
    </w:p>
    <w:p w14:paraId="3C2F038A" w14:textId="77777777" w:rsidR="005370AD" w:rsidRPr="00F4458A" w:rsidRDefault="005370AD" w:rsidP="00241AAF">
      <w:pPr>
        <w:ind w:left="720"/>
        <w:rPr>
          <w:rFonts w:ascii="Calibri" w:hAnsi="Calibri"/>
          <w:i/>
          <w:iCs/>
          <w:sz w:val="20"/>
          <w:szCs w:val="20"/>
        </w:rPr>
      </w:pPr>
    </w:p>
    <w:p w14:paraId="72A79E5F" w14:textId="77777777" w:rsidR="005370AD" w:rsidRDefault="005370AD" w:rsidP="00241AAF">
      <w:pPr>
        <w:spacing w:line="360" w:lineRule="auto"/>
      </w:pPr>
      <w:r>
        <w:t>Some participants felt increased foot hygiene</w:t>
      </w:r>
      <w:r w:rsidRPr="00F61BAD">
        <w:t xml:space="preserve"> was not relevant </w:t>
      </w:r>
      <w:r>
        <w:t>to</w:t>
      </w:r>
      <w:r w:rsidRPr="00F61BAD">
        <w:t xml:space="preserve"> them </w:t>
      </w:r>
      <w:r>
        <w:t xml:space="preserve">as they had experienced </w:t>
      </w:r>
      <w:r w:rsidRPr="00F61BAD">
        <w:t xml:space="preserve">cellulitis </w:t>
      </w:r>
      <w:r>
        <w:t xml:space="preserve">in their leg rather than their feet, suggesting there is a low awareness of the potential mechanisms of skin infections (i.e. dry, cracked skin on the feet as an entry point for infection in the leg). Some said </w:t>
      </w:r>
      <w:r w:rsidRPr="00F61BAD">
        <w:t xml:space="preserve">they </w:t>
      </w:r>
      <w:r>
        <w:t xml:space="preserve">felt they </w:t>
      </w:r>
      <w:r w:rsidRPr="00F61BAD">
        <w:t xml:space="preserve">already </w:t>
      </w:r>
      <w:r>
        <w:t>washed and dried</w:t>
      </w:r>
      <w:r w:rsidRPr="00F61BAD">
        <w:t xml:space="preserve"> their feet sufficiently</w:t>
      </w:r>
      <w:r>
        <w:t>, although closer questioning suggested that perceptions regarding careful washing and drying differed</w:t>
      </w:r>
      <w:r w:rsidRPr="00F61BAD">
        <w:t xml:space="preserve">. </w:t>
      </w:r>
    </w:p>
    <w:p w14:paraId="2373892A" w14:textId="77777777" w:rsidR="005370AD" w:rsidRPr="00F85972" w:rsidRDefault="005370AD" w:rsidP="00241AAF">
      <w:pPr>
        <w:ind w:left="720"/>
        <w:rPr>
          <w:rFonts w:ascii="Calibri" w:hAnsi="Calibri"/>
          <w:b/>
          <w:i/>
          <w:iCs/>
          <w:sz w:val="20"/>
          <w:szCs w:val="20"/>
        </w:rPr>
      </w:pPr>
      <w:r w:rsidRPr="00F85972">
        <w:rPr>
          <w:rFonts w:ascii="Calibri" w:hAnsi="Calibri"/>
          <w:i/>
          <w:iCs/>
          <w:sz w:val="20"/>
          <w:szCs w:val="20"/>
        </w:rPr>
        <w:t xml:space="preserve">“I think the drying of the feet is more – if you’ve got athlete’s foot, which I don’t suffer from, but I do understand that if you do suffer from athlete’s foot, that can be a precursor to cellulitis because of the fact that you’ve got open wounds there and infection can get in.” </w:t>
      </w:r>
      <w:r w:rsidRPr="00F85972">
        <w:rPr>
          <w:rFonts w:ascii="Calibri" w:hAnsi="Calibri"/>
          <w:b/>
          <w:i/>
          <w:iCs/>
          <w:sz w:val="20"/>
          <w:szCs w:val="20"/>
        </w:rPr>
        <w:t>(P2, male, aged 45, recurrent cellulitis)</w:t>
      </w:r>
    </w:p>
    <w:p w14:paraId="2261E468" w14:textId="77777777" w:rsidR="005370AD" w:rsidRPr="00F61BAD" w:rsidRDefault="005370AD" w:rsidP="00241AAF">
      <w:pPr>
        <w:spacing w:line="240" w:lineRule="auto"/>
        <w:ind w:left="720"/>
      </w:pPr>
      <w:r w:rsidRPr="00F85972" w:rsidDel="00C17B29">
        <w:rPr>
          <w:rFonts w:ascii="Calibri" w:hAnsi="Calibri"/>
          <w:i/>
          <w:iCs/>
          <w:sz w:val="20"/>
          <w:szCs w:val="20"/>
        </w:rPr>
        <w:t xml:space="preserve"> </w:t>
      </w:r>
      <w:r>
        <w:rPr>
          <w:rFonts w:ascii="Calibri" w:hAnsi="Calibri"/>
          <w:i/>
          <w:iCs/>
          <w:sz w:val="20"/>
          <w:szCs w:val="20"/>
        </w:rPr>
        <w:t>“</w:t>
      </w:r>
      <w:r w:rsidRPr="00873C2B">
        <w:rPr>
          <w:rFonts w:ascii="Calibri" w:hAnsi="Calibri"/>
          <w:i/>
          <w:iCs/>
          <w:sz w:val="20"/>
          <w:szCs w:val="20"/>
        </w:rPr>
        <w:t>I shower and wash every day anyway, and dry myself, so – once I come in from work I always have a shower, clean myself up. I wake up in the morning and have a shower and go to work, so – h</w:t>
      </w:r>
      <w:r>
        <w:rPr>
          <w:rFonts w:ascii="Calibri" w:hAnsi="Calibri"/>
          <w:i/>
          <w:iCs/>
          <w:sz w:val="20"/>
          <w:szCs w:val="20"/>
        </w:rPr>
        <w:t xml:space="preserve">ygiene-wise – I’d say I’m okay” </w:t>
      </w:r>
      <w:r w:rsidRPr="007E45A1">
        <w:rPr>
          <w:rFonts w:ascii="Calibri" w:hAnsi="Calibri"/>
          <w:b/>
          <w:i/>
          <w:iCs/>
          <w:sz w:val="20"/>
          <w:szCs w:val="20"/>
        </w:rPr>
        <w:t>(P1, male, aged 47, first episode)</w:t>
      </w:r>
    </w:p>
    <w:p w14:paraId="20841C96" w14:textId="77777777" w:rsidR="005370AD" w:rsidRDefault="005370AD" w:rsidP="00241AAF">
      <w:pPr>
        <w:rPr>
          <w:b/>
        </w:rPr>
      </w:pPr>
    </w:p>
    <w:p w14:paraId="07495FD1" w14:textId="77777777" w:rsidR="005370AD" w:rsidRDefault="005370AD" w:rsidP="00241AAF">
      <w:pPr>
        <w:spacing w:line="360" w:lineRule="auto"/>
        <w:rPr>
          <w:i/>
        </w:rPr>
      </w:pPr>
    </w:p>
    <w:p w14:paraId="24ED86AE" w14:textId="77777777" w:rsidR="005370AD" w:rsidRPr="00F85972" w:rsidRDefault="005370AD" w:rsidP="00241AAF">
      <w:pPr>
        <w:spacing w:line="360" w:lineRule="auto"/>
        <w:rPr>
          <w:i/>
        </w:rPr>
      </w:pPr>
      <w:r w:rsidRPr="00F85972">
        <w:rPr>
          <w:i/>
        </w:rPr>
        <w:t>Lifestyle changes</w:t>
      </w:r>
    </w:p>
    <w:p w14:paraId="47548C10" w14:textId="77777777" w:rsidR="005370AD" w:rsidRDefault="005370AD" w:rsidP="00241AAF">
      <w:pPr>
        <w:spacing w:line="360" w:lineRule="auto"/>
        <w:contextualSpacing/>
      </w:pPr>
      <w:r>
        <w:t>Around half of survey respondents reported that they would be willing to increase physical activity (51.3%, n=123), and 47% reported that they would be willing to lose weight (n=113), if this had been shown to help prevent recurrent episodes. When explored in more depth, many interviewees</w:t>
      </w:r>
      <w:r w:rsidRPr="00F61BAD">
        <w:t xml:space="preserve"> felt </w:t>
      </w:r>
      <w:r>
        <w:t xml:space="preserve">that, although lifestyle changes might be a good idea in general, it was not particularly relevant to them e.g. they were already very active or used to be active but were unable to maintain the level of physical activity due to ill health. Others felt that it would be inappropriate to make lifestyle changes as they did not associate it with cellulitis prevention. </w:t>
      </w:r>
    </w:p>
    <w:p w14:paraId="118E2D43" w14:textId="77777777" w:rsidR="005370AD" w:rsidRDefault="005370AD" w:rsidP="00241AAF">
      <w:pPr>
        <w:spacing w:line="360" w:lineRule="auto"/>
        <w:contextualSpacing/>
      </w:pPr>
    </w:p>
    <w:p w14:paraId="166B28F3" w14:textId="77777777" w:rsidR="005370AD" w:rsidRPr="004654E0" w:rsidRDefault="005370AD" w:rsidP="00241AAF">
      <w:pPr>
        <w:ind w:left="720"/>
        <w:rPr>
          <w:rFonts w:ascii="Calibri" w:hAnsi="Calibri"/>
          <w:b/>
          <w:i/>
          <w:iCs/>
          <w:sz w:val="20"/>
          <w:szCs w:val="20"/>
        </w:rPr>
      </w:pPr>
      <w:r w:rsidRPr="004654E0">
        <w:rPr>
          <w:rFonts w:ascii="Calibri" w:hAnsi="Calibri"/>
          <w:i/>
          <w:iCs/>
          <w:sz w:val="20"/>
          <w:szCs w:val="20"/>
        </w:rPr>
        <w:t xml:space="preserve">“Well I should be but – with my back, I can’t do anything at the moment. I was going up on the gym, because we’ve got this gym in the park, sort of thing, and I was going up there for a while, but whilst my back’s bad I can’t go up there” </w:t>
      </w:r>
      <w:r w:rsidRPr="004654E0">
        <w:rPr>
          <w:rFonts w:ascii="Calibri" w:hAnsi="Calibri"/>
          <w:b/>
          <w:i/>
          <w:iCs/>
          <w:sz w:val="20"/>
          <w:szCs w:val="20"/>
        </w:rPr>
        <w:t>(P10, male, aged 73, recurrent cellulitis)</w:t>
      </w:r>
    </w:p>
    <w:p w14:paraId="280EC24D" w14:textId="77777777" w:rsidR="005370AD" w:rsidRDefault="005370AD" w:rsidP="00241AAF">
      <w:pPr>
        <w:ind w:left="720"/>
        <w:rPr>
          <w:rFonts w:ascii="Calibri" w:hAnsi="Calibri"/>
          <w:b/>
          <w:i/>
          <w:iCs/>
          <w:sz w:val="20"/>
          <w:szCs w:val="20"/>
        </w:rPr>
      </w:pPr>
      <w:r w:rsidRPr="004654E0" w:rsidDel="00C17B29">
        <w:rPr>
          <w:rFonts w:ascii="Calibri" w:hAnsi="Calibri"/>
          <w:i/>
          <w:iCs/>
          <w:sz w:val="20"/>
          <w:szCs w:val="20"/>
        </w:rPr>
        <w:t xml:space="preserve"> </w:t>
      </w:r>
      <w:r>
        <w:rPr>
          <w:rFonts w:ascii="Calibri" w:hAnsi="Calibri"/>
          <w:i/>
          <w:iCs/>
          <w:sz w:val="20"/>
          <w:szCs w:val="20"/>
        </w:rPr>
        <w:t>“</w:t>
      </w:r>
      <w:r w:rsidRPr="00325E31">
        <w:rPr>
          <w:rFonts w:ascii="Calibri" w:hAnsi="Calibri"/>
          <w:i/>
          <w:iCs/>
          <w:sz w:val="20"/>
          <w:szCs w:val="20"/>
        </w:rPr>
        <w:t>I couldn’t be more active</w:t>
      </w:r>
      <w:r>
        <w:rPr>
          <w:rFonts w:ascii="Calibri" w:hAnsi="Calibri"/>
          <w:i/>
          <w:iCs/>
          <w:sz w:val="20"/>
          <w:szCs w:val="20"/>
        </w:rPr>
        <w:t>….</w:t>
      </w:r>
      <w:r w:rsidRPr="00325E31">
        <w:rPr>
          <w:rFonts w:ascii="Calibri" w:hAnsi="Calibri"/>
          <w:i/>
          <w:iCs/>
          <w:sz w:val="20"/>
          <w:szCs w:val="20"/>
        </w:rPr>
        <w:t>they are trying to blame lifestyle on too much because – I know obesity is what’s going to ruin the National Health. People are obese and diabetic, so they’re trying to get them to do more exercise and to change their lifestyle, but it can’t all be people’s lifestyle. So – I’m going to sound horrible, but I don’t think ... unless it’s the legs or – they are not looking at it widely enough.</w:t>
      </w:r>
      <w:r>
        <w:rPr>
          <w:rFonts w:ascii="Calibri" w:hAnsi="Calibri"/>
          <w:i/>
          <w:iCs/>
          <w:sz w:val="20"/>
          <w:szCs w:val="20"/>
        </w:rPr>
        <w:t xml:space="preserve">” </w:t>
      </w:r>
      <w:r w:rsidRPr="007E45A1">
        <w:rPr>
          <w:rFonts w:ascii="Calibri" w:hAnsi="Calibri"/>
          <w:b/>
          <w:i/>
          <w:iCs/>
          <w:sz w:val="20"/>
          <w:szCs w:val="20"/>
        </w:rPr>
        <w:t>(P8, female, aged 73, first episode)</w:t>
      </w:r>
    </w:p>
    <w:p w14:paraId="5940DD83" w14:textId="77777777" w:rsidR="005370AD" w:rsidRDefault="005370AD" w:rsidP="00241AAF">
      <w:pPr>
        <w:rPr>
          <w:b/>
        </w:rPr>
      </w:pPr>
    </w:p>
    <w:p w14:paraId="287EC6C1" w14:textId="77777777" w:rsidR="005370AD" w:rsidRPr="00F85972" w:rsidRDefault="005370AD" w:rsidP="00241AAF">
      <w:pPr>
        <w:rPr>
          <w:i/>
        </w:rPr>
      </w:pPr>
      <w:r w:rsidRPr="00F85972">
        <w:rPr>
          <w:i/>
        </w:rPr>
        <w:t>Wearing compression stockings daily</w:t>
      </w:r>
    </w:p>
    <w:p w14:paraId="229B9DA0" w14:textId="77777777" w:rsidR="005370AD" w:rsidRDefault="005370AD" w:rsidP="00241AAF">
      <w:pPr>
        <w:spacing w:line="360" w:lineRule="auto"/>
      </w:pPr>
      <w:r>
        <w:t>Approximately one-third of survey respondents reported that they would be willing to wear compression stockings (34.6%, n=83) and the interviews showed very mixed views. Many participants</w:t>
      </w:r>
      <w:r w:rsidRPr="00F61BAD">
        <w:t xml:space="preserve"> felt it would not be feasible to wear </w:t>
      </w:r>
      <w:r>
        <w:t xml:space="preserve">compression stockings </w:t>
      </w:r>
      <w:r w:rsidRPr="00F61BAD">
        <w:t xml:space="preserve">on a daily basis as they </w:t>
      </w:r>
      <w:r>
        <w:t xml:space="preserve">perceived them to be difficult to put on and </w:t>
      </w:r>
      <w:r w:rsidRPr="00F61BAD">
        <w:t>uncomfortable</w:t>
      </w:r>
      <w:r>
        <w:t xml:space="preserve"> to wear</w:t>
      </w:r>
      <w:r w:rsidRPr="00F61BAD">
        <w:t>,</w:t>
      </w:r>
      <w:r>
        <w:t xml:space="preserve"> </w:t>
      </w:r>
      <w:r w:rsidRPr="00F61BAD">
        <w:t>more associated with flights and recovery after operations than everyday use</w:t>
      </w:r>
      <w:r>
        <w:t xml:space="preserve"> and</w:t>
      </w:r>
      <w:r w:rsidRPr="00F61BAD">
        <w:t xml:space="preserve"> not practical to wear in the summer or with certain types of clothing. </w:t>
      </w:r>
      <w:r>
        <w:t xml:space="preserve">Some participants who had experience of wearing compression stockings reported similar reasons for being reluctant to wear compression stockings and associated them with reducing oedema but didn’t connect this to cellulitis prevention. </w:t>
      </w:r>
    </w:p>
    <w:p w14:paraId="46FACFDA" w14:textId="77777777" w:rsidR="005370AD" w:rsidRPr="005C252F" w:rsidRDefault="005370AD" w:rsidP="00241AAF">
      <w:pPr>
        <w:ind w:left="720"/>
        <w:rPr>
          <w:rFonts w:ascii="Calibri" w:hAnsi="Calibri"/>
          <w:i/>
          <w:iCs/>
          <w:sz w:val="20"/>
          <w:szCs w:val="20"/>
        </w:rPr>
      </w:pPr>
      <w:r>
        <w:rPr>
          <w:rFonts w:ascii="Calibri" w:hAnsi="Calibri"/>
          <w:i/>
          <w:iCs/>
          <w:sz w:val="20"/>
          <w:szCs w:val="20"/>
        </w:rPr>
        <w:t xml:space="preserve">“I </w:t>
      </w:r>
      <w:r w:rsidRPr="00ED0FA1">
        <w:rPr>
          <w:rFonts w:ascii="Calibri" w:hAnsi="Calibri"/>
          <w:i/>
          <w:iCs/>
          <w:sz w:val="20"/>
          <w:szCs w:val="20"/>
        </w:rPr>
        <w:t>find they’re bloody awkward to put on; it takes two of you to put it on, it bloody hurts and I don’t like them</w:t>
      </w:r>
      <w:r>
        <w:rPr>
          <w:rFonts w:ascii="Calibri" w:hAnsi="Calibri"/>
          <w:i/>
          <w:iCs/>
          <w:sz w:val="20"/>
          <w:szCs w:val="20"/>
        </w:rPr>
        <w:t xml:space="preserve">. If they had one out with a zip </w:t>
      </w:r>
      <w:r w:rsidRPr="00ED0FA1">
        <w:rPr>
          <w:rFonts w:ascii="Calibri" w:hAnsi="Calibri"/>
          <w:i/>
          <w:iCs/>
          <w:sz w:val="20"/>
          <w:szCs w:val="20"/>
        </w:rPr>
        <w:t>that means you put your foot in and zip it up: fine</w:t>
      </w:r>
      <w:r>
        <w:rPr>
          <w:rFonts w:ascii="Calibri" w:hAnsi="Calibri"/>
          <w:i/>
          <w:iCs/>
          <w:sz w:val="20"/>
          <w:szCs w:val="20"/>
        </w:rPr>
        <w:t xml:space="preserve">” </w:t>
      </w:r>
      <w:r w:rsidRPr="007E45A1">
        <w:rPr>
          <w:rFonts w:ascii="Calibri" w:hAnsi="Calibri"/>
          <w:b/>
          <w:i/>
          <w:iCs/>
          <w:sz w:val="20"/>
          <w:szCs w:val="20"/>
        </w:rPr>
        <w:t xml:space="preserve">(P7, female, aged 70, recurrent </w:t>
      </w:r>
      <w:r w:rsidRPr="00FD780C">
        <w:rPr>
          <w:rFonts w:ascii="Calibri" w:hAnsi="Calibri"/>
          <w:b/>
          <w:i/>
          <w:iCs/>
          <w:sz w:val="20"/>
          <w:szCs w:val="20"/>
        </w:rPr>
        <w:t>cellulitis)</w:t>
      </w:r>
    </w:p>
    <w:p w14:paraId="1F04B809" w14:textId="77777777" w:rsidR="005370AD" w:rsidRPr="005E3A2E" w:rsidRDefault="005370AD" w:rsidP="00241AAF">
      <w:pPr>
        <w:ind w:left="720"/>
        <w:rPr>
          <w:rFonts w:ascii="Calibri" w:hAnsi="Calibri"/>
          <w:i/>
          <w:iCs/>
          <w:sz w:val="20"/>
          <w:szCs w:val="20"/>
        </w:rPr>
      </w:pPr>
      <w:r w:rsidRPr="005C252F" w:rsidDel="00E812FC">
        <w:rPr>
          <w:i/>
          <w:iCs/>
          <w:sz w:val="20"/>
          <w:szCs w:val="20"/>
        </w:rPr>
        <w:t xml:space="preserve"> </w:t>
      </w:r>
      <w:r w:rsidRPr="005E3A2E">
        <w:rPr>
          <w:rFonts w:ascii="Calibri" w:hAnsi="Calibri"/>
          <w:i/>
          <w:iCs/>
          <w:sz w:val="20"/>
          <w:szCs w:val="20"/>
        </w:rPr>
        <w:t xml:space="preserve">“In </w:t>
      </w:r>
      <w:r>
        <w:rPr>
          <w:rFonts w:ascii="Calibri" w:hAnsi="Calibri"/>
          <w:i/>
          <w:iCs/>
          <w:sz w:val="20"/>
          <w:szCs w:val="20"/>
        </w:rPr>
        <w:t xml:space="preserve">the summer, </w:t>
      </w:r>
      <w:r w:rsidRPr="005E3A2E">
        <w:rPr>
          <w:rFonts w:ascii="Calibri" w:hAnsi="Calibri"/>
          <w:i/>
          <w:iCs/>
          <w:sz w:val="20"/>
          <w:szCs w:val="20"/>
        </w:rPr>
        <w:t>if I’m overheated, I don’t want to be wearing socks or anything else, so that’s not going to help. So in theory, I’d say, yes, absolutely fine, but I can imagine, in practice, it might not be the thing</w:t>
      </w:r>
      <w:r>
        <w:rPr>
          <w:rFonts w:ascii="Calibri" w:hAnsi="Calibri"/>
          <w:i/>
          <w:iCs/>
          <w:sz w:val="20"/>
          <w:szCs w:val="20"/>
        </w:rPr>
        <w:t xml:space="preserve"> to do in the middle of summer. </w:t>
      </w:r>
      <w:r w:rsidRPr="005E3A2E">
        <w:rPr>
          <w:rFonts w:ascii="Calibri" w:hAnsi="Calibri"/>
          <w:i/>
          <w:iCs/>
          <w:sz w:val="20"/>
          <w:szCs w:val="20"/>
        </w:rPr>
        <w:t xml:space="preserve">Again, ultimately if it was about my health, I probably would do it, but it wouldn’t be my first choice. I’d rather stand and clean my feet for 20 minutes a day, for instance.” </w:t>
      </w:r>
      <w:r w:rsidRPr="005E3A2E">
        <w:rPr>
          <w:rFonts w:ascii="Calibri" w:hAnsi="Calibri"/>
          <w:b/>
          <w:i/>
          <w:iCs/>
          <w:sz w:val="20"/>
          <w:szCs w:val="20"/>
        </w:rPr>
        <w:t>(P16, female, aged 32, first episode)</w:t>
      </w:r>
    </w:p>
    <w:p w14:paraId="131502F2" w14:textId="77777777" w:rsidR="005370AD" w:rsidRDefault="005370AD">
      <w:pPr>
        <w:rPr>
          <w:b/>
        </w:rPr>
      </w:pPr>
      <w:r>
        <w:rPr>
          <w:b/>
        </w:rPr>
        <w:br w:type="page"/>
      </w:r>
    </w:p>
    <w:p w14:paraId="281EB0F1" w14:textId="77777777" w:rsidR="005370AD" w:rsidRDefault="005370AD" w:rsidP="00241AAF">
      <w:pPr>
        <w:contextualSpacing/>
        <w:rPr>
          <w:b/>
        </w:rPr>
      </w:pPr>
      <w:r w:rsidRPr="00EB430B">
        <w:rPr>
          <w:b/>
        </w:rPr>
        <w:t xml:space="preserve">Views about </w:t>
      </w:r>
      <w:r>
        <w:rPr>
          <w:b/>
        </w:rPr>
        <w:t>long-term antibiotics for cellulitis prevention</w:t>
      </w:r>
      <w:r w:rsidRPr="00EB430B">
        <w:rPr>
          <w:b/>
        </w:rPr>
        <w:t xml:space="preserve"> </w:t>
      </w:r>
    </w:p>
    <w:p w14:paraId="3C76DBC7" w14:textId="77777777" w:rsidR="005370AD" w:rsidRDefault="005370AD" w:rsidP="00241AAF">
      <w:pPr>
        <w:contextualSpacing/>
        <w:rPr>
          <w:b/>
        </w:rPr>
      </w:pPr>
    </w:p>
    <w:p w14:paraId="36DA2D0C" w14:textId="77777777" w:rsidR="005370AD" w:rsidRPr="00C41B02" w:rsidRDefault="005370AD" w:rsidP="00241AAF">
      <w:pPr>
        <w:pStyle w:val="EndNoteBibliography"/>
        <w:spacing w:line="360" w:lineRule="auto"/>
      </w:pPr>
      <w:r>
        <w:t xml:space="preserve">Around a third of survey respondents expressed a willingness to take antibiotics every day to prevent recurrence of cellulitis (30.8%, n=74). (Table 3). Many interviewees expressed concern that </w:t>
      </w:r>
      <w:r w:rsidRPr="00F61BAD">
        <w:t xml:space="preserve">taking </w:t>
      </w:r>
      <w:r>
        <w:t xml:space="preserve">long-term </w:t>
      </w:r>
      <w:r w:rsidRPr="00F61BAD">
        <w:t>antibio</w:t>
      </w:r>
      <w:r>
        <w:t xml:space="preserve">tics </w:t>
      </w:r>
      <w:r w:rsidRPr="00F61BAD">
        <w:t xml:space="preserve">would </w:t>
      </w:r>
      <w:r>
        <w:t xml:space="preserve">lead them to </w:t>
      </w:r>
      <w:r w:rsidRPr="00F61BAD">
        <w:t>develop immunity</w:t>
      </w:r>
      <w:r>
        <w:t xml:space="preserve"> against antibiotics, rendering them</w:t>
      </w:r>
      <w:r w:rsidRPr="00F61BAD">
        <w:t xml:space="preserve"> ineffective for future </w:t>
      </w:r>
      <w:r>
        <w:t xml:space="preserve">personal </w:t>
      </w:r>
      <w:r w:rsidRPr="00F61BAD">
        <w:t>use</w:t>
      </w:r>
      <w:r>
        <w:t xml:space="preserve"> (even for other health conditions), which </w:t>
      </w:r>
      <w:r>
        <w:rPr>
          <w:lang w:val="en-GB"/>
        </w:rPr>
        <w:t>suggests people may</w:t>
      </w:r>
      <w:r w:rsidRPr="00B221E4">
        <w:rPr>
          <w:lang w:val="en-GB"/>
        </w:rPr>
        <w:t xml:space="preserve"> </w:t>
      </w:r>
      <w:r>
        <w:rPr>
          <w:lang w:val="en-GB"/>
        </w:rPr>
        <w:t xml:space="preserve">mistake </w:t>
      </w:r>
      <w:r w:rsidRPr="00B221E4">
        <w:rPr>
          <w:lang w:val="en-GB"/>
        </w:rPr>
        <w:t>antibiotic resistance as a property of the human body rather than bacterial cells</w:t>
      </w:r>
      <w:r>
        <w:rPr>
          <w:lang w:val="en-GB"/>
        </w:rPr>
        <w:t xml:space="preserve">. </w:t>
      </w:r>
    </w:p>
    <w:p w14:paraId="6AFEF156" w14:textId="77777777" w:rsidR="005370AD" w:rsidRDefault="005370AD" w:rsidP="00241AAF">
      <w:pPr>
        <w:ind w:left="720"/>
        <w:rPr>
          <w:rFonts w:ascii="Calibri" w:hAnsi="Calibri"/>
          <w:b/>
          <w:i/>
          <w:iCs/>
          <w:sz w:val="20"/>
          <w:szCs w:val="20"/>
        </w:rPr>
      </w:pPr>
      <w:r w:rsidRPr="00893867">
        <w:rPr>
          <w:rFonts w:ascii="Calibri" w:hAnsi="Calibri"/>
          <w:i/>
          <w:iCs/>
          <w:sz w:val="20"/>
          <w:szCs w:val="20"/>
        </w:rPr>
        <w:t xml:space="preserve">“Over my life I’ve had – there was, at one time, I was having a lot of chest infections and this was before they knew that, you know, they were only prescribing antibiotics really and I was on a low dose for six months and – I’m a bit worried that – now, if I did get anything, I wouldn’t – they wouldn’t work on me. So, you know, the less I have, I think, the better.” </w:t>
      </w:r>
      <w:r w:rsidRPr="00893867">
        <w:rPr>
          <w:rFonts w:ascii="Calibri" w:hAnsi="Calibri"/>
          <w:b/>
          <w:i/>
          <w:iCs/>
          <w:sz w:val="20"/>
          <w:szCs w:val="20"/>
        </w:rPr>
        <w:t>(P5, female, aged 67, recurrent cellulitis)</w:t>
      </w:r>
    </w:p>
    <w:p w14:paraId="517D5120" w14:textId="77777777" w:rsidR="005370AD" w:rsidRPr="00893867" w:rsidRDefault="005370AD" w:rsidP="00241AAF">
      <w:pPr>
        <w:ind w:left="720"/>
        <w:rPr>
          <w:rFonts w:ascii="Calibri" w:hAnsi="Calibri"/>
          <w:b/>
          <w:i/>
          <w:iCs/>
          <w:sz w:val="20"/>
          <w:szCs w:val="20"/>
        </w:rPr>
      </w:pPr>
    </w:p>
    <w:p w14:paraId="4F9E0D38" w14:textId="77777777" w:rsidR="005370AD" w:rsidRPr="00105B7E" w:rsidRDefault="005370AD" w:rsidP="00241AAF">
      <w:pPr>
        <w:ind w:left="720"/>
        <w:rPr>
          <w:rFonts w:ascii="Calibri" w:hAnsi="Calibri"/>
          <w:i/>
          <w:iCs/>
          <w:color w:val="00B050"/>
          <w:sz w:val="20"/>
          <w:szCs w:val="20"/>
        </w:rPr>
      </w:pPr>
      <w:r w:rsidRPr="00893867">
        <w:rPr>
          <w:rFonts w:ascii="Calibri" w:hAnsi="Calibri"/>
          <w:i/>
          <w:iCs/>
          <w:sz w:val="20"/>
          <w:szCs w:val="20"/>
        </w:rPr>
        <w:t xml:space="preserve">“No, because my body would become immune to it and I’d have to keep taking higher doses of it. You’d have to keep taking higher doses of it to have any effect and then eventually it will have no effect at all and if you get a bad case of it, what are they going to give you? So, no, it’s not a good idea” </w:t>
      </w:r>
      <w:r w:rsidRPr="00893867">
        <w:rPr>
          <w:rFonts w:ascii="Calibri" w:hAnsi="Calibri"/>
          <w:b/>
          <w:i/>
          <w:iCs/>
          <w:sz w:val="20"/>
          <w:szCs w:val="20"/>
        </w:rPr>
        <w:t>(P13, female, aged 32, recurrent cellulitis)</w:t>
      </w:r>
    </w:p>
    <w:p w14:paraId="7D6DF9F4" w14:textId="77777777" w:rsidR="005370AD" w:rsidRDefault="005370AD" w:rsidP="00241AAF">
      <w:pPr>
        <w:spacing w:line="360" w:lineRule="auto"/>
      </w:pPr>
    </w:p>
    <w:p w14:paraId="7F1AF2F5" w14:textId="77777777" w:rsidR="005370AD" w:rsidRPr="00F61BAD" w:rsidRDefault="005370AD" w:rsidP="00241AAF">
      <w:pPr>
        <w:spacing w:line="360" w:lineRule="auto"/>
      </w:pPr>
      <w:r>
        <w:t>Another common concern was being exposed to the</w:t>
      </w:r>
      <w:r w:rsidRPr="00F61BAD">
        <w:t xml:space="preserve"> side </w:t>
      </w:r>
      <w:r>
        <w:t>effects of antibiotics such as stomach complaints and s</w:t>
      </w:r>
      <w:r w:rsidRPr="00F61BAD">
        <w:t>ome particip</w:t>
      </w:r>
      <w:r>
        <w:t>ants felt the long-term use of antibiotics was counterintuitive to the efforts being made</w:t>
      </w:r>
      <w:r w:rsidRPr="00F61BAD">
        <w:t xml:space="preserve"> </w:t>
      </w:r>
      <w:r>
        <w:t xml:space="preserve">within the health service </w:t>
      </w:r>
      <w:r w:rsidRPr="00F61BAD">
        <w:t>to reduce antibiotic prescribing</w:t>
      </w:r>
      <w:r>
        <w:t xml:space="preserve">.  </w:t>
      </w:r>
    </w:p>
    <w:p w14:paraId="47E7A1CE" w14:textId="77777777" w:rsidR="005370AD" w:rsidRPr="00893867" w:rsidDel="00864389" w:rsidRDefault="005370AD" w:rsidP="00241AAF">
      <w:pPr>
        <w:ind w:left="720"/>
        <w:rPr>
          <w:rFonts w:ascii="Calibri" w:hAnsi="Calibri"/>
          <w:i/>
          <w:iCs/>
          <w:sz w:val="20"/>
          <w:szCs w:val="20"/>
        </w:rPr>
      </w:pPr>
      <w:r w:rsidRPr="00893867" w:rsidDel="00864389">
        <w:rPr>
          <w:rFonts w:ascii="Calibri" w:hAnsi="Calibri"/>
          <w:i/>
          <w:iCs/>
          <w:sz w:val="20"/>
          <w:szCs w:val="20"/>
        </w:rPr>
        <w:t>“</w:t>
      </w:r>
      <w:r w:rsidDel="00864389">
        <w:rPr>
          <w:rFonts w:ascii="Calibri" w:hAnsi="Calibri"/>
          <w:i/>
          <w:iCs/>
          <w:sz w:val="20"/>
          <w:szCs w:val="20"/>
        </w:rPr>
        <w:t>…</w:t>
      </w:r>
      <w:r w:rsidRPr="00893867" w:rsidDel="00864389">
        <w:rPr>
          <w:rFonts w:ascii="Calibri" w:hAnsi="Calibri"/>
          <w:i/>
          <w:iCs/>
          <w:sz w:val="20"/>
          <w:szCs w:val="20"/>
        </w:rPr>
        <w:t xml:space="preserve"> </w:t>
      </w:r>
      <w:proofErr w:type="gramStart"/>
      <w:r w:rsidRPr="00893867" w:rsidDel="00864389">
        <w:rPr>
          <w:rFonts w:ascii="Calibri" w:hAnsi="Calibri"/>
          <w:i/>
          <w:iCs/>
          <w:sz w:val="20"/>
          <w:szCs w:val="20"/>
        </w:rPr>
        <w:t>you</w:t>
      </w:r>
      <w:proofErr w:type="gramEnd"/>
      <w:r w:rsidRPr="00893867" w:rsidDel="00864389">
        <w:rPr>
          <w:rFonts w:ascii="Calibri" w:hAnsi="Calibri"/>
          <w:i/>
          <w:iCs/>
          <w:sz w:val="20"/>
          <w:szCs w:val="20"/>
        </w:rPr>
        <w:t xml:space="preserve"> end up with thrush and other things; it’s like all medication, sometimes you always get these different side-effects” </w:t>
      </w:r>
      <w:r w:rsidRPr="00893867" w:rsidDel="00864389">
        <w:rPr>
          <w:rFonts w:ascii="Calibri" w:hAnsi="Calibri"/>
          <w:b/>
          <w:i/>
          <w:iCs/>
          <w:sz w:val="20"/>
          <w:szCs w:val="20"/>
        </w:rPr>
        <w:t>(P17, female, aged 60, recurrent cellulitis)</w:t>
      </w:r>
    </w:p>
    <w:p w14:paraId="1C373EF8" w14:textId="77777777" w:rsidR="005370AD" w:rsidRPr="00700569" w:rsidDel="00864389" w:rsidRDefault="005370AD" w:rsidP="00241AAF">
      <w:pPr>
        <w:ind w:left="720"/>
        <w:rPr>
          <w:rFonts w:ascii="Calibri" w:hAnsi="Calibri"/>
          <w:b/>
          <w:i/>
          <w:iCs/>
          <w:sz w:val="20"/>
          <w:szCs w:val="20"/>
        </w:rPr>
      </w:pPr>
      <w:r w:rsidRPr="00893867" w:rsidDel="00864389">
        <w:rPr>
          <w:rFonts w:ascii="Calibri" w:hAnsi="Calibri"/>
          <w:i/>
          <w:iCs/>
          <w:sz w:val="20"/>
          <w:szCs w:val="20"/>
        </w:rPr>
        <w:t xml:space="preserve">I don’t mind doing a short one but – antibiotics – where your system is concerned, they tend to give you diarrhoea. ... </w:t>
      </w:r>
      <w:proofErr w:type="gramStart"/>
      <w:r w:rsidRPr="00893867" w:rsidDel="00864389">
        <w:rPr>
          <w:rFonts w:ascii="Calibri" w:hAnsi="Calibri"/>
          <w:i/>
          <w:iCs/>
          <w:sz w:val="20"/>
          <w:szCs w:val="20"/>
        </w:rPr>
        <w:t>if</w:t>
      </w:r>
      <w:proofErr w:type="gramEnd"/>
      <w:r w:rsidRPr="00893867" w:rsidDel="00864389">
        <w:rPr>
          <w:rFonts w:ascii="Calibri" w:hAnsi="Calibri"/>
          <w:i/>
          <w:iCs/>
          <w:sz w:val="20"/>
          <w:szCs w:val="20"/>
        </w:rPr>
        <w:t xml:space="preserve"> it wasn’t for months I’d perhaps be happy. </w:t>
      </w:r>
      <w:r w:rsidRPr="00893867" w:rsidDel="00864389">
        <w:rPr>
          <w:rFonts w:ascii="Calibri" w:hAnsi="Calibri"/>
          <w:b/>
          <w:i/>
          <w:iCs/>
          <w:sz w:val="20"/>
          <w:szCs w:val="20"/>
        </w:rPr>
        <w:t>(P18, female, aged 74, recurrent cellulitis)</w:t>
      </w:r>
    </w:p>
    <w:p w14:paraId="0E776F7D" w14:textId="77777777" w:rsidR="005370AD" w:rsidRDefault="005370AD" w:rsidP="00241AAF">
      <w:pPr>
        <w:rPr>
          <w:rFonts w:ascii="Calibri" w:hAnsi="Calibri"/>
          <w:i/>
          <w:iCs/>
          <w:sz w:val="20"/>
          <w:szCs w:val="20"/>
        </w:rPr>
      </w:pPr>
    </w:p>
    <w:p w14:paraId="16FCB527" w14:textId="77777777" w:rsidR="005370AD" w:rsidRDefault="005370AD" w:rsidP="00241AAF">
      <w:pPr>
        <w:ind w:left="1440"/>
        <w:contextualSpacing/>
      </w:pPr>
    </w:p>
    <w:p w14:paraId="77BE491E" w14:textId="77777777" w:rsidR="005370AD" w:rsidRPr="00C41B02" w:rsidRDefault="005370AD" w:rsidP="00241AAF">
      <w:pPr>
        <w:spacing w:line="360" w:lineRule="auto"/>
        <w:rPr>
          <w:lang w:val="en-US"/>
        </w:rPr>
      </w:pPr>
      <w:r w:rsidRPr="00C41B02">
        <w:rPr>
          <w:lang w:val="en-US"/>
        </w:rPr>
        <w:t>We explored differences amongst survey respondents in willingness to adopt cellulitis prevention behaviours, comparing participants who had experienced one episode of cellulitis with participants who had experienced recurrent episodes (Table 4). Only willingness to take antibiotics daily to prevent cellulitis showed a statistically significant difference between the two groups. Participants who had experienced two or more episodes of cellulitis reported they were more willing to take antibiotics daily (47%) compared with participants who had only experienced one episode (27%).</w:t>
      </w:r>
      <w:r>
        <w:rPr>
          <w:lang w:val="en-US"/>
        </w:rPr>
        <w:t xml:space="preserve"> This was reflected in the qualitative data. S</w:t>
      </w:r>
      <w:proofErr w:type="spellStart"/>
      <w:r>
        <w:t>ome</w:t>
      </w:r>
      <w:proofErr w:type="spellEnd"/>
      <w:r>
        <w:t xml:space="preserve"> interviewees with recurrent cellulitis</w:t>
      </w:r>
      <w:r w:rsidRPr="00F61BAD">
        <w:t xml:space="preserve"> </w:t>
      </w:r>
      <w:r>
        <w:t xml:space="preserve">who were already taking </w:t>
      </w:r>
      <w:r w:rsidRPr="00F61BAD">
        <w:t>low dose antibiotics</w:t>
      </w:r>
      <w:r>
        <w:t xml:space="preserve"> appeared happy with this and those who were already </w:t>
      </w:r>
      <w:r w:rsidRPr="00F61BAD">
        <w:t xml:space="preserve">taking </w:t>
      </w:r>
      <w:r>
        <w:t>several</w:t>
      </w:r>
      <w:r w:rsidRPr="00F61BAD">
        <w:t xml:space="preserve"> </w:t>
      </w:r>
      <w:r>
        <w:t xml:space="preserve">other </w:t>
      </w:r>
      <w:r w:rsidRPr="00F61BAD">
        <w:t>medication</w:t>
      </w:r>
      <w:r>
        <w:t xml:space="preserve">s felt that </w:t>
      </w:r>
      <w:r w:rsidRPr="00F61BAD">
        <w:t xml:space="preserve">adding something else </w:t>
      </w:r>
      <w:r>
        <w:t xml:space="preserve">in </w:t>
      </w:r>
      <w:r w:rsidRPr="00F61BAD">
        <w:t xml:space="preserve">wouldn’t bother them. </w:t>
      </w:r>
    </w:p>
    <w:p w14:paraId="5A080DB1" w14:textId="77777777" w:rsidR="005370AD" w:rsidRDefault="005370AD" w:rsidP="00241AAF">
      <w:pPr>
        <w:ind w:left="720"/>
        <w:rPr>
          <w:rFonts w:ascii="Calibri" w:hAnsi="Calibri"/>
          <w:b/>
          <w:i/>
          <w:iCs/>
          <w:sz w:val="20"/>
          <w:szCs w:val="20"/>
        </w:rPr>
      </w:pPr>
      <w:r w:rsidRPr="00700569">
        <w:rPr>
          <w:rFonts w:ascii="Calibri" w:hAnsi="Calibri"/>
          <w:i/>
          <w:iCs/>
          <w:sz w:val="20"/>
          <w:szCs w:val="20"/>
        </w:rPr>
        <w:t xml:space="preserve">“Well I take quite a lot of medication, so it wouldn’t bother me, because it’s another tablet, just adding on to that, so it doesn’t bother me.”  </w:t>
      </w:r>
      <w:r w:rsidRPr="00700569">
        <w:rPr>
          <w:rFonts w:ascii="Calibri" w:hAnsi="Calibri"/>
          <w:b/>
          <w:i/>
          <w:iCs/>
          <w:sz w:val="20"/>
          <w:szCs w:val="20"/>
        </w:rPr>
        <w:t>(P25, male, aged 39, recurrent cellulitis)</w:t>
      </w:r>
    </w:p>
    <w:p w14:paraId="02021AA4" w14:textId="77777777" w:rsidR="005370AD" w:rsidRDefault="005370AD" w:rsidP="00241AAF">
      <w:pPr>
        <w:pStyle w:val="EndNoteBibliography"/>
        <w:spacing w:line="360" w:lineRule="auto"/>
      </w:pPr>
    </w:p>
    <w:p w14:paraId="25C4C92A" w14:textId="77777777" w:rsidR="005370AD" w:rsidRPr="007E07B7" w:rsidRDefault="005370AD" w:rsidP="00241AAF">
      <w:pPr>
        <w:pStyle w:val="EndNoteBibliography"/>
        <w:spacing w:line="360" w:lineRule="auto"/>
        <w:rPr>
          <w:b/>
        </w:rPr>
        <w:sectPr w:rsidR="005370AD" w:rsidRPr="007E07B7">
          <w:headerReference w:type="default" r:id="rId9"/>
          <w:footerReference w:type="default" r:id="rId10"/>
          <w:pgSz w:w="11906" w:h="16838"/>
          <w:pgMar w:top="1440" w:right="1440" w:bottom="1440" w:left="1440" w:header="708" w:footer="708" w:gutter="0"/>
          <w:cols w:space="708"/>
          <w:docGrid w:linePitch="360"/>
        </w:sectPr>
      </w:pPr>
      <w:r>
        <w:rPr>
          <w:b/>
        </w:rPr>
        <w:t>[Insert table 4]</w:t>
      </w:r>
    </w:p>
    <w:p w14:paraId="096623F5" w14:textId="77777777" w:rsidR="005370AD" w:rsidRDefault="005370AD" w:rsidP="00241AAF">
      <w:pPr>
        <w:rPr>
          <w:b/>
        </w:rPr>
      </w:pPr>
      <w:r>
        <w:rPr>
          <w:b/>
        </w:rPr>
        <w:t>DISCUSSION</w:t>
      </w:r>
    </w:p>
    <w:p w14:paraId="2E7E345D" w14:textId="77777777" w:rsidR="005370AD" w:rsidRDefault="005370AD" w:rsidP="00241AAF">
      <w:pPr>
        <w:rPr>
          <w:b/>
        </w:rPr>
      </w:pPr>
      <w:r>
        <w:rPr>
          <w:b/>
        </w:rPr>
        <w:t>Main findings</w:t>
      </w:r>
    </w:p>
    <w:p w14:paraId="3AAB9CC4" w14:textId="77777777" w:rsidR="005370AD" w:rsidRDefault="005370AD" w:rsidP="00241AAF">
      <w:pPr>
        <w:spacing w:line="360" w:lineRule="auto"/>
      </w:pPr>
      <w:r>
        <w:rPr>
          <w:bCs/>
        </w:rPr>
        <w:t>We found that</w:t>
      </w:r>
      <w:r w:rsidRPr="00100656">
        <w:rPr>
          <w:bCs/>
        </w:rPr>
        <w:t xml:space="preserve"> people </w:t>
      </w:r>
      <w:r>
        <w:rPr>
          <w:bCs/>
        </w:rPr>
        <w:t xml:space="preserve">with experience of having </w:t>
      </w:r>
      <w:r w:rsidRPr="00100656">
        <w:rPr>
          <w:bCs/>
        </w:rPr>
        <w:t xml:space="preserve">cellulitis </w:t>
      </w:r>
      <w:r>
        <w:rPr>
          <w:bCs/>
        </w:rPr>
        <w:t xml:space="preserve">held </w:t>
      </w:r>
      <w:r w:rsidRPr="00100656">
        <w:rPr>
          <w:bCs/>
        </w:rPr>
        <w:t xml:space="preserve">diverse </w:t>
      </w:r>
      <w:r>
        <w:rPr>
          <w:bCs/>
        </w:rPr>
        <w:t xml:space="preserve">beliefs about </w:t>
      </w:r>
      <w:r w:rsidRPr="00100656">
        <w:rPr>
          <w:bCs/>
        </w:rPr>
        <w:t>causation</w:t>
      </w:r>
      <w:r>
        <w:rPr>
          <w:bCs/>
        </w:rPr>
        <w:t>, some of which would not have been uncovered by survey methods alone as they had not previously arisen in the literature, such as the view that cellulitis could be caused by ‘unhygienic’ environments. Interviewees expressed surprise that they had not been informed of</w:t>
      </w:r>
      <w:r w:rsidRPr="00607028">
        <w:rPr>
          <w:bCs/>
        </w:rPr>
        <w:t xml:space="preserve"> risk of recurren</w:t>
      </w:r>
      <w:r>
        <w:rPr>
          <w:bCs/>
        </w:rPr>
        <w:t xml:space="preserve">t cellulitis </w:t>
      </w:r>
      <w:r w:rsidRPr="003237A7">
        <w:rPr>
          <w:bCs/>
        </w:rPr>
        <w:t>or potential strategies to prevent recurrence</w:t>
      </w:r>
      <w:r>
        <w:rPr>
          <w:bCs/>
        </w:rPr>
        <w:t xml:space="preserve"> and only 31% of survey respondents said they were aware of possible strategies to prevent recurrence of cellulitis. </w:t>
      </w:r>
      <w:r w:rsidRPr="003237A7">
        <w:rPr>
          <w:bCs/>
        </w:rPr>
        <w:t xml:space="preserve"> </w:t>
      </w:r>
      <w:r>
        <w:t>Quantitative and qualitative findings suggest a general willingness to adopt non-antibiotic cellulitis prevention interventions, with a preference for enhanced foot hygiene/care and lifestyle changes over other interventions,</w:t>
      </w:r>
      <w:r w:rsidRPr="004654E0">
        <w:t xml:space="preserve"> </w:t>
      </w:r>
      <w:r>
        <w:t xml:space="preserve">as they are perceived as familiar and easy to fit into established routines. There were more mixed views about compression and long-term oral antibiotics. </w:t>
      </w:r>
    </w:p>
    <w:p w14:paraId="64A9E1E5" w14:textId="77777777" w:rsidR="005370AD" w:rsidRDefault="005370AD" w:rsidP="00241AAF"/>
    <w:p w14:paraId="644BEE19" w14:textId="77777777" w:rsidR="005370AD" w:rsidRPr="00755CAF" w:rsidRDefault="005370AD" w:rsidP="00241AAF">
      <w:pPr>
        <w:spacing w:line="360" w:lineRule="auto"/>
        <w:rPr>
          <w:b/>
          <w:bCs/>
          <w:iCs/>
        </w:rPr>
      </w:pPr>
      <w:r w:rsidRPr="00B02922">
        <w:rPr>
          <w:b/>
          <w:bCs/>
          <w:iCs/>
        </w:rPr>
        <w:t>Comparison with existing literature</w:t>
      </w:r>
    </w:p>
    <w:p w14:paraId="4FFA221A" w14:textId="66E59E4B" w:rsidR="005370AD" w:rsidRDefault="005370AD" w:rsidP="00241AAF">
      <w:pPr>
        <w:spacing w:line="360" w:lineRule="auto"/>
      </w:pPr>
      <w:r>
        <w:t>In t</w:t>
      </w:r>
      <w:r w:rsidRPr="00CE08D8">
        <w:t xml:space="preserve">he recent James Lind Alliance Priority Setting Partnership </w:t>
      </w:r>
      <w:r>
        <w:t>on</w:t>
      </w:r>
      <w:r w:rsidRPr="00CE08D8">
        <w:t xml:space="preserve"> </w:t>
      </w:r>
      <w:r>
        <w:t>c</w:t>
      </w:r>
      <w:r w:rsidRPr="00CE08D8">
        <w:t>ellulitis</w:t>
      </w:r>
      <w:r>
        <w:t>, one of the research priorities identified related to which</w:t>
      </w:r>
      <w:r w:rsidRPr="00CE08D8">
        <w:t xml:space="preserve"> patients are most likely to benefit from low-dose antibiotics to prevent </w:t>
      </w:r>
      <w:r>
        <w:t>recurrent</w:t>
      </w:r>
      <w:r w:rsidRPr="00CE08D8">
        <w:t xml:space="preserve"> cellulitis</w:t>
      </w:r>
      <w:r>
        <w:t>.</w:t>
      </w:r>
      <w:r w:rsidRPr="004D28C7">
        <w:rPr>
          <w:noProof/>
          <w:vertAlign w:val="superscript"/>
        </w:rPr>
        <w:t>12</w:t>
      </w:r>
      <w:r>
        <w:t xml:space="preserve"> Our data would suggest that people who have had only a single episode of cellulitis are less likely to be willing to take long-term low dose antibiotics than those who have experienced multiple episodes. This is despite RCT findings suggesting that patients may benefit from 6-months of low dose antibiotic prophylaxis following their first episode in order to prevent future recurrence in the longer term.</w:t>
      </w:r>
      <w:r w:rsidRPr="00067AD2">
        <w:rPr>
          <w:noProof/>
          <w:vertAlign w:val="superscript"/>
        </w:rPr>
        <w:t>1</w:t>
      </w:r>
      <w:r w:rsidR="00B062C4">
        <w:rPr>
          <w:noProof/>
          <w:vertAlign w:val="superscript"/>
        </w:rPr>
        <w:t>9</w:t>
      </w:r>
      <w:r w:rsidDel="00071CE1">
        <w:t xml:space="preserve"> </w:t>
      </w:r>
    </w:p>
    <w:p w14:paraId="49FB244C" w14:textId="1898B785" w:rsidR="005370AD" w:rsidRDefault="005370AD" w:rsidP="00241AAF">
      <w:pPr>
        <w:spacing w:line="360" w:lineRule="auto"/>
      </w:pPr>
      <w:r>
        <w:t xml:space="preserve">Concerns about ‘developing immunity’ to antibiotics and the reduced efficacy of antibiotics in treating infections as a result were prevalent in the </w:t>
      </w:r>
      <w:r w:rsidRPr="003557E8">
        <w:t>qualitative</w:t>
      </w:r>
      <w:r>
        <w:t xml:space="preserve"> data. </w:t>
      </w:r>
      <w:r w:rsidRPr="003557E8">
        <w:t xml:space="preserve"> </w:t>
      </w:r>
      <w:r>
        <w:t xml:space="preserve">This reflects a widespread misconception </w:t>
      </w:r>
      <w:r w:rsidRPr="004D28C7">
        <w:t>of antibiotic resistance as a property of the human body rather than bacterial cells</w:t>
      </w:r>
      <w:r>
        <w:t xml:space="preserve"> (i.e. belief that it is the human becoming immune to antibiotics rather than the bacteria becoming resistant).</w:t>
      </w:r>
      <w:r w:rsidRPr="00067AD2">
        <w:rPr>
          <w:noProof/>
          <w:vertAlign w:val="superscript"/>
        </w:rPr>
        <w:t>20</w:t>
      </w:r>
      <w:r w:rsidR="00B062C4">
        <w:rPr>
          <w:noProof/>
          <w:vertAlign w:val="superscript"/>
        </w:rPr>
        <w:t xml:space="preserve"> 21</w:t>
      </w:r>
      <w:r>
        <w:t xml:space="preserve"> </w:t>
      </w:r>
    </w:p>
    <w:p w14:paraId="42AC642E" w14:textId="00846AB3" w:rsidR="00EA30A9" w:rsidRPr="00EA30A9" w:rsidRDefault="005370AD" w:rsidP="00241AAF">
      <w:pPr>
        <w:spacing w:line="360" w:lineRule="auto"/>
        <w:rPr>
          <w:noProof/>
          <w:vertAlign w:val="superscript"/>
        </w:rPr>
      </w:pPr>
      <w:r>
        <w:t xml:space="preserve">We had not foreseen some of the perceived causes of cellulitis, such as stress or contact with ‘unhygienic’ environments such as woodlands, but it has been noted before that people develop their own </w:t>
      </w:r>
      <w:r w:rsidRPr="00FD35EA">
        <w:t xml:space="preserve">models of disease processes </w:t>
      </w:r>
      <w:r>
        <w:t xml:space="preserve">that, </w:t>
      </w:r>
      <w:r w:rsidRPr="00FD35EA">
        <w:t xml:space="preserve">though </w:t>
      </w:r>
      <w:r>
        <w:t xml:space="preserve">difficult to provide evidence for, aim to create </w:t>
      </w:r>
      <w:r w:rsidRPr="00FD35EA">
        <w:t>rational explanation</w:t>
      </w:r>
      <w:r>
        <w:t>s</w:t>
      </w:r>
      <w:r w:rsidRPr="00FD35EA">
        <w:t xml:space="preserve"> </w:t>
      </w:r>
      <w:r>
        <w:t>of causes of illness and linking them with life events.</w:t>
      </w:r>
      <w:r w:rsidRPr="00067AD2">
        <w:rPr>
          <w:noProof/>
          <w:vertAlign w:val="superscript"/>
        </w:rPr>
        <w:t>2</w:t>
      </w:r>
      <w:r w:rsidR="00B062C4">
        <w:rPr>
          <w:noProof/>
          <w:vertAlign w:val="superscript"/>
        </w:rPr>
        <w:t>2</w:t>
      </w:r>
    </w:p>
    <w:p w14:paraId="6A8C1A1E" w14:textId="77777777" w:rsidR="005370AD" w:rsidRDefault="005370AD" w:rsidP="00241AAF"/>
    <w:p w14:paraId="1BD2CFD6" w14:textId="340CE599" w:rsidR="00EA30A9" w:rsidRPr="00103F24" w:rsidRDefault="001E2179" w:rsidP="00456E01">
      <w:pPr>
        <w:spacing w:line="360" w:lineRule="auto"/>
      </w:pPr>
      <w:r w:rsidRPr="00103F24">
        <w:t>The</w:t>
      </w:r>
      <w:r w:rsidR="00EA30A9" w:rsidRPr="00103F24">
        <w:t xml:space="preserve"> </w:t>
      </w:r>
      <w:r w:rsidR="00BB409B" w:rsidRPr="00103F24">
        <w:t>Common-sense</w:t>
      </w:r>
      <w:r w:rsidR="00896B9B" w:rsidRPr="00103F24">
        <w:t>/</w:t>
      </w:r>
      <w:r w:rsidR="00BB409B" w:rsidRPr="00103F24">
        <w:t>S</w:t>
      </w:r>
      <w:r w:rsidR="00EA30A9" w:rsidRPr="00103F24">
        <w:t>elf-regulatory model of hea</w:t>
      </w:r>
      <w:r w:rsidRPr="00103F24">
        <w:t>lth and illness</w:t>
      </w:r>
      <w:r w:rsidR="00105008" w:rsidRPr="00103F24">
        <w:t xml:space="preserve"> (CSM or SRM</w:t>
      </w:r>
      <w:r w:rsidR="00EA3252" w:rsidRPr="00103F24">
        <w:t>)</w:t>
      </w:r>
      <w:r w:rsidR="00EA3252" w:rsidRPr="00103F24">
        <w:rPr>
          <w:vertAlign w:val="superscript"/>
        </w:rPr>
        <w:t>2</w:t>
      </w:r>
      <w:r w:rsidR="00B062C4" w:rsidRPr="00103F24">
        <w:rPr>
          <w:vertAlign w:val="superscript"/>
        </w:rPr>
        <w:t>3</w:t>
      </w:r>
      <w:r w:rsidR="00EA3252" w:rsidRPr="00103F24">
        <w:t xml:space="preserve"> </w:t>
      </w:r>
      <w:r w:rsidR="00BB409B" w:rsidRPr="00103F24">
        <w:t xml:space="preserve">provides a framework for understanding how </w:t>
      </w:r>
      <w:r w:rsidR="00456E01" w:rsidRPr="00103F24">
        <w:t xml:space="preserve">individual symptoms and emotions experienced during a health threat or illness influences how </w:t>
      </w:r>
      <w:r w:rsidR="00BB409B" w:rsidRPr="00103F24">
        <w:t>people make sense of</w:t>
      </w:r>
      <w:r w:rsidR="00105008" w:rsidRPr="00103F24">
        <w:t>, and respond to,</w:t>
      </w:r>
      <w:r w:rsidR="00BB409B" w:rsidRPr="00103F24">
        <w:t xml:space="preserve"> </w:t>
      </w:r>
      <w:r w:rsidR="00456E01" w:rsidRPr="00103F24">
        <w:t xml:space="preserve">the condition. </w:t>
      </w:r>
      <w:r w:rsidR="00BB409B" w:rsidRPr="00103F24">
        <w:t xml:space="preserve"> </w:t>
      </w:r>
      <w:r w:rsidR="00105008" w:rsidRPr="00103F24">
        <w:rPr>
          <w:lang w:val="en"/>
        </w:rPr>
        <w:t xml:space="preserve">It </w:t>
      </w:r>
      <w:r w:rsidR="00105008" w:rsidRPr="00103F24">
        <w:t xml:space="preserve">suggests that </w:t>
      </w:r>
      <w:r w:rsidR="00105008" w:rsidRPr="00103F24">
        <w:rPr>
          <w:lang w:val="en"/>
        </w:rPr>
        <w:t xml:space="preserve">individuals seek to understand their illness by developing illness perceptions, which </w:t>
      </w:r>
      <w:r w:rsidR="00105008" w:rsidRPr="00103F24">
        <w:t xml:space="preserve">then </w:t>
      </w:r>
      <w:r w:rsidR="00105008" w:rsidRPr="00103F24">
        <w:rPr>
          <w:lang w:val="en"/>
        </w:rPr>
        <w:t xml:space="preserve">guide subsequent coping </w:t>
      </w:r>
      <w:r w:rsidR="00456E01" w:rsidRPr="00103F24">
        <w:rPr>
          <w:lang w:val="en"/>
        </w:rPr>
        <w:t>behaviours</w:t>
      </w:r>
      <w:r w:rsidR="00105008" w:rsidRPr="00103F24">
        <w:rPr>
          <w:lang w:val="en"/>
        </w:rPr>
        <w:t xml:space="preserve">. </w:t>
      </w:r>
      <w:r w:rsidR="00821E08" w:rsidRPr="00103F24">
        <w:t>We found that participants experienced unce</w:t>
      </w:r>
      <w:r w:rsidR="002C05DB" w:rsidRPr="00103F24">
        <w:t xml:space="preserve">rtainty with regards to cause, time-line and control of their cellulitis and the potential of recurrence. </w:t>
      </w:r>
      <w:r w:rsidR="000B36E7" w:rsidRPr="00103F24">
        <w:rPr>
          <w:iCs/>
          <w:lang w:val="en"/>
        </w:rPr>
        <w:t>We also found that participants expressed uncertainty around identify and concern and surprise about the consequences of cellulit</w:t>
      </w:r>
      <w:r w:rsidR="00FF260D" w:rsidRPr="00103F24">
        <w:rPr>
          <w:iCs/>
          <w:lang w:val="en"/>
        </w:rPr>
        <w:t>is, which has been reported elsewhere</w:t>
      </w:r>
      <w:r w:rsidR="000B36E7" w:rsidRPr="00103F24">
        <w:rPr>
          <w:iCs/>
          <w:lang w:val="en"/>
        </w:rPr>
        <w:t>.</w:t>
      </w:r>
      <w:r w:rsidR="00C56013" w:rsidRPr="00103F24">
        <w:rPr>
          <w:iCs/>
          <w:vertAlign w:val="superscript"/>
          <w:lang w:val="en"/>
        </w:rPr>
        <w:t>1</w:t>
      </w:r>
      <w:r w:rsidR="00FF260D" w:rsidRPr="00103F24">
        <w:rPr>
          <w:iCs/>
          <w:vertAlign w:val="superscript"/>
          <w:lang w:val="en"/>
        </w:rPr>
        <w:t>3</w:t>
      </w:r>
      <w:r w:rsidR="000B36E7" w:rsidRPr="00103F24">
        <w:rPr>
          <w:iCs/>
          <w:lang w:val="en"/>
        </w:rPr>
        <w:t xml:space="preserve"> </w:t>
      </w:r>
      <w:r w:rsidR="002C05DB" w:rsidRPr="00103F24">
        <w:t>Our study suggests that illness perceptions exist amongst people with cellulitis and may affect the</w:t>
      </w:r>
      <w:r w:rsidR="00B06ABD" w:rsidRPr="00103F24">
        <w:t>ir willingness to carry out potential preventative behaviours</w:t>
      </w:r>
      <w:r w:rsidR="000B36E7" w:rsidRPr="00103F24">
        <w:t xml:space="preserve"> such as enhanced foot hygiene or </w:t>
      </w:r>
      <w:r w:rsidR="00B06ABD" w:rsidRPr="00103F24">
        <w:t xml:space="preserve">wearing compression stockings. </w:t>
      </w:r>
      <w:r w:rsidR="001E7528" w:rsidRPr="00103F24">
        <w:t>A greater understanding of the illness perceptions that peop</w:t>
      </w:r>
      <w:r w:rsidR="00EF23D5" w:rsidRPr="00103F24">
        <w:t xml:space="preserve">le with cellulitis may have </w:t>
      </w:r>
      <w:r w:rsidR="00EA3252" w:rsidRPr="00103F24">
        <w:t xml:space="preserve">will </w:t>
      </w:r>
      <w:r w:rsidR="001E7528" w:rsidRPr="00103F24">
        <w:t>enable us to</w:t>
      </w:r>
      <w:r w:rsidR="0050359D" w:rsidRPr="00103F24">
        <w:t xml:space="preserve"> address potentially misguided</w:t>
      </w:r>
      <w:r w:rsidR="001E7528" w:rsidRPr="00103F24">
        <w:t xml:space="preserve"> illness perceptions and uncertainty around cellulitis recurrence and its prevention. </w:t>
      </w:r>
    </w:p>
    <w:p w14:paraId="017BFD8B" w14:textId="77777777" w:rsidR="00EA30A9" w:rsidRDefault="00EA30A9" w:rsidP="00241AAF">
      <w:r w:rsidRPr="00EA30A9">
        <w:t xml:space="preserve"> </w:t>
      </w:r>
    </w:p>
    <w:p w14:paraId="0CBA64D6" w14:textId="77777777" w:rsidR="005370AD" w:rsidRPr="00755CAF" w:rsidRDefault="005370AD" w:rsidP="00241AAF">
      <w:pPr>
        <w:rPr>
          <w:b/>
        </w:rPr>
      </w:pPr>
      <w:r w:rsidRPr="00755CAF">
        <w:rPr>
          <w:b/>
        </w:rPr>
        <w:t>Strengths and limitations</w:t>
      </w:r>
    </w:p>
    <w:p w14:paraId="3BF74599" w14:textId="3F30CBC8" w:rsidR="00650ECA" w:rsidRPr="00650ECA" w:rsidRDefault="005370AD" w:rsidP="00650ECA">
      <w:pPr>
        <w:spacing w:line="360" w:lineRule="auto"/>
        <w:rPr>
          <w:bCs/>
          <w:iCs/>
          <w:color w:val="FF0000"/>
          <w:u w:val="single"/>
        </w:rPr>
      </w:pPr>
      <w:r>
        <w:rPr>
          <w:bCs/>
          <w:iCs/>
        </w:rPr>
        <w:t xml:space="preserve">This is a novel study providing new insight into patients’ understanding about causes of cellulitis and views about prevention of recurrence. A strength of our approach is that, by using both qualitative interviews and quantitative survey methods, we are able to examine experiences in detail, while also providing estimates that generalise about the number of patients willing to adopt different cellulitis recurrence prevention strategies. Further, by using purposive sampling for the interviews we were able to examine experiences of people with single episode or recurrent cellulitis, who may differ in their views and experiences. A limitation is the relatively low response rate to invitation to participate, meaning that these views may not be representative of all people with a history of </w:t>
      </w:r>
      <w:r w:rsidRPr="00103F24">
        <w:rPr>
          <w:bCs/>
          <w:iCs/>
        </w:rPr>
        <w:t xml:space="preserve">cellulitis. </w:t>
      </w:r>
      <w:r w:rsidR="00787A36" w:rsidRPr="00103F24">
        <w:rPr>
          <w:bCs/>
          <w:iCs/>
        </w:rPr>
        <w:t>Furthermore, with no sample frame for the participants elicited from community advertising an overall response rate can’t be calculated, which may further compromise the study’s external validity.</w:t>
      </w:r>
      <w:r w:rsidR="00650ECA" w:rsidRPr="00103F24">
        <w:rPr>
          <w:bCs/>
          <w:iCs/>
        </w:rPr>
        <w:t xml:space="preserve"> It is also known that cellulitis can be incorrectly diagnosed, so it is possible that some of our participants may not have had cellulitis.</w:t>
      </w:r>
      <w:r w:rsidR="00650ECA" w:rsidRPr="00103F24">
        <w:t xml:space="preserve"> </w:t>
      </w:r>
      <w:r w:rsidR="00650ECA" w:rsidRPr="00103F24">
        <w:rPr>
          <w:bCs/>
          <w:iCs/>
        </w:rPr>
        <w:t>To mitigate against including potentially participants without cellulitis, we asked our interviewees to confirm they had cellulitis prior to interview and also considered the type of symptoms discussed during the interview, noting symptoms that were unlikely to be cellulitis (i.e. bilateral leg symptoms).</w:t>
      </w:r>
      <w:r w:rsidR="00650ECA" w:rsidRPr="00103F24">
        <w:rPr>
          <w:bCs/>
          <w:iCs/>
          <w:u w:val="single"/>
        </w:rPr>
        <w:t xml:space="preserve"> </w:t>
      </w:r>
    </w:p>
    <w:p w14:paraId="790BD91D" w14:textId="6C93D3E7" w:rsidR="00650ECA" w:rsidRPr="00650ECA" w:rsidRDefault="00650ECA" w:rsidP="00650ECA">
      <w:pPr>
        <w:spacing w:line="360" w:lineRule="auto"/>
        <w:rPr>
          <w:bCs/>
          <w:iCs/>
          <w:color w:val="FF0000"/>
          <w:u w:val="single"/>
        </w:rPr>
      </w:pPr>
    </w:p>
    <w:p w14:paraId="65BB2714" w14:textId="664B7D1E" w:rsidR="005370AD" w:rsidRDefault="005370AD" w:rsidP="00241AAF">
      <w:pPr>
        <w:spacing w:line="360" w:lineRule="auto"/>
        <w:rPr>
          <w:bCs/>
          <w:iCs/>
        </w:rPr>
      </w:pPr>
    </w:p>
    <w:p w14:paraId="57D71E97" w14:textId="77777777" w:rsidR="005370AD" w:rsidRDefault="005370AD" w:rsidP="00241AAF"/>
    <w:p w14:paraId="72BD73CC" w14:textId="77777777" w:rsidR="005370AD" w:rsidRDefault="005370AD" w:rsidP="00241AAF">
      <w:pPr>
        <w:rPr>
          <w:b/>
        </w:rPr>
      </w:pPr>
      <w:r w:rsidRPr="00755CAF">
        <w:rPr>
          <w:b/>
        </w:rPr>
        <w:t xml:space="preserve">Implications for </w:t>
      </w:r>
      <w:r>
        <w:rPr>
          <w:b/>
        </w:rPr>
        <w:t>clinical</w:t>
      </w:r>
      <w:r w:rsidRPr="00755CAF">
        <w:rPr>
          <w:b/>
        </w:rPr>
        <w:t xml:space="preserve"> practice</w:t>
      </w:r>
    </w:p>
    <w:p w14:paraId="69105D5B" w14:textId="6CA6CA27" w:rsidR="005370AD" w:rsidRPr="003237A7" w:rsidRDefault="006F7C18" w:rsidP="00241AAF">
      <w:pPr>
        <w:spacing w:line="360" w:lineRule="auto"/>
        <w:rPr>
          <w:bCs/>
        </w:rPr>
      </w:pPr>
      <w:r>
        <w:rPr>
          <w:bCs/>
        </w:rPr>
        <w:t>A recent Cochrane review</w:t>
      </w:r>
      <w:r w:rsidR="005370AD">
        <w:rPr>
          <w:bCs/>
        </w:rPr>
        <w:t xml:space="preserve"> </w:t>
      </w:r>
      <w:r>
        <w:rPr>
          <w:bCs/>
        </w:rPr>
        <w:t>of i</w:t>
      </w:r>
      <w:r w:rsidRPr="006F7C18">
        <w:rPr>
          <w:bCs/>
        </w:rPr>
        <w:t xml:space="preserve">nterventions </w:t>
      </w:r>
      <w:r>
        <w:rPr>
          <w:bCs/>
        </w:rPr>
        <w:t xml:space="preserve">to prevent </w:t>
      </w:r>
      <w:r w:rsidRPr="006F7C18">
        <w:rPr>
          <w:bCs/>
        </w:rPr>
        <w:t>recurrent cellulitis</w:t>
      </w:r>
      <w:r w:rsidR="005370AD" w:rsidRPr="003237A7">
        <w:rPr>
          <w:bCs/>
        </w:rPr>
        <w:t xml:space="preserve"> </w:t>
      </w:r>
      <w:r w:rsidR="00466322">
        <w:rPr>
          <w:bCs/>
        </w:rPr>
        <w:t xml:space="preserve">concluded that prophylactic </w:t>
      </w:r>
      <w:r w:rsidRPr="006F7C18">
        <w:rPr>
          <w:bCs/>
        </w:rPr>
        <w:t>antibiotic</w:t>
      </w:r>
      <w:r w:rsidR="00466322">
        <w:rPr>
          <w:bCs/>
        </w:rPr>
        <w:t>s</w:t>
      </w:r>
      <w:r w:rsidRPr="006F7C18">
        <w:rPr>
          <w:bCs/>
        </w:rPr>
        <w:t xml:space="preserve"> </w:t>
      </w:r>
      <w:r w:rsidR="00466322">
        <w:rPr>
          <w:bCs/>
        </w:rPr>
        <w:t>are</w:t>
      </w:r>
      <w:r w:rsidRPr="006F7C18">
        <w:rPr>
          <w:bCs/>
        </w:rPr>
        <w:t xml:space="preserve"> probably an effective </w:t>
      </w:r>
      <w:r w:rsidR="00466322">
        <w:rPr>
          <w:bCs/>
        </w:rPr>
        <w:t>strategy but that further RCTs are needed to explore the effectiveness of other interventions.</w:t>
      </w:r>
      <w:r w:rsidR="00556615" w:rsidRPr="00556615">
        <w:rPr>
          <w:bCs/>
          <w:noProof/>
          <w:vertAlign w:val="superscript"/>
        </w:rPr>
        <w:t xml:space="preserve"> </w:t>
      </w:r>
      <w:r w:rsidR="00556615" w:rsidRPr="00067AD2">
        <w:rPr>
          <w:bCs/>
          <w:noProof/>
          <w:vertAlign w:val="superscript"/>
        </w:rPr>
        <w:t>6</w:t>
      </w:r>
      <w:r w:rsidR="00556615">
        <w:rPr>
          <w:bCs/>
        </w:rPr>
        <w:t xml:space="preserve"> Given</w:t>
      </w:r>
      <w:r w:rsidR="00466322" w:rsidRPr="003237A7">
        <w:rPr>
          <w:bCs/>
        </w:rPr>
        <w:t xml:space="preserve"> that approximately a third of patients with cellulitis will experience recurrent episod</w:t>
      </w:r>
      <w:r w:rsidR="00466322">
        <w:rPr>
          <w:bCs/>
        </w:rPr>
        <w:t>es, m</w:t>
      </w:r>
      <w:r w:rsidR="00291557" w:rsidRPr="00291557">
        <w:rPr>
          <w:bCs/>
        </w:rPr>
        <w:t xml:space="preserve">ore research is needed to find effective strategies for prevention, although emollients, or active treatment </w:t>
      </w:r>
      <w:r w:rsidR="00466322" w:rsidRPr="00291557">
        <w:rPr>
          <w:bCs/>
        </w:rPr>
        <w:t>o</w:t>
      </w:r>
      <w:r w:rsidR="00466322">
        <w:rPr>
          <w:bCs/>
        </w:rPr>
        <w:t>f</w:t>
      </w:r>
      <w:r w:rsidR="00291557" w:rsidRPr="00291557">
        <w:rPr>
          <w:bCs/>
        </w:rPr>
        <w:t xml:space="preserve"> fungal foot disease, for conditions known to cause breaks in the skin barrier is likely to be effective. For people with </w:t>
      </w:r>
      <w:proofErr w:type="spellStart"/>
      <w:r w:rsidR="00291557" w:rsidRPr="00291557">
        <w:rPr>
          <w:bCs/>
        </w:rPr>
        <w:t>lymphoedema</w:t>
      </w:r>
      <w:proofErr w:type="spellEnd"/>
      <w:r w:rsidR="00291557" w:rsidRPr="00291557">
        <w:rPr>
          <w:bCs/>
        </w:rPr>
        <w:t>, strategies such as compression hosiery or exercise may be effective.</w:t>
      </w:r>
      <w:r w:rsidR="00556615">
        <w:rPr>
          <w:bCs/>
        </w:rPr>
        <w:t xml:space="preserve"> I</w:t>
      </w:r>
      <w:r w:rsidR="005370AD">
        <w:rPr>
          <w:bCs/>
        </w:rPr>
        <w:t>t would seem important that clinicians advise people that the condition is likely to recur and i</w:t>
      </w:r>
      <w:r w:rsidR="005370AD" w:rsidRPr="003237A7">
        <w:rPr>
          <w:bCs/>
        </w:rPr>
        <w:t xml:space="preserve">nform them that </w:t>
      </w:r>
      <w:r w:rsidR="005370AD">
        <w:rPr>
          <w:bCs/>
        </w:rPr>
        <w:t>there is strong evidence to support the use of prophylactic antibiotics</w:t>
      </w:r>
      <w:r w:rsidR="005370AD" w:rsidRPr="003237A7">
        <w:rPr>
          <w:bCs/>
        </w:rPr>
        <w:t>.</w:t>
      </w:r>
      <w:r w:rsidR="005370AD">
        <w:rPr>
          <w:bCs/>
        </w:rPr>
        <w:t xml:space="preserve"> O</w:t>
      </w:r>
      <w:r w:rsidR="005370AD" w:rsidRPr="003237A7">
        <w:rPr>
          <w:bCs/>
        </w:rPr>
        <w:t>ur findings suggest that many patients are not currently informed of this</w:t>
      </w:r>
      <w:r w:rsidR="005370AD">
        <w:rPr>
          <w:bCs/>
        </w:rPr>
        <w:t xml:space="preserve">, both amongst those whose cellulitis has been managed in primary care and secondary care. The people we interviewed felt that they </w:t>
      </w:r>
      <w:r w:rsidR="005370AD" w:rsidRPr="003237A7">
        <w:rPr>
          <w:bCs/>
        </w:rPr>
        <w:t>should</w:t>
      </w:r>
      <w:r w:rsidR="005370AD">
        <w:rPr>
          <w:bCs/>
        </w:rPr>
        <w:t xml:space="preserve"> have received more information</w:t>
      </w:r>
      <w:r w:rsidR="005370AD" w:rsidRPr="003237A7">
        <w:rPr>
          <w:bCs/>
        </w:rPr>
        <w:t>.</w:t>
      </w:r>
      <w:r w:rsidR="005370AD">
        <w:rPr>
          <w:bCs/>
        </w:rPr>
        <w:t xml:space="preserve"> In pressured clinical environments this may mean directing patients towards evidence-based information leaflets or online resources.</w:t>
      </w:r>
    </w:p>
    <w:p w14:paraId="33DA5CD4" w14:textId="77777777" w:rsidR="005370AD" w:rsidRDefault="005370AD" w:rsidP="00241AAF">
      <w:pPr>
        <w:rPr>
          <w:b/>
        </w:rPr>
      </w:pPr>
    </w:p>
    <w:p w14:paraId="5B27F2A7" w14:textId="77777777" w:rsidR="005370AD" w:rsidRPr="00755CAF" w:rsidRDefault="005370AD" w:rsidP="00241AAF">
      <w:pPr>
        <w:rPr>
          <w:b/>
        </w:rPr>
      </w:pPr>
      <w:r>
        <w:rPr>
          <w:b/>
        </w:rPr>
        <w:t>Implications for research</w:t>
      </w:r>
    </w:p>
    <w:p w14:paraId="2694CF01" w14:textId="77777777" w:rsidR="005370AD" w:rsidRPr="00E80A7A" w:rsidRDefault="005370AD" w:rsidP="00241AAF">
      <w:pPr>
        <w:pStyle w:val="CommentText"/>
        <w:spacing w:line="360" w:lineRule="auto"/>
        <w:rPr>
          <w:sz w:val="22"/>
          <w:szCs w:val="22"/>
        </w:rPr>
      </w:pPr>
      <w:r w:rsidRPr="00E80A7A">
        <w:rPr>
          <w:sz w:val="22"/>
          <w:szCs w:val="22"/>
        </w:rPr>
        <w:t xml:space="preserve">Despite the lack of evidence for many prevention strategies, this study suggests that people with cellulitis are keen to know about, and are potentially willing to adopt, various non-antibiotic prevention strategies. Enhanced foot hygiene/care was generally viewed to be a more acceptable, feasible strategy than compression or antibiotics, but further research is needed to explore effectiveness and uptake in practice. </w:t>
      </w:r>
      <w:r>
        <w:rPr>
          <w:sz w:val="22"/>
          <w:szCs w:val="22"/>
        </w:rPr>
        <w:t>However, this does present</w:t>
      </w:r>
      <w:r w:rsidRPr="00E80A7A">
        <w:rPr>
          <w:sz w:val="22"/>
          <w:szCs w:val="22"/>
        </w:rPr>
        <w:t xml:space="preserve"> a potential dilemma as compression and antibiotics are likely to be the most effective ways of preventing recurrence. It might be that compression garments would be more </w:t>
      </w:r>
      <w:r>
        <w:rPr>
          <w:sz w:val="22"/>
          <w:szCs w:val="22"/>
        </w:rPr>
        <w:t xml:space="preserve">acceptable </w:t>
      </w:r>
      <w:r w:rsidRPr="00E80A7A">
        <w:rPr>
          <w:sz w:val="22"/>
          <w:szCs w:val="22"/>
        </w:rPr>
        <w:t>i</w:t>
      </w:r>
      <w:r>
        <w:rPr>
          <w:sz w:val="22"/>
          <w:szCs w:val="22"/>
        </w:rPr>
        <w:t xml:space="preserve">n </w:t>
      </w:r>
      <w:r w:rsidRPr="00E80A7A">
        <w:rPr>
          <w:sz w:val="22"/>
          <w:szCs w:val="22"/>
        </w:rPr>
        <w:t xml:space="preserve">people with </w:t>
      </w:r>
      <w:proofErr w:type="spellStart"/>
      <w:r w:rsidRPr="00E80A7A">
        <w:rPr>
          <w:sz w:val="22"/>
          <w:szCs w:val="22"/>
        </w:rPr>
        <w:t>lymphoedema</w:t>
      </w:r>
      <w:proofErr w:type="spellEnd"/>
      <w:r w:rsidRPr="00E80A7A">
        <w:rPr>
          <w:sz w:val="22"/>
          <w:szCs w:val="22"/>
        </w:rPr>
        <w:t xml:space="preserve"> and a history of </w:t>
      </w:r>
      <w:r>
        <w:rPr>
          <w:sz w:val="22"/>
          <w:szCs w:val="22"/>
        </w:rPr>
        <w:t xml:space="preserve">multiple episodes of </w:t>
      </w:r>
      <w:r w:rsidRPr="00E80A7A">
        <w:rPr>
          <w:sz w:val="22"/>
          <w:szCs w:val="22"/>
        </w:rPr>
        <w:t xml:space="preserve">cellulitis, rather than </w:t>
      </w:r>
      <w:r>
        <w:rPr>
          <w:sz w:val="22"/>
          <w:szCs w:val="22"/>
        </w:rPr>
        <w:t>those who have only one or two episodes</w:t>
      </w:r>
      <w:r w:rsidRPr="00E80A7A">
        <w:rPr>
          <w:sz w:val="22"/>
          <w:szCs w:val="22"/>
        </w:rPr>
        <w:t>.</w:t>
      </w:r>
      <w:r>
        <w:rPr>
          <w:sz w:val="22"/>
          <w:szCs w:val="22"/>
        </w:rPr>
        <w:t xml:space="preserve"> An alternative approach could be to assess the effectiveness of multiple potential preventative strategies implemented simultaneously rather than testing one in isolation. </w:t>
      </w:r>
      <w:r w:rsidRPr="00E80A7A">
        <w:rPr>
          <w:sz w:val="22"/>
          <w:szCs w:val="22"/>
        </w:rPr>
        <w:t>Conducting an RCT with nested qualitative studies would enable researchers to examine and explore the effectiveness and potential uptake of different</w:t>
      </w:r>
      <w:r>
        <w:rPr>
          <w:sz w:val="22"/>
          <w:szCs w:val="22"/>
        </w:rPr>
        <w:t>, and possibly multiple,</w:t>
      </w:r>
      <w:r w:rsidRPr="00E80A7A">
        <w:rPr>
          <w:sz w:val="22"/>
          <w:szCs w:val="22"/>
        </w:rPr>
        <w:t xml:space="preserve"> non-antibiotic preventative behaviours, and could inform the development of interventions that support people with cellulitis to prevent recurrence. </w:t>
      </w:r>
    </w:p>
    <w:p w14:paraId="35D62724" w14:textId="77777777" w:rsidR="005370AD" w:rsidRDefault="005370AD">
      <w:pPr>
        <w:rPr>
          <w:b/>
        </w:rPr>
      </w:pPr>
    </w:p>
    <w:p w14:paraId="486204EF" w14:textId="77777777" w:rsidR="00EA3252" w:rsidRDefault="00EA3252">
      <w:pPr>
        <w:rPr>
          <w:b/>
        </w:rPr>
      </w:pPr>
    </w:p>
    <w:p w14:paraId="73A85862" w14:textId="77777777" w:rsidR="005370AD" w:rsidRDefault="005370AD">
      <w:pPr>
        <w:rPr>
          <w:b/>
        </w:rPr>
      </w:pPr>
      <w:r>
        <w:rPr>
          <w:b/>
        </w:rPr>
        <w:t>Acknowledgements</w:t>
      </w:r>
    </w:p>
    <w:p w14:paraId="1C538C4F" w14:textId="0CB583DC" w:rsidR="005370AD" w:rsidRPr="003237A7" w:rsidRDefault="00757521" w:rsidP="00241AAF">
      <w:pPr>
        <w:spacing w:line="360" w:lineRule="auto"/>
      </w:pPr>
      <w:r w:rsidRPr="00757521">
        <w:t xml:space="preserve">We would like to </w:t>
      </w:r>
      <w:r>
        <w:t>thank</w:t>
      </w:r>
      <w:r w:rsidRPr="00757521">
        <w:t xml:space="preserve"> the p</w:t>
      </w:r>
      <w:r>
        <w:t>eople with cellulitis</w:t>
      </w:r>
      <w:r w:rsidRPr="00757521">
        <w:t xml:space="preserve"> who took part in this research study and the primary and secondary care sites along with Wessex Clinical Research Network for facilitating recruitment. </w:t>
      </w:r>
      <w:r w:rsidR="005370AD" w:rsidRPr="003237A7">
        <w:t xml:space="preserve">This paper presents independent research funded by the National Institute for Health Research School for Primary Care Research (NIHR SPCR). The views expressed are those of the author(s) and not necessarily those of the NIHR, the </w:t>
      </w:r>
      <w:r w:rsidR="001820ED">
        <w:t xml:space="preserve">NHS or the Department of Health and Social Care. </w:t>
      </w:r>
      <w:r w:rsidR="005370AD" w:rsidRPr="003237A7">
        <w:br w:type="page"/>
      </w:r>
      <w:bookmarkStart w:id="0" w:name="_GoBack"/>
      <w:bookmarkEnd w:id="0"/>
    </w:p>
    <w:p w14:paraId="4C3A6AF8" w14:textId="77777777" w:rsidR="005370AD" w:rsidRDefault="005370AD" w:rsidP="00241AAF">
      <w:pPr>
        <w:rPr>
          <w:b/>
        </w:rPr>
      </w:pPr>
      <w:r>
        <w:rPr>
          <w:b/>
        </w:rPr>
        <w:t>REFERENCES</w:t>
      </w:r>
    </w:p>
    <w:p w14:paraId="782695BD" w14:textId="6A04EBF7" w:rsidR="005370AD" w:rsidRPr="00067AD2" w:rsidRDefault="005370AD" w:rsidP="00241AAF">
      <w:pPr>
        <w:pStyle w:val="EndNoteBibliography"/>
        <w:spacing w:after="360"/>
      </w:pPr>
      <w:r w:rsidRPr="00067AD2">
        <w:t xml:space="preserve">1. Carter K, Hilburn S, Featherstone P. Cellulitis and treatment: a qualitative study of experiences. </w:t>
      </w:r>
      <w:r w:rsidR="00386205" w:rsidRPr="00386205">
        <w:rPr>
          <w:i/>
          <w:lang w:val="en"/>
        </w:rPr>
        <w:t>Br J Nurs</w:t>
      </w:r>
      <w:r w:rsidR="00386205" w:rsidRPr="00386205">
        <w:rPr>
          <w:i/>
          <w:lang w:val="en-GB"/>
        </w:rPr>
        <w:t xml:space="preserve"> </w:t>
      </w:r>
      <w:r w:rsidRPr="00067AD2">
        <w:t>2007;16(6):S22-8.</w:t>
      </w:r>
    </w:p>
    <w:p w14:paraId="7B4B7834" w14:textId="77777777" w:rsidR="005370AD" w:rsidRPr="00067AD2" w:rsidRDefault="005370AD" w:rsidP="00241AAF">
      <w:pPr>
        <w:pStyle w:val="EndNoteBibliography"/>
        <w:spacing w:after="360"/>
      </w:pPr>
      <w:r w:rsidRPr="00067AD2">
        <w:t>2. Digital N. Hospital Admitted Patient Care Activity, 2015-16  Hospital Admitted Patient Care Activity, 2015-16: Diagnosis [xlsx], 2016.</w:t>
      </w:r>
    </w:p>
    <w:p w14:paraId="194F6F89" w14:textId="488054B7" w:rsidR="005370AD" w:rsidRPr="00067AD2" w:rsidRDefault="005370AD" w:rsidP="00241AAF">
      <w:pPr>
        <w:pStyle w:val="EndNoteBibliography"/>
        <w:spacing w:after="360"/>
      </w:pPr>
      <w:r w:rsidRPr="00067AD2">
        <w:t xml:space="preserve">3. Cox NH, Colver GB, Paterson WD. Management and morbidity of cellulitis of the leg. </w:t>
      </w:r>
      <w:r w:rsidR="005C0729" w:rsidRPr="005C0729">
        <w:rPr>
          <w:i/>
          <w:lang w:val="en"/>
        </w:rPr>
        <w:t>J R Soc Med</w:t>
      </w:r>
      <w:r w:rsidRPr="00067AD2">
        <w:t xml:space="preserve"> 1998;91(12):634-37.</w:t>
      </w:r>
    </w:p>
    <w:p w14:paraId="17768C00" w14:textId="77777777" w:rsidR="00DD7350" w:rsidRDefault="005370AD" w:rsidP="00241AAF">
      <w:pPr>
        <w:pStyle w:val="EndNoteBibliography"/>
        <w:spacing w:after="360"/>
      </w:pPr>
      <w:r w:rsidRPr="00067AD2">
        <w:t xml:space="preserve">4. Raff AB, Kroshinsky D. Cellulitis: A Review. </w:t>
      </w:r>
      <w:r w:rsidRPr="00067AD2">
        <w:rPr>
          <w:i/>
        </w:rPr>
        <w:t>JAMA</w:t>
      </w:r>
      <w:r w:rsidRPr="00067AD2">
        <w:t xml:space="preserve"> 2016;316(3):325-37. </w:t>
      </w:r>
    </w:p>
    <w:p w14:paraId="39E59C70" w14:textId="1CF6EE81" w:rsidR="005370AD" w:rsidRPr="00067AD2" w:rsidRDefault="005370AD" w:rsidP="00241AAF">
      <w:pPr>
        <w:pStyle w:val="EndNoteBibliography"/>
        <w:spacing w:after="360"/>
      </w:pPr>
      <w:r w:rsidRPr="00067AD2">
        <w:t xml:space="preserve">5. Thomas KS, Crook AM, Nunn AJ, et al. Penicillin to prevent recurrent leg cellulitis. </w:t>
      </w:r>
      <w:r w:rsidR="005C0729" w:rsidRPr="005C0729">
        <w:rPr>
          <w:i/>
          <w:lang w:val="en"/>
        </w:rPr>
        <w:t>N Engl J Med</w:t>
      </w:r>
      <w:r w:rsidRPr="00067AD2">
        <w:t xml:space="preserve"> 2013;368(18):1695-703. </w:t>
      </w:r>
    </w:p>
    <w:p w14:paraId="38AF569F" w14:textId="20E34578" w:rsidR="005370AD" w:rsidRPr="00067AD2" w:rsidRDefault="005370AD" w:rsidP="00241AAF">
      <w:pPr>
        <w:pStyle w:val="EndNoteBibliography"/>
        <w:spacing w:after="360"/>
      </w:pPr>
      <w:r w:rsidRPr="00067AD2">
        <w:t xml:space="preserve">6. Dalal A, Eskin-Schwartz M, Mimouni D, et al. Interventions for the prevention of recurrent erysipelas and cellulitis. </w:t>
      </w:r>
      <w:r w:rsidR="005C0729" w:rsidRPr="005C0729">
        <w:rPr>
          <w:i/>
          <w:lang w:val="en"/>
        </w:rPr>
        <w:t>Cochrane Database Syst Rev</w:t>
      </w:r>
      <w:r w:rsidR="005C0729" w:rsidRPr="005C0729">
        <w:rPr>
          <w:i/>
          <w:lang w:val="en-GB"/>
        </w:rPr>
        <w:t xml:space="preserve"> </w:t>
      </w:r>
      <w:r w:rsidRPr="00067AD2">
        <w:t>2017;6:CD009758.</w:t>
      </w:r>
    </w:p>
    <w:p w14:paraId="399AD4C0" w14:textId="18A2FADB" w:rsidR="00DD7350" w:rsidRDefault="005370AD" w:rsidP="00241AAF">
      <w:pPr>
        <w:pStyle w:val="EndNoteBibliography"/>
        <w:spacing w:after="360"/>
      </w:pPr>
      <w:r w:rsidRPr="00067AD2">
        <w:t xml:space="preserve">7. Hopp R, Sundberg S. The effects of soaking and lotion on dryness of the skin in the feet of the elderly patient. </w:t>
      </w:r>
      <w:r w:rsidR="005C0729" w:rsidRPr="005C0729">
        <w:rPr>
          <w:i/>
          <w:lang w:val="en"/>
        </w:rPr>
        <w:t>J Am Podiatr Med Assoc</w:t>
      </w:r>
      <w:r w:rsidR="005C0729" w:rsidRPr="005C0729">
        <w:rPr>
          <w:i/>
          <w:lang w:val="en-GB"/>
        </w:rPr>
        <w:t xml:space="preserve"> </w:t>
      </w:r>
      <w:r w:rsidRPr="00067AD2">
        <w:t xml:space="preserve">1974;64(10):747-60. </w:t>
      </w:r>
    </w:p>
    <w:p w14:paraId="03E08C11" w14:textId="7B0B6A15" w:rsidR="00DD7350" w:rsidRDefault="005370AD" w:rsidP="00241AAF">
      <w:pPr>
        <w:pStyle w:val="EndNoteBibliography"/>
        <w:spacing w:after="360"/>
      </w:pPr>
      <w:r w:rsidRPr="00067AD2">
        <w:t xml:space="preserve">8. Bristow IR, Spruce MC. Fungal foot infection, cellulitis and diabetes: a review. </w:t>
      </w:r>
      <w:r w:rsidR="00EC0F4E" w:rsidRPr="00EC0F4E">
        <w:rPr>
          <w:i/>
          <w:lang w:val="en"/>
        </w:rPr>
        <w:t>Diabet Med</w:t>
      </w:r>
      <w:r w:rsidR="00EC0F4E" w:rsidRPr="00EC0F4E">
        <w:rPr>
          <w:i/>
          <w:lang w:val="en-GB"/>
        </w:rPr>
        <w:t xml:space="preserve"> </w:t>
      </w:r>
      <w:r w:rsidRPr="00067AD2">
        <w:t xml:space="preserve">2009;26(5):548-51. </w:t>
      </w:r>
    </w:p>
    <w:p w14:paraId="586A1222" w14:textId="77777777" w:rsidR="005370AD" w:rsidRPr="00067AD2" w:rsidRDefault="005370AD" w:rsidP="00241AAF">
      <w:pPr>
        <w:pStyle w:val="EndNoteBibliography"/>
        <w:spacing w:after="360"/>
      </w:pPr>
      <w:r w:rsidRPr="00067AD2">
        <w:t xml:space="preserve">9. Roujeau JC, Sigurgeirsson B, Korting HC, et al. Chronic dermatomycoses of the foot as risk factors for acute bacterial cellulitis of the leg: a case-control study. </w:t>
      </w:r>
      <w:r w:rsidRPr="00067AD2">
        <w:rPr>
          <w:i/>
        </w:rPr>
        <w:t>Dermatology</w:t>
      </w:r>
      <w:r w:rsidRPr="00067AD2">
        <w:t xml:space="preserve"> 2004;209(4):301-07.</w:t>
      </w:r>
    </w:p>
    <w:p w14:paraId="784697C3" w14:textId="5D796B2E" w:rsidR="005370AD" w:rsidRPr="00067AD2" w:rsidRDefault="005370AD" w:rsidP="00241AAF">
      <w:pPr>
        <w:pStyle w:val="EndNoteBibliography"/>
        <w:spacing w:after="360"/>
      </w:pPr>
      <w:r w:rsidRPr="00067AD2">
        <w:t xml:space="preserve">10. Roberts DT. Prevalence of dermatophyte onychomycosis in the United Kingdom: results of an omnibus survey. </w:t>
      </w:r>
      <w:r w:rsidR="00EC0F4E" w:rsidRPr="00EC0F4E">
        <w:rPr>
          <w:i/>
          <w:lang w:val="en"/>
        </w:rPr>
        <w:t>Br J Dermatol</w:t>
      </w:r>
      <w:r w:rsidR="00EC0F4E" w:rsidRPr="00EC0F4E">
        <w:rPr>
          <w:i/>
          <w:lang w:val="en-GB"/>
        </w:rPr>
        <w:t xml:space="preserve"> </w:t>
      </w:r>
      <w:r w:rsidRPr="00067AD2">
        <w:t>1992;126:Suppl-7.</w:t>
      </w:r>
    </w:p>
    <w:p w14:paraId="473905E1" w14:textId="5418404F" w:rsidR="005370AD" w:rsidRPr="00067AD2" w:rsidRDefault="005370AD" w:rsidP="00241AAF">
      <w:pPr>
        <w:pStyle w:val="EndNoteBibliography"/>
        <w:spacing w:after="360"/>
      </w:pPr>
      <w:r w:rsidRPr="00067AD2">
        <w:t xml:space="preserve">11. Sais G, Jucgla A, Peyri J. Prevalence of dermatophyte onychomycosis in Spain: a cross-sectional study. </w:t>
      </w:r>
      <w:r w:rsidR="00EC0F4E" w:rsidRPr="00EC0F4E">
        <w:rPr>
          <w:i/>
          <w:lang w:val="en"/>
        </w:rPr>
        <w:t>Br J Dermatol</w:t>
      </w:r>
      <w:r w:rsidR="00EC0F4E" w:rsidRPr="00EC0F4E">
        <w:rPr>
          <w:i/>
          <w:lang w:val="en-GB"/>
        </w:rPr>
        <w:t xml:space="preserve"> </w:t>
      </w:r>
      <w:r w:rsidRPr="00067AD2">
        <w:t>1995;132(5):758-61.</w:t>
      </w:r>
    </w:p>
    <w:p w14:paraId="71A37442" w14:textId="4CD302E4" w:rsidR="005370AD" w:rsidRDefault="005370AD" w:rsidP="00241AAF">
      <w:pPr>
        <w:pStyle w:val="EndNoteBibliography"/>
        <w:spacing w:after="360"/>
      </w:pPr>
      <w:r w:rsidRPr="00067AD2">
        <w:t xml:space="preserve">12. Thomas KS, Brindle R, Chalmers JR, et al. Identifying priority areas for research into the diagnosis, treatment and prevention of cellulitis (erysipelas): results of a James Lind Alliance Priority Setting Partnership. </w:t>
      </w:r>
      <w:r w:rsidR="00EC0F4E" w:rsidRPr="00EC0F4E">
        <w:rPr>
          <w:i/>
          <w:lang w:val="en"/>
        </w:rPr>
        <w:t>Br J Dermatol</w:t>
      </w:r>
      <w:r w:rsidR="00EC0F4E" w:rsidRPr="00EC0F4E">
        <w:rPr>
          <w:i/>
          <w:lang w:val="en-GB"/>
        </w:rPr>
        <w:t xml:space="preserve"> </w:t>
      </w:r>
      <w:r w:rsidRPr="00067AD2">
        <w:t xml:space="preserve">2017;177(2):541-43. </w:t>
      </w:r>
    </w:p>
    <w:p w14:paraId="4C29A137" w14:textId="79502D19" w:rsidR="009A16CD" w:rsidRPr="00103F24" w:rsidRDefault="009A16CD" w:rsidP="00241AAF">
      <w:pPr>
        <w:pStyle w:val="EndNoteBibliography"/>
        <w:spacing w:after="360"/>
        <w:rPr>
          <w:i/>
          <w:lang w:val="en-GB"/>
        </w:rPr>
      </w:pPr>
      <w:r w:rsidRPr="00103F24">
        <w:rPr>
          <w:lang w:val="en"/>
        </w:rPr>
        <w:t xml:space="preserve">13. Teasdale E, Lalonde A, Muller I, et al. </w:t>
      </w:r>
      <w:r w:rsidRPr="00103F24">
        <w:rPr>
          <w:lang w:val="en-GB"/>
        </w:rPr>
        <w:t xml:space="preserve">Uncertainty about cellulitis and unmet patient information needs: a mixed methods study in primary and secondary care. </w:t>
      </w:r>
      <w:r w:rsidRPr="00103F24">
        <w:rPr>
          <w:i/>
          <w:lang w:val="en-GB"/>
        </w:rPr>
        <w:t>British Journal of General Practice (in press)</w:t>
      </w:r>
    </w:p>
    <w:p w14:paraId="26AFFAEB" w14:textId="711535DE" w:rsidR="00DD7350" w:rsidRDefault="005370AD" w:rsidP="00241AAF">
      <w:pPr>
        <w:pStyle w:val="EndNoteBibliography"/>
        <w:spacing w:after="360"/>
      </w:pPr>
      <w:r w:rsidRPr="00067AD2">
        <w:t>1</w:t>
      </w:r>
      <w:r w:rsidR="009A16CD">
        <w:t>4</w:t>
      </w:r>
      <w:r w:rsidRPr="00067AD2">
        <w:t xml:space="preserve">. Bishop FL. Using mixed methods research designs in health psychology: An illustrated discussion from a pragmatist perspective. </w:t>
      </w:r>
      <w:r w:rsidR="00EC0F4E" w:rsidRPr="00EC0F4E">
        <w:rPr>
          <w:i/>
          <w:lang w:val="en"/>
        </w:rPr>
        <w:t>Br J Health Psychol</w:t>
      </w:r>
      <w:r w:rsidR="00EC0F4E" w:rsidRPr="00EC0F4E">
        <w:rPr>
          <w:i/>
          <w:lang w:val="en-GB"/>
        </w:rPr>
        <w:t xml:space="preserve"> </w:t>
      </w:r>
      <w:r w:rsidRPr="00067AD2">
        <w:t xml:space="preserve">2015;20(1):5-20. </w:t>
      </w:r>
    </w:p>
    <w:p w14:paraId="4839D56C" w14:textId="5315CDCF" w:rsidR="005370AD" w:rsidRPr="00067AD2" w:rsidRDefault="005370AD" w:rsidP="00241AAF">
      <w:pPr>
        <w:pStyle w:val="EndNoteBibliography"/>
        <w:spacing w:after="360"/>
      </w:pPr>
      <w:r w:rsidRPr="00067AD2">
        <w:t>1</w:t>
      </w:r>
      <w:r w:rsidR="009A16CD">
        <w:t>5</w:t>
      </w:r>
      <w:r w:rsidRPr="00067AD2">
        <w:t xml:space="preserve">. O'Cathain A, Murphy E, Nicholl J. Three techniques for integrating data in mixed methods studies. </w:t>
      </w:r>
      <w:r w:rsidRPr="00067AD2">
        <w:rPr>
          <w:i/>
        </w:rPr>
        <w:t>BMJ</w:t>
      </w:r>
      <w:r w:rsidRPr="00067AD2">
        <w:t xml:space="preserve"> 2010;341 </w:t>
      </w:r>
    </w:p>
    <w:p w14:paraId="6DBD7815" w14:textId="478EC6C6" w:rsidR="005370AD" w:rsidRPr="00067AD2" w:rsidRDefault="005370AD" w:rsidP="00241AAF">
      <w:pPr>
        <w:pStyle w:val="EndNoteBibliography"/>
        <w:spacing w:after="360"/>
      </w:pPr>
      <w:r w:rsidRPr="00067AD2">
        <w:t>1</w:t>
      </w:r>
      <w:r w:rsidR="009A16CD">
        <w:t>6</w:t>
      </w:r>
      <w:r w:rsidRPr="00067AD2">
        <w:t xml:space="preserve">. Tonkin-Crine S, Anthierens S, Hood K, et al. Discrepancies between qualitative and quantitative evaluation of randomised controlled trial results: achieving clarity through mixed methods triangulation. </w:t>
      </w:r>
      <w:r w:rsidRPr="00067AD2">
        <w:rPr>
          <w:i/>
        </w:rPr>
        <w:t>Implementation Science</w:t>
      </w:r>
      <w:r w:rsidRPr="00067AD2">
        <w:t xml:space="preserve"> 2016;11(1):66. </w:t>
      </w:r>
    </w:p>
    <w:p w14:paraId="18B4B465" w14:textId="1C6569F0" w:rsidR="005370AD" w:rsidRDefault="005370AD" w:rsidP="00241AAF">
      <w:pPr>
        <w:pStyle w:val="EndNoteBibliography"/>
        <w:spacing w:after="360"/>
      </w:pPr>
      <w:r w:rsidRPr="00067AD2">
        <w:t>1</w:t>
      </w:r>
      <w:r w:rsidR="009A16CD">
        <w:t>7</w:t>
      </w:r>
      <w:r w:rsidRPr="00067AD2">
        <w:t>. England PH. National General Practice</w:t>
      </w:r>
      <w:r w:rsidR="00DD7350">
        <w:t xml:space="preserve"> Profiles 2017 [Available from: </w:t>
      </w:r>
      <w:hyperlink r:id="rId11" w:history="1">
        <w:r w:rsidR="00DD7350" w:rsidRPr="005925E1">
          <w:rPr>
            <w:rStyle w:val="Hyperlink"/>
          </w:rPr>
          <w:t>https://fingertips.phe.org.uk/profile/general-practice/data</w:t>
        </w:r>
      </w:hyperlink>
    </w:p>
    <w:p w14:paraId="6779366B" w14:textId="36E99648" w:rsidR="005370AD" w:rsidRPr="00067AD2" w:rsidRDefault="005370AD" w:rsidP="00241AAF">
      <w:pPr>
        <w:pStyle w:val="EndNoteBibliography"/>
        <w:spacing w:after="360"/>
      </w:pPr>
      <w:r w:rsidRPr="00067AD2">
        <w:t>1</w:t>
      </w:r>
      <w:r w:rsidR="009A16CD">
        <w:t>8</w:t>
      </w:r>
      <w:r w:rsidRPr="00067AD2">
        <w:t xml:space="preserve">. Braun V, Clarke V. Using thematic analysis in psychology. </w:t>
      </w:r>
      <w:r w:rsidR="00EC0F4E" w:rsidRPr="00EC0F4E">
        <w:rPr>
          <w:i/>
          <w:lang w:val="en"/>
        </w:rPr>
        <w:t>Qual Res Psychol</w:t>
      </w:r>
      <w:r w:rsidR="00EC0F4E" w:rsidRPr="00EC0F4E">
        <w:rPr>
          <w:i/>
          <w:lang w:val="en-GB"/>
        </w:rPr>
        <w:t xml:space="preserve"> </w:t>
      </w:r>
      <w:r w:rsidRPr="00067AD2">
        <w:t>2006;3(2):77-101.</w:t>
      </w:r>
    </w:p>
    <w:p w14:paraId="30299BC3" w14:textId="7167B690" w:rsidR="00DD7350" w:rsidRDefault="009A16CD" w:rsidP="00241AAF">
      <w:pPr>
        <w:pStyle w:val="EndNoteBibliography"/>
        <w:spacing w:after="360"/>
      </w:pPr>
      <w:r>
        <w:t>19</w:t>
      </w:r>
      <w:r w:rsidR="005370AD" w:rsidRPr="00067AD2">
        <w:t xml:space="preserve">. Team UDCTNsPT, Thomas K, Crook A, et al. Prophylactic antibiotics for the prevention of cellulitis (erysipelas) of the leg: results of the UK Dermatology Clinical Trials Network's PATCH II trial. </w:t>
      </w:r>
      <w:r w:rsidR="00EC0F4E" w:rsidRPr="00EC0F4E">
        <w:rPr>
          <w:rFonts w:ascii="Arial" w:hAnsi="Arial" w:cs="Arial"/>
          <w:i/>
          <w:sz w:val="20"/>
          <w:szCs w:val="20"/>
          <w:lang w:val="en"/>
        </w:rPr>
        <w:t>Br J Dermatol</w:t>
      </w:r>
      <w:r w:rsidR="00EC0F4E" w:rsidRPr="00EC0F4E">
        <w:rPr>
          <w:i/>
        </w:rPr>
        <w:t xml:space="preserve"> </w:t>
      </w:r>
      <w:r w:rsidR="005370AD" w:rsidRPr="00067AD2">
        <w:t xml:space="preserve">2012;166(1):169-78. </w:t>
      </w:r>
    </w:p>
    <w:p w14:paraId="4749491A" w14:textId="710770D1" w:rsidR="005370AD" w:rsidRPr="00067AD2" w:rsidRDefault="009A16CD" w:rsidP="00241AAF">
      <w:pPr>
        <w:pStyle w:val="EndNoteBibliography"/>
        <w:spacing w:after="360"/>
      </w:pPr>
      <w:r>
        <w:t>20</w:t>
      </w:r>
      <w:r w:rsidR="005370AD" w:rsidRPr="00067AD2">
        <w:t xml:space="preserve">. Brookes-Howell L, Elwyn G, Hood K, et al. ‘The Body Gets Used to Them’: Patients’ Interpretations of Antibiotic Resistance and the Implications for Containment Strategies. </w:t>
      </w:r>
      <w:r w:rsidR="00EC0F4E" w:rsidRPr="00EC0F4E">
        <w:rPr>
          <w:i/>
          <w:lang w:val="en"/>
        </w:rPr>
        <w:t>J Gen Intern Med</w:t>
      </w:r>
      <w:r w:rsidR="005370AD" w:rsidRPr="00067AD2">
        <w:t xml:space="preserve"> 2012;27(7):766-72. </w:t>
      </w:r>
    </w:p>
    <w:p w14:paraId="61864C4D" w14:textId="56DF2BC6" w:rsidR="005370AD" w:rsidRPr="00067AD2" w:rsidRDefault="005370AD" w:rsidP="00241AAF">
      <w:pPr>
        <w:pStyle w:val="EndNoteBibliography"/>
        <w:spacing w:after="360"/>
      </w:pPr>
      <w:r w:rsidRPr="00067AD2">
        <w:t>2</w:t>
      </w:r>
      <w:r w:rsidR="009A16CD">
        <w:t>1</w:t>
      </w:r>
      <w:r w:rsidRPr="00067AD2">
        <w:t xml:space="preserve">. McCullough AR, Parekh S, Rathbone J, et al. A systematic review of the public's knowledge and beliefs about antibiotic resistance. </w:t>
      </w:r>
      <w:r w:rsidR="00EC0F4E" w:rsidRPr="00EC0F4E">
        <w:rPr>
          <w:i/>
          <w:lang w:val="en"/>
        </w:rPr>
        <w:t>J Antimicrob Chemother</w:t>
      </w:r>
      <w:r w:rsidR="00EC0F4E" w:rsidRPr="00EC0F4E">
        <w:rPr>
          <w:i/>
          <w:lang w:val="en-GB"/>
        </w:rPr>
        <w:t xml:space="preserve"> </w:t>
      </w:r>
      <w:r w:rsidRPr="00067AD2">
        <w:t xml:space="preserve">2016;71(1):27-33. </w:t>
      </w:r>
    </w:p>
    <w:p w14:paraId="782A085A" w14:textId="58B0EFF3" w:rsidR="005370AD" w:rsidRDefault="005370AD" w:rsidP="00241AAF">
      <w:pPr>
        <w:pStyle w:val="EndNoteBibliography"/>
        <w:rPr>
          <w:lang w:val="fr-FR"/>
        </w:rPr>
      </w:pPr>
      <w:r w:rsidRPr="00067AD2">
        <w:t>2</w:t>
      </w:r>
      <w:r w:rsidR="009A16CD">
        <w:t>2</w:t>
      </w:r>
      <w:r w:rsidRPr="00067AD2">
        <w:t xml:space="preserve">. Blaxter M. The causes of disease: Women talking. </w:t>
      </w:r>
      <w:r w:rsidR="00EC0F4E" w:rsidRPr="00EC0F4E">
        <w:rPr>
          <w:i/>
          <w:lang w:val="en"/>
        </w:rPr>
        <w:t>Soc Sci Med</w:t>
      </w:r>
      <w:r w:rsidR="00EC0F4E" w:rsidRPr="00EC0F4E">
        <w:rPr>
          <w:i/>
          <w:lang w:val="fr-FR"/>
        </w:rPr>
        <w:t xml:space="preserve"> </w:t>
      </w:r>
      <w:r w:rsidRPr="00577E12">
        <w:rPr>
          <w:lang w:val="fr-FR"/>
        </w:rPr>
        <w:t xml:space="preserve">1983;17(2):59-69. </w:t>
      </w:r>
    </w:p>
    <w:p w14:paraId="6755F173" w14:textId="6247F63B" w:rsidR="00130DAD" w:rsidRPr="00103F24" w:rsidRDefault="00EA3252" w:rsidP="00130DAD">
      <w:pPr>
        <w:pStyle w:val="EndNoteBibliography"/>
        <w:rPr>
          <w:lang w:val="en"/>
        </w:rPr>
      </w:pPr>
      <w:r w:rsidRPr="00103F24">
        <w:rPr>
          <w:lang w:val="fr-FR"/>
        </w:rPr>
        <w:t>2</w:t>
      </w:r>
      <w:r w:rsidR="009A16CD" w:rsidRPr="00103F24">
        <w:rPr>
          <w:lang w:val="fr-FR"/>
        </w:rPr>
        <w:t>3</w:t>
      </w:r>
      <w:r w:rsidRPr="00103F24">
        <w:rPr>
          <w:lang w:val="fr-FR"/>
        </w:rPr>
        <w:t>.</w:t>
      </w:r>
      <w:r w:rsidR="00130DAD" w:rsidRPr="00103F24">
        <w:rPr>
          <w:lang w:val="en"/>
        </w:rPr>
        <w:t xml:space="preserve"> Leventhal H, Brissette I, Leventhal EA, et al. The common-sense model of self-regulation of health and illness. </w:t>
      </w:r>
      <w:r w:rsidR="00130DAD" w:rsidRPr="00103F24">
        <w:rPr>
          <w:i/>
          <w:lang w:val="en"/>
        </w:rPr>
        <w:t>The Self-Regulation of Health and Illness Behaviour</w:t>
      </w:r>
      <w:r w:rsidR="00FF260D" w:rsidRPr="00103F24">
        <w:rPr>
          <w:i/>
          <w:lang w:val="en"/>
        </w:rPr>
        <w:t>.</w:t>
      </w:r>
      <w:r w:rsidR="00130DAD" w:rsidRPr="00103F24">
        <w:rPr>
          <w:lang w:val="en"/>
        </w:rPr>
        <w:t xml:space="preserve"> London</w:t>
      </w:r>
      <w:r w:rsidR="00FF260D" w:rsidRPr="00103F24">
        <w:rPr>
          <w:lang w:val="en"/>
        </w:rPr>
        <w:t>:</w:t>
      </w:r>
      <w:r w:rsidR="00130DAD" w:rsidRPr="00103F24">
        <w:rPr>
          <w:lang w:val="en"/>
        </w:rPr>
        <w:t xml:space="preserve"> Routledge</w:t>
      </w:r>
      <w:r w:rsidR="00FF260D" w:rsidRPr="00103F24">
        <w:rPr>
          <w:lang w:val="en"/>
        </w:rPr>
        <w:t>, 2003.</w:t>
      </w:r>
    </w:p>
    <w:p w14:paraId="423D951F" w14:textId="4F8E8DAB" w:rsidR="00FF260D" w:rsidRPr="00FF260D" w:rsidRDefault="00FF260D" w:rsidP="00130DAD">
      <w:pPr>
        <w:pStyle w:val="EndNoteBibliography"/>
        <w:rPr>
          <w:color w:val="FF0000"/>
          <w:u w:val="single"/>
          <w:lang w:val="en"/>
        </w:rPr>
      </w:pPr>
    </w:p>
    <w:p w14:paraId="587FD299" w14:textId="3ABF1D8F" w:rsidR="00EA3252" w:rsidRPr="00577E12" w:rsidRDefault="00EA3252" w:rsidP="00241AAF">
      <w:pPr>
        <w:pStyle w:val="EndNoteBibliography"/>
        <w:rPr>
          <w:lang w:val="fr-FR"/>
        </w:rPr>
      </w:pPr>
      <w:r>
        <w:rPr>
          <w:lang w:val="fr-FR"/>
        </w:rPr>
        <w:t xml:space="preserve"> </w:t>
      </w:r>
    </w:p>
    <w:p w14:paraId="7F8F517D" w14:textId="77777777" w:rsidR="005370AD" w:rsidRPr="00577E12" w:rsidRDefault="005370AD" w:rsidP="00241AAF">
      <w:pPr>
        <w:rPr>
          <w:b/>
          <w:lang w:val="fr-FR"/>
        </w:rPr>
      </w:pPr>
    </w:p>
    <w:p w14:paraId="38361EB9" w14:textId="77777777" w:rsidR="005370AD" w:rsidRPr="00577E12" w:rsidRDefault="005370AD" w:rsidP="00241AAF">
      <w:pPr>
        <w:rPr>
          <w:b/>
          <w:lang w:val="fr-FR"/>
        </w:rPr>
      </w:pPr>
    </w:p>
    <w:p w14:paraId="0F4571DB" w14:textId="77777777" w:rsidR="005370AD" w:rsidRPr="00577E12" w:rsidRDefault="005370AD" w:rsidP="00241AAF">
      <w:pPr>
        <w:rPr>
          <w:b/>
          <w:lang w:val="fr-FR"/>
        </w:rPr>
      </w:pPr>
    </w:p>
    <w:p w14:paraId="762D9F72" w14:textId="77777777" w:rsidR="005370AD" w:rsidRPr="00577E12" w:rsidRDefault="005370AD" w:rsidP="00241AAF">
      <w:pPr>
        <w:rPr>
          <w:b/>
          <w:lang w:val="fr-FR"/>
        </w:rPr>
      </w:pPr>
    </w:p>
    <w:p w14:paraId="4F4ABDCB" w14:textId="77777777" w:rsidR="005370AD" w:rsidRPr="00577E12" w:rsidRDefault="005370AD" w:rsidP="00241AAF">
      <w:pPr>
        <w:rPr>
          <w:b/>
          <w:lang w:val="fr-FR"/>
        </w:rPr>
      </w:pPr>
    </w:p>
    <w:p w14:paraId="015FE573" w14:textId="77777777" w:rsidR="005370AD" w:rsidRPr="00577E12" w:rsidRDefault="005370AD" w:rsidP="00241AAF">
      <w:pPr>
        <w:rPr>
          <w:b/>
          <w:lang w:val="fr-FR"/>
        </w:rPr>
      </w:pPr>
    </w:p>
    <w:p w14:paraId="56F211F1" w14:textId="77777777" w:rsidR="005370AD" w:rsidRPr="00577E12" w:rsidRDefault="005370AD" w:rsidP="00241AAF">
      <w:pPr>
        <w:rPr>
          <w:b/>
          <w:lang w:val="fr-FR"/>
        </w:rPr>
      </w:pPr>
    </w:p>
    <w:p w14:paraId="1FA727FD" w14:textId="77777777" w:rsidR="005370AD" w:rsidRPr="00577E12" w:rsidRDefault="005370AD" w:rsidP="00241AAF">
      <w:pPr>
        <w:rPr>
          <w:b/>
          <w:lang w:val="fr-FR"/>
        </w:rPr>
      </w:pPr>
    </w:p>
    <w:p w14:paraId="01ACDA1D" w14:textId="77777777" w:rsidR="005370AD" w:rsidRPr="00577E12" w:rsidRDefault="005370AD">
      <w:pPr>
        <w:rPr>
          <w:b/>
          <w:bCs/>
          <w:iCs/>
          <w:lang w:val="fr-FR"/>
        </w:rPr>
      </w:pPr>
      <w:r w:rsidRPr="00577E12">
        <w:rPr>
          <w:b/>
          <w:bCs/>
          <w:iCs/>
          <w:lang w:val="fr-FR"/>
        </w:rPr>
        <w:br w:type="page"/>
      </w:r>
    </w:p>
    <w:p w14:paraId="5F38498C" w14:textId="77777777" w:rsidR="005370AD" w:rsidRPr="00577E12" w:rsidRDefault="005370AD" w:rsidP="00241AAF">
      <w:pPr>
        <w:rPr>
          <w:b/>
          <w:bCs/>
          <w:iCs/>
          <w:lang w:val="fr-FR"/>
        </w:rPr>
      </w:pPr>
      <w:r w:rsidRPr="00577E12">
        <w:rPr>
          <w:b/>
          <w:bCs/>
          <w:iCs/>
          <w:lang w:val="fr-FR"/>
        </w:rPr>
        <w:t>TABLES</w:t>
      </w:r>
    </w:p>
    <w:p w14:paraId="0D6A76DA" w14:textId="77777777" w:rsidR="005370AD" w:rsidRPr="00577E12" w:rsidRDefault="005370AD" w:rsidP="00241AAF">
      <w:pPr>
        <w:rPr>
          <w:b/>
          <w:bCs/>
          <w:iCs/>
          <w:lang w:val="fr-FR"/>
        </w:rPr>
      </w:pPr>
      <w:r w:rsidRPr="00577E12">
        <w:rPr>
          <w:b/>
          <w:bCs/>
          <w:iCs/>
          <w:lang w:val="fr-FR"/>
        </w:rPr>
        <w:t>Box 1</w:t>
      </w:r>
    </w:p>
    <w:tbl>
      <w:tblPr>
        <w:tblStyle w:val="TableGrid"/>
        <w:tblW w:w="0" w:type="auto"/>
        <w:tblLook w:val="04A0" w:firstRow="1" w:lastRow="0" w:firstColumn="1" w:lastColumn="0" w:noHBand="0" w:noVBand="1"/>
      </w:tblPr>
      <w:tblGrid>
        <w:gridCol w:w="4508"/>
        <w:gridCol w:w="4508"/>
      </w:tblGrid>
      <w:tr w:rsidR="005370AD" w:rsidRPr="00A00075" w14:paraId="4344AF68" w14:textId="77777777" w:rsidTr="00241AAF">
        <w:tc>
          <w:tcPr>
            <w:tcW w:w="4508" w:type="dxa"/>
          </w:tcPr>
          <w:p w14:paraId="485E3E65" w14:textId="77777777" w:rsidR="005370AD" w:rsidRPr="00A00075" w:rsidRDefault="005370AD" w:rsidP="00241AAF">
            <w:pPr>
              <w:rPr>
                <w:b/>
                <w:bCs/>
                <w:iCs/>
              </w:rPr>
            </w:pPr>
            <w:r w:rsidRPr="00A00075">
              <w:rPr>
                <w:b/>
                <w:bCs/>
                <w:iCs/>
              </w:rPr>
              <w:t>Quantitative survey</w:t>
            </w:r>
          </w:p>
        </w:tc>
        <w:tc>
          <w:tcPr>
            <w:tcW w:w="4508" w:type="dxa"/>
          </w:tcPr>
          <w:p w14:paraId="628C812E" w14:textId="77777777" w:rsidR="005370AD" w:rsidRPr="00A00075" w:rsidRDefault="005370AD" w:rsidP="00241AAF">
            <w:pPr>
              <w:rPr>
                <w:b/>
                <w:bCs/>
                <w:iCs/>
              </w:rPr>
            </w:pPr>
            <w:r w:rsidRPr="00A00075">
              <w:rPr>
                <w:b/>
                <w:bCs/>
                <w:iCs/>
              </w:rPr>
              <w:t>Qualitative interview guide</w:t>
            </w:r>
          </w:p>
        </w:tc>
      </w:tr>
      <w:tr w:rsidR="005370AD" w:rsidRPr="00A00075" w14:paraId="3233949A" w14:textId="77777777" w:rsidTr="00241AAF">
        <w:tc>
          <w:tcPr>
            <w:tcW w:w="4508" w:type="dxa"/>
          </w:tcPr>
          <w:p w14:paraId="3D09FFA0" w14:textId="77777777" w:rsidR="005370AD" w:rsidRPr="00A00075" w:rsidRDefault="005370AD" w:rsidP="00241AAF">
            <w:pPr>
              <w:rPr>
                <w:bCs/>
                <w:iCs/>
              </w:rPr>
            </w:pPr>
            <w:r w:rsidRPr="00A00075">
              <w:rPr>
                <w:bCs/>
                <w:iCs/>
              </w:rPr>
              <w:t>Fixed choice questions and free text questions about:</w:t>
            </w:r>
          </w:p>
          <w:p w14:paraId="43A0649B" w14:textId="77777777" w:rsidR="005370AD" w:rsidRPr="00A00075" w:rsidRDefault="005370AD" w:rsidP="00241AAF">
            <w:pPr>
              <w:numPr>
                <w:ilvl w:val="0"/>
                <w:numId w:val="21"/>
              </w:numPr>
              <w:rPr>
                <w:bCs/>
                <w:iCs/>
              </w:rPr>
            </w:pPr>
            <w:r w:rsidRPr="00A00075">
              <w:rPr>
                <w:bCs/>
                <w:iCs/>
              </w:rPr>
              <w:t>understandings and beliefs about causes and risk factors for cellulitis</w:t>
            </w:r>
          </w:p>
          <w:p w14:paraId="7B407315" w14:textId="77777777" w:rsidR="005370AD" w:rsidRPr="00A00075" w:rsidRDefault="005370AD" w:rsidP="00241AAF">
            <w:pPr>
              <w:numPr>
                <w:ilvl w:val="0"/>
                <w:numId w:val="21"/>
              </w:numPr>
              <w:rPr>
                <w:bCs/>
                <w:iCs/>
              </w:rPr>
            </w:pPr>
            <w:r w:rsidRPr="00A00075">
              <w:rPr>
                <w:bCs/>
                <w:iCs/>
              </w:rPr>
              <w:t>awareness of cellulitis prevention</w:t>
            </w:r>
          </w:p>
          <w:p w14:paraId="728BF898" w14:textId="77777777" w:rsidR="005370AD" w:rsidRPr="00A00075" w:rsidRDefault="005370AD" w:rsidP="00241AAF">
            <w:pPr>
              <w:numPr>
                <w:ilvl w:val="0"/>
                <w:numId w:val="21"/>
              </w:numPr>
              <w:rPr>
                <w:bCs/>
                <w:iCs/>
              </w:rPr>
            </w:pPr>
            <w:r w:rsidRPr="00A00075">
              <w:rPr>
                <w:bCs/>
                <w:iCs/>
              </w:rPr>
              <w:t>any current or past preventative practices</w:t>
            </w:r>
          </w:p>
          <w:p w14:paraId="7ECCC4BE" w14:textId="77777777" w:rsidR="005370AD" w:rsidRPr="00A00075" w:rsidRDefault="005370AD" w:rsidP="00241AAF">
            <w:pPr>
              <w:numPr>
                <w:ilvl w:val="0"/>
                <w:numId w:val="21"/>
              </w:numPr>
              <w:rPr>
                <w:bCs/>
                <w:iCs/>
              </w:rPr>
            </w:pPr>
            <w:r>
              <w:rPr>
                <w:bCs/>
                <w:iCs/>
              </w:rPr>
              <w:t>willingness to undertake</w:t>
            </w:r>
            <w:r w:rsidRPr="00A00075">
              <w:rPr>
                <w:bCs/>
                <w:iCs/>
              </w:rPr>
              <w:t xml:space="preserve"> </w:t>
            </w:r>
            <w:r>
              <w:rPr>
                <w:bCs/>
                <w:iCs/>
              </w:rPr>
              <w:t xml:space="preserve">7 potential </w:t>
            </w:r>
            <w:r w:rsidRPr="00A00075">
              <w:rPr>
                <w:bCs/>
                <w:iCs/>
              </w:rPr>
              <w:t>preventative practices</w:t>
            </w:r>
          </w:p>
          <w:p w14:paraId="10A4B206" w14:textId="77777777" w:rsidR="005370AD" w:rsidRPr="00A00075" w:rsidRDefault="005370AD" w:rsidP="00241AAF">
            <w:pPr>
              <w:numPr>
                <w:ilvl w:val="0"/>
                <w:numId w:val="21"/>
              </w:numPr>
              <w:rPr>
                <w:bCs/>
                <w:iCs/>
              </w:rPr>
            </w:pPr>
            <w:r w:rsidRPr="00A00075">
              <w:rPr>
                <w:bCs/>
                <w:iCs/>
              </w:rPr>
              <w:t>demographics and cellulitis history, including number of episodes and site of cellulitis</w:t>
            </w:r>
          </w:p>
        </w:tc>
        <w:tc>
          <w:tcPr>
            <w:tcW w:w="4508" w:type="dxa"/>
          </w:tcPr>
          <w:p w14:paraId="194E538B" w14:textId="77777777" w:rsidR="005370AD" w:rsidRPr="00A00075" w:rsidRDefault="005370AD" w:rsidP="00241AAF">
            <w:pPr>
              <w:rPr>
                <w:bCs/>
                <w:iCs/>
              </w:rPr>
            </w:pPr>
            <w:r w:rsidRPr="00A00075">
              <w:rPr>
                <w:bCs/>
                <w:iCs/>
              </w:rPr>
              <w:t>Open-ended questions about:</w:t>
            </w:r>
          </w:p>
          <w:p w14:paraId="6CE7BA49" w14:textId="77777777" w:rsidR="005370AD" w:rsidRPr="00A00075" w:rsidRDefault="005370AD" w:rsidP="00241AAF">
            <w:pPr>
              <w:numPr>
                <w:ilvl w:val="0"/>
                <w:numId w:val="20"/>
              </w:numPr>
              <w:rPr>
                <w:bCs/>
                <w:iCs/>
              </w:rPr>
            </w:pPr>
            <w:r w:rsidRPr="00A00075">
              <w:rPr>
                <w:bCs/>
                <w:iCs/>
              </w:rPr>
              <w:t>understandings and beliefs about causes and risk factors for cellulitis</w:t>
            </w:r>
          </w:p>
          <w:p w14:paraId="10E2649B" w14:textId="77777777" w:rsidR="005370AD" w:rsidRPr="00A00075" w:rsidRDefault="005370AD" w:rsidP="00241AAF">
            <w:pPr>
              <w:numPr>
                <w:ilvl w:val="0"/>
                <w:numId w:val="20"/>
              </w:numPr>
              <w:rPr>
                <w:bCs/>
                <w:iCs/>
              </w:rPr>
            </w:pPr>
            <w:r w:rsidRPr="00A00075">
              <w:rPr>
                <w:bCs/>
                <w:iCs/>
              </w:rPr>
              <w:t>views about the possibility of recurrence</w:t>
            </w:r>
          </w:p>
          <w:p w14:paraId="583A38F1" w14:textId="77777777" w:rsidR="005370AD" w:rsidRPr="00A00075" w:rsidRDefault="005370AD" w:rsidP="00241AAF">
            <w:pPr>
              <w:numPr>
                <w:ilvl w:val="0"/>
                <w:numId w:val="20"/>
              </w:numPr>
              <w:rPr>
                <w:bCs/>
                <w:iCs/>
              </w:rPr>
            </w:pPr>
            <w:r w:rsidRPr="00A00075">
              <w:rPr>
                <w:bCs/>
                <w:iCs/>
              </w:rPr>
              <w:t>awareness of methods for prevention of recurrence of cellulitis</w:t>
            </w:r>
          </w:p>
          <w:p w14:paraId="4CA75CF4" w14:textId="77777777" w:rsidR="005370AD" w:rsidRPr="00A00075" w:rsidRDefault="005370AD" w:rsidP="00241AAF">
            <w:pPr>
              <w:numPr>
                <w:ilvl w:val="0"/>
                <w:numId w:val="20"/>
              </w:numPr>
              <w:rPr>
                <w:bCs/>
                <w:iCs/>
              </w:rPr>
            </w:pPr>
            <w:r w:rsidRPr="00A00075">
              <w:rPr>
                <w:bCs/>
                <w:iCs/>
              </w:rPr>
              <w:t>any current or past preventative practices</w:t>
            </w:r>
          </w:p>
          <w:p w14:paraId="4BA5C997" w14:textId="77777777" w:rsidR="005370AD" w:rsidRPr="00A00075" w:rsidRDefault="005370AD" w:rsidP="00241AAF">
            <w:pPr>
              <w:numPr>
                <w:ilvl w:val="0"/>
                <w:numId w:val="20"/>
              </w:numPr>
              <w:rPr>
                <w:bCs/>
                <w:iCs/>
              </w:rPr>
            </w:pPr>
            <w:r w:rsidRPr="00A00075">
              <w:rPr>
                <w:bCs/>
                <w:iCs/>
              </w:rPr>
              <w:t>attitudes to undertaking regular preventative practices</w:t>
            </w:r>
          </w:p>
        </w:tc>
      </w:tr>
    </w:tbl>
    <w:p w14:paraId="7FD89D40" w14:textId="77777777" w:rsidR="005370AD" w:rsidRDefault="005370AD" w:rsidP="00241AAF">
      <w:pPr>
        <w:rPr>
          <w:b/>
          <w:bCs/>
          <w:iCs/>
        </w:rPr>
      </w:pPr>
    </w:p>
    <w:p w14:paraId="3415A121" w14:textId="77777777" w:rsidR="005370AD" w:rsidRDefault="005370AD" w:rsidP="00241AAF">
      <w:pPr>
        <w:rPr>
          <w:b/>
          <w:bCs/>
          <w:iCs/>
        </w:rPr>
      </w:pPr>
    </w:p>
    <w:p w14:paraId="3CD332A6" w14:textId="77777777" w:rsidR="005370AD" w:rsidRDefault="005370AD" w:rsidP="00241AAF">
      <w:pPr>
        <w:rPr>
          <w:b/>
          <w:bCs/>
          <w:iCs/>
        </w:rPr>
      </w:pPr>
    </w:p>
    <w:p w14:paraId="0D4AE4F9" w14:textId="77777777" w:rsidR="005370AD" w:rsidRDefault="005370AD" w:rsidP="00241AAF">
      <w:pPr>
        <w:rPr>
          <w:b/>
          <w:bCs/>
          <w:iCs/>
        </w:rPr>
      </w:pPr>
    </w:p>
    <w:p w14:paraId="0D3ECFB2" w14:textId="77777777" w:rsidR="005370AD" w:rsidRDefault="005370AD" w:rsidP="00241AAF">
      <w:pPr>
        <w:rPr>
          <w:b/>
          <w:bCs/>
          <w:iCs/>
        </w:rPr>
      </w:pPr>
    </w:p>
    <w:p w14:paraId="3DB28BB9" w14:textId="77777777" w:rsidR="005370AD" w:rsidRDefault="005370AD" w:rsidP="00241AAF">
      <w:pPr>
        <w:rPr>
          <w:b/>
          <w:bCs/>
          <w:iCs/>
        </w:rPr>
      </w:pPr>
    </w:p>
    <w:p w14:paraId="05A70A8F" w14:textId="77777777" w:rsidR="005370AD" w:rsidRDefault="005370AD" w:rsidP="00241AAF">
      <w:pPr>
        <w:rPr>
          <w:b/>
          <w:bCs/>
          <w:iCs/>
        </w:rPr>
      </w:pPr>
    </w:p>
    <w:p w14:paraId="744CB4F6" w14:textId="77777777" w:rsidR="005370AD" w:rsidRDefault="005370AD" w:rsidP="00241AAF">
      <w:pPr>
        <w:rPr>
          <w:b/>
          <w:bCs/>
          <w:iCs/>
        </w:rPr>
      </w:pPr>
    </w:p>
    <w:p w14:paraId="3DC7373B" w14:textId="77777777" w:rsidR="005370AD" w:rsidRDefault="005370AD" w:rsidP="00241AAF">
      <w:pPr>
        <w:rPr>
          <w:b/>
          <w:bCs/>
          <w:iCs/>
        </w:rPr>
      </w:pPr>
    </w:p>
    <w:p w14:paraId="1E9EA1A3" w14:textId="77777777" w:rsidR="005370AD" w:rsidRDefault="005370AD" w:rsidP="00241AAF">
      <w:pPr>
        <w:rPr>
          <w:b/>
          <w:bCs/>
          <w:iCs/>
        </w:rPr>
      </w:pPr>
    </w:p>
    <w:p w14:paraId="46AB9D77" w14:textId="77777777" w:rsidR="005370AD" w:rsidRDefault="005370AD" w:rsidP="00241AAF">
      <w:pPr>
        <w:rPr>
          <w:b/>
          <w:bCs/>
          <w:iCs/>
        </w:rPr>
      </w:pPr>
    </w:p>
    <w:p w14:paraId="40C4C15C" w14:textId="77777777" w:rsidR="005370AD" w:rsidRDefault="005370AD" w:rsidP="00241AAF">
      <w:pPr>
        <w:rPr>
          <w:b/>
          <w:bCs/>
          <w:iCs/>
        </w:rPr>
      </w:pPr>
    </w:p>
    <w:p w14:paraId="573ACC2C" w14:textId="77777777" w:rsidR="005370AD" w:rsidRDefault="005370AD" w:rsidP="00241AAF">
      <w:pPr>
        <w:rPr>
          <w:b/>
          <w:bCs/>
          <w:iCs/>
        </w:rPr>
      </w:pPr>
    </w:p>
    <w:p w14:paraId="05B7A774" w14:textId="77777777" w:rsidR="005370AD" w:rsidRDefault="005370AD" w:rsidP="00241AAF">
      <w:pPr>
        <w:rPr>
          <w:b/>
          <w:bCs/>
          <w:iCs/>
        </w:rPr>
      </w:pPr>
    </w:p>
    <w:p w14:paraId="719FBD18" w14:textId="77777777" w:rsidR="005370AD" w:rsidRDefault="005370AD" w:rsidP="00241AAF">
      <w:pPr>
        <w:rPr>
          <w:b/>
          <w:bCs/>
          <w:iCs/>
        </w:rPr>
      </w:pPr>
    </w:p>
    <w:p w14:paraId="18262527" w14:textId="77777777" w:rsidR="005370AD" w:rsidRDefault="005370AD" w:rsidP="00241AAF">
      <w:pPr>
        <w:rPr>
          <w:b/>
          <w:bCs/>
          <w:iCs/>
        </w:rPr>
      </w:pPr>
    </w:p>
    <w:p w14:paraId="0A6BFE25" w14:textId="77777777" w:rsidR="005370AD" w:rsidRDefault="005370AD" w:rsidP="00241AAF">
      <w:pPr>
        <w:rPr>
          <w:b/>
          <w:bCs/>
          <w:iCs/>
        </w:rPr>
      </w:pPr>
    </w:p>
    <w:p w14:paraId="6C019506" w14:textId="77777777" w:rsidR="005370AD" w:rsidRPr="00B301F1" w:rsidRDefault="005370AD" w:rsidP="00241AAF">
      <w:pPr>
        <w:rPr>
          <w:b/>
          <w:bCs/>
          <w:iCs/>
        </w:rPr>
      </w:pPr>
      <w:r>
        <w:rPr>
          <w:b/>
          <w:bCs/>
          <w:iCs/>
        </w:rPr>
        <w:t>Table 1</w:t>
      </w:r>
      <w:r w:rsidRPr="00B301F1">
        <w:rPr>
          <w:b/>
          <w:bCs/>
          <w:iCs/>
        </w:rPr>
        <w:t xml:space="preserve">: </w:t>
      </w:r>
      <w:r>
        <w:rPr>
          <w:b/>
          <w:sz w:val="24"/>
          <w:szCs w:val="24"/>
        </w:rPr>
        <w:t>Participant characteristics (interviewees and survey respondents)</w:t>
      </w:r>
    </w:p>
    <w:tbl>
      <w:tblPr>
        <w:tblStyle w:val="TableGrid"/>
        <w:tblW w:w="0" w:type="auto"/>
        <w:tblLook w:val="04A0" w:firstRow="1" w:lastRow="0" w:firstColumn="1" w:lastColumn="0" w:noHBand="0" w:noVBand="1"/>
      </w:tblPr>
      <w:tblGrid>
        <w:gridCol w:w="3006"/>
        <w:gridCol w:w="3005"/>
        <w:gridCol w:w="3005"/>
      </w:tblGrid>
      <w:tr w:rsidR="005370AD" w:rsidRPr="008359D2" w14:paraId="2B200BA5" w14:textId="77777777" w:rsidTr="00241AAF">
        <w:tc>
          <w:tcPr>
            <w:tcW w:w="3006" w:type="dxa"/>
            <w:shd w:val="clear" w:color="auto" w:fill="B4C6E7" w:themeFill="accent5" w:themeFillTint="66"/>
          </w:tcPr>
          <w:p w14:paraId="13BF013E" w14:textId="77777777" w:rsidR="005370AD" w:rsidRPr="008359D2" w:rsidRDefault="005370AD" w:rsidP="007C20D0">
            <w:pPr>
              <w:spacing w:after="0" w:line="240" w:lineRule="auto"/>
              <w:rPr>
                <w:b/>
                <w:sz w:val="24"/>
                <w:szCs w:val="24"/>
              </w:rPr>
            </w:pPr>
          </w:p>
        </w:tc>
        <w:tc>
          <w:tcPr>
            <w:tcW w:w="3005" w:type="dxa"/>
            <w:shd w:val="clear" w:color="auto" w:fill="B4C6E7" w:themeFill="accent5" w:themeFillTint="66"/>
          </w:tcPr>
          <w:p w14:paraId="219F56F5" w14:textId="77777777" w:rsidR="005370AD" w:rsidRDefault="005370AD" w:rsidP="007C20D0">
            <w:pPr>
              <w:spacing w:after="0" w:line="240" w:lineRule="auto"/>
              <w:jc w:val="center"/>
              <w:rPr>
                <w:b/>
                <w:sz w:val="24"/>
                <w:szCs w:val="24"/>
              </w:rPr>
            </w:pPr>
            <w:r w:rsidRPr="008359D2">
              <w:rPr>
                <w:b/>
                <w:sz w:val="24"/>
                <w:szCs w:val="24"/>
              </w:rPr>
              <w:t xml:space="preserve">Number of </w:t>
            </w:r>
            <w:r>
              <w:rPr>
                <w:b/>
                <w:sz w:val="24"/>
                <w:szCs w:val="24"/>
              </w:rPr>
              <w:t>interviewees n=30</w:t>
            </w:r>
          </w:p>
          <w:p w14:paraId="78D7A7A7" w14:textId="77777777" w:rsidR="005370AD" w:rsidRPr="008359D2" w:rsidRDefault="005370AD" w:rsidP="007C20D0">
            <w:pPr>
              <w:spacing w:after="0" w:line="240" w:lineRule="auto"/>
              <w:jc w:val="center"/>
              <w:rPr>
                <w:b/>
                <w:sz w:val="24"/>
                <w:szCs w:val="24"/>
              </w:rPr>
            </w:pPr>
            <w:r>
              <w:rPr>
                <w:b/>
                <w:sz w:val="24"/>
                <w:szCs w:val="24"/>
              </w:rPr>
              <w:t>(%)</w:t>
            </w:r>
          </w:p>
        </w:tc>
        <w:tc>
          <w:tcPr>
            <w:tcW w:w="3005" w:type="dxa"/>
            <w:shd w:val="clear" w:color="auto" w:fill="B4C6E7" w:themeFill="accent5" w:themeFillTint="66"/>
          </w:tcPr>
          <w:p w14:paraId="0447A9C8" w14:textId="77777777" w:rsidR="005370AD" w:rsidRDefault="005370AD" w:rsidP="007C20D0">
            <w:pPr>
              <w:spacing w:after="0" w:line="240" w:lineRule="auto"/>
              <w:jc w:val="center"/>
              <w:rPr>
                <w:b/>
                <w:sz w:val="24"/>
                <w:szCs w:val="24"/>
              </w:rPr>
            </w:pPr>
            <w:r>
              <w:rPr>
                <w:b/>
                <w:sz w:val="24"/>
                <w:szCs w:val="24"/>
              </w:rPr>
              <w:t>Number of survey respondents n=240</w:t>
            </w:r>
          </w:p>
          <w:p w14:paraId="4C4917BA" w14:textId="77777777" w:rsidR="005370AD" w:rsidRPr="008359D2" w:rsidRDefault="005370AD" w:rsidP="007C20D0">
            <w:pPr>
              <w:spacing w:after="0" w:line="240" w:lineRule="auto"/>
              <w:jc w:val="center"/>
              <w:rPr>
                <w:b/>
                <w:sz w:val="24"/>
                <w:szCs w:val="24"/>
              </w:rPr>
            </w:pPr>
            <w:r>
              <w:rPr>
                <w:b/>
                <w:sz w:val="24"/>
                <w:szCs w:val="24"/>
              </w:rPr>
              <w:t>(%)</w:t>
            </w:r>
          </w:p>
        </w:tc>
      </w:tr>
      <w:tr w:rsidR="005370AD" w:rsidRPr="008359D2" w14:paraId="423EB31C" w14:textId="77777777" w:rsidTr="00241AAF">
        <w:tc>
          <w:tcPr>
            <w:tcW w:w="9016" w:type="dxa"/>
            <w:gridSpan w:val="3"/>
          </w:tcPr>
          <w:p w14:paraId="076B80F4" w14:textId="77777777" w:rsidR="005370AD" w:rsidRPr="008359D2" w:rsidRDefault="005370AD" w:rsidP="007C20D0">
            <w:pPr>
              <w:spacing w:after="0" w:line="240" w:lineRule="auto"/>
              <w:rPr>
                <w:b/>
                <w:sz w:val="24"/>
                <w:szCs w:val="24"/>
              </w:rPr>
            </w:pPr>
            <w:r w:rsidRPr="008359D2">
              <w:rPr>
                <w:b/>
                <w:color w:val="0070C0"/>
                <w:sz w:val="24"/>
                <w:szCs w:val="24"/>
              </w:rPr>
              <w:t>Gender</w:t>
            </w:r>
          </w:p>
        </w:tc>
      </w:tr>
      <w:tr w:rsidR="005370AD" w:rsidRPr="008359D2" w14:paraId="78A1442B" w14:textId="77777777" w:rsidTr="00241AAF">
        <w:tc>
          <w:tcPr>
            <w:tcW w:w="3006" w:type="dxa"/>
          </w:tcPr>
          <w:p w14:paraId="7A6A01ED" w14:textId="77777777" w:rsidR="005370AD" w:rsidRPr="00456396" w:rsidRDefault="005370AD" w:rsidP="007C20D0">
            <w:pPr>
              <w:spacing w:after="0" w:line="240" w:lineRule="auto"/>
            </w:pPr>
            <w:r w:rsidRPr="00456396">
              <w:t>Female</w:t>
            </w:r>
          </w:p>
        </w:tc>
        <w:tc>
          <w:tcPr>
            <w:tcW w:w="3005" w:type="dxa"/>
          </w:tcPr>
          <w:p w14:paraId="4FD8C93F" w14:textId="77777777" w:rsidR="005370AD" w:rsidRPr="001E152A" w:rsidRDefault="005370AD" w:rsidP="007C20D0">
            <w:pPr>
              <w:spacing w:after="0" w:line="240" w:lineRule="auto"/>
              <w:jc w:val="center"/>
              <w:rPr>
                <w:b/>
              </w:rPr>
            </w:pPr>
            <w:r w:rsidRPr="001E152A">
              <w:rPr>
                <w:b/>
              </w:rPr>
              <w:t>16</w:t>
            </w:r>
            <w:r>
              <w:rPr>
                <w:b/>
              </w:rPr>
              <w:t xml:space="preserve"> (53)</w:t>
            </w:r>
          </w:p>
        </w:tc>
        <w:tc>
          <w:tcPr>
            <w:tcW w:w="3005" w:type="dxa"/>
          </w:tcPr>
          <w:p w14:paraId="4AAD624F" w14:textId="77777777" w:rsidR="005370AD" w:rsidRPr="00146290" w:rsidRDefault="005370AD" w:rsidP="007C20D0">
            <w:pPr>
              <w:spacing w:after="0" w:line="240" w:lineRule="auto"/>
              <w:jc w:val="center"/>
              <w:rPr>
                <w:b/>
              </w:rPr>
            </w:pPr>
            <w:r w:rsidRPr="00146290">
              <w:rPr>
                <w:b/>
              </w:rPr>
              <w:t>128 (53)</w:t>
            </w:r>
          </w:p>
        </w:tc>
      </w:tr>
      <w:tr w:rsidR="005370AD" w:rsidRPr="008359D2" w14:paraId="421E96E3" w14:textId="77777777" w:rsidTr="00241AAF">
        <w:tc>
          <w:tcPr>
            <w:tcW w:w="3006" w:type="dxa"/>
          </w:tcPr>
          <w:p w14:paraId="5DC10CCC" w14:textId="77777777" w:rsidR="005370AD" w:rsidRPr="00456396" w:rsidRDefault="005370AD" w:rsidP="007C20D0">
            <w:pPr>
              <w:spacing w:after="0" w:line="240" w:lineRule="auto"/>
            </w:pPr>
            <w:r w:rsidRPr="00456396">
              <w:t>Male</w:t>
            </w:r>
          </w:p>
        </w:tc>
        <w:tc>
          <w:tcPr>
            <w:tcW w:w="3005" w:type="dxa"/>
          </w:tcPr>
          <w:p w14:paraId="5214CC98" w14:textId="77777777" w:rsidR="005370AD" w:rsidRPr="00456396" w:rsidRDefault="005370AD" w:rsidP="007C20D0">
            <w:pPr>
              <w:spacing w:after="0" w:line="240" w:lineRule="auto"/>
              <w:jc w:val="center"/>
            </w:pPr>
            <w:r>
              <w:t>14 (47)</w:t>
            </w:r>
          </w:p>
        </w:tc>
        <w:tc>
          <w:tcPr>
            <w:tcW w:w="3005" w:type="dxa"/>
          </w:tcPr>
          <w:p w14:paraId="02F9BEEF" w14:textId="77777777" w:rsidR="005370AD" w:rsidRDefault="005370AD" w:rsidP="007C20D0">
            <w:pPr>
              <w:spacing w:after="0" w:line="240" w:lineRule="auto"/>
              <w:jc w:val="center"/>
            </w:pPr>
            <w:r w:rsidRPr="00CB05B2">
              <w:t>103</w:t>
            </w:r>
            <w:r>
              <w:t xml:space="preserve"> (43)</w:t>
            </w:r>
          </w:p>
        </w:tc>
      </w:tr>
      <w:tr w:rsidR="005370AD" w:rsidRPr="008359D2" w14:paraId="250684FD" w14:textId="77777777" w:rsidTr="00241AAF">
        <w:tc>
          <w:tcPr>
            <w:tcW w:w="3006" w:type="dxa"/>
          </w:tcPr>
          <w:p w14:paraId="2A8F67EC" w14:textId="77777777" w:rsidR="005370AD" w:rsidRPr="00456396" w:rsidRDefault="005370AD" w:rsidP="007C20D0">
            <w:pPr>
              <w:spacing w:after="0" w:line="240" w:lineRule="auto"/>
            </w:pPr>
            <w:r>
              <w:t>Missing</w:t>
            </w:r>
          </w:p>
        </w:tc>
        <w:tc>
          <w:tcPr>
            <w:tcW w:w="3005" w:type="dxa"/>
          </w:tcPr>
          <w:p w14:paraId="5A9290F7" w14:textId="77777777" w:rsidR="005370AD" w:rsidRDefault="005370AD" w:rsidP="007C20D0">
            <w:pPr>
              <w:spacing w:after="0" w:line="240" w:lineRule="auto"/>
              <w:jc w:val="center"/>
            </w:pPr>
            <w:r>
              <w:t>0 (0)</w:t>
            </w:r>
          </w:p>
        </w:tc>
        <w:tc>
          <w:tcPr>
            <w:tcW w:w="3005" w:type="dxa"/>
          </w:tcPr>
          <w:p w14:paraId="43D03177" w14:textId="77777777" w:rsidR="005370AD" w:rsidRPr="00CB05B2" w:rsidRDefault="005370AD" w:rsidP="007C20D0">
            <w:pPr>
              <w:spacing w:after="0" w:line="240" w:lineRule="auto"/>
              <w:jc w:val="center"/>
            </w:pPr>
            <w:r>
              <w:t>9 (4)</w:t>
            </w:r>
          </w:p>
        </w:tc>
      </w:tr>
      <w:tr w:rsidR="005370AD" w:rsidRPr="008359D2" w14:paraId="468EF44E" w14:textId="77777777" w:rsidTr="00241AAF">
        <w:tc>
          <w:tcPr>
            <w:tcW w:w="3006" w:type="dxa"/>
          </w:tcPr>
          <w:p w14:paraId="0628A0D3" w14:textId="77777777" w:rsidR="005370AD" w:rsidRPr="00545E4D" w:rsidRDefault="005370AD" w:rsidP="007C20D0">
            <w:pPr>
              <w:spacing w:after="0" w:line="240" w:lineRule="auto"/>
              <w:rPr>
                <w:b/>
              </w:rPr>
            </w:pPr>
            <w:r w:rsidRPr="00545E4D">
              <w:rPr>
                <w:b/>
                <w:color w:val="0070C0"/>
              </w:rPr>
              <w:t>Age</w:t>
            </w:r>
          </w:p>
        </w:tc>
        <w:tc>
          <w:tcPr>
            <w:tcW w:w="3005" w:type="dxa"/>
          </w:tcPr>
          <w:p w14:paraId="5FAE79FE" w14:textId="77777777" w:rsidR="005370AD" w:rsidRDefault="005370AD" w:rsidP="007C20D0">
            <w:pPr>
              <w:spacing w:after="0" w:line="240" w:lineRule="auto"/>
              <w:jc w:val="center"/>
            </w:pPr>
          </w:p>
        </w:tc>
        <w:tc>
          <w:tcPr>
            <w:tcW w:w="3005" w:type="dxa"/>
          </w:tcPr>
          <w:p w14:paraId="438B0015" w14:textId="77777777" w:rsidR="005370AD" w:rsidRDefault="005370AD" w:rsidP="007C20D0">
            <w:pPr>
              <w:spacing w:after="0" w:line="240" w:lineRule="auto"/>
              <w:jc w:val="center"/>
            </w:pPr>
          </w:p>
        </w:tc>
      </w:tr>
      <w:tr w:rsidR="005370AD" w:rsidRPr="008359D2" w14:paraId="533ECDAF" w14:textId="77777777" w:rsidTr="00241AAF">
        <w:tc>
          <w:tcPr>
            <w:tcW w:w="3006" w:type="dxa"/>
          </w:tcPr>
          <w:p w14:paraId="753F2388" w14:textId="77777777" w:rsidR="005370AD" w:rsidRDefault="005370AD" w:rsidP="007C20D0">
            <w:pPr>
              <w:spacing w:after="0" w:line="240" w:lineRule="auto"/>
            </w:pPr>
            <w:r w:rsidRPr="000A55C9">
              <w:t>18-25 years</w:t>
            </w:r>
          </w:p>
        </w:tc>
        <w:tc>
          <w:tcPr>
            <w:tcW w:w="3005" w:type="dxa"/>
          </w:tcPr>
          <w:p w14:paraId="12431863" w14:textId="77777777" w:rsidR="005370AD" w:rsidRDefault="005370AD" w:rsidP="007C20D0">
            <w:pPr>
              <w:spacing w:after="0" w:line="240" w:lineRule="auto"/>
              <w:jc w:val="center"/>
            </w:pPr>
            <w:r>
              <w:t>0 (0)</w:t>
            </w:r>
          </w:p>
        </w:tc>
        <w:tc>
          <w:tcPr>
            <w:tcW w:w="3005" w:type="dxa"/>
          </w:tcPr>
          <w:p w14:paraId="330B4ABC" w14:textId="77777777" w:rsidR="005370AD" w:rsidRDefault="005370AD" w:rsidP="007C20D0">
            <w:pPr>
              <w:spacing w:after="0" w:line="240" w:lineRule="auto"/>
              <w:jc w:val="center"/>
            </w:pPr>
            <w:r w:rsidRPr="000A55C9">
              <w:t>2</w:t>
            </w:r>
            <w:r>
              <w:t xml:space="preserve"> (1)</w:t>
            </w:r>
          </w:p>
        </w:tc>
      </w:tr>
      <w:tr w:rsidR="005370AD" w:rsidRPr="008359D2" w14:paraId="202CEF18" w14:textId="77777777" w:rsidTr="00241AAF">
        <w:tc>
          <w:tcPr>
            <w:tcW w:w="3006" w:type="dxa"/>
          </w:tcPr>
          <w:p w14:paraId="2B65A60A" w14:textId="77777777" w:rsidR="005370AD" w:rsidRDefault="005370AD" w:rsidP="007C20D0">
            <w:pPr>
              <w:spacing w:after="0" w:line="240" w:lineRule="auto"/>
            </w:pPr>
            <w:r w:rsidRPr="000A55C9">
              <w:t>26-45 years</w:t>
            </w:r>
          </w:p>
        </w:tc>
        <w:tc>
          <w:tcPr>
            <w:tcW w:w="3005" w:type="dxa"/>
          </w:tcPr>
          <w:p w14:paraId="759FA3F2" w14:textId="77777777" w:rsidR="005370AD" w:rsidRDefault="005370AD" w:rsidP="007C20D0">
            <w:pPr>
              <w:spacing w:after="0" w:line="240" w:lineRule="auto"/>
              <w:jc w:val="center"/>
            </w:pPr>
            <w:r>
              <w:t>4 (13)</w:t>
            </w:r>
          </w:p>
        </w:tc>
        <w:tc>
          <w:tcPr>
            <w:tcW w:w="3005" w:type="dxa"/>
          </w:tcPr>
          <w:p w14:paraId="086184B6" w14:textId="77777777" w:rsidR="005370AD" w:rsidRDefault="005370AD" w:rsidP="007C20D0">
            <w:pPr>
              <w:spacing w:after="0" w:line="240" w:lineRule="auto"/>
              <w:jc w:val="center"/>
            </w:pPr>
            <w:r w:rsidRPr="000A55C9">
              <w:t>14</w:t>
            </w:r>
            <w:r>
              <w:t xml:space="preserve"> (6)</w:t>
            </w:r>
          </w:p>
        </w:tc>
      </w:tr>
      <w:tr w:rsidR="005370AD" w:rsidRPr="008359D2" w14:paraId="3C2E230B" w14:textId="77777777" w:rsidTr="00241AAF">
        <w:tc>
          <w:tcPr>
            <w:tcW w:w="3006" w:type="dxa"/>
          </w:tcPr>
          <w:p w14:paraId="76DD2F4D" w14:textId="77777777" w:rsidR="005370AD" w:rsidRDefault="005370AD" w:rsidP="007C20D0">
            <w:pPr>
              <w:spacing w:after="0" w:line="240" w:lineRule="auto"/>
            </w:pPr>
            <w:r w:rsidRPr="000A55C9">
              <w:t>46-65 years</w:t>
            </w:r>
          </w:p>
        </w:tc>
        <w:tc>
          <w:tcPr>
            <w:tcW w:w="3005" w:type="dxa"/>
          </w:tcPr>
          <w:p w14:paraId="1E6C9709" w14:textId="77777777" w:rsidR="005370AD" w:rsidRDefault="005370AD" w:rsidP="007C20D0">
            <w:pPr>
              <w:spacing w:after="0" w:line="240" w:lineRule="auto"/>
              <w:jc w:val="center"/>
            </w:pPr>
            <w:r>
              <w:t>9 (30)</w:t>
            </w:r>
          </w:p>
        </w:tc>
        <w:tc>
          <w:tcPr>
            <w:tcW w:w="3005" w:type="dxa"/>
          </w:tcPr>
          <w:p w14:paraId="46EAE3B3" w14:textId="77777777" w:rsidR="005370AD" w:rsidRPr="00146290" w:rsidRDefault="005370AD" w:rsidP="007C20D0">
            <w:pPr>
              <w:spacing w:after="0" w:line="240" w:lineRule="auto"/>
              <w:jc w:val="center"/>
              <w:rPr>
                <w:b/>
              </w:rPr>
            </w:pPr>
            <w:r w:rsidRPr="00146290">
              <w:rPr>
                <w:b/>
              </w:rPr>
              <w:t>80 (33)</w:t>
            </w:r>
          </w:p>
        </w:tc>
      </w:tr>
      <w:tr w:rsidR="005370AD" w:rsidRPr="008359D2" w14:paraId="4444A7E2" w14:textId="77777777" w:rsidTr="00241AAF">
        <w:tc>
          <w:tcPr>
            <w:tcW w:w="3006" w:type="dxa"/>
          </w:tcPr>
          <w:p w14:paraId="51032EBE" w14:textId="77777777" w:rsidR="005370AD" w:rsidRDefault="005370AD" w:rsidP="007C20D0">
            <w:pPr>
              <w:spacing w:after="0" w:line="240" w:lineRule="auto"/>
            </w:pPr>
            <w:r w:rsidRPr="000A55C9">
              <w:t>66-75 years</w:t>
            </w:r>
          </w:p>
        </w:tc>
        <w:tc>
          <w:tcPr>
            <w:tcW w:w="3005" w:type="dxa"/>
          </w:tcPr>
          <w:p w14:paraId="02250F63" w14:textId="77777777" w:rsidR="005370AD" w:rsidRPr="00146290" w:rsidRDefault="005370AD" w:rsidP="007C20D0">
            <w:pPr>
              <w:spacing w:after="0" w:line="240" w:lineRule="auto"/>
              <w:jc w:val="center"/>
              <w:rPr>
                <w:b/>
              </w:rPr>
            </w:pPr>
            <w:r w:rsidRPr="00146290">
              <w:rPr>
                <w:b/>
              </w:rPr>
              <w:t>11 (37)</w:t>
            </w:r>
          </w:p>
        </w:tc>
        <w:tc>
          <w:tcPr>
            <w:tcW w:w="3005" w:type="dxa"/>
          </w:tcPr>
          <w:p w14:paraId="62CBECB4" w14:textId="77777777" w:rsidR="005370AD" w:rsidRDefault="005370AD" w:rsidP="007C20D0">
            <w:pPr>
              <w:spacing w:after="0" w:line="240" w:lineRule="auto"/>
              <w:jc w:val="center"/>
            </w:pPr>
            <w:r w:rsidRPr="000A55C9">
              <w:t>71</w:t>
            </w:r>
            <w:r>
              <w:t xml:space="preserve"> (30)</w:t>
            </w:r>
          </w:p>
        </w:tc>
      </w:tr>
      <w:tr w:rsidR="005370AD" w:rsidRPr="008359D2" w14:paraId="7806F183" w14:textId="77777777" w:rsidTr="00241AAF">
        <w:tc>
          <w:tcPr>
            <w:tcW w:w="3006" w:type="dxa"/>
          </w:tcPr>
          <w:p w14:paraId="18E96890" w14:textId="77777777" w:rsidR="005370AD" w:rsidRDefault="005370AD" w:rsidP="007C20D0">
            <w:pPr>
              <w:spacing w:after="0" w:line="240" w:lineRule="auto"/>
            </w:pPr>
            <w:r w:rsidRPr="000A55C9">
              <w:t>76-85 years</w:t>
            </w:r>
          </w:p>
        </w:tc>
        <w:tc>
          <w:tcPr>
            <w:tcW w:w="3005" w:type="dxa"/>
          </w:tcPr>
          <w:p w14:paraId="4D5D1F86" w14:textId="77777777" w:rsidR="005370AD" w:rsidRDefault="005370AD" w:rsidP="007C20D0">
            <w:pPr>
              <w:spacing w:after="0" w:line="240" w:lineRule="auto"/>
              <w:jc w:val="center"/>
            </w:pPr>
            <w:r>
              <w:t>6 (20)</w:t>
            </w:r>
          </w:p>
        </w:tc>
        <w:tc>
          <w:tcPr>
            <w:tcW w:w="3005" w:type="dxa"/>
          </w:tcPr>
          <w:p w14:paraId="088F2EE6" w14:textId="77777777" w:rsidR="005370AD" w:rsidRDefault="005370AD" w:rsidP="007C20D0">
            <w:pPr>
              <w:spacing w:after="0" w:line="240" w:lineRule="auto"/>
              <w:jc w:val="center"/>
            </w:pPr>
            <w:r w:rsidRPr="000A55C9">
              <w:t>53</w:t>
            </w:r>
            <w:r>
              <w:t xml:space="preserve"> (22)</w:t>
            </w:r>
          </w:p>
        </w:tc>
      </w:tr>
      <w:tr w:rsidR="005370AD" w:rsidRPr="008359D2" w14:paraId="56422757" w14:textId="77777777" w:rsidTr="00241AAF">
        <w:tc>
          <w:tcPr>
            <w:tcW w:w="3006" w:type="dxa"/>
          </w:tcPr>
          <w:p w14:paraId="3D6C2520" w14:textId="77777777" w:rsidR="005370AD" w:rsidRDefault="005370AD" w:rsidP="007C20D0">
            <w:pPr>
              <w:spacing w:after="0" w:line="240" w:lineRule="auto"/>
            </w:pPr>
            <w:r w:rsidRPr="000A55C9">
              <w:t>More than 85 years</w:t>
            </w:r>
          </w:p>
        </w:tc>
        <w:tc>
          <w:tcPr>
            <w:tcW w:w="3005" w:type="dxa"/>
          </w:tcPr>
          <w:p w14:paraId="78D9243F" w14:textId="77777777" w:rsidR="005370AD" w:rsidRDefault="005370AD" w:rsidP="007C20D0">
            <w:pPr>
              <w:spacing w:after="0" w:line="240" w:lineRule="auto"/>
              <w:jc w:val="center"/>
            </w:pPr>
            <w:r>
              <w:t>0 (0)</w:t>
            </w:r>
          </w:p>
        </w:tc>
        <w:tc>
          <w:tcPr>
            <w:tcW w:w="3005" w:type="dxa"/>
          </w:tcPr>
          <w:p w14:paraId="3D508D1B" w14:textId="77777777" w:rsidR="005370AD" w:rsidRDefault="005370AD" w:rsidP="007C20D0">
            <w:pPr>
              <w:spacing w:after="0" w:line="240" w:lineRule="auto"/>
              <w:jc w:val="center"/>
            </w:pPr>
            <w:r w:rsidRPr="000A55C9">
              <w:t>14</w:t>
            </w:r>
            <w:r>
              <w:t xml:space="preserve"> (6)</w:t>
            </w:r>
          </w:p>
        </w:tc>
      </w:tr>
      <w:tr w:rsidR="005370AD" w:rsidRPr="008359D2" w14:paraId="5F45B506" w14:textId="77777777" w:rsidTr="00241AAF">
        <w:tc>
          <w:tcPr>
            <w:tcW w:w="3006" w:type="dxa"/>
          </w:tcPr>
          <w:p w14:paraId="42EC08FA" w14:textId="77777777" w:rsidR="005370AD" w:rsidRDefault="005370AD" w:rsidP="007C20D0">
            <w:pPr>
              <w:spacing w:after="0" w:line="240" w:lineRule="auto"/>
            </w:pPr>
            <w:r w:rsidRPr="000A55C9">
              <w:t>Missing</w:t>
            </w:r>
          </w:p>
        </w:tc>
        <w:tc>
          <w:tcPr>
            <w:tcW w:w="3005" w:type="dxa"/>
          </w:tcPr>
          <w:p w14:paraId="74212686" w14:textId="77777777" w:rsidR="005370AD" w:rsidRDefault="005370AD" w:rsidP="007C20D0">
            <w:pPr>
              <w:spacing w:after="0" w:line="240" w:lineRule="auto"/>
              <w:jc w:val="center"/>
            </w:pPr>
            <w:r>
              <w:t>0 (0)</w:t>
            </w:r>
          </w:p>
        </w:tc>
        <w:tc>
          <w:tcPr>
            <w:tcW w:w="3005" w:type="dxa"/>
          </w:tcPr>
          <w:p w14:paraId="36CFDC5D" w14:textId="77777777" w:rsidR="005370AD" w:rsidRDefault="005370AD" w:rsidP="007C20D0">
            <w:pPr>
              <w:spacing w:after="0" w:line="240" w:lineRule="auto"/>
              <w:jc w:val="center"/>
            </w:pPr>
            <w:r w:rsidRPr="000A55C9">
              <w:t>6</w:t>
            </w:r>
            <w:r>
              <w:t xml:space="preserve"> (3)</w:t>
            </w:r>
          </w:p>
        </w:tc>
      </w:tr>
      <w:tr w:rsidR="005370AD" w:rsidRPr="008359D2" w14:paraId="4AD3F860" w14:textId="77777777" w:rsidTr="00241AAF">
        <w:tc>
          <w:tcPr>
            <w:tcW w:w="9016" w:type="dxa"/>
            <w:gridSpan w:val="3"/>
          </w:tcPr>
          <w:p w14:paraId="103E8DD6" w14:textId="77777777" w:rsidR="005370AD" w:rsidRPr="008359D2" w:rsidRDefault="005370AD" w:rsidP="007C20D0">
            <w:pPr>
              <w:spacing w:after="0" w:line="240" w:lineRule="auto"/>
              <w:rPr>
                <w:sz w:val="24"/>
                <w:szCs w:val="24"/>
              </w:rPr>
            </w:pPr>
            <w:r>
              <w:rPr>
                <w:b/>
                <w:color w:val="0070C0"/>
                <w:sz w:val="24"/>
                <w:szCs w:val="24"/>
              </w:rPr>
              <w:t>Recruitment source</w:t>
            </w:r>
          </w:p>
        </w:tc>
      </w:tr>
      <w:tr w:rsidR="005370AD" w:rsidRPr="008359D2" w14:paraId="20ADC3A3" w14:textId="77777777" w:rsidTr="00241AAF">
        <w:tc>
          <w:tcPr>
            <w:tcW w:w="3006" w:type="dxa"/>
          </w:tcPr>
          <w:p w14:paraId="40EC461A" w14:textId="77777777" w:rsidR="005370AD" w:rsidRPr="00456396" w:rsidRDefault="005370AD" w:rsidP="007C20D0">
            <w:pPr>
              <w:spacing w:after="0" w:line="240" w:lineRule="auto"/>
            </w:pPr>
            <w:r>
              <w:t>Primary care</w:t>
            </w:r>
          </w:p>
        </w:tc>
        <w:tc>
          <w:tcPr>
            <w:tcW w:w="3005" w:type="dxa"/>
          </w:tcPr>
          <w:p w14:paraId="434A3B5F" w14:textId="77777777" w:rsidR="005370AD" w:rsidRPr="00A739E7" w:rsidRDefault="005370AD" w:rsidP="007C20D0">
            <w:pPr>
              <w:spacing w:after="0" w:line="240" w:lineRule="auto"/>
              <w:jc w:val="center"/>
              <w:rPr>
                <w:b/>
              </w:rPr>
            </w:pPr>
            <w:r w:rsidRPr="00A739E7">
              <w:rPr>
                <w:b/>
              </w:rPr>
              <w:t>16</w:t>
            </w:r>
            <w:r>
              <w:rPr>
                <w:b/>
              </w:rPr>
              <w:t xml:space="preserve"> (53)</w:t>
            </w:r>
          </w:p>
        </w:tc>
        <w:tc>
          <w:tcPr>
            <w:tcW w:w="3005" w:type="dxa"/>
          </w:tcPr>
          <w:p w14:paraId="11D482E2" w14:textId="77777777" w:rsidR="005370AD" w:rsidRPr="001E152A" w:rsidRDefault="005370AD" w:rsidP="007C20D0">
            <w:pPr>
              <w:spacing w:after="0" w:line="240" w:lineRule="auto"/>
              <w:jc w:val="center"/>
              <w:rPr>
                <w:b/>
              </w:rPr>
            </w:pPr>
            <w:r>
              <w:rPr>
                <w:b/>
              </w:rPr>
              <w:t>216 (90)</w:t>
            </w:r>
          </w:p>
        </w:tc>
      </w:tr>
      <w:tr w:rsidR="005370AD" w:rsidRPr="008359D2" w14:paraId="1906E191" w14:textId="77777777" w:rsidTr="00241AAF">
        <w:tc>
          <w:tcPr>
            <w:tcW w:w="3006" w:type="dxa"/>
          </w:tcPr>
          <w:p w14:paraId="45370C25" w14:textId="77777777" w:rsidR="005370AD" w:rsidRPr="00456396" w:rsidRDefault="005370AD" w:rsidP="007C20D0">
            <w:pPr>
              <w:spacing w:after="0" w:line="240" w:lineRule="auto"/>
            </w:pPr>
            <w:r>
              <w:t>Secondary care</w:t>
            </w:r>
          </w:p>
        </w:tc>
        <w:tc>
          <w:tcPr>
            <w:tcW w:w="3005" w:type="dxa"/>
          </w:tcPr>
          <w:p w14:paraId="6BD9CFAA" w14:textId="77777777" w:rsidR="005370AD" w:rsidRPr="00456396" w:rsidRDefault="005370AD" w:rsidP="007C20D0">
            <w:pPr>
              <w:spacing w:after="0" w:line="240" w:lineRule="auto"/>
              <w:jc w:val="center"/>
            </w:pPr>
            <w:r>
              <w:t>8 (27)</w:t>
            </w:r>
          </w:p>
        </w:tc>
        <w:tc>
          <w:tcPr>
            <w:tcW w:w="3005" w:type="dxa"/>
          </w:tcPr>
          <w:p w14:paraId="1E00A000" w14:textId="77777777" w:rsidR="005370AD" w:rsidRPr="00456396" w:rsidRDefault="005370AD" w:rsidP="007C20D0">
            <w:pPr>
              <w:spacing w:after="0" w:line="240" w:lineRule="auto"/>
              <w:jc w:val="center"/>
            </w:pPr>
            <w:r>
              <w:t>20 (8)</w:t>
            </w:r>
          </w:p>
        </w:tc>
      </w:tr>
      <w:tr w:rsidR="005370AD" w:rsidRPr="008359D2" w14:paraId="485B34AC" w14:textId="77777777" w:rsidTr="00241AAF">
        <w:tc>
          <w:tcPr>
            <w:tcW w:w="3006" w:type="dxa"/>
          </w:tcPr>
          <w:p w14:paraId="380828AE" w14:textId="77777777" w:rsidR="005370AD" w:rsidRDefault="005370AD" w:rsidP="007C20D0">
            <w:pPr>
              <w:spacing w:after="0" w:line="240" w:lineRule="auto"/>
            </w:pPr>
            <w:r>
              <w:t>Community advertising</w:t>
            </w:r>
          </w:p>
        </w:tc>
        <w:tc>
          <w:tcPr>
            <w:tcW w:w="3005" w:type="dxa"/>
          </w:tcPr>
          <w:p w14:paraId="2C0D6D1C" w14:textId="77777777" w:rsidR="005370AD" w:rsidRDefault="005370AD" w:rsidP="007C20D0">
            <w:pPr>
              <w:spacing w:after="0" w:line="240" w:lineRule="auto"/>
              <w:jc w:val="center"/>
            </w:pPr>
            <w:r>
              <w:t>6 (20)</w:t>
            </w:r>
          </w:p>
        </w:tc>
        <w:tc>
          <w:tcPr>
            <w:tcW w:w="3005" w:type="dxa"/>
          </w:tcPr>
          <w:p w14:paraId="1A1F931B" w14:textId="77777777" w:rsidR="005370AD" w:rsidRPr="00456396" w:rsidRDefault="005370AD" w:rsidP="007C20D0">
            <w:pPr>
              <w:spacing w:after="0" w:line="240" w:lineRule="auto"/>
              <w:jc w:val="center"/>
            </w:pPr>
            <w:r>
              <w:t>4 (2)</w:t>
            </w:r>
          </w:p>
        </w:tc>
      </w:tr>
      <w:tr w:rsidR="005370AD" w:rsidRPr="008359D2" w14:paraId="22EFEC33" w14:textId="77777777" w:rsidTr="00241AAF">
        <w:tc>
          <w:tcPr>
            <w:tcW w:w="9016" w:type="dxa"/>
            <w:gridSpan w:val="3"/>
          </w:tcPr>
          <w:p w14:paraId="6E00775C" w14:textId="77777777" w:rsidR="005370AD" w:rsidRPr="008359D2" w:rsidRDefault="005370AD" w:rsidP="007C20D0">
            <w:pPr>
              <w:spacing w:after="0" w:line="240" w:lineRule="auto"/>
              <w:rPr>
                <w:b/>
                <w:sz w:val="24"/>
                <w:szCs w:val="24"/>
              </w:rPr>
            </w:pPr>
            <w:r>
              <w:rPr>
                <w:b/>
                <w:color w:val="0070C0"/>
                <w:sz w:val="24"/>
                <w:szCs w:val="24"/>
              </w:rPr>
              <w:t>Number of cellulitis episodes</w:t>
            </w:r>
          </w:p>
        </w:tc>
      </w:tr>
      <w:tr w:rsidR="005370AD" w:rsidRPr="008359D2" w14:paraId="2E9E833C" w14:textId="77777777" w:rsidTr="00241AAF">
        <w:tc>
          <w:tcPr>
            <w:tcW w:w="3006" w:type="dxa"/>
          </w:tcPr>
          <w:p w14:paraId="69452A08" w14:textId="77777777" w:rsidR="005370AD" w:rsidRPr="00456396" w:rsidRDefault="005370AD" w:rsidP="007C20D0">
            <w:pPr>
              <w:spacing w:after="0" w:line="240" w:lineRule="auto"/>
            </w:pPr>
            <w:r>
              <w:t>First episode</w:t>
            </w:r>
          </w:p>
        </w:tc>
        <w:tc>
          <w:tcPr>
            <w:tcW w:w="3005" w:type="dxa"/>
          </w:tcPr>
          <w:p w14:paraId="1D6A5604" w14:textId="77777777" w:rsidR="005370AD" w:rsidRPr="00456396" w:rsidRDefault="005370AD" w:rsidP="007C20D0">
            <w:pPr>
              <w:spacing w:after="0" w:line="240" w:lineRule="auto"/>
              <w:jc w:val="center"/>
            </w:pPr>
            <w:r w:rsidRPr="00456396">
              <w:t>10</w:t>
            </w:r>
            <w:r>
              <w:t xml:space="preserve"> (33)</w:t>
            </w:r>
          </w:p>
        </w:tc>
        <w:tc>
          <w:tcPr>
            <w:tcW w:w="3005" w:type="dxa"/>
          </w:tcPr>
          <w:p w14:paraId="13729A84" w14:textId="77777777" w:rsidR="005370AD" w:rsidRPr="00456396" w:rsidRDefault="005370AD" w:rsidP="007C20D0">
            <w:pPr>
              <w:spacing w:after="0" w:line="240" w:lineRule="auto"/>
              <w:jc w:val="center"/>
            </w:pPr>
            <w:r>
              <w:t>109 (45)</w:t>
            </w:r>
          </w:p>
        </w:tc>
      </w:tr>
      <w:tr w:rsidR="005370AD" w:rsidRPr="008359D2" w14:paraId="2B47B7E2" w14:textId="77777777" w:rsidTr="00241AAF">
        <w:tc>
          <w:tcPr>
            <w:tcW w:w="3006" w:type="dxa"/>
          </w:tcPr>
          <w:p w14:paraId="121D6101" w14:textId="77777777" w:rsidR="005370AD" w:rsidRPr="00456396" w:rsidRDefault="005370AD" w:rsidP="007C20D0">
            <w:pPr>
              <w:spacing w:after="0" w:line="240" w:lineRule="auto"/>
            </w:pPr>
            <w:r>
              <w:t>Recurrent episodes</w:t>
            </w:r>
          </w:p>
        </w:tc>
        <w:tc>
          <w:tcPr>
            <w:tcW w:w="3005" w:type="dxa"/>
          </w:tcPr>
          <w:p w14:paraId="0C1F0C6D" w14:textId="77777777" w:rsidR="005370AD" w:rsidRPr="00456396" w:rsidRDefault="005370AD" w:rsidP="007C20D0">
            <w:pPr>
              <w:spacing w:after="0" w:line="240" w:lineRule="auto"/>
              <w:jc w:val="center"/>
              <w:rPr>
                <w:b/>
              </w:rPr>
            </w:pPr>
            <w:r>
              <w:rPr>
                <w:b/>
              </w:rPr>
              <w:t>20 (67)</w:t>
            </w:r>
          </w:p>
        </w:tc>
        <w:tc>
          <w:tcPr>
            <w:tcW w:w="3005" w:type="dxa"/>
          </w:tcPr>
          <w:p w14:paraId="1E2C79C2" w14:textId="77777777" w:rsidR="005370AD" w:rsidRPr="001E152A" w:rsidRDefault="005370AD" w:rsidP="007C20D0">
            <w:pPr>
              <w:spacing w:after="0" w:line="240" w:lineRule="auto"/>
              <w:jc w:val="center"/>
              <w:rPr>
                <w:b/>
              </w:rPr>
            </w:pPr>
            <w:r>
              <w:rPr>
                <w:b/>
              </w:rPr>
              <w:t>130 (54)</w:t>
            </w:r>
          </w:p>
        </w:tc>
      </w:tr>
      <w:tr w:rsidR="005370AD" w:rsidRPr="008359D2" w14:paraId="7AD99DC5" w14:textId="77777777" w:rsidTr="00241AAF">
        <w:tc>
          <w:tcPr>
            <w:tcW w:w="3006" w:type="dxa"/>
          </w:tcPr>
          <w:p w14:paraId="7966199D" w14:textId="77777777" w:rsidR="005370AD" w:rsidRPr="00456396" w:rsidRDefault="005370AD" w:rsidP="007C20D0">
            <w:pPr>
              <w:spacing w:after="0" w:line="240" w:lineRule="auto"/>
            </w:pPr>
            <w:r>
              <w:t>Missing</w:t>
            </w:r>
          </w:p>
        </w:tc>
        <w:tc>
          <w:tcPr>
            <w:tcW w:w="3005" w:type="dxa"/>
          </w:tcPr>
          <w:p w14:paraId="5CF184EF" w14:textId="77777777" w:rsidR="005370AD" w:rsidRPr="00146290" w:rsidRDefault="005370AD" w:rsidP="007C20D0">
            <w:pPr>
              <w:spacing w:after="0" w:line="240" w:lineRule="auto"/>
              <w:jc w:val="center"/>
            </w:pPr>
            <w:r w:rsidRPr="00146290">
              <w:t>0 (0)</w:t>
            </w:r>
          </w:p>
        </w:tc>
        <w:tc>
          <w:tcPr>
            <w:tcW w:w="3005" w:type="dxa"/>
          </w:tcPr>
          <w:p w14:paraId="3885AA0E" w14:textId="77777777" w:rsidR="005370AD" w:rsidRPr="00146290" w:rsidRDefault="005370AD" w:rsidP="007C20D0">
            <w:pPr>
              <w:spacing w:after="0" w:line="240" w:lineRule="auto"/>
              <w:jc w:val="center"/>
            </w:pPr>
            <w:r w:rsidRPr="00146290">
              <w:t>1 (1)</w:t>
            </w:r>
          </w:p>
        </w:tc>
      </w:tr>
      <w:tr w:rsidR="005370AD" w:rsidRPr="008359D2" w14:paraId="082BC3D2" w14:textId="77777777" w:rsidTr="00241AAF">
        <w:tc>
          <w:tcPr>
            <w:tcW w:w="9016" w:type="dxa"/>
            <w:gridSpan w:val="3"/>
          </w:tcPr>
          <w:p w14:paraId="098681BC" w14:textId="77777777" w:rsidR="005370AD" w:rsidRPr="00456396" w:rsidRDefault="005370AD" w:rsidP="007C20D0">
            <w:pPr>
              <w:spacing w:after="0" w:line="240" w:lineRule="auto"/>
            </w:pPr>
            <w:r w:rsidRPr="003E0FC4">
              <w:rPr>
                <w:b/>
                <w:color w:val="0070C0"/>
                <w:sz w:val="24"/>
                <w:szCs w:val="24"/>
              </w:rPr>
              <w:t>Location of cellulitis</w:t>
            </w:r>
          </w:p>
        </w:tc>
      </w:tr>
      <w:tr w:rsidR="005370AD" w:rsidRPr="008359D2" w14:paraId="5FCC2B08" w14:textId="77777777" w:rsidTr="00241AAF">
        <w:tc>
          <w:tcPr>
            <w:tcW w:w="3006" w:type="dxa"/>
          </w:tcPr>
          <w:p w14:paraId="1203FD73" w14:textId="77777777" w:rsidR="005370AD" w:rsidRPr="00456396" w:rsidRDefault="005370AD" w:rsidP="007C20D0">
            <w:pPr>
              <w:spacing w:after="0" w:line="240" w:lineRule="auto"/>
            </w:pPr>
            <w:r>
              <w:t>Lower leg</w:t>
            </w:r>
          </w:p>
        </w:tc>
        <w:tc>
          <w:tcPr>
            <w:tcW w:w="3005" w:type="dxa"/>
          </w:tcPr>
          <w:p w14:paraId="3E1ED40F" w14:textId="77777777" w:rsidR="005370AD" w:rsidRPr="00A739E7" w:rsidRDefault="005370AD" w:rsidP="007C20D0">
            <w:pPr>
              <w:spacing w:after="0" w:line="240" w:lineRule="auto"/>
              <w:jc w:val="center"/>
              <w:rPr>
                <w:b/>
              </w:rPr>
            </w:pPr>
            <w:r w:rsidRPr="00A739E7">
              <w:rPr>
                <w:b/>
              </w:rPr>
              <w:t>25</w:t>
            </w:r>
            <w:r>
              <w:rPr>
                <w:b/>
              </w:rPr>
              <w:t xml:space="preserve"> (83)</w:t>
            </w:r>
          </w:p>
        </w:tc>
        <w:tc>
          <w:tcPr>
            <w:tcW w:w="3005" w:type="dxa"/>
          </w:tcPr>
          <w:p w14:paraId="3FBA0E87" w14:textId="77777777" w:rsidR="005370AD" w:rsidRPr="001E152A" w:rsidRDefault="005370AD" w:rsidP="007C20D0">
            <w:pPr>
              <w:spacing w:after="0" w:line="240" w:lineRule="auto"/>
              <w:jc w:val="center"/>
              <w:rPr>
                <w:b/>
              </w:rPr>
            </w:pPr>
            <w:r>
              <w:rPr>
                <w:b/>
              </w:rPr>
              <w:t>170 (71)</w:t>
            </w:r>
          </w:p>
        </w:tc>
      </w:tr>
      <w:tr w:rsidR="005370AD" w:rsidRPr="008359D2" w14:paraId="05C5EDF3" w14:textId="77777777" w:rsidTr="00241AAF">
        <w:tc>
          <w:tcPr>
            <w:tcW w:w="3006" w:type="dxa"/>
          </w:tcPr>
          <w:p w14:paraId="369BB184" w14:textId="77777777" w:rsidR="005370AD" w:rsidRPr="00456396" w:rsidRDefault="005370AD" w:rsidP="007C20D0">
            <w:pPr>
              <w:spacing w:after="0" w:line="240" w:lineRule="auto"/>
            </w:pPr>
            <w:r>
              <w:t>Upper leg</w:t>
            </w:r>
          </w:p>
        </w:tc>
        <w:tc>
          <w:tcPr>
            <w:tcW w:w="3005" w:type="dxa"/>
          </w:tcPr>
          <w:p w14:paraId="0DF5E61B" w14:textId="77777777" w:rsidR="005370AD" w:rsidRPr="00456396" w:rsidRDefault="005370AD" w:rsidP="007C20D0">
            <w:pPr>
              <w:spacing w:after="0" w:line="240" w:lineRule="auto"/>
              <w:jc w:val="center"/>
            </w:pPr>
            <w:r>
              <w:t>1 (3)</w:t>
            </w:r>
          </w:p>
        </w:tc>
        <w:tc>
          <w:tcPr>
            <w:tcW w:w="3005" w:type="dxa"/>
          </w:tcPr>
          <w:p w14:paraId="2D89426C" w14:textId="77777777" w:rsidR="005370AD" w:rsidRPr="00456396" w:rsidRDefault="005370AD" w:rsidP="007C20D0">
            <w:pPr>
              <w:spacing w:after="0" w:line="240" w:lineRule="auto"/>
              <w:jc w:val="center"/>
            </w:pPr>
            <w:r>
              <w:t>6 (3)</w:t>
            </w:r>
          </w:p>
        </w:tc>
      </w:tr>
      <w:tr w:rsidR="005370AD" w:rsidRPr="008359D2" w14:paraId="68EC3827" w14:textId="77777777" w:rsidTr="00241AAF">
        <w:tc>
          <w:tcPr>
            <w:tcW w:w="3006" w:type="dxa"/>
          </w:tcPr>
          <w:p w14:paraId="1546260C" w14:textId="77777777" w:rsidR="005370AD" w:rsidRPr="00456396" w:rsidRDefault="005370AD" w:rsidP="007C20D0">
            <w:pPr>
              <w:spacing w:after="0" w:line="240" w:lineRule="auto"/>
            </w:pPr>
            <w:r>
              <w:t>Arm/hand</w:t>
            </w:r>
          </w:p>
        </w:tc>
        <w:tc>
          <w:tcPr>
            <w:tcW w:w="3005" w:type="dxa"/>
          </w:tcPr>
          <w:p w14:paraId="3F2E58A0" w14:textId="77777777" w:rsidR="005370AD" w:rsidRPr="00456396" w:rsidRDefault="005370AD" w:rsidP="007C20D0">
            <w:pPr>
              <w:spacing w:after="0" w:line="240" w:lineRule="auto"/>
              <w:jc w:val="center"/>
            </w:pPr>
            <w:r>
              <w:t>4 (13)</w:t>
            </w:r>
          </w:p>
        </w:tc>
        <w:tc>
          <w:tcPr>
            <w:tcW w:w="3005" w:type="dxa"/>
          </w:tcPr>
          <w:p w14:paraId="700AC9CA" w14:textId="77777777" w:rsidR="005370AD" w:rsidRPr="00456396" w:rsidRDefault="005370AD" w:rsidP="007C20D0">
            <w:pPr>
              <w:spacing w:after="0" w:line="240" w:lineRule="auto"/>
              <w:jc w:val="center"/>
            </w:pPr>
            <w:r>
              <w:t>6 (3)</w:t>
            </w:r>
          </w:p>
        </w:tc>
      </w:tr>
      <w:tr w:rsidR="005370AD" w:rsidRPr="008359D2" w14:paraId="2DBCE897" w14:textId="77777777" w:rsidTr="00241AAF">
        <w:tc>
          <w:tcPr>
            <w:tcW w:w="3006" w:type="dxa"/>
          </w:tcPr>
          <w:p w14:paraId="49330E0E" w14:textId="77777777" w:rsidR="005370AD" w:rsidRDefault="005370AD" w:rsidP="007C20D0">
            <w:pPr>
              <w:spacing w:after="0" w:line="240" w:lineRule="auto"/>
            </w:pPr>
            <w:r>
              <w:t>Face</w:t>
            </w:r>
          </w:p>
        </w:tc>
        <w:tc>
          <w:tcPr>
            <w:tcW w:w="3005" w:type="dxa"/>
          </w:tcPr>
          <w:p w14:paraId="46AEF96A" w14:textId="77777777" w:rsidR="005370AD" w:rsidRDefault="005370AD" w:rsidP="007C20D0">
            <w:pPr>
              <w:spacing w:after="0" w:line="240" w:lineRule="auto"/>
              <w:jc w:val="center"/>
            </w:pPr>
            <w:r>
              <w:t>0 (0)</w:t>
            </w:r>
          </w:p>
        </w:tc>
        <w:tc>
          <w:tcPr>
            <w:tcW w:w="3005" w:type="dxa"/>
          </w:tcPr>
          <w:p w14:paraId="41A3388A" w14:textId="77777777" w:rsidR="005370AD" w:rsidRDefault="005370AD" w:rsidP="007C20D0">
            <w:pPr>
              <w:spacing w:after="0" w:line="240" w:lineRule="auto"/>
              <w:jc w:val="center"/>
            </w:pPr>
            <w:r>
              <w:t>9 (4)</w:t>
            </w:r>
          </w:p>
        </w:tc>
      </w:tr>
      <w:tr w:rsidR="005370AD" w:rsidRPr="008359D2" w14:paraId="4385176B" w14:textId="77777777" w:rsidTr="00241AAF">
        <w:tc>
          <w:tcPr>
            <w:tcW w:w="3006" w:type="dxa"/>
          </w:tcPr>
          <w:p w14:paraId="4333B642" w14:textId="77777777" w:rsidR="005370AD" w:rsidRPr="00E22919" w:rsidRDefault="005370AD" w:rsidP="007C20D0">
            <w:pPr>
              <w:spacing w:after="0" w:line="240" w:lineRule="auto"/>
            </w:pPr>
            <w:r w:rsidRPr="00E22919">
              <w:t>Multiple locations</w:t>
            </w:r>
          </w:p>
        </w:tc>
        <w:tc>
          <w:tcPr>
            <w:tcW w:w="3005" w:type="dxa"/>
          </w:tcPr>
          <w:p w14:paraId="31E3CDCE" w14:textId="77777777" w:rsidR="005370AD" w:rsidRDefault="005370AD" w:rsidP="007C20D0">
            <w:pPr>
              <w:spacing w:after="0" w:line="240" w:lineRule="auto"/>
              <w:jc w:val="center"/>
            </w:pPr>
            <w:r w:rsidRPr="00146290">
              <w:t>0 (0)</w:t>
            </w:r>
          </w:p>
        </w:tc>
        <w:tc>
          <w:tcPr>
            <w:tcW w:w="3005" w:type="dxa"/>
          </w:tcPr>
          <w:p w14:paraId="0B5B2AC9" w14:textId="77777777" w:rsidR="005370AD" w:rsidRPr="00E84B46" w:rsidRDefault="005370AD" w:rsidP="007C20D0">
            <w:pPr>
              <w:spacing w:after="0" w:line="240" w:lineRule="auto"/>
              <w:jc w:val="center"/>
            </w:pPr>
            <w:r w:rsidRPr="00E84B46">
              <w:t>34</w:t>
            </w:r>
            <w:r>
              <w:t xml:space="preserve"> (14)</w:t>
            </w:r>
          </w:p>
        </w:tc>
      </w:tr>
      <w:tr w:rsidR="005370AD" w:rsidRPr="008359D2" w14:paraId="0519F2C7" w14:textId="77777777" w:rsidTr="00241AAF">
        <w:tc>
          <w:tcPr>
            <w:tcW w:w="3006" w:type="dxa"/>
          </w:tcPr>
          <w:p w14:paraId="63E038C3" w14:textId="77777777" w:rsidR="005370AD" w:rsidRPr="00E22919" w:rsidRDefault="005370AD" w:rsidP="007C20D0">
            <w:pPr>
              <w:spacing w:after="0" w:line="240" w:lineRule="auto"/>
            </w:pPr>
            <w:r w:rsidRPr="00E22919">
              <w:t>Elsewhere on the body</w:t>
            </w:r>
          </w:p>
        </w:tc>
        <w:tc>
          <w:tcPr>
            <w:tcW w:w="3005" w:type="dxa"/>
          </w:tcPr>
          <w:p w14:paraId="2BEE8953" w14:textId="77777777" w:rsidR="005370AD" w:rsidRDefault="005370AD" w:rsidP="007C20D0">
            <w:pPr>
              <w:spacing w:after="0" w:line="240" w:lineRule="auto"/>
              <w:jc w:val="center"/>
            </w:pPr>
            <w:r w:rsidRPr="00146290">
              <w:t>0 (0)</w:t>
            </w:r>
          </w:p>
        </w:tc>
        <w:tc>
          <w:tcPr>
            <w:tcW w:w="3005" w:type="dxa"/>
          </w:tcPr>
          <w:p w14:paraId="791711FC" w14:textId="77777777" w:rsidR="005370AD" w:rsidRPr="00E84B46" w:rsidRDefault="005370AD" w:rsidP="007C20D0">
            <w:pPr>
              <w:spacing w:after="0" w:line="240" w:lineRule="auto"/>
              <w:jc w:val="center"/>
            </w:pPr>
            <w:r w:rsidRPr="00E84B46">
              <w:t>14</w:t>
            </w:r>
            <w:r>
              <w:t xml:space="preserve"> (6)</w:t>
            </w:r>
          </w:p>
        </w:tc>
      </w:tr>
      <w:tr w:rsidR="005370AD" w:rsidRPr="008359D2" w14:paraId="6BEE72E4" w14:textId="77777777" w:rsidTr="00241AAF">
        <w:tc>
          <w:tcPr>
            <w:tcW w:w="3006" w:type="dxa"/>
          </w:tcPr>
          <w:p w14:paraId="4F836414" w14:textId="77777777" w:rsidR="005370AD" w:rsidRDefault="005370AD" w:rsidP="007C20D0">
            <w:pPr>
              <w:spacing w:after="0" w:line="240" w:lineRule="auto"/>
            </w:pPr>
            <w:r w:rsidRPr="00E22919">
              <w:t>Missing</w:t>
            </w:r>
          </w:p>
        </w:tc>
        <w:tc>
          <w:tcPr>
            <w:tcW w:w="3005" w:type="dxa"/>
          </w:tcPr>
          <w:p w14:paraId="7EA33E69" w14:textId="77777777" w:rsidR="005370AD" w:rsidRDefault="005370AD" w:rsidP="007C20D0">
            <w:pPr>
              <w:spacing w:after="0" w:line="240" w:lineRule="auto"/>
              <w:jc w:val="center"/>
            </w:pPr>
            <w:r w:rsidRPr="00146290">
              <w:t>0 (0)</w:t>
            </w:r>
          </w:p>
        </w:tc>
        <w:tc>
          <w:tcPr>
            <w:tcW w:w="3005" w:type="dxa"/>
          </w:tcPr>
          <w:p w14:paraId="579E389B" w14:textId="77777777" w:rsidR="005370AD" w:rsidRDefault="005370AD" w:rsidP="007C20D0">
            <w:pPr>
              <w:spacing w:after="0" w:line="240" w:lineRule="auto"/>
              <w:jc w:val="center"/>
            </w:pPr>
            <w:r w:rsidRPr="00E84B46">
              <w:t>1</w:t>
            </w:r>
            <w:r>
              <w:t xml:space="preserve"> (0)</w:t>
            </w:r>
          </w:p>
        </w:tc>
      </w:tr>
      <w:tr w:rsidR="005370AD" w:rsidRPr="008359D2" w14:paraId="4CFABEDE" w14:textId="77777777" w:rsidTr="00241AAF">
        <w:tc>
          <w:tcPr>
            <w:tcW w:w="9016" w:type="dxa"/>
            <w:gridSpan w:val="3"/>
          </w:tcPr>
          <w:p w14:paraId="35BA73D7" w14:textId="77777777" w:rsidR="005370AD" w:rsidRPr="008359D2" w:rsidRDefault="005370AD" w:rsidP="007C20D0">
            <w:pPr>
              <w:spacing w:after="0" w:line="240" w:lineRule="auto"/>
              <w:rPr>
                <w:b/>
                <w:sz w:val="24"/>
                <w:szCs w:val="24"/>
              </w:rPr>
            </w:pPr>
            <w:r w:rsidRPr="00DC7898">
              <w:rPr>
                <w:b/>
                <w:color w:val="0070C0"/>
                <w:sz w:val="24"/>
                <w:szCs w:val="24"/>
              </w:rPr>
              <w:t>Long-standing illness</w:t>
            </w:r>
          </w:p>
        </w:tc>
      </w:tr>
      <w:tr w:rsidR="005370AD" w:rsidRPr="008359D2" w14:paraId="2B0405DC" w14:textId="77777777" w:rsidTr="00241AAF">
        <w:tc>
          <w:tcPr>
            <w:tcW w:w="3006" w:type="dxa"/>
          </w:tcPr>
          <w:p w14:paraId="4A793A97" w14:textId="77777777" w:rsidR="005370AD" w:rsidRPr="00DC7898" w:rsidRDefault="005370AD" w:rsidP="007C20D0">
            <w:pPr>
              <w:spacing w:after="0" w:line="240" w:lineRule="auto"/>
              <w:rPr>
                <w:sz w:val="24"/>
                <w:szCs w:val="24"/>
              </w:rPr>
            </w:pPr>
            <w:r w:rsidRPr="00DC7898">
              <w:rPr>
                <w:sz w:val="24"/>
                <w:szCs w:val="24"/>
              </w:rPr>
              <w:t>Yes</w:t>
            </w:r>
          </w:p>
        </w:tc>
        <w:tc>
          <w:tcPr>
            <w:tcW w:w="3005" w:type="dxa"/>
          </w:tcPr>
          <w:p w14:paraId="27C99AEF" w14:textId="77777777" w:rsidR="005370AD" w:rsidRPr="00DC7898" w:rsidRDefault="005370AD" w:rsidP="007C20D0">
            <w:pPr>
              <w:spacing w:after="0" w:line="240" w:lineRule="auto"/>
              <w:jc w:val="center"/>
              <w:rPr>
                <w:b/>
              </w:rPr>
            </w:pPr>
            <w:r>
              <w:rPr>
                <w:b/>
              </w:rPr>
              <w:t>23 (77)</w:t>
            </w:r>
          </w:p>
        </w:tc>
        <w:tc>
          <w:tcPr>
            <w:tcW w:w="3005" w:type="dxa"/>
          </w:tcPr>
          <w:p w14:paraId="7C4981C3" w14:textId="77777777" w:rsidR="005370AD" w:rsidRPr="00146290" w:rsidRDefault="005370AD" w:rsidP="007C20D0">
            <w:pPr>
              <w:spacing w:after="0" w:line="240" w:lineRule="auto"/>
              <w:jc w:val="center"/>
              <w:rPr>
                <w:b/>
              </w:rPr>
            </w:pPr>
            <w:r w:rsidRPr="00146290">
              <w:rPr>
                <w:b/>
              </w:rPr>
              <w:t>166 (69)</w:t>
            </w:r>
          </w:p>
        </w:tc>
      </w:tr>
      <w:tr w:rsidR="005370AD" w:rsidRPr="008359D2" w14:paraId="1DFF532E" w14:textId="77777777" w:rsidTr="00241AAF">
        <w:tc>
          <w:tcPr>
            <w:tcW w:w="3006" w:type="dxa"/>
          </w:tcPr>
          <w:p w14:paraId="546191AD" w14:textId="77777777" w:rsidR="005370AD" w:rsidRPr="00DC7898" w:rsidRDefault="005370AD" w:rsidP="007C20D0">
            <w:pPr>
              <w:spacing w:after="0" w:line="240" w:lineRule="auto"/>
              <w:rPr>
                <w:sz w:val="24"/>
                <w:szCs w:val="24"/>
              </w:rPr>
            </w:pPr>
            <w:r w:rsidRPr="00DC7898">
              <w:rPr>
                <w:sz w:val="24"/>
                <w:szCs w:val="24"/>
              </w:rPr>
              <w:t>No</w:t>
            </w:r>
          </w:p>
        </w:tc>
        <w:tc>
          <w:tcPr>
            <w:tcW w:w="3005" w:type="dxa"/>
          </w:tcPr>
          <w:p w14:paraId="3E1E8200" w14:textId="77777777" w:rsidR="005370AD" w:rsidRPr="005E3479" w:rsidRDefault="005370AD" w:rsidP="007C20D0">
            <w:pPr>
              <w:spacing w:after="0" w:line="240" w:lineRule="auto"/>
              <w:jc w:val="center"/>
            </w:pPr>
            <w:r>
              <w:t>7 (23)</w:t>
            </w:r>
          </w:p>
        </w:tc>
        <w:tc>
          <w:tcPr>
            <w:tcW w:w="3005" w:type="dxa"/>
          </w:tcPr>
          <w:p w14:paraId="336DFFE9" w14:textId="77777777" w:rsidR="005370AD" w:rsidRPr="003E69C8" w:rsidRDefault="005370AD" w:rsidP="007C20D0">
            <w:pPr>
              <w:spacing w:after="0" w:line="240" w:lineRule="auto"/>
              <w:jc w:val="center"/>
            </w:pPr>
            <w:r w:rsidRPr="003E69C8">
              <w:t>66</w:t>
            </w:r>
            <w:r>
              <w:t xml:space="preserve"> (28)</w:t>
            </w:r>
          </w:p>
        </w:tc>
      </w:tr>
      <w:tr w:rsidR="005370AD" w:rsidRPr="008359D2" w14:paraId="29B6B1F0" w14:textId="77777777" w:rsidTr="00241AAF">
        <w:tc>
          <w:tcPr>
            <w:tcW w:w="3006" w:type="dxa"/>
          </w:tcPr>
          <w:p w14:paraId="6726D4C4" w14:textId="77777777" w:rsidR="005370AD" w:rsidRDefault="005370AD" w:rsidP="007C20D0">
            <w:pPr>
              <w:spacing w:after="0" w:line="240" w:lineRule="auto"/>
              <w:rPr>
                <w:sz w:val="24"/>
                <w:szCs w:val="24"/>
              </w:rPr>
            </w:pPr>
            <w:r>
              <w:rPr>
                <w:sz w:val="24"/>
                <w:szCs w:val="24"/>
              </w:rPr>
              <w:t>Missing</w:t>
            </w:r>
          </w:p>
        </w:tc>
        <w:tc>
          <w:tcPr>
            <w:tcW w:w="3005" w:type="dxa"/>
          </w:tcPr>
          <w:p w14:paraId="57BD40DD" w14:textId="77777777" w:rsidR="005370AD" w:rsidRDefault="005370AD" w:rsidP="007C20D0">
            <w:pPr>
              <w:spacing w:after="0" w:line="240" w:lineRule="auto"/>
              <w:jc w:val="center"/>
            </w:pPr>
            <w:r>
              <w:t>0 (0)</w:t>
            </w:r>
          </w:p>
        </w:tc>
        <w:tc>
          <w:tcPr>
            <w:tcW w:w="3005" w:type="dxa"/>
          </w:tcPr>
          <w:p w14:paraId="126E3A13" w14:textId="77777777" w:rsidR="005370AD" w:rsidRPr="003E69C8" w:rsidRDefault="005370AD" w:rsidP="007C20D0">
            <w:pPr>
              <w:spacing w:after="0" w:line="240" w:lineRule="auto"/>
              <w:jc w:val="center"/>
            </w:pPr>
            <w:r w:rsidRPr="003E69C8">
              <w:t>8</w:t>
            </w:r>
            <w:r>
              <w:t xml:space="preserve"> (3)</w:t>
            </w:r>
          </w:p>
        </w:tc>
      </w:tr>
    </w:tbl>
    <w:p w14:paraId="60D4FF28" w14:textId="77777777" w:rsidR="005370AD" w:rsidRDefault="005370AD" w:rsidP="00241AAF">
      <w:pPr>
        <w:rPr>
          <w:b/>
        </w:rPr>
      </w:pPr>
    </w:p>
    <w:p w14:paraId="664D797F" w14:textId="77777777" w:rsidR="005370AD" w:rsidRDefault="005370AD" w:rsidP="00241AAF">
      <w:pPr>
        <w:rPr>
          <w:b/>
        </w:rPr>
      </w:pPr>
    </w:p>
    <w:p w14:paraId="453AE06B" w14:textId="77777777" w:rsidR="005370AD" w:rsidRDefault="005370AD" w:rsidP="00241AAF">
      <w:pPr>
        <w:rPr>
          <w:b/>
        </w:rPr>
      </w:pPr>
    </w:p>
    <w:p w14:paraId="7EC03632" w14:textId="77777777" w:rsidR="005370AD" w:rsidRDefault="005370AD" w:rsidP="00241AAF">
      <w:pPr>
        <w:rPr>
          <w:b/>
        </w:rPr>
      </w:pPr>
    </w:p>
    <w:p w14:paraId="2EEC0763" w14:textId="77777777" w:rsidR="005370AD" w:rsidRDefault="005370AD" w:rsidP="00241AAF">
      <w:pPr>
        <w:rPr>
          <w:b/>
        </w:rPr>
      </w:pPr>
    </w:p>
    <w:p w14:paraId="2FE4381C" w14:textId="77777777" w:rsidR="005370AD" w:rsidRDefault="005370AD" w:rsidP="00241AAF">
      <w:pPr>
        <w:rPr>
          <w:b/>
        </w:rPr>
      </w:pPr>
    </w:p>
    <w:p w14:paraId="61494729" w14:textId="77777777" w:rsidR="005370AD" w:rsidRDefault="005370AD" w:rsidP="00241AAF">
      <w:pPr>
        <w:rPr>
          <w:b/>
        </w:rPr>
      </w:pPr>
    </w:p>
    <w:p w14:paraId="533BEA8D" w14:textId="77777777" w:rsidR="005370AD" w:rsidRDefault="005370AD" w:rsidP="00241AAF">
      <w:pPr>
        <w:rPr>
          <w:b/>
        </w:rPr>
      </w:pPr>
      <w:r>
        <w:rPr>
          <w:b/>
        </w:rPr>
        <w:t>Table 2: Perceptions of cellulitis and prevention of recurrence</w:t>
      </w:r>
    </w:p>
    <w:tbl>
      <w:tblPr>
        <w:tblStyle w:val="TableGrid"/>
        <w:tblW w:w="0" w:type="auto"/>
        <w:tblLook w:val="04A0" w:firstRow="1" w:lastRow="0" w:firstColumn="1" w:lastColumn="0" w:noHBand="0" w:noVBand="1"/>
      </w:tblPr>
      <w:tblGrid>
        <w:gridCol w:w="4673"/>
        <w:gridCol w:w="2268"/>
        <w:gridCol w:w="2075"/>
      </w:tblGrid>
      <w:tr w:rsidR="005370AD" w14:paraId="2EFF20CE" w14:textId="77777777" w:rsidTr="00241AAF">
        <w:tc>
          <w:tcPr>
            <w:tcW w:w="4673" w:type="dxa"/>
            <w:shd w:val="clear" w:color="auto" w:fill="B4C6E7" w:themeFill="accent5" w:themeFillTint="66"/>
          </w:tcPr>
          <w:p w14:paraId="3CA20A53" w14:textId="77777777" w:rsidR="005370AD" w:rsidRDefault="005370AD" w:rsidP="007C20D0">
            <w:pPr>
              <w:spacing w:after="0" w:line="240" w:lineRule="auto"/>
              <w:rPr>
                <w:b/>
              </w:rPr>
            </w:pPr>
          </w:p>
        </w:tc>
        <w:tc>
          <w:tcPr>
            <w:tcW w:w="2268" w:type="dxa"/>
            <w:shd w:val="clear" w:color="auto" w:fill="B4C6E7" w:themeFill="accent5" w:themeFillTint="66"/>
          </w:tcPr>
          <w:p w14:paraId="2F72E998" w14:textId="77777777" w:rsidR="005370AD" w:rsidRDefault="005370AD" w:rsidP="007C20D0">
            <w:pPr>
              <w:spacing w:after="0" w:line="240" w:lineRule="auto"/>
              <w:jc w:val="center"/>
              <w:rPr>
                <w:b/>
              </w:rPr>
            </w:pPr>
            <w:r>
              <w:rPr>
                <w:b/>
              </w:rPr>
              <w:t>Number</w:t>
            </w:r>
            <w:r w:rsidRPr="00F65A5D">
              <w:rPr>
                <w:b/>
              </w:rPr>
              <w:t xml:space="preserve"> of participants</w:t>
            </w:r>
          </w:p>
        </w:tc>
        <w:tc>
          <w:tcPr>
            <w:tcW w:w="2075" w:type="dxa"/>
            <w:shd w:val="clear" w:color="auto" w:fill="B4C6E7" w:themeFill="accent5" w:themeFillTint="66"/>
          </w:tcPr>
          <w:p w14:paraId="66784515" w14:textId="77777777" w:rsidR="005370AD" w:rsidRDefault="005370AD" w:rsidP="007C20D0">
            <w:pPr>
              <w:spacing w:after="0" w:line="240" w:lineRule="auto"/>
              <w:jc w:val="center"/>
              <w:rPr>
                <w:b/>
              </w:rPr>
            </w:pPr>
            <w:r w:rsidRPr="00F65A5D">
              <w:rPr>
                <w:b/>
              </w:rPr>
              <w:t>Percentage</w:t>
            </w:r>
          </w:p>
        </w:tc>
      </w:tr>
      <w:tr w:rsidR="005370AD" w14:paraId="14BF3F43" w14:textId="77777777" w:rsidTr="00241AAF">
        <w:tc>
          <w:tcPr>
            <w:tcW w:w="9016" w:type="dxa"/>
            <w:gridSpan w:val="3"/>
          </w:tcPr>
          <w:p w14:paraId="0C9A4113" w14:textId="77777777" w:rsidR="005370AD" w:rsidRDefault="005370AD" w:rsidP="007C20D0">
            <w:pPr>
              <w:spacing w:after="0" w:line="240" w:lineRule="auto"/>
              <w:rPr>
                <w:b/>
              </w:rPr>
            </w:pPr>
            <w:r w:rsidRPr="00707745">
              <w:rPr>
                <w:b/>
                <w:color w:val="0070C0"/>
              </w:rPr>
              <w:t>Perceived causes of cellulitis</w:t>
            </w:r>
          </w:p>
        </w:tc>
      </w:tr>
      <w:tr w:rsidR="005370AD" w14:paraId="7E20C5A2" w14:textId="77777777" w:rsidTr="00241AAF">
        <w:tc>
          <w:tcPr>
            <w:tcW w:w="4673" w:type="dxa"/>
          </w:tcPr>
          <w:p w14:paraId="07EA9A27" w14:textId="77777777" w:rsidR="005370AD" w:rsidRDefault="005370AD" w:rsidP="007C20D0">
            <w:pPr>
              <w:spacing w:after="0" w:line="240" w:lineRule="auto"/>
              <w:rPr>
                <w:b/>
              </w:rPr>
            </w:pPr>
            <w:r w:rsidRPr="002B16AE">
              <w:t>Insect bite</w:t>
            </w:r>
          </w:p>
        </w:tc>
        <w:tc>
          <w:tcPr>
            <w:tcW w:w="2268" w:type="dxa"/>
          </w:tcPr>
          <w:p w14:paraId="4E286F1B" w14:textId="77777777" w:rsidR="005370AD" w:rsidRDefault="005370AD" w:rsidP="007C20D0">
            <w:pPr>
              <w:spacing w:after="0" w:line="240" w:lineRule="auto"/>
              <w:jc w:val="center"/>
              <w:rPr>
                <w:b/>
              </w:rPr>
            </w:pPr>
            <w:r w:rsidRPr="002B16AE">
              <w:t>40</w:t>
            </w:r>
          </w:p>
        </w:tc>
        <w:tc>
          <w:tcPr>
            <w:tcW w:w="2075" w:type="dxa"/>
          </w:tcPr>
          <w:p w14:paraId="003B4DB5" w14:textId="77777777" w:rsidR="005370AD" w:rsidRDefault="005370AD" w:rsidP="007C20D0">
            <w:pPr>
              <w:spacing w:after="0" w:line="240" w:lineRule="auto"/>
              <w:jc w:val="center"/>
              <w:rPr>
                <w:b/>
              </w:rPr>
            </w:pPr>
            <w:r w:rsidRPr="002B16AE">
              <w:t>16.7%</w:t>
            </w:r>
          </w:p>
        </w:tc>
      </w:tr>
      <w:tr w:rsidR="005370AD" w14:paraId="65AC2A66" w14:textId="77777777" w:rsidTr="00241AAF">
        <w:tc>
          <w:tcPr>
            <w:tcW w:w="4673" w:type="dxa"/>
          </w:tcPr>
          <w:p w14:paraId="4A4AD07D" w14:textId="77777777" w:rsidR="005370AD" w:rsidRDefault="005370AD" w:rsidP="007C20D0">
            <w:pPr>
              <w:spacing w:after="0" w:line="240" w:lineRule="auto"/>
              <w:rPr>
                <w:b/>
              </w:rPr>
            </w:pPr>
            <w:r w:rsidRPr="002B16AE">
              <w:t>Athlete's foot</w:t>
            </w:r>
          </w:p>
        </w:tc>
        <w:tc>
          <w:tcPr>
            <w:tcW w:w="2268" w:type="dxa"/>
          </w:tcPr>
          <w:p w14:paraId="332D1E35" w14:textId="77777777" w:rsidR="005370AD" w:rsidRDefault="005370AD" w:rsidP="007C20D0">
            <w:pPr>
              <w:spacing w:after="0" w:line="240" w:lineRule="auto"/>
              <w:jc w:val="center"/>
              <w:rPr>
                <w:b/>
              </w:rPr>
            </w:pPr>
            <w:r w:rsidRPr="002B16AE">
              <w:t>8</w:t>
            </w:r>
          </w:p>
        </w:tc>
        <w:tc>
          <w:tcPr>
            <w:tcW w:w="2075" w:type="dxa"/>
          </w:tcPr>
          <w:p w14:paraId="64ECA614" w14:textId="77777777" w:rsidR="005370AD" w:rsidRDefault="005370AD" w:rsidP="007C20D0">
            <w:pPr>
              <w:spacing w:after="0" w:line="240" w:lineRule="auto"/>
              <w:jc w:val="center"/>
              <w:rPr>
                <w:b/>
              </w:rPr>
            </w:pPr>
            <w:r w:rsidRPr="002B16AE">
              <w:t>3.3%</w:t>
            </w:r>
          </w:p>
        </w:tc>
      </w:tr>
      <w:tr w:rsidR="005370AD" w14:paraId="02211CFB" w14:textId="77777777" w:rsidTr="00241AAF">
        <w:tc>
          <w:tcPr>
            <w:tcW w:w="4673" w:type="dxa"/>
          </w:tcPr>
          <w:p w14:paraId="18E382CB" w14:textId="77777777" w:rsidR="005370AD" w:rsidRDefault="005370AD" w:rsidP="007C20D0">
            <w:pPr>
              <w:spacing w:after="0" w:line="240" w:lineRule="auto"/>
              <w:rPr>
                <w:b/>
              </w:rPr>
            </w:pPr>
            <w:r w:rsidRPr="002B16AE">
              <w:t>Eczema or other long-term skin problem</w:t>
            </w:r>
          </w:p>
        </w:tc>
        <w:tc>
          <w:tcPr>
            <w:tcW w:w="2268" w:type="dxa"/>
          </w:tcPr>
          <w:p w14:paraId="6B1D6343" w14:textId="77777777" w:rsidR="005370AD" w:rsidRDefault="005370AD" w:rsidP="007C20D0">
            <w:pPr>
              <w:spacing w:after="0" w:line="240" w:lineRule="auto"/>
              <w:jc w:val="center"/>
              <w:rPr>
                <w:b/>
              </w:rPr>
            </w:pPr>
            <w:r w:rsidRPr="002B16AE">
              <w:t>14</w:t>
            </w:r>
          </w:p>
        </w:tc>
        <w:tc>
          <w:tcPr>
            <w:tcW w:w="2075" w:type="dxa"/>
          </w:tcPr>
          <w:p w14:paraId="6175E00C" w14:textId="77777777" w:rsidR="005370AD" w:rsidRDefault="005370AD" w:rsidP="007C20D0">
            <w:pPr>
              <w:spacing w:after="0" w:line="240" w:lineRule="auto"/>
              <w:jc w:val="center"/>
              <w:rPr>
                <w:b/>
              </w:rPr>
            </w:pPr>
            <w:r w:rsidRPr="002B16AE">
              <w:t>5.8%</w:t>
            </w:r>
          </w:p>
        </w:tc>
      </w:tr>
      <w:tr w:rsidR="005370AD" w14:paraId="311B1BE2" w14:textId="77777777" w:rsidTr="00241AAF">
        <w:tc>
          <w:tcPr>
            <w:tcW w:w="4673" w:type="dxa"/>
          </w:tcPr>
          <w:p w14:paraId="4B617CE2" w14:textId="77777777" w:rsidR="005370AD" w:rsidRDefault="005370AD" w:rsidP="007C20D0">
            <w:pPr>
              <w:spacing w:after="0" w:line="240" w:lineRule="auto"/>
              <w:rPr>
                <w:b/>
              </w:rPr>
            </w:pPr>
            <w:r w:rsidRPr="002B16AE">
              <w:t>Long-term leg swelling</w:t>
            </w:r>
          </w:p>
        </w:tc>
        <w:tc>
          <w:tcPr>
            <w:tcW w:w="2268" w:type="dxa"/>
          </w:tcPr>
          <w:p w14:paraId="7600D0AE" w14:textId="77777777" w:rsidR="005370AD" w:rsidRDefault="005370AD" w:rsidP="007C20D0">
            <w:pPr>
              <w:spacing w:after="0" w:line="240" w:lineRule="auto"/>
              <w:jc w:val="center"/>
              <w:rPr>
                <w:b/>
              </w:rPr>
            </w:pPr>
            <w:r w:rsidRPr="002B16AE">
              <w:t>38</w:t>
            </w:r>
          </w:p>
        </w:tc>
        <w:tc>
          <w:tcPr>
            <w:tcW w:w="2075" w:type="dxa"/>
          </w:tcPr>
          <w:p w14:paraId="1852873E" w14:textId="77777777" w:rsidR="005370AD" w:rsidRDefault="005370AD" w:rsidP="007C20D0">
            <w:pPr>
              <w:spacing w:after="0" w:line="240" w:lineRule="auto"/>
              <w:jc w:val="center"/>
              <w:rPr>
                <w:b/>
              </w:rPr>
            </w:pPr>
            <w:r w:rsidRPr="002B16AE">
              <w:t>15.8%</w:t>
            </w:r>
          </w:p>
        </w:tc>
      </w:tr>
      <w:tr w:rsidR="005370AD" w14:paraId="3E5C888E" w14:textId="77777777" w:rsidTr="00241AAF">
        <w:tc>
          <w:tcPr>
            <w:tcW w:w="4673" w:type="dxa"/>
          </w:tcPr>
          <w:p w14:paraId="78097614" w14:textId="77777777" w:rsidR="005370AD" w:rsidRDefault="005370AD" w:rsidP="007C20D0">
            <w:pPr>
              <w:spacing w:after="0" w:line="240" w:lineRule="auto"/>
              <w:rPr>
                <w:b/>
              </w:rPr>
            </w:pPr>
            <w:r w:rsidRPr="002B16AE">
              <w:t>Don't know</w:t>
            </w:r>
          </w:p>
        </w:tc>
        <w:tc>
          <w:tcPr>
            <w:tcW w:w="2268" w:type="dxa"/>
          </w:tcPr>
          <w:p w14:paraId="1E03DA53" w14:textId="77777777" w:rsidR="005370AD" w:rsidRDefault="005370AD" w:rsidP="007C20D0">
            <w:pPr>
              <w:spacing w:after="0" w:line="240" w:lineRule="auto"/>
              <w:jc w:val="center"/>
              <w:rPr>
                <w:b/>
              </w:rPr>
            </w:pPr>
            <w:r w:rsidRPr="002B16AE">
              <w:t>86</w:t>
            </w:r>
          </w:p>
        </w:tc>
        <w:tc>
          <w:tcPr>
            <w:tcW w:w="2075" w:type="dxa"/>
          </w:tcPr>
          <w:p w14:paraId="14DB5BC6" w14:textId="77777777" w:rsidR="005370AD" w:rsidRDefault="005370AD" w:rsidP="007C20D0">
            <w:pPr>
              <w:spacing w:after="0" w:line="240" w:lineRule="auto"/>
              <w:jc w:val="center"/>
              <w:rPr>
                <w:b/>
              </w:rPr>
            </w:pPr>
            <w:r w:rsidRPr="002B16AE">
              <w:t>35.8%</w:t>
            </w:r>
          </w:p>
        </w:tc>
      </w:tr>
      <w:tr w:rsidR="005370AD" w14:paraId="0481A521" w14:textId="77777777" w:rsidTr="00241AAF">
        <w:tc>
          <w:tcPr>
            <w:tcW w:w="4673" w:type="dxa"/>
          </w:tcPr>
          <w:p w14:paraId="7EEF9051" w14:textId="77777777" w:rsidR="005370AD" w:rsidRDefault="005370AD" w:rsidP="007C20D0">
            <w:pPr>
              <w:spacing w:after="0" w:line="240" w:lineRule="auto"/>
              <w:rPr>
                <w:b/>
              </w:rPr>
            </w:pPr>
            <w:r w:rsidRPr="002B16AE">
              <w:t>Other</w:t>
            </w:r>
          </w:p>
        </w:tc>
        <w:tc>
          <w:tcPr>
            <w:tcW w:w="2268" w:type="dxa"/>
          </w:tcPr>
          <w:p w14:paraId="4780605F" w14:textId="77777777" w:rsidR="005370AD" w:rsidRDefault="005370AD" w:rsidP="007C20D0">
            <w:pPr>
              <w:spacing w:after="0" w:line="240" w:lineRule="auto"/>
              <w:jc w:val="center"/>
              <w:rPr>
                <w:b/>
              </w:rPr>
            </w:pPr>
            <w:r w:rsidRPr="002B16AE">
              <w:t>51</w:t>
            </w:r>
          </w:p>
        </w:tc>
        <w:tc>
          <w:tcPr>
            <w:tcW w:w="2075" w:type="dxa"/>
          </w:tcPr>
          <w:p w14:paraId="22FDFA8C" w14:textId="77777777" w:rsidR="005370AD" w:rsidRDefault="005370AD" w:rsidP="007C20D0">
            <w:pPr>
              <w:spacing w:after="0" w:line="240" w:lineRule="auto"/>
              <w:jc w:val="center"/>
              <w:rPr>
                <w:b/>
              </w:rPr>
            </w:pPr>
            <w:r w:rsidRPr="002B16AE">
              <w:t>21.3%</w:t>
            </w:r>
          </w:p>
        </w:tc>
      </w:tr>
      <w:tr w:rsidR="005370AD" w14:paraId="64EDC115" w14:textId="77777777" w:rsidTr="00241AAF">
        <w:tc>
          <w:tcPr>
            <w:tcW w:w="4673" w:type="dxa"/>
          </w:tcPr>
          <w:p w14:paraId="7CA89569" w14:textId="77777777" w:rsidR="005370AD" w:rsidRDefault="005370AD" w:rsidP="007C20D0">
            <w:pPr>
              <w:spacing w:after="0" w:line="240" w:lineRule="auto"/>
              <w:rPr>
                <w:b/>
              </w:rPr>
            </w:pPr>
            <w:r w:rsidRPr="002B16AE">
              <w:t>Missing</w:t>
            </w:r>
          </w:p>
        </w:tc>
        <w:tc>
          <w:tcPr>
            <w:tcW w:w="2268" w:type="dxa"/>
          </w:tcPr>
          <w:p w14:paraId="6A78E6B6" w14:textId="77777777" w:rsidR="005370AD" w:rsidRDefault="005370AD" w:rsidP="007C20D0">
            <w:pPr>
              <w:spacing w:after="0" w:line="240" w:lineRule="auto"/>
              <w:jc w:val="center"/>
              <w:rPr>
                <w:b/>
              </w:rPr>
            </w:pPr>
            <w:r w:rsidRPr="002B16AE">
              <w:t>3</w:t>
            </w:r>
          </w:p>
        </w:tc>
        <w:tc>
          <w:tcPr>
            <w:tcW w:w="2075" w:type="dxa"/>
          </w:tcPr>
          <w:p w14:paraId="3B37C0D7" w14:textId="77777777" w:rsidR="005370AD" w:rsidRDefault="005370AD" w:rsidP="007C20D0">
            <w:pPr>
              <w:spacing w:after="0" w:line="240" w:lineRule="auto"/>
              <w:jc w:val="center"/>
              <w:rPr>
                <w:b/>
              </w:rPr>
            </w:pPr>
            <w:r w:rsidRPr="002B16AE">
              <w:t>1.3%</w:t>
            </w:r>
          </w:p>
        </w:tc>
      </w:tr>
      <w:tr w:rsidR="005370AD" w14:paraId="1A38FC7C" w14:textId="77777777" w:rsidTr="00241AAF">
        <w:tc>
          <w:tcPr>
            <w:tcW w:w="9016" w:type="dxa"/>
            <w:gridSpan w:val="3"/>
          </w:tcPr>
          <w:p w14:paraId="10153FB0" w14:textId="77777777" w:rsidR="005370AD" w:rsidRDefault="005370AD" w:rsidP="007C20D0">
            <w:pPr>
              <w:spacing w:after="0" w:line="240" w:lineRule="auto"/>
              <w:rPr>
                <w:b/>
              </w:rPr>
            </w:pPr>
            <w:r w:rsidRPr="00707745">
              <w:rPr>
                <w:b/>
                <w:color w:val="0070C0"/>
              </w:rPr>
              <w:t>Perceived risk factors</w:t>
            </w:r>
          </w:p>
        </w:tc>
      </w:tr>
      <w:tr w:rsidR="005370AD" w14:paraId="7F1E461F" w14:textId="77777777" w:rsidTr="00241AAF">
        <w:tc>
          <w:tcPr>
            <w:tcW w:w="4673" w:type="dxa"/>
          </w:tcPr>
          <w:p w14:paraId="173AE7B5" w14:textId="77777777" w:rsidR="005370AD" w:rsidRDefault="005370AD" w:rsidP="007C20D0">
            <w:pPr>
              <w:spacing w:after="0" w:line="240" w:lineRule="auto"/>
              <w:rPr>
                <w:b/>
              </w:rPr>
            </w:pPr>
            <w:r w:rsidRPr="00503BC5">
              <w:t>No</w:t>
            </w:r>
          </w:p>
        </w:tc>
        <w:tc>
          <w:tcPr>
            <w:tcW w:w="2268" w:type="dxa"/>
          </w:tcPr>
          <w:p w14:paraId="49D7C93E" w14:textId="77777777" w:rsidR="005370AD" w:rsidRPr="00AF3E04" w:rsidRDefault="005370AD" w:rsidP="007C20D0">
            <w:pPr>
              <w:spacing w:after="0" w:line="240" w:lineRule="auto"/>
              <w:jc w:val="center"/>
            </w:pPr>
            <w:r w:rsidRPr="00AF3E04">
              <w:t>58</w:t>
            </w:r>
          </w:p>
        </w:tc>
        <w:tc>
          <w:tcPr>
            <w:tcW w:w="2075" w:type="dxa"/>
          </w:tcPr>
          <w:p w14:paraId="76503C17" w14:textId="77777777" w:rsidR="005370AD" w:rsidRPr="00AF3E04" w:rsidRDefault="005370AD" w:rsidP="007C20D0">
            <w:pPr>
              <w:spacing w:after="0" w:line="240" w:lineRule="auto"/>
              <w:jc w:val="center"/>
            </w:pPr>
            <w:r w:rsidRPr="00AF3E04">
              <w:t>24.2%</w:t>
            </w:r>
          </w:p>
        </w:tc>
      </w:tr>
      <w:tr w:rsidR="005370AD" w14:paraId="204C4CC1" w14:textId="77777777" w:rsidTr="00241AAF">
        <w:tc>
          <w:tcPr>
            <w:tcW w:w="4673" w:type="dxa"/>
          </w:tcPr>
          <w:p w14:paraId="4775188F" w14:textId="77777777" w:rsidR="005370AD" w:rsidRDefault="005370AD" w:rsidP="007C20D0">
            <w:pPr>
              <w:spacing w:after="0" w:line="240" w:lineRule="auto"/>
              <w:rPr>
                <w:b/>
              </w:rPr>
            </w:pPr>
            <w:r w:rsidRPr="00503BC5">
              <w:t>Don't know</w:t>
            </w:r>
          </w:p>
        </w:tc>
        <w:tc>
          <w:tcPr>
            <w:tcW w:w="2268" w:type="dxa"/>
          </w:tcPr>
          <w:p w14:paraId="723C052E" w14:textId="77777777" w:rsidR="005370AD" w:rsidRPr="00AF3E04" w:rsidRDefault="005370AD" w:rsidP="007C20D0">
            <w:pPr>
              <w:spacing w:after="0" w:line="240" w:lineRule="auto"/>
              <w:jc w:val="center"/>
            </w:pPr>
            <w:r w:rsidRPr="00AF3E04">
              <w:t>47</w:t>
            </w:r>
          </w:p>
        </w:tc>
        <w:tc>
          <w:tcPr>
            <w:tcW w:w="2075" w:type="dxa"/>
          </w:tcPr>
          <w:p w14:paraId="039FB0BF" w14:textId="77777777" w:rsidR="005370AD" w:rsidRPr="00AF3E04" w:rsidRDefault="005370AD" w:rsidP="007C20D0">
            <w:pPr>
              <w:spacing w:after="0" w:line="240" w:lineRule="auto"/>
              <w:jc w:val="center"/>
            </w:pPr>
            <w:r w:rsidRPr="00AF3E04">
              <w:t>19.6%</w:t>
            </w:r>
          </w:p>
        </w:tc>
      </w:tr>
      <w:tr w:rsidR="005370AD" w14:paraId="1A8CDCD5" w14:textId="77777777" w:rsidTr="00241AAF">
        <w:tc>
          <w:tcPr>
            <w:tcW w:w="4673" w:type="dxa"/>
          </w:tcPr>
          <w:p w14:paraId="2A2958E3" w14:textId="77777777" w:rsidR="005370AD" w:rsidRDefault="005370AD" w:rsidP="007C20D0">
            <w:pPr>
              <w:spacing w:after="0" w:line="240" w:lineRule="auto"/>
              <w:rPr>
                <w:b/>
              </w:rPr>
            </w:pPr>
            <w:r w:rsidRPr="00503BC5">
              <w:t>Yes being overweight</w:t>
            </w:r>
          </w:p>
        </w:tc>
        <w:tc>
          <w:tcPr>
            <w:tcW w:w="2268" w:type="dxa"/>
          </w:tcPr>
          <w:p w14:paraId="0F43CEF7" w14:textId="77777777" w:rsidR="005370AD" w:rsidRPr="00AF3E04" w:rsidRDefault="005370AD" w:rsidP="007C20D0">
            <w:pPr>
              <w:spacing w:after="0" w:line="240" w:lineRule="auto"/>
              <w:jc w:val="center"/>
            </w:pPr>
            <w:r w:rsidRPr="00AF3E04">
              <w:t>13</w:t>
            </w:r>
          </w:p>
        </w:tc>
        <w:tc>
          <w:tcPr>
            <w:tcW w:w="2075" w:type="dxa"/>
          </w:tcPr>
          <w:p w14:paraId="37678CAF" w14:textId="77777777" w:rsidR="005370AD" w:rsidRPr="00AF3E04" w:rsidRDefault="005370AD" w:rsidP="007C20D0">
            <w:pPr>
              <w:spacing w:after="0" w:line="240" w:lineRule="auto"/>
              <w:jc w:val="center"/>
            </w:pPr>
            <w:r w:rsidRPr="00AF3E04">
              <w:t>5.4%</w:t>
            </w:r>
          </w:p>
        </w:tc>
      </w:tr>
      <w:tr w:rsidR="005370AD" w14:paraId="2826C6BA" w14:textId="77777777" w:rsidTr="00241AAF">
        <w:tc>
          <w:tcPr>
            <w:tcW w:w="4673" w:type="dxa"/>
          </w:tcPr>
          <w:p w14:paraId="2900A741" w14:textId="77777777" w:rsidR="005370AD" w:rsidRDefault="005370AD" w:rsidP="007C20D0">
            <w:pPr>
              <w:spacing w:after="0" w:line="240" w:lineRule="auto"/>
              <w:rPr>
                <w:b/>
              </w:rPr>
            </w:pPr>
            <w:r w:rsidRPr="00503BC5">
              <w:t>Yes having diabetes</w:t>
            </w:r>
          </w:p>
        </w:tc>
        <w:tc>
          <w:tcPr>
            <w:tcW w:w="2268" w:type="dxa"/>
          </w:tcPr>
          <w:p w14:paraId="191D3438" w14:textId="77777777" w:rsidR="005370AD" w:rsidRPr="00AF3E04" w:rsidRDefault="005370AD" w:rsidP="007C20D0">
            <w:pPr>
              <w:spacing w:after="0" w:line="240" w:lineRule="auto"/>
              <w:jc w:val="center"/>
            </w:pPr>
            <w:r w:rsidRPr="00AF3E04">
              <w:t>5</w:t>
            </w:r>
          </w:p>
        </w:tc>
        <w:tc>
          <w:tcPr>
            <w:tcW w:w="2075" w:type="dxa"/>
          </w:tcPr>
          <w:p w14:paraId="10690663" w14:textId="77777777" w:rsidR="005370AD" w:rsidRPr="00AF3E04" w:rsidRDefault="005370AD" w:rsidP="007C20D0">
            <w:pPr>
              <w:spacing w:after="0" w:line="240" w:lineRule="auto"/>
              <w:jc w:val="center"/>
            </w:pPr>
            <w:r w:rsidRPr="00AF3E04">
              <w:t>2.1%</w:t>
            </w:r>
          </w:p>
        </w:tc>
      </w:tr>
      <w:tr w:rsidR="005370AD" w14:paraId="028D081A" w14:textId="77777777" w:rsidTr="00241AAF">
        <w:tc>
          <w:tcPr>
            <w:tcW w:w="4673" w:type="dxa"/>
          </w:tcPr>
          <w:p w14:paraId="72A2A156" w14:textId="77777777" w:rsidR="005370AD" w:rsidRDefault="005370AD" w:rsidP="007C20D0">
            <w:pPr>
              <w:spacing w:after="0" w:line="240" w:lineRule="auto"/>
              <w:rPr>
                <w:b/>
              </w:rPr>
            </w:pPr>
            <w:r w:rsidRPr="00503BC5">
              <w:t>Yes having had cellulitis before</w:t>
            </w:r>
          </w:p>
        </w:tc>
        <w:tc>
          <w:tcPr>
            <w:tcW w:w="2268" w:type="dxa"/>
          </w:tcPr>
          <w:p w14:paraId="6414634A" w14:textId="77777777" w:rsidR="005370AD" w:rsidRPr="00AF3E04" w:rsidRDefault="005370AD" w:rsidP="007C20D0">
            <w:pPr>
              <w:spacing w:after="0" w:line="240" w:lineRule="auto"/>
              <w:jc w:val="center"/>
            </w:pPr>
            <w:r w:rsidRPr="00AF3E04">
              <w:t>39</w:t>
            </w:r>
          </w:p>
        </w:tc>
        <w:tc>
          <w:tcPr>
            <w:tcW w:w="2075" w:type="dxa"/>
          </w:tcPr>
          <w:p w14:paraId="7D32023E" w14:textId="77777777" w:rsidR="005370AD" w:rsidRPr="00AF3E04" w:rsidRDefault="005370AD" w:rsidP="007C20D0">
            <w:pPr>
              <w:spacing w:after="0" w:line="240" w:lineRule="auto"/>
              <w:jc w:val="center"/>
            </w:pPr>
            <w:r w:rsidRPr="00AF3E04">
              <w:t>16.3%</w:t>
            </w:r>
          </w:p>
        </w:tc>
      </w:tr>
      <w:tr w:rsidR="005370AD" w14:paraId="04573467" w14:textId="77777777" w:rsidTr="00241AAF">
        <w:tc>
          <w:tcPr>
            <w:tcW w:w="4673" w:type="dxa"/>
          </w:tcPr>
          <w:p w14:paraId="777C7F6B" w14:textId="77777777" w:rsidR="005370AD" w:rsidRDefault="005370AD" w:rsidP="007C20D0">
            <w:pPr>
              <w:spacing w:after="0" w:line="240" w:lineRule="auto"/>
              <w:rPr>
                <w:b/>
              </w:rPr>
            </w:pPr>
            <w:r>
              <w:t xml:space="preserve">Yes, </w:t>
            </w:r>
            <w:r w:rsidRPr="00503BC5">
              <w:t>other</w:t>
            </w:r>
          </w:p>
        </w:tc>
        <w:tc>
          <w:tcPr>
            <w:tcW w:w="2268" w:type="dxa"/>
          </w:tcPr>
          <w:p w14:paraId="7E3131FE" w14:textId="77777777" w:rsidR="005370AD" w:rsidRPr="00AF3E04" w:rsidRDefault="005370AD" w:rsidP="007C20D0">
            <w:pPr>
              <w:spacing w:after="0" w:line="240" w:lineRule="auto"/>
              <w:jc w:val="center"/>
            </w:pPr>
            <w:r w:rsidRPr="00AF3E04">
              <w:t>23</w:t>
            </w:r>
          </w:p>
        </w:tc>
        <w:tc>
          <w:tcPr>
            <w:tcW w:w="2075" w:type="dxa"/>
          </w:tcPr>
          <w:p w14:paraId="4057D370" w14:textId="77777777" w:rsidR="005370AD" w:rsidRPr="00AF3E04" w:rsidRDefault="005370AD" w:rsidP="007C20D0">
            <w:pPr>
              <w:spacing w:after="0" w:line="240" w:lineRule="auto"/>
              <w:jc w:val="center"/>
            </w:pPr>
            <w:r w:rsidRPr="00AF3E04">
              <w:t>9.6%</w:t>
            </w:r>
          </w:p>
        </w:tc>
      </w:tr>
      <w:tr w:rsidR="005370AD" w14:paraId="195F68DC" w14:textId="77777777" w:rsidTr="00241AAF">
        <w:tc>
          <w:tcPr>
            <w:tcW w:w="4673" w:type="dxa"/>
          </w:tcPr>
          <w:p w14:paraId="2081F630" w14:textId="77777777" w:rsidR="005370AD" w:rsidRDefault="005370AD" w:rsidP="007C20D0">
            <w:pPr>
              <w:spacing w:after="0" w:line="240" w:lineRule="auto"/>
              <w:rPr>
                <w:b/>
              </w:rPr>
            </w:pPr>
            <w:r>
              <w:t>M</w:t>
            </w:r>
            <w:r w:rsidRPr="00503BC5">
              <w:t>ultiple</w:t>
            </w:r>
            <w:r>
              <w:t xml:space="preserve"> responses</w:t>
            </w:r>
          </w:p>
        </w:tc>
        <w:tc>
          <w:tcPr>
            <w:tcW w:w="2268" w:type="dxa"/>
          </w:tcPr>
          <w:p w14:paraId="34CE4DB4" w14:textId="77777777" w:rsidR="005370AD" w:rsidRPr="00AF3E04" w:rsidRDefault="005370AD" w:rsidP="007C20D0">
            <w:pPr>
              <w:spacing w:after="0" w:line="240" w:lineRule="auto"/>
              <w:jc w:val="center"/>
            </w:pPr>
            <w:r w:rsidRPr="00AF3E04">
              <w:t>50</w:t>
            </w:r>
          </w:p>
        </w:tc>
        <w:tc>
          <w:tcPr>
            <w:tcW w:w="2075" w:type="dxa"/>
          </w:tcPr>
          <w:p w14:paraId="6987CA0E" w14:textId="77777777" w:rsidR="005370AD" w:rsidRPr="00AF3E04" w:rsidRDefault="005370AD" w:rsidP="007C20D0">
            <w:pPr>
              <w:spacing w:after="0" w:line="240" w:lineRule="auto"/>
              <w:jc w:val="center"/>
            </w:pPr>
            <w:r w:rsidRPr="00AF3E04">
              <w:t>20.8%</w:t>
            </w:r>
          </w:p>
        </w:tc>
      </w:tr>
      <w:tr w:rsidR="005370AD" w14:paraId="6196A735" w14:textId="77777777" w:rsidTr="00241AAF">
        <w:tc>
          <w:tcPr>
            <w:tcW w:w="4673" w:type="dxa"/>
          </w:tcPr>
          <w:p w14:paraId="7C46775E" w14:textId="77777777" w:rsidR="005370AD" w:rsidRDefault="005370AD" w:rsidP="007C20D0">
            <w:pPr>
              <w:spacing w:after="0" w:line="240" w:lineRule="auto"/>
              <w:rPr>
                <w:b/>
              </w:rPr>
            </w:pPr>
            <w:r w:rsidRPr="00503BC5">
              <w:t>Missing</w:t>
            </w:r>
          </w:p>
        </w:tc>
        <w:tc>
          <w:tcPr>
            <w:tcW w:w="2268" w:type="dxa"/>
          </w:tcPr>
          <w:p w14:paraId="365E3AE0" w14:textId="77777777" w:rsidR="005370AD" w:rsidRPr="00AF3E04" w:rsidRDefault="005370AD" w:rsidP="007C20D0">
            <w:pPr>
              <w:spacing w:after="0" w:line="240" w:lineRule="auto"/>
              <w:jc w:val="center"/>
            </w:pPr>
            <w:r w:rsidRPr="00AF3E04">
              <w:t>5</w:t>
            </w:r>
          </w:p>
        </w:tc>
        <w:tc>
          <w:tcPr>
            <w:tcW w:w="2075" w:type="dxa"/>
          </w:tcPr>
          <w:p w14:paraId="5805623D" w14:textId="77777777" w:rsidR="005370AD" w:rsidRPr="00AF3E04" w:rsidRDefault="005370AD" w:rsidP="007C20D0">
            <w:pPr>
              <w:spacing w:after="0" w:line="240" w:lineRule="auto"/>
              <w:jc w:val="center"/>
            </w:pPr>
            <w:r w:rsidRPr="00AF3E04">
              <w:t>2.1%</w:t>
            </w:r>
          </w:p>
        </w:tc>
      </w:tr>
      <w:tr w:rsidR="005370AD" w14:paraId="24F92EAE" w14:textId="77777777" w:rsidTr="00241AAF">
        <w:tc>
          <w:tcPr>
            <w:tcW w:w="4673" w:type="dxa"/>
          </w:tcPr>
          <w:p w14:paraId="6B998F6B" w14:textId="77777777" w:rsidR="005370AD" w:rsidRPr="00503BC5" w:rsidRDefault="005370AD" w:rsidP="007C20D0">
            <w:pPr>
              <w:spacing w:after="0" w:line="240" w:lineRule="auto"/>
            </w:pPr>
            <w:r w:rsidRPr="00707745">
              <w:rPr>
                <w:b/>
                <w:color w:val="0070C0"/>
              </w:rPr>
              <w:t>Perceived likelihood of recurrence</w:t>
            </w:r>
          </w:p>
        </w:tc>
        <w:tc>
          <w:tcPr>
            <w:tcW w:w="2268" w:type="dxa"/>
          </w:tcPr>
          <w:p w14:paraId="7D1FDCAD" w14:textId="77777777" w:rsidR="005370AD" w:rsidRPr="00AF3E04" w:rsidRDefault="005370AD" w:rsidP="007C20D0">
            <w:pPr>
              <w:spacing w:after="0" w:line="240" w:lineRule="auto"/>
              <w:jc w:val="center"/>
            </w:pPr>
          </w:p>
        </w:tc>
        <w:tc>
          <w:tcPr>
            <w:tcW w:w="2075" w:type="dxa"/>
          </w:tcPr>
          <w:p w14:paraId="4A61CCC3" w14:textId="77777777" w:rsidR="005370AD" w:rsidRPr="00AF3E04" w:rsidRDefault="005370AD" w:rsidP="007C20D0">
            <w:pPr>
              <w:spacing w:after="0" w:line="240" w:lineRule="auto"/>
              <w:jc w:val="center"/>
            </w:pPr>
          </w:p>
        </w:tc>
      </w:tr>
      <w:tr w:rsidR="005370AD" w14:paraId="0E4B6CC2" w14:textId="77777777" w:rsidTr="00241AAF">
        <w:tc>
          <w:tcPr>
            <w:tcW w:w="4673" w:type="dxa"/>
          </w:tcPr>
          <w:p w14:paraId="06809AE3" w14:textId="77777777" w:rsidR="005370AD" w:rsidRPr="00503BC5" w:rsidRDefault="005370AD" w:rsidP="007C20D0">
            <w:pPr>
              <w:spacing w:after="0" w:line="240" w:lineRule="auto"/>
            </w:pPr>
            <w:r w:rsidRPr="004E2A18">
              <w:t>Yes</w:t>
            </w:r>
          </w:p>
        </w:tc>
        <w:tc>
          <w:tcPr>
            <w:tcW w:w="2268" w:type="dxa"/>
          </w:tcPr>
          <w:p w14:paraId="0EC2A97F" w14:textId="77777777" w:rsidR="005370AD" w:rsidRPr="00AF3E04" w:rsidRDefault="005370AD" w:rsidP="007C20D0">
            <w:pPr>
              <w:spacing w:after="0" w:line="240" w:lineRule="auto"/>
              <w:jc w:val="center"/>
            </w:pPr>
            <w:r>
              <w:t>138</w:t>
            </w:r>
          </w:p>
        </w:tc>
        <w:tc>
          <w:tcPr>
            <w:tcW w:w="2075" w:type="dxa"/>
          </w:tcPr>
          <w:p w14:paraId="5CED14FF" w14:textId="77777777" w:rsidR="005370AD" w:rsidRPr="00AF3E04" w:rsidRDefault="005370AD" w:rsidP="007C20D0">
            <w:pPr>
              <w:spacing w:after="0" w:line="240" w:lineRule="auto"/>
              <w:jc w:val="center"/>
            </w:pPr>
            <w:r>
              <w:t>57.5</w:t>
            </w:r>
            <w:r w:rsidRPr="000E16F1">
              <w:t>%</w:t>
            </w:r>
          </w:p>
        </w:tc>
      </w:tr>
      <w:tr w:rsidR="005370AD" w14:paraId="3AA4CFBA" w14:textId="77777777" w:rsidTr="00241AAF">
        <w:tc>
          <w:tcPr>
            <w:tcW w:w="4673" w:type="dxa"/>
          </w:tcPr>
          <w:p w14:paraId="7E97F416" w14:textId="77777777" w:rsidR="005370AD" w:rsidRPr="00503BC5" w:rsidRDefault="005370AD" w:rsidP="007C20D0">
            <w:pPr>
              <w:spacing w:after="0" w:line="240" w:lineRule="auto"/>
            </w:pPr>
            <w:r w:rsidRPr="004E2A18">
              <w:t>No</w:t>
            </w:r>
          </w:p>
        </w:tc>
        <w:tc>
          <w:tcPr>
            <w:tcW w:w="2268" w:type="dxa"/>
          </w:tcPr>
          <w:p w14:paraId="267BF73D" w14:textId="77777777" w:rsidR="005370AD" w:rsidRPr="00AF3E04" w:rsidRDefault="005370AD" w:rsidP="007C20D0">
            <w:pPr>
              <w:spacing w:after="0" w:line="240" w:lineRule="auto"/>
              <w:jc w:val="center"/>
            </w:pPr>
            <w:r>
              <w:t>13</w:t>
            </w:r>
          </w:p>
        </w:tc>
        <w:tc>
          <w:tcPr>
            <w:tcW w:w="2075" w:type="dxa"/>
          </w:tcPr>
          <w:p w14:paraId="7CC8B3C0" w14:textId="77777777" w:rsidR="005370AD" w:rsidRPr="00AF3E04" w:rsidRDefault="005370AD" w:rsidP="007C20D0">
            <w:pPr>
              <w:spacing w:after="0" w:line="240" w:lineRule="auto"/>
              <w:jc w:val="center"/>
            </w:pPr>
            <w:r>
              <w:t>5.4</w:t>
            </w:r>
            <w:r w:rsidRPr="000E16F1">
              <w:t>%</w:t>
            </w:r>
          </w:p>
        </w:tc>
      </w:tr>
      <w:tr w:rsidR="005370AD" w14:paraId="3D14EE8E" w14:textId="77777777" w:rsidTr="00241AAF">
        <w:tc>
          <w:tcPr>
            <w:tcW w:w="4673" w:type="dxa"/>
          </w:tcPr>
          <w:p w14:paraId="5FC1D987" w14:textId="77777777" w:rsidR="005370AD" w:rsidRPr="00503BC5" w:rsidRDefault="005370AD" w:rsidP="007C20D0">
            <w:pPr>
              <w:spacing w:after="0" w:line="240" w:lineRule="auto"/>
            </w:pPr>
            <w:r w:rsidRPr="004E2A18">
              <w:t>Don't know</w:t>
            </w:r>
          </w:p>
        </w:tc>
        <w:tc>
          <w:tcPr>
            <w:tcW w:w="2268" w:type="dxa"/>
          </w:tcPr>
          <w:p w14:paraId="2AC2EA68" w14:textId="77777777" w:rsidR="005370AD" w:rsidRPr="00AF3E04" w:rsidRDefault="005370AD" w:rsidP="007C20D0">
            <w:pPr>
              <w:spacing w:after="0" w:line="240" w:lineRule="auto"/>
              <w:jc w:val="center"/>
            </w:pPr>
            <w:r>
              <w:t>88</w:t>
            </w:r>
          </w:p>
        </w:tc>
        <w:tc>
          <w:tcPr>
            <w:tcW w:w="2075" w:type="dxa"/>
          </w:tcPr>
          <w:p w14:paraId="12A773DF" w14:textId="77777777" w:rsidR="005370AD" w:rsidRPr="00AF3E04" w:rsidRDefault="005370AD" w:rsidP="007C20D0">
            <w:pPr>
              <w:spacing w:after="0" w:line="240" w:lineRule="auto"/>
              <w:jc w:val="center"/>
            </w:pPr>
            <w:r>
              <w:t>36.7</w:t>
            </w:r>
            <w:r w:rsidRPr="000E16F1">
              <w:t>%</w:t>
            </w:r>
          </w:p>
        </w:tc>
      </w:tr>
      <w:tr w:rsidR="005370AD" w14:paraId="2EDEC066" w14:textId="77777777" w:rsidTr="00241AAF">
        <w:tc>
          <w:tcPr>
            <w:tcW w:w="4673" w:type="dxa"/>
          </w:tcPr>
          <w:p w14:paraId="67108E6E" w14:textId="77777777" w:rsidR="005370AD" w:rsidRPr="00503BC5" w:rsidRDefault="005370AD" w:rsidP="007C20D0">
            <w:pPr>
              <w:spacing w:after="0" w:line="240" w:lineRule="auto"/>
            </w:pPr>
            <w:r>
              <w:t xml:space="preserve">Missing </w:t>
            </w:r>
          </w:p>
        </w:tc>
        <w:tc>
          <w:tcPr>
            <w:tcW w:w="2268" w:type="dxa"/>
          </w:tcPr>
          <w:p w14:paraId="013511CB" w14:textId="77777777" w:rsidR="005370AD" w:rsidRPr="00AF3E04" w:rsidRDefault="005370AD" w:rsidP="007C20D0">
            <w:pPr>
              <w:spacing w:after="0" w:line="240" w:lineRule="auto"/>
              <w:jc w:val="center"/>
            </w:pPr>
            <w:r>
              <w:t>1</w:t>
            </w:r>
          </w:p>
        </w:tc>
        <w:tc>
          <w:tcPr>
            <w:tcW w:w="2075" w:type="dxa"/>
          </w:tcPr>
          <w:p w14:paraId="6BF84793" w14:textId="77777777" w:rsidR="005370AD" w:rsidRPr="00AF3E04" w:rsidRDefault="005370AD" w:rsidP="007C20D0">
            <w:pPr>
              <w:spacing w:after="0" w:line="240" w:lineRule="auto"/>
              <w:jc w:val="center"/>
            </w:pPr>
            <w:r>
              <w:t>0.4%</w:t>
            </w:r>
          </w:p>
        </w:tc>
      </w:tr>
      <w:tr w:rsidR="005370AD" w14:paraId="21CD803A" w14:textId="77777777" w:rsidTr="00241AAF">
        <w:tc>
          <w:tcPr>
            <w:tcW w:w="9016" w:type="dxa"/>
            <w:gridSpan w:val="3"/>
          </w:tcPr>
          <w:p w14:paraId="3287E0F2" w14:textId="77777777" w:rsidR="005370AD" w:rsidRPr="00AF3E04" w:rsidRDefault="005370AD" w:rsidP="007C20D0">
            <w:pPr>
              <w:spacing w:after="0" w:line="240" w:lineRule="auto"/>
            </w:pPr>
            <w:r>
              <w:rPr>
                <w:b/>
                <w:color w:val="0070C0"/>
              </w:rPr>
              <w:t>Awareness of prevention of recurrence</w:t>
            </w:r>
          </w:p>
        </w:tc>
      </w:tr>
      <w:tr w:rsidR="005370AD" w14:paraId="720C6370" w14:textId="77777777" w:rsidTr="00241AAF">
        <w:tc>
          <w:tcPr>
            <w:tcW w:w="4673" w:type="dxa"/>
          </w:tcPr>
          <w:p w14:paraId="63BD0284" w14:textId="77777777" w:rsidR="005370AD" w:rsidRDefault="005370AD" w:rsidP="007C20D0">
            <w:pPr>
              <w:spacing w:after="0" w:line="240" w:lineRule="auto"/>
              <w:rPr>
                <w:b/>
              </w:rPr>
            </w:pPr>
            <w:r>
              <w:t>Yes</w:t>
            </w:r>
          </w:p>
        </w:tc>
        <w:tc>
          <w:tcPr>
            <w:tcW w:w="2268" w:type="dxa"/>
          </w:tcPr>
          <w:p w14:paraId="65166CCD" w14:textId="77777777" w:rsidR="005370AD" w:rsidRPr="00AF3E04" w:rsidRDefault="005370AD" w:rsidP="007C20D0">
            <w:pPr>
              <w:spacing w:after="0" w:line="240" w:lineRule="auto"/>
              <w:jc w:val="center"/>
            </w:pPr>
            <w:r w:rsidRPr="00AF3E04">
              <w:t>74</w:t>
            </w:r>
          </w:p>
        </w:tc>
        <w:tc>
          <w:tcPr>
            <w:tcW w:w="2075" w:type="dxa"/>
          </w:tcPr>
          <w:p w14:paraId="2858CF10" w14:textId="77777777" w:rsidR="005370AD" w:rsidRPr="00AF3E04" w:rsidRDefault="005370AD" w:rsidP="007C20D0">
            <w:pPr>
              <w:spacing w:after="0" w:line="240" w:lineRule="auto"/>
              <w:jc w:val="center"/>
            </w:pPr>
            <w:r w:rsidRPr="00AF3E04">
              <w:t>30.8%</w:t>
            </w:r>
          </w:p>
        </w:tc>
      </w:tr>
      <w:tr w:rsidR="005370AD" w14:paraId="3BBABC2C" w14:textId="77777777" w:rsidTr="00241AAF">
        <w:tc>
          <w:tcPr>
            <w:tcW w:w="4673" w:type="dxa"/>
          </w:tcPr>
          <w:p w14:paraId="604FBC97" w14:textId="77777777" w:rsidR="005370AD" w:rsidRDefault="005370AD" w:rsidP="007C20D0">
            <w:pPr>
              <w:spacing w:after="0" w:line="240" w:lineRule="auto"/>
              <w:rPr>
                <w:b/>
              </w:rPr>
            </w:pPr>
            <w:r w:rsidRPr="00D76F4C">
              <w:t>No</w:t>
            </w:r>
          </w:p>
        </w:tc>
        <w:tc>
          <w:tcPr>
            <w:tcW w:w="2268" w:type="dxa"/>
          </w:tcPr>
          <w:p w14:paraId="6E02E543" w14:textId="77777777" w:rsidR="005370AD" w:rsidRPr="00AF3E04" w:rsidRDefault="005370AD" w:rsidP="007C20D0">
            <w:pPr>
              <w:spacing w:after="0" w:line="240" w:lineRule="auto"/>
              <w:jc w:val="center"/>
            </w:pPr>
            <w:r w:rsidRPr="00AF3E04">
              <w:t>159</w:t>
            </w:r>
          </w:p>
        </w:tc>
        <w:tc>
          <w:tcPr>
            <w:tcW w:w="2075" w:type="dxa"/>
          </w:tcPr>
          <w:p w14:paraId="00223793" w14:textId="77777777" w:rsidR="005370AD" w:rsidRPr="00AF3E04" w:rsidRDefault="005370AD" w:rsidP="007C20D0">
            <w:pPr>
              <w:spacing w:after="0" w:line="240" w:lineRule="auto"/>
              <w:jc w:val="center"/>
            </w:pPr>
            <w:r w:rsidRPr="00AF3E04">
              <w:t>66.3%</w:t>
            </w:r>
          </w:p>
        </w:tc>
      </w:tr>
      <w:tr w:rsidR="005370AD" w14:paraId="29266865" w14:textId="77777777" w:rsidTr="00241AAF">
        <w:tc>
          <w:tcPr>
            <w:tcW w:w="4673" w:type="dxa"/>
          </w:tcPr>
          <w:p w14:paraId="05D1BF8D" w14:textId="77777777" w:rsidR="005370AD" w:rsidRDefault="005370AD" w:rsidP="007C20D0">
            <w:pPr>
              <w:spacing w:after="0" w:line="240" w:lineRule="auto"/>
              <w:rPr>
                <w:b/>
              </w:rPr>
            </w:pPr>
            <w:r>
              <w:rPr>
                <w:i/>
              </w:rPr>
              <w:t>M</w:t>
            </w:r>
            <w:r w:rsidRPr="00D76F4C">
              <w:rPr>
                <w:i/>
              </w:rPr>
              <w:t>issing</w:t>
            </w:r>
          </w:p>
        </w:tc>
        <w:tc>
          <w:tcPr>
            <w:tcW w:w="2268" w:type="dxa"/>
          </w:tcPr>
          <w:p w14:paraId="5AAE44BC" w14:textId="77777777" w:rsidR="005370AD" w:rsidRPr="00AF3E04" w:rsidRDefault="005370AD" w:rsidP="007C20D0">
            <w:pPr>
              <w:spacing w:after="0" w:line="240" w:lineRule="auto"/>
              <w:jc w:val="center"/>
            </w:pPr>
            <w:r w:rsidRPr="00AF3E04">
              <w:t>7</w:t>
            </w:r>
          </w:p>
        </w:tc>
        <w:tc>
          <w:tcPr>
            <w:tcW w:w="2075" w:type="dxa"/>
          </w:tcPr>
          <w:p w14:paraId="6A8FC932" w14:textId="77777777" w:rsidR="005370AD" w:rsidRPr="00AF3E04" w:rsidRDefault="005370AD" w:rsidP="007C20D0">
            <w:pPr>
              <w:spacing w:after="0" w:line="240" w:lineRule="auto"/>
              <w:jc w:val="center"/>
            </w:pPr>
            <w:r w:rsidRPr="00AF3E04">
              <w:t>2.9%</w:t>
            </w:r>
          </w:p>
        </w:tc>
      </w:tr>
      <w:tr w:rsidR="005370AD" w14:paraId="5A2B2F0A" w14:textId="77777777" w:rsidTr="00241AAF">
        <w:tc>
          <w:tcPr>
            <w:tcW w:w="9016" w:type="dxa"/>
            <w:gridSpan w:val="3"/>
          </w:tcPr>
          <w:p w14:paraId="417FAD61" w14:textId="77777777" w:rsidR="005370AD" w:rsidRPr="00AF3E04" w:rsidRDefault="005370AD" w:rsidP="007C20D0">
            <w:pPr>
              <w:spacing w:after="0" w:line="240" w:lineRule="auto"/>
            </w:pPr>
            <w:r>
              <w:rPr>
                <w:b/>
                <w:color w:val="0070C0"/>
              </w:rPr>
              <w:t>Current preventative behaviours</w:t>
            </w:r>
          </w:p>
        </w:tc>
      </w:tr>
      <w:tr w:rsidR="005370AD" w14:paraId="0DFA04D3" w14:textId="77777777" w:rsidTr="00241AAF">
        <w:tc>
          <w:tcPr>
            <w:tcW w:w="4673" w:type="dxa"/>
          </w:tcPr>
          <w:p w14:paraId="45B87371" w14:textId="77777777" w:rsidR="005370AD" w:rsidRDefault="005370AD" w:rsidP="007C20D0">
            <w:pPr>
              <w:spacing w:after="0" w:line="240" w:lineRule="auto"/>
              <w:rPr>
                <w:b/>
              </w:rPr>
            </w:pPr>
            <w:r w:rsidRPr="00D76F4C">
              <w:t>Yes</w:t>
            </w:r>
          </w:p>
        </w:tc>
        <w:tc>
          <w:tcPr>
            <w:tcW w:w="2268" w:type="dxa"/>
          </w:tcPr>
          <w:p w14:paraId="5031839A" w14:textId="77777777" w:rsidR="005370AD" w:rsidRPr="00AF3E04" w:rsidRDefault="005370AD" w:rsidP="007C20D0">
            <w:pPr>
              <w:spacing w:after="0" w:line="240" w:lineRule="auto"/>
              <w:jc w:val="center"/>
            </w:pPr>
            <w:r w:rsidRPr="00AF3E04">
              <w:t>110</w:t>
            </w:r>
          </w:p>
        </w:tc>
        <w:tc>
          <w:tcPr>
            <w:tcW w:w="2075" w:type="dxa"/>
          </w:tcPr>
          <w:p w14:paraId="169284B6" w14:textId="77777777" w:rsidR="005370AD" w:rsidRPr="00AF3E04" w:rsidRDefault="005370AD" w:rsidP="007C20D0">
            <w:pPr>
              <w:spacing w:after="0" w:line="240" w:lineRule="auto"/>
              <w:jc w:val="center"/>
            </w:pPr>
            <w:r w:rsidRPr="00AF3E04">
              <w:t>45.8%</w:t>
            </w:r>
          </w:p>
        </w:tc>
      </w:tr>
      <w:tr w:rsidR="005370AD" w14:paraId="5DBC3C2E" w14:textId="77777777" w:rsidTr="00241AAF">
        <w:tc>
          <w:tcPr>
            <w:tcW w:w="4673" w:type="dxa"/>
          </w:tcPr>
          <w:p w14:paraId="4B97C9CD" w14:textId="77777777" w:rsidR="005370AD" w:rsidRDefault="005370AD" w:rsidP="007C20D0">
            <w:pPr>
              <w:spacing w:after="0" w:line="240" w:lineRule="auto"/>
              <w:rPr>
                <w:b/>
              </w:rPr>
            </w:pPr>
            <w:r w:rsidRPr="00D76F4C">
              <w:t>No</w:t>
            </w:r>
          </w:p>
        </w:tc>
        <w:tc>
          <w:tcPr>
            <w:tcW w:w="2268" w:type="dxa"/>
          </w:tcPr>
          <w:p w14:paraId="19258B53" w14:textId="77777777" w:rsidR="005370AD" w:rsidRPr="00AF3E04" w:rsidRDefault="005370AD" w:rsidP="007C20D0">
            <w:pPr>
              <w:spacing w:after="0" w:line="240" w:lineRule="auto"/>
              <w:jc w:val="center"/>
            </w:pPr>
            <w:r w:rsidRPr="00AF3E04">
              <w:t>123</w:t>
            </w:r>
          </w:p>
        </w:tc>
        <w:tc>
          <w:tcPr>
            <w:tcW w:w="2075" w:type="dxa"/>
          </w:tcPr>
          <w:p w14:paraId="505EBE6D" w14:textId="77777777" w:rsidR="005370AD" w:rsidRPr="00AF3E04" w:rsidRDefault="005370AD" w:rsidP="007C20D0">
            <w:pPr>
              <w:spacing w:after="0" w:line="240" w:lineRule="auto"/>
              <w:jc w:val="center"/>
            </w:pPr>
            <w:r w:rsidRPr="00AF3E04">
              <w:t>51.3%</w:t>
            </w:r>
          </w:p>
        </w:tc>
      </w:tr>
      <w:tr w:rsidR="005370AD" w14:paraId="1B07B659" w14:textId="77777777" w:rsidTr="00241AAF">
        <w:tc>
          <w:tcPr>
            <w:tcW w:w="4673" w:type="dxa"/>
          </w:tcPr>
          <w:p w14:paraId="195D8FB9" w14:textId="77777777" w:rsidR="005370AD" w:rsidRDefault="005370AD" w:rsidP="007C20D0">
            <w:pPr>
              <w:spacing w:after="0" w:line="240" w:lineRule="auto"/>
              <w:rPr>
                <w:b/>
              </w:rPr>
            </w:pPr>
            <w:r w:rsidRPr="00D76F4C">
              <w:rPr>
                <w:i/>
              </w:rPr>
              <w:t>Missing</w:t>
            </w:r>
          </w:p>
        </w:tc>
        <w:tc>
          <w:tcPr>
            <w:tcW w:w="2268" w:type="dxa"/>
          </w:tcPr>
          <w:p w14:paraId="355F6BF9" w14:textId="77777777" w:rsidR="005370AD" w:rsidRPr="00AF3E04" w:rsidRDefault="005370AD" w:rsidP="007C20D0">
            <w:pPr>
              <w:spacing w:after="0" w:line="240" w:lineRule="auto"/>
              <w:jc w:val="center"/>
            </w:pPr>
            <w:r w:rsidRPr="00AF3E04">
              <w:t>7</w:t>
            </w:r>
          </w:p>
        </w:tc>
        <w:tc>
          <w:tcPr>
            <w:tcW w:w="2075" w:type="dxa"/>
          </w:tcPr>
          <w:p w14:paraId="28BDF90A" w14:textId="77777777" w:rsidR="005370AD" w:rsidRPr="00AF3E04" w:rsidRDefault="005370AD" w:rsidP="007C20D0">
            <w:pPr>
              <w:spacing w:after="0" w:line="240" w:lineRule="auto"/>
              <w:jc w:val="center"/>
            </w:pPr>
            <w:r w:rsidRPr="00AF3E04">
              <w:t>2.9%</w:t>
            </w:r>
          </w:p>
        </w:tc>
      </w:tr>
    </w:tbl>
    <w:p w14:paraId="11EB3346" w14:textId="77777777" w:rsidR="005370AD" w:rsidRDefault="005370AD" w:rsidP="00241AAF">
      <w:pPr>
        <w:rPr>
          <w:b/>
        </w:rPr>
      </w:pPr>
    </w:p>
    <w:p w14:paraId="071ACE17" w14:textId="77777777" w:rsidR="005370AD" w:rsidRDefault="005370AD" w:rsidP="00241AAF">
      <w:pPr>
        <w:rPr>
          <w:b/>
        </w:rPr>
      </w:pPr>
    </w:p>
    <w:p w14:paraId="2A60EAAD" w14:textId="77777777" w:rsidR="005370AD" w:rsidRDefault="005370AD" w:rsidP="00241AAF">
      <w:pPr>
        <w:rPr>
          <w:b/>
        </w:rPr>
      </w:pPr>
    </w:p>
    <w:p w14:paraId="6317A9AA" w14:textId="77777777" w:rsidR="005370AD" w:rsidRDefault="005370AD" w:rsidP="00241AAF">
      <w:pPr>
        <w:rPr>
          <w:b/>
        </w:rPr>
      </w:pPr>
    </w:p>
    <w:p w14:paraId="1DD4CF27" w14:textId="77777777" w:rsidR="005370AD" w:rsidRDefault="005370AD" w:rsidP="00241AAF">
      <w:pPr>
        <w:rPr>
          <w:b/>
        </w:rPr>
      </w:pPr>
    </w:p>
    <w:p w14:paraId="081BD055" w14:textId="77777777" w:rsidR="005370AD" w:rsidRDefault="005370AD" w:rsidP="00241AAF">
      <w:pPr>
        <w:rPr>
          <w:b/>
        </w:rPr>
      </w:pPr>
    </w:p>
    <w:p w14:paraId="2E13F318" w14:textId="77777777" w:rsidR="005370AD" w:rsidRDefault="005370AD" w:rsidP="00241AAF">
      <w:pPr>
        <w:rPr>
          <w:b/>
        </w:rPr>
      </w:pPr>
    </w:p>
    <w:p w14:paraId="4E61AB9F" w14:textId="77777777" w:rsidR="005370AD" w:rsidRDefault="005370AD" w:rsidP="00241AAF">
      <w:pPr>
        <w:rPr>
          <w:b/>
        </w:rPr>
      </w:pPr>
    </w:p>
    <w:p w14:paraId="1401CCAE" w14:textId="77777777" w:rsidR="005370AD" w:rsidRDefault="005370AD" w:rsidP="00241AAF">
      <w:pPr>
        <w:rPr>
          <w:b/>
        </w:rPr>
      </w:pPr>
    </w:p>
    <w:p w14:paraId="2415E17D" w14:textId="77777777" w:rsidR="005370AD" w:rsidRDefault="005370AD" w:rsidP="00241AAF">
      <w:pPr>
        <w:rPr>
          <w:b/>
        </w:rPr>
      </w:pPr>
    </w:p>
    <w:p w14:paraId="76784DAD" w14:textId="77777777" w:rsidR="005370AD" w:rsidRDefault="005370AD" w:rsidP="00241AAF">
      <w:pPr>
        <w:rPr>
          <w:b/>
        </w:rPr>
      </w:pPr>
      <w:r>
        <w:rPr>
          <w:b/>
        </w:rPr>
        <w:t xml:space="preserve">Table 3: Willingness to </w:t>
      </w:r>
      <w:r w:rsidRPr="00067AD2">
        <w:rPr>
          <w:b/>
        </w:rPr>
        <w:t xml:space="preserve">undertake </w:t>
      </w:r>
      <w:r>
        <w:rPr>
          <w:b/>
        </w:rPr>
        <w:t xml:space="preserve">potential </w:t>
      </w:r>
      <w:r w:rsidRPr="00067AD2">
        <w:rPr>
          <w:b/>
        </w:rPr>
        <w:t>cellulitis preventative practices</w:t>
      </w:r>
    </w:p>
    <w:tbl>
      <w:tblPr>
        <w:tblStyle w:val="TableGrid"/>
        <w:tblW w:w="0" w:type="auto"/>
        <w:tblLook w:val="04A0" w:firstRow="1" w:lastRow="0" w:firstColumn="1" w:lastColumn="0" w:noHBand="0" w:noVBand="1"/>
      </w:tblPr>
      <w:tblGrid>
        <w:gridCol w:w="4390"/>
        <w:gridCol w:w="2693"/>
        <w:gridCol w:w="1933"/>
      </w:tblGrid>
      <w:tr w:rsidR="005370AD" w:rsidRPr="008359D2" w14:paraId="53BCD65A" w14:textId="77777777" w:rsidTr="00241AAF">
        <w:tc>
          <w:tcPr>
            <w:tcW w:w="4390" w:type="dxa"/>
            <w:shd w:val="clear" w:color="auto" w:fill="B4C6E7" w:themeFill="accent5" w:themeFillTint="66"/>
          </w:tcPr>
          <w:p w14:paraId="0048DAD1" w14:textId="77777777" w:rsidR="005370AD" w:rsidRPr="008359D2" w:rsidRDefault="005370AD" w:rsidP="007C20D0">
            <w:pPr>
              <w:spacing w:after="0" w:line="240" w:lineRule="auto"/>
              <w:rPr>
                <w:b/>
                <w:sz w:val="24"/>
                <w:szCs w:val="24"/>
              </w:rPr>
            </w:pPr>
          </w:p>
        </w:tc>
        <w:tc>
          <w:tcPr>
            <w:tcW w:w="2693" w:type="dxa"/>
            <w:shd w:val="clear" w:color="auto" w:fill="B4C6E7" w:themeFill="accent5" w:themeFillTint="66"/>
          </w:tcPr>
          <w:p w14:paraId="05FF25DF" w14:textId="77777777" w:rsidR="005370AD" w:rsidRDefault="005370AD" w:rsidP="007C20D0">
            <w:pPr>
              <w:spacing w:after="0" w:line="240" w:lineRule="auto"/>
              <w:jc w:val="center"/>
              <w:rPr>
                <w:b/>
                <w:sz w:val="24"/>
                <w:szCs w:val="24"/>
              </w:rPr>
            </w:pPr>
            <w:r>
              <w:rPr>
                <w:b/>
                <w:sz w:val="24"/>
                <w:szCs w:val="24"/>
              </w:rPr>
              <w:t>Number of participants</w:t>
            </w:r>
          </w:p>
          <w:p w14:paraId="285C9A5B" w14:textId="77777777" w:rsidR="005370AD" w:rsidRPr="008359D2" w:rsidRDefault="005370AD" w:rsidP="007C20D0">
            <w:pPr>
              <w:spacing w:after="0" w:line="240" w:lineRule="auto"/>
              <w:jc w:val="center"/>
              <w:rPr>
                <w:b/>
                <w:sz w:val="24"/>
                <w:szCs w:val="24"/>
              </w:rPr>
            </w:pPr>
          </w:p>
        </w:tc>
        <w:tc>
          <w:tcPr>
            <w:tcW w:w="1933" w:type="dxa"/>
            <w:shd w:val="clear" w:color="auto" w:fill="B4C6E7" w:themeFill="accent5" w:themeFillTint="66"/>
          </w:tcPr>
          <w:p w14:paraId="039A5BB5" w14:textId="77777777" w:rsidR="005370AD" w:rsidRPr="008359D2" w:rsidRDefault="005370AD" w:rsidP="007C20D0">
            <w:pPr>
              <w:spacing w:after="0" w:line="240" w:lineRule="auto"/>
              <w:jc w:val="center"/>
              <w:rPr>
                <w:b/>
                <w:sz w:val="24"/>
                <w:szCs w:val="24"/>
              </w:rPr>
            </w:pPr>
            <w:r>
              <w:rPr>
                <w:b/>
                <w:sz w:val="24"/>
                <w:szCs w:val="24"/>
              </w:rPr>
              <w:t>Percentage</w:t>
            </w:r>
          </w:p>
        </w:tc>
      </w:tr>
      <w:tr w:rsidR="005370AD" w:rsidRPr="008359D2" w14:paraId="17B630F0" w14:textId="77777777" w:rsidTr="00241AAF">
        <w:tc>
          <w:tcPr>
            <w:tcW w:w="4390" w:type="dxa"/>
          </w:tcPr>
          <w:p w14:paraId="0E78279B" w14:textId="77777777" w:rsidR="005370AD" w:rsidRPr="00C01877" w:rsidRDefault="005370AD" w:rsidP="007C20D0">
            <w:pPr>
              <w:spacing w:after="0" w:line="240" w:lineRule="auto"/>
              <w:rPr>
                <w:b/>
              </w:rPr>
            </w:pPr>
            <w:r w:rsidRPr="00C01877">
              <w:rPr>
                <w:b/>
                <w:color w:val="0070C0"/>
              </w:rPr>
              <w:t>Wash and dry feet carefully every day</w:t>
            </w:r>
          </w:p>
        </w:tc>
        <w:tc>
          <w:tcPr>
            <w:tcW w:w="2693" w:type="dxa"/>
          </w:tcPr>
          <w:p w14:paraId="32942C7E" w14:textId="77777777" w:rsidR="005370AD" w:rsidRPr="008359D2" w:rsidRDefault="005370AD" w:rsidP="007C20D0">
            <w:pPr>
              <w:spacing w:after="0" w:line="240" w:lineRule="auto"/>
              <w:jc w:val="center"/>
              <w:rPr>
                <w:b/>
                <w:sz w:val="24"/>
                <w:szCs w:val="24"/>
              </w:rPr>
            </w:pPr>
          </w:p>
        </w:tc>
        <w:tc>
          <w:tcPr>
            <w:tcW w:w="1933" w:type="dxa"/>
          </w:tcPr>
          <w:p w14:paraId="797BA6AD" w14:textId="77777777" w:rsidR="005370AD" w:rsidRPr="008359D2" w:rsidRDefault="005370AD" w:rsidP="007C20D0">
            <w:pPr>
              <w:spacing w:after="0" w:line="240" w:lineRule="auto"/>
              <w:rPr>
                <w:b/>
                <w:sz w:val="24"/>
                <w:szCs w:val="24"/>
              </w:rPr>
            </w:pPr>
          </w:p>
        </w:tc>
      </w:tr>
      <w:tr w:rsidR="005370AD" w:rsidRPr="008359D2" w14:paraId="6F2B2C7E" w14:textId="77777777" w:rsidTr="00241AAF">
        <w:tc>
          <w:tcPr>
            <w:tcW w:w="4390" w:type="dxa"/>
          </w:tcPr>
          <w:p w14:paraId="438024DB" w14:textId="77777777" w:rsidR="005370AD" w:rsidRPr="00456396" w:rsidRDefault="005370AD" w:rsidP="007C20D0">
            <w:pPr>
              <w:spacing w:after="0" w:line="240" w:lineRule="auto"/>
            </w:pPr>
            <w:r>
              <w:t>Yes</w:t>
            </w:r>
          </w:p>
        </w:tc>
        <w:tc>
          <w:tcPr>
            <w:tcW w:w="2693" w:type="dxa"/>
          </w:tcPr>
          <w:p w14:paraId="2612ABD8" w14:textId="77777777" w:rsidR="005370AD" w:rsidRPr="00DF5CAA" w:rsidRDefault="005370AD" w:rsidP="007C20D0">
            <w:pPr>
              <w:spacing w:after="0" w:line="240" w:lineRule="auto"/>
              <w:jc w:val="center"/>
              <w:rPr>
                <w:b/>
              </w:rPr>
            </w:pPr>
            <w:r>
              <w:rPr>
                <w:b/>
              </w:rPr>
              <w:t>180</w:t>
            </w:r>
          </w:p>
        </w:tc>
        <w:tc>
          <w:tcPr>
            <w:tcW w:w="1933" w:type="dxa"/>
          </w:tcPr>
          <w:p w14:paraId="35573F7B" w14:textId="77777777" w:rsidR="005370AD" w:rsidRPr="00DF5CAA" w:rsidRDefault="005370AD" w:rsidP="007C20D0">
            <w:pPr>
              <w:spacing w:after="0" w:line="240" w:lineRule="auto"/>
              <w:jc w:val="center"/>
              <w:rPr>
                <w:b/>
              </w:rPr>
            </w:pPr>
            <w:r w:rsidRPr="007E5032">
              <w:t>75.0%</w:t>
            </w:r>
          </w:p>
        </w:tc>
      </w:tr>
      <w:tr w:rsidR="005370AD" w:rsidRPr="008359D2" w14:paraId="49471AC9" w14:textId="77777777" w:rsidTr="00241AAF">
        <w:tc>
          <w:tcPr>
            <w:tcW w:w="4390" w:type="dxa"/>
          </w:tcPr>
          <w:p w14:paraId="6656E3AB" w14:textId="77777777" w:rsidR="005370AD" w:rsidRPr="00456396" w:rsidRDefault="005370AD" w:rsidP="007C20D0">
            <w:pPr>
              <w:spacing w:after="0" w:line="240" w:lineRule="auto"/>
            </w:pPr>
            <w:r>
              <w:t>No</w:t>
            </w:r>
          </w:p>
        </w:tc>
        <w:tc>
          <w:tcPr>
            <w:tcW w:w="2693" w:type="dxa"/>
          </w:tcPr>
          <w:p w14:paraId="2E6907BD" w14:textId="77777777" w:rsidR="005370AD" w:rsidRPr="00321C68" w:rsidRDefault="005370AD" w:rsidP="007C20D0">
            <w:pPr>
              <w:spacing w:after="0" w:line="240" w:lineRule="auto"/>
              <w:jc w:val="center"/>
            </w:pPr>
            <w:r>
              <w:t>4</w:t>
            </w:r>
          </w:p>
        </w:tc>
        <w:tc>
          <w:tcPr>
            <w:tcW w:w="1933" w:type="dxa"/>
          </w:tcPr>
          <w:p w14:paraId="0E5AB7BA" w14:textId="77777777" w:rsidR="005370AD" w:rsidRPr="0098571E" w:rsidRDefault="005370AD" w:rsidP="007C20D0">
            <w:pPr>
              <w:spacing w:after="0" w:line="240" w:lineRule="auto"/>
              <w:jc w:val="center"/>
            </w:pPr>
            <w:r w:rsidRPr="007E5032">
              <w:t>1.7%</w:t>
            </w:r>
          </w:p>
        </w:tc>
      </w:tr>
      <w:tr w:rsidR="005370AD" w:rsidRPr="008359D2" w14:paraId="584C9F39" w14:textId="77777777" w:rsidTr="00241AAF">
        <w:tc>
          <w:tcPr>
            <w:tcW w:w="4390" w:type="dxa"/>
          </w:tcPr>
          <w:p w14:paraId="47DB5E0C" w14:textId="77777777" w:rsidR="005370AD" w:rsidRPr="00ED33F3" w:rsidRDefault="005370AD" w:rsidP="007C20D0">
            <w:pPr>
              <w:spacing w:after="0" w:line="240" w:lineRule="auto"/>
            </w:pPr>
            <w:r w:rsidRPr="00ED33F3">
              <w:t>Maybe</w:t>
            </w:r>
          </w:p>
        </w:tc>
        <w:tc>
          <w:tcPr>
            <w:tcW w:w="2693" w:type="dxa"/>
          </w:tcPr>
          <w:p w14:paraId="45B3C1B5" w14:textId="77777777" w:rsidR="005370AD" w:rsidRPr="00321C68" w:rsidRDefault="005370AD" w:rsidP="007C20D0">
            <w:pPr>
              <w:spacing w:after="0" w:line="240" w:lineRule="auto"/>
              <w:jc w:val="center"/>
            </w:pPr>
            <w:r>
              <w:t>16</w:t>
            </w:r>
          </w:p>
        </w:tc>
        <w:tc>
          <w:tcPr>
            <w:tcW w:w="1933" w:type="dxa"/>
          </w:tcPr>
          <w:p w14:paraId="1C1B244F" w14:textId="77777777" w:rsidR="005370AD" w:rsidRPr="0098571E" w:rsidRDefault="005370AD" w:rsidP="007C20D0">
            <w:pPr>
              <w:spacing w:after="0" w:line="240" w:lineRule="auto"/>
              <w:jc w:val="center"/>
            </w:pPr>
            <w:r w:rsidRPr="007E5032">
              <w:t>6.7%</w:t>
            </w:r>
          </w:p>
        </w:tc>
      </w:tr>
      <w:tr w:rsidR="005370AD" w:rsidRPr="008359D2" w14:paraId="7B715399" w14:textId="77777777" w:rsidTr="00241AAF">
        <w:tc>
          <w:tcPr>
            <w:tcW w:w="4390" w:type="dxa"/>
          </w:tcPr>
          <w:p w14:paraId="0E853436" w14:textId="77777777" w:rsidR="005370AD" w:rsidRPr="00456396" w:rsidRDefault="005370AD" w:rsidP="007C20D0">
            <w:pPr>
              <w:spacing w:after="0" w:line="240" w:lineRule="auto"/>
              <w:rPr>
                <w:i/>
              </w:rPr>
            </w:pPr>
            <w:r w:rsidRPr="00456396">
              <w:rPr>
                <w:i/>
              </w:rPr>
              <w:t>Missing</w:t>
            </w:r>
          </w:p>
        </w:tc>
        <w:tc>
          <w:tcPr>
            <w:tcW w:w="2693" w:type="dxa"/>
          </w:tcPr>
          <w:p w14:paraId="2730C1AD" w14:textId="77777777" w:rsidR="005370AD" w:rsidRDefault="005370AD" w:rsidP="007C20D0">
            <w:pPr>
              <w:spacing w:after="0" w:line="240" w:lineRule="auto"/>
              <w:jc w:val="center"/>
            </w:pPr>
            <w:r>
              <w:t>40</w:t>
            </w:r>
          </w:p>
        </w:tc>
        <w:tc>
          <w:tcPr>
            <w:tcW w:w="1933" w:type="dxa"/>
          </w:tcPr>
          <w:p w14:paraId="1482DD52" w14:textId="77777777" w:rsidR="005370AD" w:rsidRDefault="005370AD" w:rsidP="007C20D0">
            <w:pPr>
              <w:spacing w:after="0" w:line="240" w:lineRule="auto"/>
              <w:jc w:val="center"/>
            </w:pPr>
            <w:r w:rsidRPr="007E5032">
              <w:t>16.7%</w:t>
            </w:r>
          </w:p>
        </w:tc>
      </w:tr>
      <w:tr w:rsidR="005370AD" w:rsidRPr="008359D2" w14:paraId="6169C7E5" w14:textId="77777777" w:rsidTr="00241AAF">
        <w:tc>
          <w:tcPr>
            <w:tcW w:w="4390" w:type="dxa"/>
          </w:tcPr>
          <w:p w14:paraId="45A1195B" w14:textId="77777777" w:rsidR="005370AD" w:rsidRPr="00C01877" w:rsidRDefault="005370AD" w:rsidP="007C20D0">
            <w:pPr>
              <w:spacing w:after="0" w:line="240" w:lineRule="auto"/>
              <w:rPr>
                <w:b/>
              </w:rPr>
            </w:pPr>
            <w:r w:rsidRPr="00C01877">
              <w:rPr>
                <w:b/>
                <w:color w:val="0070C0"/>
              </w:rPr>
              <w:t xml:space="preserve">Apply cream to </w:t>
            </w:r>
            <w:proofErr w:type="spellStart"/>
            <w:r w:rsidRPr="00C01877">
              <w:rPr>
                <w:b/>
                <w:color w:val="0070C0"/>
              </w:rPr>
              <w:t>feet</w:t>
            </w:r>
            <w:proofErr w:type="spellEnd"/>
            <w:r w:rsidRPr="00C01877">
              <w:rPr>
                <w:b/>
                <w:color w:val="0070C0"/>
              </w:rPr>
              <w:t xml:space="preserve"> once a day</w:t>
            </w:r>
          </w:p>
        </w:tc>
        <w:tc>
          <w:tcPr>
            <w:tcW w:w="2693" w:type="dxa"/>
          </w:tcPr>
          <w:p w14:paraId="50568CCD" w14:textId="77777777" w:rsidR="005370AD" w:rsidRPr="008359D2" w:rsidRDefault="005370AD" w:rsidP="007C20D0">
            <w:pPr>
              <w:spacing w:after="0" w:line="240" w:lineRule="auto"/>
              <w:jc w:val="center"/>
              <w:rPr>
                <w:sz w:val="24"/>
                <w:szCs w:val="24"/>
              </w:rPr>
            </w:pPr>
          </w:p>
        </w:tc>
        <w:tc>
          <w:tcPr>
            <w:tcW w:w="1933" w:type="dxa"/>
          </w:tcPr>
          <w:p w14:paraId="23647F06" w14:textId="77777777" w:rsidR="005370AD" w:rsidRPr="008359D2" w:rsidRDefault="005370AD" w:rsidP="007C20D0">
            <w:pPr>
              <w:spacing w:after="0" w:line="240" w:lineRule="auto"/>
              <w:jc w:val="center"/>
              <w:rPr>
                <w:sz w:val="24"/>
                <w:szCs w:val="24"/>
              </w:rPr>
            </w:pPr>
          </w:p>
        </w:tc>
      </w:tr>
      <w:tr w:rsidR="005370AD" w:rsidRPr="008359D2" w14:paraId="3DCD1D34" w14:textId="77777777" w:rsidTr="00241AAF">
        <w:tc>
          <w:tcPr>
            <w:tcW w:w="4390" w:type="dxa"/>
          </w:tcPr>
          <w:p w14:paraId="3226774E" w14:textId="77777777" w:rsidR="005370AD" w:rsidRPr="005F56C7" w:rsidRDefault="005370AD" w:rsidP="007C20D0">
            <w:pPr>
              <w:spacing w:after="0" w:line="240" w:lineRule="auto"/>
            </w:pPr>
            <w:r w:rsidRPr="005F56C7">
              <w:t>Yes</w:t>
            </w:r>
          </w:p>
        </w:tc>
        <w:tc>
          <w:tcPr>
            <w:tcW w:w="2693" w:type="dxa"/>
          </w:tcPr>
          <w:p w14:paraId="08BBC062" w14:textId="77777777" w:rsidR="005370AD" w:rsidRPr="00DF5CAA" w:rsidRDefault="005370AD" w:rsidP="007C20D0">
            <w:pPr>
              <w:spacing w:after="0" w:line="240" w:lineRule="auto"/>
              <w:jc w:val="center"/>
              <w:rPr>
                <w:b/>
              </w:rPr>
            </w:pPr>
            <w:r>
              <w:rPr>
                <w:b/>
              </w:rPr>
              <w:t>168</w:t>
            </w:r>
          </w:p>
        </w:tc>
        <w:tc>
          <w:tcPr>
            <w:tcW w:w="1933" w:type="dxa"/>
          </w:tcPr>
          <w:p w14:paraId="25D0294C" w14:textId="77777777" w:rsidR="005370AD" w:rsidRPr="00DF5CAA" w:rsidRDefault="005370AD" w:rsidP="007C20D0">
            <w:pPr>
              <w:spacing w:after="0" w:line="240" w:lineRule="auto"/>
              <w:jc w:val="center"/>
              <w:rPr>
                <w:b/>
              </w:rPr>
            </w:pPr>
            <w:r w:rsidRPr="00FB45AF">
              <w:t>70.0%</w:t>
            </w:r>
          </w:p>
        </w:tc>
      </w:tr>
      <w:tr w:rsidR="005370AD" w:rsidRPr="008359D2" w14:paraId="1D8EDB42" w14:textId="77777777" w:rsidTr="00241AAF">
        <w:tc>
          <w:tcPr>
            <w:tcW w:w="4390" w:type="dxa"/>
          </w:tcPr>
          <w:p w14:paraId="00E63082" w14:textId="77777777" w:rsidR="005370AD" w:rsidRPr="005F56C7" w:rsidRDefault="005370AD" w:rsidP="007C20D0">
            <w:pPr>
              <w:spacing w:after="0" w:line="240" w:lineRule="auto"/>
            </w:pPr>
            <w:r w:rsidRPr="005F56C7">
              <w:t>No</w:t>
            </w:r>
          </w:p>
        </w:tc>
        <w:tc>
          <w:tcPr>
            <w:tcW w:w="2693" w:type="dxa"/>
          </w:tcPr>
          <w:p w14:paraId="19DF8BD3" w14:textId="77777777" w:rsidR="005370AD" w:rsidRPr="00724557" w:rsidRDefault="005370AD" w:rsidP="007C20D0">
            <w:pPr>
              <w:spacing w:after="0" w:line="240" w:lineRule="auto"/>
              <w:jc w:val="center"/>
            </w:pPr>
            <w:r>
              <w:t>7</w:t>
            </w:r>
          </w:p>
        </w:tc>
        <w:tc>
          <w:tcPr>
            <w:tcW w:w="1933" w:type="dxa"/>
          </w:tcPr>
          <w:p w14:paraId="3003D1A8" w14:textId="77777777" w:rsidR="005370AD" w:rsidRPr="007866AE" w:rsidRDefault="005370AD" w:rsidP="007C20D0">
            <w:pPr>
              <w:spacing w:after="0" w:line="240" w:lineRule="auto"/>
              <w:jc w:val="center"/>
            </w:pPr>
            <w:r w:rsidRPr="00FB45AF">
              <w:t>2.9%</w:t>
            </w:r>
          </w:p>
        </w:tc>
      </w:tr>
      <w:tr w:rsidR="005370AD" w:rsidRPr="008359D2" w14:paraId="1823C402" w14:textId="77777777" w:rsidTr="00241AAF">
        <w:tc>
          <w:tcPr>
            <w:tcW w:w="4390" w:type="dxa"/>
          </w:tcPr>
          <w:p w14:paraId="0C7E3E2C" w14:textId="77777777" w:rsidR="005370AD" w:rsidRPr="005F56C7" w:rsidRDefault="005370AD" w:rsidP="007C20D0">
            <w:pPr>
              <w:spacing w:after="0" w:line="240" w:lineRule="auto"/>
            </w:pPr>
            <w:r w:rsidRPr="005F56C7">
              <w:t>Maybe</w:t>
            </w:r>
          </w:p>
        </w:tc>
        <w:tc>
          <w:tcPr>
            <w:tcW w:w="2693" w:type="dxa"/>
          </w:tcPr>
          <w:p w14:paraId="6223C8E1" w14:textId="77777777" w:rsidR="005370AD" w:rsidRPr="00724557" w:rsidRDefault="005370AD" w:rsidP="007C20D0">
            <w:pPr>
              <w:spacing w:after="0" w:line="240" w:lineRule="auto"/>
              <w:jc w:val="center"/>
            </w:pPr>
            <w:r>
              <w:t>18</w:t>
            </w:r>
          </w:p>
        </w:tc>
        <w:tc>
          <w:tcPr>
            <w:tcW w:w="1933" w:type="dxa"/>
          </w:tcPr>
          <w:p w14:paraId="11DE4C5A" w14:textId="77777777" w:rsidR="005370AD" w:rsidRPr="007866AE" w:rsidRDefault="005370AD" w:rsidP="007C20D0">
            <w:pPr>
              <w:spacing w:after="0" w:line="240" w:lineRule="auto"/>
              <w:jc w:val="center"/>
            </w:pPr>
            <w:r w:rsidRPr="00FB45AF">
              <w:t>7.5%</w:t>
            </w:r>
          </w:p>
        </w:tc>
      </w:tr>
      <w:tr w:rsidR="005370AD" w:rsidRPr="008359D2" w14:paraId="25B7FF7A" w14:textId="77777777" w:rsidTr="00241AAF">
        <w:tc>
          <w:tcPr>
            <w:tcW w:w="4390" w:type="dxa"/>
          </w:tcPr>
          <w:p w14:paraId="2F2333C1" w14:textId="77777777" w:rsidR="005370AD" w:rsidRDefault="005370AD" w:rsidP="007C20D0">
            <w:pPr>
              <w:spacing w:after="0" w:line="240" w:lineRule="auto"/>
            </w:pPr>
            <w:r w:rsidRPr="005F56C7">
              <w:t>Missing</w:t>
            </w:r>
          </w:p>
        </w:tc>
        <w:tc>
          <w:tcPr>
            <w:tcW w:w="2693" w:type="dxa"/>
          </w:tcPr>
          <w:p w14:paraId="74854156" w14:textId="77777777" w:rsidR="005370AD" w:rsidRDefault="005370AD" w:rsidP="007C20D0">
            <w:pPr>
              <w:spacing w:after="0" w:line="240" w:lineRule="auto"/>
              <w:jc w:val="center"/>
            </w:pPr>
            <w:r>
              <w:t>47</w:t>
            </w:r>
          </w:p>
        </w:tc>
        <w:tc>
          <w:tcPr>
            <w:tcW w:w="1933" w:type="dxa"/>
          </w:tcPr>
          <w:p w14:paraId="3728725C" w14:textId="77777777" w:rsidR="005370AD" w:rsidRDefault="005370AD" w:rsidP="007C20D0">
            <w:pPr>
              <w:spacing w:after="0" w:line="240" w:lineRule="auto"/>
              <w:jc w:val="center"/>
            </w:pPr>
            <w:r w:rsidRPr="00FB45AF">
              <w:t>19.6%</w:t>
            </w:r>
          </w:p>
        </w:tc>
      </w:tr>
      <w:tr w:rsidR="005370AD" w:rsidRPr="008359D2" w14:paraId="47324B80" w14:textId="77777777" w:rsidTr="00241AAF">
        <w:tc>
          <w:tcPr>
            <w:tcW w:w="4390" w:type="dxa"/>
          </w:tcPr>
          <w:p w14:paraId="1ED0ACCF" w14:textId="77777777" w:rsidR="005370AD" w:rsidRPr="00C01877" w:rsidRDefault="005370AD" w:rsidP="007C20D0">
            <w:pPr>
              <w:spacing w:after="0" w:line="240" w:lineRule="auto"/>
              <w:rPr>
                <w:b/>
              </w:rPr>
            </w:pPr>
            <w:r w:rsidRPr="00C01877">
              <w:rPr>
                <w:b/>
                <w:color w:val="0070C0"/>
              </w:rPr>
              <w:t>Apply cream to feet twice a day</w:t>
            </w:r>
          </w:p>
        </w:tc>
        <w:tc>
          <w:tcPr>
            <w:tcW w:w="2693" w:type="dxa"/>
          </w:tcPr>
          <w:p w14:paraId="46825199" w14:textId="77777777" w:rsidR="005370AD" w:rsidRPr="008359D2" w:rsidRDefault="005370AD" w:rsidP="007C20D0">
            <w:pPr>
              <w:spacing w:after="0" w:line="240" w:lineRule="auto"/>
              <w:jc w:val="center"/>
              <w:rPr>
                <w:b/>
                <w:sz w:val="24"/>
                <w:szCs w:val="24"/>
              </w:rPr>
            </w:pPr>
          </w:p>
        </w:tc>
        <w:tc>
          <w:tcPr>
            <w:tcW w:w="1933" w:type="dxa"/>
          </w:tcPr>
          <w:p w14:paraId="1081309A" w14:textId="77777777" w:rsidR="005370AD" w:rsidRPr="008359D2" w:rsidRDefault="005370AD" w:rsidP="007C20D0">
            <w:pPr>
              <w:spacing w:after="0" w:line="240" w:lineRule="auto"/>
              <w:jc w:val="center"/>
              <w:rPr>
                <w:b/>
                <w:sz w:val="24"/>
                <w:szCs w:val="24"/>
              </w:rPr>
            </w:pPr>
          </w:p>
        </w:tc>
      </w:tr>
      <w:tr w:rsidR="005370AD" w:rsidRPr="008359D2" w14:paraId="288458A2" w14:textId="77777777" w:rsidTr="00241AAF">
        <w:tc>
          <w:tcPr>
            <w:tcW w:w="4390" w:type="dxa"/>
          </w:tcPr>
          <w:p w14:paraId="6F87593F" w14:textId="77777777" w:rsidR="005370AD" w:rsidRPr="003A23F2" w:rsidRDefault="005370AD" w:rsidP="007C20D0">
            <w:pPr>
              <w:spacing w:after="0" w:line="240" w:lineRule="auto"/>
            </w:pPr>
            <w:r w:rsidRPr="003A23F2">
              <w:t>Yes</w:t>
            </w:r>
          </w:p>
        </w:tc>
        <w:tc>
          <w:tcPr>
            <w:tcW w:w="2693" w:type="dxa"/>
          </w:tcPr>
          <w:p w14:paraId="3677A75F" w14:textId="77777777" w:rsidR="005370AD" w:rsidRPr="00DF5CAA" w:rsidRDefault="005370AD" w:rsidP="007C20D0">
            <w:pPr>
              <w:spacing w:after="0" w:line="240" w:lineRule="auto"/>
              <w:jc w:val="center"/>
              <w:rPr>
                <w:b/>
              </w:rPr>
            </w:pPr>
            <w:r>
              <w:rPr>
                <w:b/>
              </w:rPr>
              <w:t>111</w:t>
            </w:r>
          </w:p>
        </w:tc>
        <w:tc>
          <w:tcPr>
            <w:tcW w:w="1933" w:type="dxa"/>
          </w:tcPr>
          <w:p w14:paraId="275CA721" w14:textId="77777777" w:rsidR="005370AD" w:rsidRPr="00DF5CAA" w:rsidRDefault="005370AD" w:rsidP="007C20D0">
            <w:pPr>
              <w:spacing w:after="0" w:line="240" w:lineRule="auto"/>
              <w:jc w:val="center"/>
              <w:rPr>
                <w:b/>
              </w:rPr>
            </w:pPr>
            <w:r w:rsidRPr="000904A4">
              <w:t>46.3%</w:t>
            </w:r>
          </w:p>
        </w:tc>
      </w:tr>
      <w:tr w:rsidR="005370AD" w:rsidRPr="008359D2" w14:paraId="359B53D0" w14:textId="77777777" w:rsidTr="00241AAF">
        <w:tc>
          <w:tcPr>
            <w:tcW w:w="4390" w:type="dxa"/>
          </w:tcPr>
          <w:p w14:paraId="784908CD" w14:textId="77777777" w:rsidR="005370AD" w:rsidRPr="003A23F2" w:rsidRDefault="005370AD" w:rsidP="007C20D0">
            <w:pPr>
              <w:spacing w:after="0" w:line="240" w:lineRule="auto"/>
            </w:pPr>
            <w:r w:rsidRPr="003A23F2">
              <w:t>No</w:t>
            </w:r>
          </w:p>
        </w:tc>
        <w:tc>
          <w:tcPr>
            <w:tcW w:w="2693" w:type="dxa"/>
          </w:tcPr>
          <w:p w14:paraId="24E3AB64" w14:textId="77777777" w:rsidR="005370AD" w:rsidRPr="00575127" w:rsidRDefault="005370AD" w:rsidP="007C20D0">
            <w:pPr>
              <w:spacing w:after="0" w:line="240" w:lineRule="auto"/>
              <w:jc w:val="center"/>
            </w:pPr>
            <w:r>
              <w:t>26</w:t>
            </w:r>
          </w:p>
        </w:tc>
        <w:tc>
          <w:tcPr>
            <w:tcW w:w="1933" w:type="dxa"/>
          </w:tcPr>
          <w:p w14:paraId="4D32EC2D" w14:textId="77777777" w:rsidR="005370AD" w:rsidRPr="00DA0F90" w:rsidRDefault="005370AD" w:rsidP="007C20D0">
            <w:pPr>
              <w:spacing w:after="0" w:line="240" w:lineRule="auto"/>
              <w:jc w:val="center"/>
            </w:pPr>
            <w:r w:rsidRPr="000904A4">
              <w:t>10.8%</w:t>
            </w:r>
          </w:p>
        </w:tc>
      </w:tr>
      <w:tr w:rsidR="005370AD" w:rsidRPr="008359D2" w14:paraId="5FDF250A" w14:textId="77777777" w:rsidTr="00241AAF">
        <w:tc>
          <w:tcPr>
            <w:tcW w:w="4390" w:type="dxa"/>
          </w:tcPr>
          <w:p w14:paraId="22EB27C2" w14:textId="77777777" w:rsidR="005370AD" w:rsidRPr="003A23F2" w:rsidRDefault="005370AD" w:rsidP="007C20D0">
            <w:pPr>
              <w:spacing w:after="0" w:line="240" w:lineRule="auto"/>
            </w:pPr>
            <w:r w:rsidRPr="003A23F2">
              <w:t>Maybe</w:t>
            </w:r>
          </w:p>
        </w:tc>
        <w:tc>
          <w:tcPr>
            <w:tcW w:w="2693" w:type="dxa"/>
          </w:tcPr>
          <w:p w14:paraId="3261051C" w14:textId="77777777" w:rsidR="005370AD" w:rsidRPr="00575127" w:rsidRDefault="005370AD" w:rsidP="007C20D0">
            <w:pPr>
              <w:spacing w:after="0" w:line="240" w:lineRule="auto"/>
              <w:jc w:val="center"/>
            </w:pPr>
            <w:r>
              <w:t>36</w:t>
            </w:r>
          </w:p>
        </w:tc>
        <w:tc>
          <w:tcPr>
            <w:tcW w:w="1933" w:type="dxa"/>
          </w:tcPr>
          <w:p w14:paraId="4F0DCF86" w14:textId="77777777" w:rsidR="005370AD" w:rsidRPr="00DA0F90" w:rsidRDefault="005370AD" w:rsidP="007C20D0">
            <w:pPr>
              <w:spacing w:after="0" w:line="240" w:lineRule="auto"/>
              <w:jc w:val="center"/>
            </w:pPr>
            <w:r w:rsidRPr="000904A4">
              <w:t>15.0%</w:t>
            </w:r>
          </w:p>
        </w:tc>
      </w:tr>
      <w:tr w:rsidR="005370AD" w:rsidRPr="008359D2" w14:paraId="4EA2B99F" w14:textId="77777777" w:rsidTr="00241AAF">
        <w:tc>
          <w:tcPr>
            <w:tcW w:w="4390" w:type="dxa"/>
          </w:tcPr>
          <w:p w14:paraId="0E9CD6EA" w14:textId="77777777" w:rsidR="005370AD" w:rsidRDefault="005370AD" w:rsidP="007C20D0">
            <w:pPr>
              <w:spacing w:after="0" w:line="240" w:lineRule="auto"/>
            </w:pPr>
            <w:r w:rsidRPr="003A23F2">
              <w:t>Missing</w:t>
            </w:r>
          </w:p>
        </w:tc>
        <w:tc>
          <w:tcPr>
            <w:tcW w:w="2693" w:type="dxa"/>
          </w:tcPr>
          <w:p w14:paraId="31ED8029" w14:textId="77777777" w:rsidR="005370AD" w:rsidRDefault="005370AD" w:rsidP="007C20D0">
            <w:pPr>
              <w:spacing w:after="0" w:line="240" w:lineRule="auto"/>
              <w:jc w:val="center"/>
            </w:pPr>
            <w:r>
              <w:t>67</w:t>
            </w:r>
          </w:p>
        </w:tc>
        <w:tc>
          <w:tcPr>
            <w:tcW w:w="1933" w:type="dxa"/>
          </w:tcPr>
          <w:p w14:paraId="7F5A84B9" w14:textId="77777777" w:rsidR="005370AD" w:rsidRDefault="005370AD" w:rsidP="007C20D0">
            <w:pPr>
              <w:spacing w:after="0" w:line="240" w:lineRule="auto"/>
              <w:jc w:val="center"/>
            </w:pPr>
            <w:r w:rsidRPr="000904A4">
              <w:t>27.9%</w:t>
            </w:r>
          </w:p>
        </w:tc>
      </w:tr>
      <w:tr w:rsidR="005370AD" w:rsidRPr="008359D2" w14:paraId="3F8AE1F9" w14:textId="77777777" w:rsidTr="00241AAF">
        <w:tc>
          <w:tcPr>
            <w:tcW w:w="4390" w:type="dxa"/>
          </w:tcPr>
          <w:p w14:paraId="53B7F1E3" w14:textId="77777777" w:rsidR="005370AD" w:rsidRPr="00C01877" w:rsidRDefault="005370AD" w:rsidP="007C20D0">
            <w:pPr>
              <w:spacing w:after="0" w:line="240" w:lineRule="auto"/>
              <w:rPr>
                <w:b/>
              </w:rPr>
            </w:pPr>
            <w:r w:rsidRPr="00C01877">
              <w:rPr>
                <w:b/>
                <w:color w:val="0070C0"/>
              </w:rPr>
              <w:t>Take antibiotics by mouth every day</w:t>
            </w:r>
          </w:p>
        </w:tc>
        <w:tc>
          <w:tcPr>
            <w:tcW w:w="2693" w:type="dxa"/>
          </w:tcPr>
          <w:p w14:paraId="52C7653C" w14:textId="77777777" w:rsidR="005370AD" w:rsidRPr="008359D2" w:rsidRDefault="005370AD" w:rsidP="007C20D0">
            <w:pPr>
              <w:spacing w:after="0" w:line="240" w:lineRule="auto"/>
              <w:jc w:val="center"/>
              <w:rPr>
                <w:b/>
                <w:sz w:val="24"/>
                <w:szCs w:val="24"/>
              </w:rPr>
            </w:pPr>
          </w:p>
        </w:tc>
        <w:tc>
          <w:tcPr>
            <w:tcW w:w="1933" w:type="dxa"/>
          </w:tcPr>
          <w:p w14:paraId="46838B7C" w14:textId="77777777" w:rsidR="005370AD" w:rsidRPr="008359D2" w:rsidRDefault="005370AD" w:rsidP="007C20D0">
            <w:pPr>
              <w:spacing w:after="0" w:line="240" w:lineRule="auto"/>
              <w:jc w:val="center"/>
              <w:rPr>
                <w:b/>
                <w:sz w:val="24"/>
                <w:szCs w:val="24"/>
              </w:rPr>
            </w:pPr>
          </w:p>
        </w:tc>
      </w:tr>
      <w:tr w:rsidR="005370AD" w:rsidRPr="008359D2" w14:paraId="3E71165A" w14:textId="77777777" w:rsidTr="00241AAF">
        <w:tc>
          <w:tcPr>
            <w:tcW w:w="4390" w:type="dxa"/>
          </w:tcPr>
          <w:p w14:paraId="4E0BE3B3" w14:textId="77777777" w:rsidR="005370AD" w:rsidRPr="008A53E0" w:rsidRDefault="005370AD" w:rsidP="007C20D0">
            <w:pPr>
              <w:spacing w:after="0" w:line="240" w:lineRule="auto"/>
            </w:pPr>
            <w:r w:rsidRPr="008A53E0">
              <w:t>Yes</w:t>
            </w:r>
          </w:p>
        </w:tc>
        <w:tc>
          <w:tcPr>
            <w:tcW w:w="2693" w:type="dxa"/>
          </w:tcPr>
          <w:p w14:paraId="392B267D" w14:textId="77777777" w:rsidR="005370AD" w:rsidRPr="008909EE" w:rsidRDefault="005370AD" w:rsidP="007C20D0">
            <w:pPr>
              <w:spacing w:after="0" w:line="240" w:lineRule="auto"/>
              <w:jc w:val="center"/>
            </w:pPr>
            <w:r>
              <w:t>74</w:t>
            </w:r>
          </w:p>
        </w:tc>
        <w:tc>
          <w:tcPr>
            <w:tcW w:w="1933" w:type="dxa"/>
          </w:tcPr>
          <w:p w14:paraId="477068CB" w14:textId="77777777" w:rsidR="005370AD" w:rsidRPr="00B10BE8" w:rsidRDefault="005370AD" w:rsidP="007C20D0">
            <w:pPr>
              <w:spacing w:after="0" w:line="240" w:lineRule="auto"/>
              <w:jc w:val="center"/>
            </w:pPr>
            <w:r w:rsidRPr="00B02C3B">
              <w:t>30.8%</w:t>
            </w:r>
          </w:p>
        </w:tc>
      </w:tr>
      <w:tr w:rsidR="005370AD" w:rsidRPr="008359D2" w14:paraId="2C5A2E55" w14:textId="77777777" w:rsidTr="00241AAF">
        <w:tc>
          <w:tcPr>
            <w:tcW w:w="4390" w:type="dxa"/>
          </w:tcPr>
          <w:p w14:paraId="13735609" w14:textId="77777777" w:rsidR="005370AD" w:rsidRPr="008A53E0" w:rsidRDefault="005370AD" w:rsidP="007C20D0">
            <w:pPr>
              <w:spacing w:after="0" w:line="240" w:lineRule="auto"/>
            </w:pPr>
            <w:r w:rsidRPr="008A53E0">
              <w:t>No</w:t>
            </w:r>
          </w:p>
        </w:tc>
        <w:tc>
          <w:tcPr>
            <w:tcW w:w="2693" w:type="dxa"/>
          </w:tcPr>
          <w:p w14:paraId="4AB85ADB" w14:textId="77777777" w:rsidR="005370AD" w:rsidRPr="00DF5CAA" w:rsidRDefault="005370AD" w:rsidP="007C20D0">
            <w:pPr>
              <w:spacing w:after="0" w:line="240" w:lineRule="auto"/>
              <w:jc w:val="center"/>
              <w:rPr>
                <w:b/>
              </w:rPr>
            </w:pPr>
            <w:r>
              <w:rPr>
                <w:b/>
              </w:rPr>
              <w:t>68</w:t>
            </w:r>
          </w:p>
        </w:tc>
        <w:tc>
          <w:tcPr>
            <w:tcW w:w="1933" w:type="dxa"/>
          </w:tcPr>
          <w:p w14:paraId="1D825742" w14:textId="77777777" w:rsidR="005370AD" w:rsidRPr="00DF5CAA" w:rsidRDefault="005370AD" w:rsidP="007C20D0">
            <w:pPr>
              <w:spacing w:after="0" w:line="240" w:lineRule="auto"/>
              <w:jc w:val="center"/>
              <w:rPr>
                <w:b/>
              </w:rPr>
            </w:pPr>
            <w:r w:rsidRPr="00B02C3B">
              <w:t>28.3%</w:t>
            </w:r>
          </w:p>
        </w:tc>
      </w:tr>
      <w:tr w:rsidR="005370AD" w:rsidRPr="008359D2" w14:paraId="1C35E62F" w14:textId="77777777" w:rsidTr="00241AAF">
        <w:tc>
          <w:tcPr>
            <w:tcW w:w="4390" w:type="dxa"/>
          </w:tcPr>
          <w:p w14:paraId="1AB044EE" w14:textId="77777777" w:rsidR="005370AD" w:rsidRPr="008A53E0" w:rsidRDefault="005370AD" w:rsidP="007C20D0">
            <w:pPr>
              <w:spacing w:after="0" w:line="240" w:lineRule="auto"/>
            </w:pPr>
            <w:r w:rsidRPr="008A53E0">
              <w:t>Maybe</w:t>
            </w:r>
          </w:p>
        </w:tc>
        <w:tc>
          <w:tcPr>
            <w:tcW w:w="2693" w:type="dxa"/>
          </w:tcPr>
          <w:p w14:paraId="77510DF6" w14:textId="77777777" w:rsidR="005370AD" w:rsidRPr="008909EE" w:rsidRDefault="005370AD" w:rsidP="007C20D0">
            <w:pPr>
              <w:spacing w:after="0" w:line="240" w:lineRule="auto"/>
              <w:jc w:val="center"/>
            </w:pPr>
            <w:r>
              <w:t>48</w:t>
            </w:r>
          </w:p>
        </w:tc>
        <w:tc>
          <w:tcPr>
            <w:tcW w:w="1933" w:type="dxa"/>
          </w:tcPr>
          <w:p w14:paraId="7B919CB6" w14:textId="77777777" w:rsidR="005370AD" w:rsidRPr="00B10BE8" w:rsidRDefault="005370AD" w:rsidP="007C20D0">
            <w:pPr>
              <w:spacing w:after="0" w:line="240" w:lineRule="auto"/>
              <w:jc w:val="center"/>
            </w:pPr>
            <w:r w:rsidRPr="00B02C3B">
              <w:t>20.0%</w:t>
            </w:r>
          </w:p>
        </w:tc>
      </w:tr>
      <w:tr w:rsidR="005370AD" w:rsidRPr="008359D2" w14:paraId="51A22825" w14:textId="77777777" w:rsidTr="00241AAF">
        <w:tc>
          <w:tcPr>
            <w:tcW w:w="4390" w:type="dxa"/>
          </w:tcPr>
          <w:p w14:paraId="5ACC5A7C" w14:textId="77777777" w:rsidR="005370AD" w:rsidRDefault="005370AD" w:rsidP="007C20D0">
            <w:pPr>
              <w:spacing w:after="0" w:line="240" w:lineRule="auto"/>
            </w:pPr>
            <w:r w:rsidRPr="008A53E0">
              <w:t>Missing</w:t>
            </w:r>
          </w:p>
        </w:tc>
        <w:tc>
          <w:tcPr>
            <w:tcW w:w="2693" w:type="dxa"/>
          </w:tcPr>
          <w:p w14:paraId="6CB836D6" w14:textId="77777777" w:rsidR="005370AD" w:rsidRDefault="005370AD" w:rsidP="007C20D0">
            <w:pPr>
              <w:spacing w:after="0" w:line="240" w:lineRule="auto"/>
              <w:jc w:val="center"/>
            </w:pPr>
            <w:r>
              <w:t>50</w:t>
            </w:r>
          </w:p>
        </w:tc>
        <w:tc>
          <w:tcPr>
            <w:tcW w:w="1933" w:type="dxa"/>
          </w:tcPr>
          <w:p w14:paraId="721CB03E" w14:textId="77777777" w:rsidR="005370AD" w:rsidRDefault="005370AD" w:rsidP="007C20D0">
            <w:pPr>
              <w:spacing w:after="0" w:line="240" w:lineRule="auto"/>
              <w:jc w:val="center"/>
            </w:pPr>
            <w:r w:rsidRPr="00B02C3B">
              <w:t>20.8%</w:t>
            </w:r>
          </w:p>
        </w:tc>
      </w:tr>
      <w:tr w:rsidR="005370AD" w:rsidRPr="008359D2" w14:paraId="4722C33E" w14:textId="77777777" w:rsidTr="00241AAF">
        <w:tc>
          <w:tcPr>
            <w:tcW w:w="4390" w:type="dxa"/>
          </w:tcPr>
          <w:p w14:paraId="54EAE364" w14:textId="77777777" w:rsidR="005370AD" w:rsidRPr="00C01877" w:rsidRDefault="005370AD" w:rsidP="007C20D0">
            <w:pPr>
              <w:spacing w:after="0" w:line="240" w:lineRule="auto"/>
              <w:rPr>
                <w:b/>
              </w:rPr>
            </w:pPr>
            <w:r w:rsidRPr="00C01877">
              <w:rPr>
                <w:b/>
                <w:color w:val="0070C0"/>
              </w:rPr>
              <w:t>Wear compression stockings every day</w:t>
            </w:r>
          </w:p>
        </w:tc>
        <w:tc>
          <w:tcPr>
            <w:tcW w:w="2693" w:type="dxa"/>
          </w:tcPr>
          <w:p w14:paraId="522245E6" w14:textId="77777777" w:rsidR="005370AD" w:rsidRPr="008359D2" w:rsidRDefault="005370AD" w:rsidP="007C20D0">
            <w:pPr>
              <w:spacing w:after="0" w:line="240" w:lineRule="auto"/>
              <w:jc w:val="center"/>
              <w:rPr>
                <w:b/>
                <w:sz w:val="24"/>
                <w:szCs w:val="24"/>
              </w:rPr>
            </w:pPr>
          </w:p>
        </w:tc>
        <w:tc>
          <w:tcPr>
            <w:tcW w:w="1933" w:type="dxa"/>
          </w:tcPr>
          <w:p w14:paraId="07E068D7" w14:textId="77777777" w:rsidR="005370AD" w:rsidRPr="008359D2" w:rsidRDefault="005370AD" w:rsidP="007C20D0">
            <w:pPr>
              <w:spacing w:after="0" w:line="240" w:lineRule="auto"/>
              <w:jc w:val="center"/>
              <w:rPr>
                <w:b/>
                <w:sz w:val="24"/>
                <w:szCs w:val="24"/>
              </w:rPr>
            </w:pPr>
          </w:p>
        </w:tc>
      </w:tr>
      <w:tr w:rsidR="005370AD" w:rsidRPr="008359D2" w14:paraId="4859B276" w14:textId="77777777" w:rsidTr="00241AAF">
        <w:tc>
          <w:tcPr>
            <w:tcW w:w="4390" w:type="dxa"/>
          </w:tcPr>
          <w:p w14:paraId="1BA8F1C6" w14:textId="77777777" w:rsidR="005370AD" w:rsidRPr="00DC7898" w:rsidRDefault="005370AD" w:rsidP="007C20D0">
            <w:pPr>
              <w:spacing w:after="0" w:line="240" w:lineRule="auto"/>
              <w:rPr>
                <w:sz w:val="24"/>
                <w:szCs w:val="24"/>
              </w:rPr>
            </w:pPr>
            <w:r w:rsidRPr="00DC7898">
              <w:rPr>
                <w:sz w:val="24"/>
                <w:szCs w:val="24"/>
              </w:rPr>
              <w:t>Yes</w:t>
            </w:r>
          </w:p>
        </w:tc>
        <w:tc>
          <w:tcPr>
            <w:tcW w:w="2693" w:type="dxa"/>
          </w:tcPr>
          <w:p w14:paraId="3B500103" w14:textId="77777777" w:rsidR="005370AD" w:rsidRPr="00DF5CAA" w:rsidRDefault="005370AD" w:rsidP="007C20D0">
            <w:pPr>
              <w:spacing w:after="0" w:line="240" w:lineRule="auto"/>
              <w:jc w:val="center"/>
              <w:rPr>
                <w:b/>
              </w:rPr>
            </w:pPr>
            <w:r>
              <w:rPr>
                <w:b/>
              </w:rPr>
              <w:t>83</w:t>
            </w:r>
          </w:p>
        </w:tc>
        <w:tc>
          <w:tcPr>
            <w:tcW w:w="1933" w:type="dxa"/>
          </w:tcPr>
          <w:p w14:paraId="07439FE4" w14:textId="77777777" w:rsidR="005370AD" w:rsidRPr="00DF5CAA" w:rsidRDefault="005370AD" w:rsidP="007C20D0">
            <w:pPr>
              <w:spacing w:after="0" w:line="240" w:lineRule="auto"/>
              <w:jc w:val="center"/>
              <w:rPr>
                <w:b/>
              </w:rPr>
            </w:pPr>
            <w:r w:rsidRPr="009D02F5">
              <w:t>34.6%</w:t>
            </w:r>
          </w:p>
        </w:tc>
      </w:tr>
      <w:tr w:rsidR="005370AD" w:rsidRPr="008359D2" w14:paraId="500808E0" w14:textId="77777777" w:rsidTr="00241AAF">
        <w:tc>
          <w:tcPr>
            <w:tcW w:w="4390" w:type="dxa"/>
          </w:tcPr>
          <w:p w14:paraId="34204165" w14:textId="77777777" w:rsidR="005370AD" w:rsidRPr="00DC7898" w:rsidRDefault="005370AD" w:rsidP="007C20D0">
            <w:pPr>
              <w:spacing w:after="0" w:line="240" w:lineRule="auto"/>
              <w:rPr>
                <w:sz w:val="24"/>
                <w:szCs w:val="24"/>
              </w:rPr>
            </w:pPr>
            <w:r w:rsidRPr="00DC7898">
              <w:rPr>
                <w:sz w:val="24"/>
                <w:szCs w:val="24"/>
              </w:rPr>
              <w:t>No</w:t>
            </w:r>
          </w:p>
        </w:tc>
        <w:tc>
          <w:tcPr>
            <w:tcW w:w="2693" w:type="dxa"/>
          </w:tcPr>
          <w:p w14:paraId="54798214" w14:textId="77777777" w:rsidR="005370AD" w:rsidRPr="00CA63DB" w:rsidRDefault="005370AD" w:rsidP="007C20D0">
            <w:pPr>
              <w:spacing w:after="0" w:line="240" w:lineRule="auto"/>
              <w:jc w:val="center"/>
            </w:pPr>
            <w:r>
              <w:t>66</w:t>
            </w:r>
          </w:p>
        </w:tc>
        <w:tc>
          <w:tcPr>
            <w:tcW w:w="1933" w:type="dxa"/>
          </w:tcPr>
          <w:p w14:paraId="5480108E" w14:textId="77777777" w:rsidR="005370AD" w:rsidRPr="00B92FD2" w:rsidRDefault="005370AD" w:rsidP="007C20D0">
            <w:pPr>
              <w:spacing w:after="0" w:line="240" w:lineRule="auto"/>
              <w:jc w:val="center"/>
            </w:pPr>
            <w:r w:rsidRPr="009D02F5">
              <w:t>27.5%</w:t>
            </w:r>
          </w:p>
        </w:tc>
      </w:tr>
      <w:tr w:rsidR="005370AD" w:rsidRPr="008359D2" w14:paraId="5FBA962E" w14:textId="77777777" w:rsidTr="00241AAF">
        <w:tc>
          <w:tcPr>
            <w:tcW w:w="4390" w:type="dxa"/>
          </w:tcPr>
          <w:p w14:paraId="5F496BCA" w14:textId="77777777" w:rsidR="005370AD" w:rsidRPr="00DC7898" w:rsidRDefault="005370AD" w:rsidP="007C20D0">
            <w:pPr>
              <w:spacing w:after="0" w:line="240" w:lineRule="auto"/>
              <w:rPr>
                <w:sz w:val="24"/>
                <w:szCs w:val="24"/>
              </w:rPr>
            </w:pPr>
            <w:r>
              <w:rPr>
                <w:sz w:val="24"/>
                <w:szCs w:val="24"/>
              </w:rPr>
              <w:t xml:space="preserve">Maybe </w:t>
            </w:r>
          </w:p>
        </w:tc>
        <w:tc>
          <w:tcPr>
            <w:tcW w:w="2693" w:type="dxa"/>
          </w:tcPr>
          <w:p w14:paraId="1EB90C3C" w14:textId="77777777" w:rsidR="005370AD" w:rsidRPr="00CA63DB" w:rsidRDefault="005370AD" w:rsidP="007C20D0">
            <w:pPr>
              <w:spacing w:after="0" w:line="240" w:lineRule="auto"/>
              <w:jc w:val="center"/>
            </w:pPr>
            <w:r>
              <w:t>47</w:t>
            </w:r>
          </w:p>
        </w:tc>
        <w:tc>
          <w:tcPr>
            <w:tcW w:w="1933" w:type="dxa"/>
          </w:tcPr>
          <w:p w14:paraId="3C172A32" w14:textId="77777777" w:rsidR="005370AD" w:rsidRPr="00B92FD2" w:rsidRDefault="005370AD" w:rsidP="007C20D0">
            <w:pPr>
              <w:spacing w:after="0" w:line="240" w:lineRule="auto"/>
              <w:jc w:val="center"/>
            </w:pPr>
            <w:r w:rsidRPr="009D02F5">
              <w:t>19.6%</w:t>
            </w:r>
          </w:p>
        </w:tc>
      </w:tr>
      <w:tr w:rsidR="005370AD" w:rsidRPr="008359D2" w14:paraId="623788B2" w14:textId="77777777" w:rsidTr="00241AAF">
        <w:tc>
          <w:tcPr>
            <w:tcW w:w="4390" w:type="dxa"/>
          </w:tcPr>
          <w:p w14:paraId="142050A2" w14:textId="77777777" w:rsidR="005370AD" w:rsidRPr="00DC7898" w:rsidRDefault="005370AD" w:rsidP="007C20D0">
            <w:pPr>
              <w:spacing w:after="0" w:line="240" w:lineRule="auto"/>
              <w:rPr>
                <w:i/>
                <w:sz w:val="24"/>
                <w:szCs w:val="24"/>
              </w:rPr>
            </w:pPr>
            <w:r w:rsidRPr="00DC7898">
              <w:rPr>
                <w:i/>
                <w:sz w:val="24"/>
                <w:szCs w:val="24"/>
              </w:rPr>
              <w:t>Missing</w:t>
            </w:r>
          </w:p>
        </w:tc>
        <w:tc>
          <w:tcPr>
            <w:tcW w:w="2693" w:type="dxa"/>
          </w:tcPr>
          <w:p w14:paraId="36C21C3C" w14:textId="77777777" w:rsidR="005370AD" w:rsidRDefault="005370AD" w:rsidP="007C20D0">
            <w:pPr>
              <w:spacing w:after="0" w:line="240" w:lineRule="auto"/>
              <w:jc w:val="center"/>
            </w:pPr>
            <w:r>
              <w:t>44</w:t>
            </w:r>
          </w:p>
        </w:tc>
        <w:tc>
          <w:tcPr>
            <w:tcW w:w="1933" w:type="dxa"/>
          </w:tcPr>
          <w:p w14:paraId="4FC20B47" w14:textId="77777777" w:rsidR="005370AD" w:rsidRDefault="005370AD" w:rsidP="007C20D0">
            <w:pPr>
              <w:spacing w:after="0" w:line="240" w:lineRule="auto"/>
              <w:jc w:val="center"/>
            </w:pPr>
            <w:r w:rsidRPr="009D02F5">
              <w:t>18.3%</w:t>
            </w:r>
          </w:p>
        </w:tc>
      </w:tr>
      <w:tr w:rsidR="005370AD" w:rsidRPr="008359D2" w14:paraId="632DAF70" w14:textId="77777777" w:rsidTr="00241AAF">
        <w:tc>
          <w:tcPr>
            <w:tcW w:w="4390" w:type="dxa"/>
          </w:tcPr>
          <w:p w14:paraId="0783EFB5" w14:textId="77777777" w:rsidR="005370AD" w:rsidRPr="00C01877" w:rsidRDefault="005370AD" w:rsidP="007C20D0">
            <w:pPr>
              <w:spacing w:after="0" w:line="240" w:lineRule="auto"/>
              <w:rPr>
                <w:b/>
              </w:rPr>
            </w:pPr>
            <w:r w:rsidRPr="00C01877">
              <w:rPr>
                <w:b/>
                <w:color w:val="0070C0"/>
              </w:rPr>
              <w:t>Increase physical activity</w:t>
            </w:r>
          </w:p>
        </w:tc>
        <w:tc>
          <w:tcPr>
            <w:tcW w:w="2693" w:type="dxa"/>
          </w:tcPr>
          <w:p w14:paraId="6B8F9A77" w14:textId="77777777" w:rsidR="005370AD" w:rsidRDefault="005370AD" w:rsidP="007C20D0">
            <w:pPr>
              <w:spacing w:after="0" w:line="240" w:lineRule="auto"/>
              <w:jc w:val="center"/>
            </w:pPr>
          </w:p>
        </w:tc>
        <w:tc>
          <w:tcPr>
            <w:tcW w:w="1933" w:type="dxa"/>
          </w:tcPr>
          <w:p w14:paraId="7F25AB68" w14:textId="77777777" w:rsidR="005370AD" w:rsidRDefault="005370AD" w:rsidP="007C20D0">
            <w:pPr>
              <w:spacing w:after="0" w:line="240" w:lineRule="auto"/>
              <w:jc w:val="center"/>
            </w:pPr>
          </w:p>
        </w:tc>
      </w:tr>
      <w:tr w:rsidR="005370AD" w:rsidRPr="008359D2" w14:paraId="52C48354" w14:textId="77777777" w:rsidTr="00241AAF">
        <w:tc>
          <w:tcPr>
            <w:tcW w:w="4390" w:type="dxa"/>
          </w:tcPr>
          <w:p w14:paraId="6AB042DD" w14:textId="77777777" w:rsidR="005370AD" w:rsidRPr="002C37EF" w:rsidRDefault="005370AD" w:rsidP="007C20D0">
            <w:pPr>
              <w:spacing w:after="0" w:line="240" w:lineRule="auto"/>
            </w:pPr>
            <w:r w:rsidRPr="002C37EF">
              <w:t>Yes</w:t>
            </w:r>
          </w:p>
        </w:tc>
        <w:tc>
          <w:tcPr>
            <w:tcW w:w="2693" w:type="dxa"/>
          </w:tcPr>
          <w:p w14:paraId="0701F6B3" w14:textId="77777777" w:rsidR="005370AD" w:rsidRPr="00DF5CAA" w:rsidRDefault="005370AD" w:rsidP="007C20D0">
            <w:pPr>
              <w:spacing w:after="0" w:line="240" w:lineRule="auto"/>
              <w:jc w:val="center"/>
              <w:rPr>
                <w:b/>
              </w:rPr>
            </w:pPr>
            <w:r>
              <w:rPr>
                <w:b/>
              </w:rPr>
              <w:t>123</w:t>
            </w:r>
          </w:p>
        </w:tc>
        <w:tc>
          <w:tcPr>
            <w:tcW w:w="1933" w:type="dxa"/>
          </w:tcPr>
          <w:p w14:paraId="7161DF68" w14:textId="77777777" w:rsidR="005370AD" w:rsidRPr="00DF5CAA" w:rsidRDefault="005370AD" w:rsidP="007C20D0">
            <w:pPr>
              <w:spacing w:after="0" w:line="240" w:lineRule="auto"/>
              <w:jc w:val="center"/>
              <w:rPr>
                <w:b/>
              </w:rPr>
            </w:pPr>
            <w:r w:rsidRPr="00E75ED0">
              <w:t>51.3%</w:t>
            </w:r>
          </w:p>
        </w:tc>
      </w:tr>
      <w:tr w:rsidR="005370AD" w:rsidRPr="008359D2" w14:paraId="14E81733" w14:textId="77777777" w:rsidTr="00241AAF">
        <w:tc>
          <w:tcPr>
            <w:tcW w:w="4390" w:type="dxa"/>
          </w:tcPr>
          <w:p w14:paraId="57EF12BE" w14:textId="77777777" w:rsidR="005370AD" w:rsidRPr="002C37EF" w:rsidRDefault="005370AD" w:rsidP="007C20D0">
            <w:pPr>
              <w:spacing w:after="0" w:line="240" w:lineRule="auto"/>
            </w:pPr>
            <w:r w:rsidRPr="002C37EF">
              <w:t>No</w:t>
            </w:r>
          </w:p>
        </w:tc>
        <w:tc>
          <w:tcPr>
            <w:tcW w:w="2693" w:type="dxa"/>
          </w:tcPr>
          <w:p w14:paraId="09AEEC14" w14:textId="77777777" w:rsidR="005370AD" w:rsidRPr="00AD522F" w:rsidRDefault="005370AD" w:rsidP="007C20D0">
            <w:pPr>
              <w:spacing w:after="0" w:line="240" w:lineRule="auto"/>
              <w:jc w:val="center"/>
            </w:pPr>
            <w:r>
              <w:t>32</w:t>
            </w:r>
          </w:p>
        </w:tc>
        <w:tc>
          <w:tcPr>
            <w:tcW w:w="1933" w:type="dxa"/>
          </w:tcPr>
          <w:p w14:paraId="16A361B5" w14:textId="77777777" w:rsidR="005370AD" w:rsidRPr="00E435BC" w:rsidRDefault="005370AD" w:rsidP="007C20D0">
            <w:pPr>
              <w:spacing w:after="0" w:line="240" w:lineRule="auto"/>
              <w:jc w:val="center"/>
            </w:pPr>
            <w:r w:rsidRPr="00E75ED0">
              <w:t>13.3%</w:t>
            </w:r>
          </w:p>
        </w:tc>
      </w:tr>
      <w:tr w:rsidR="005370AD" w:rsidRPr="008359D2" w14:paraId="259F892F" w14:textId="77777777" w:rsidTr="00241AAF">
        <w:tc>
          <w:tcPr>
            <w:tcW w:w="4390" w:type="dxa"/>
          </w:tcPr>
          <w:p w14:paraId="26CECD14" w14:textId="77777777" w:rsidR="005370AD" w:rsidRPr="002C37EF" w:rsidRDefault="005370AD" w:rsidP="007C20D0">
            <w:pPr>
              <w:spacing w:after="0" w:line="240" w:lineRule="auto"/>
            </w:pPr>
            <w:r w:rsidRPr="002C37EF">
              <w:t xml:space="preserve">Maybe </w:t>
            </w:r>
          </w:p>
        </w:tc>
        <w:tc>
          <w:tcPr>
            <w:tcW w:w="2693" w:type="dxa"/>
          </w:tcPr>
          <w:p w14:paraId="669E5207" w14:textId="77777777" w:rsidR="005370AD" w:rsidRPr="00AD522F" w:rsidRDefault="005370AD" w:rsidP="007C20D0">
            <w:pPr>
              <w:spacing w:after="0" w:line="240" w:lineRule="auto"/>
              <w:jc w:val="center"/>
            </w:pPr>
            <w:r>
              <w:t>39</w:t>
            </w:r>
          </w:p>
        </w:tc>
        <w:tc>
          <w:tcPr>
            <w:tcW w:w="1933" w:type="dxa"/>
          </w:tcPr>
          <w:p w14:paraId="62BDC79C" w14:textId="77777777" w:rsidR="005370AD" w:rsidRPr="00E435BC" w:rsidRDefault="005370AD" w:rsidP="007C20D0">
            <w:pPr>
              <w:spacing w:after="0" w:line="240" w:lineRule="auto"/>
              <w:jc w:val="center"/>
            </w:pPr>
            <w:r w:rsidRPr="00E75ED0">
              <w:t>16.3%</w:t>
            </w:r>
          </w:p>
        </w:tc>
      </w:tr>
      <w:tr w:rsidR="005370AD" w:rsidRPr="008359D2" w14:paraId="04F6FC8C" w14:textId="77777777" w:rsidTr="00241AAF">
        <w:tc>
          <w:tcPr>
            <w:tcW w:w="4390" w:type="dxa"/>
          </w:tcPr>
          <w:p w14:paraId="745E9DEC" w14:textId="77777777" w:rsidR="005370AD" w:rsidRDefault="005370AD" w:rsidP="007C20D0">
            <w:pPr>
              <w:spacing w:after="0" w:line="240" w:lineRule="auto"/>
            </w:pPr>
            <w:r w:rsidRPr="002C37EF">
              <w:t>Missing</w:t>
            </w:r>
          </w:p>
        </w:tc>
        <w:tc>
          <w:tcPr>
            <w:tcW w:w="2693" w:type="dxa"/>
          </w:tcPr>
          <w:p w14:paraId="6CDD5C5F" w14:textId="77777777" w:rsidR="005370AD" w:rsidRDefault="005370AD" w:rsidP="007C20D0">
            <w:pPr>
              <w:spacing w:after="0" w:line="240" w:lineRule="auto"/>
              <w:jc w:val="center"/>
            </w:pPr>
            <w:r>
              <w:t>46</w:t>
            </w:r>
          </w:p>
        </w:tc>
        <w:tc>
          <w:tcPr>
            <w:tcW w:w="1933" w:type="dxa"/>
          </w:tcPr>
          <w:p w14:paraId="032D8940" w14:textId="77777777" w:rsidR="005370AD" w:rsidRDefault="005370AD" w:rsidP="007C20D0">
            <w:pPr>
              <w:spacing w:after="0" w:line="240" w:lineRule="auto"/>
              <w:jc w:val="center"/>
            </w:pPr>
            <w:r w:rsidRPr="00E75ED0">
              <w:t>19.2%</w:t>
            </w:r>
          </w:p>
        </w:tc>
      </w:tr>
      <w:tr w:rsidR="005370AD" w:rsidRPr="008359D2" w14:paraId="696D283A" w14:textId="77777777" w:rsidTr="00241AAF">
        <w:tc>
          <w:tcPr>
            <w:tcW w:w="4390" w:type="dxa"/>
          </w:tcPr>
          <w:p w14:paraId="1243455B" w14:textId="77777777" w:rsidR="005370AD" w:rsidRPr="00C01877" w:rsidRDefault="005370AD" w:rsidP="007C20D0">
            <w:pPr>
              <w:spacing w:after="0" w:line="240" w:lineRule="auto"/>
              <w:rPr>
                <w:b/>
              </w:rPr>
            </w:pPr>
            <w:r w:rsidRPr="00C01877">
              <w:rPr>
                <w:b/>
                <w:color w:val="0070C0"/>
              </w:rPr>
              <w:t>Lose weight</w:t>
            </w:r>
          </w:p>
        </w:tc>
        <w:tc>
          <w:tcPr>
            <w:tcW w:w="2693" w:type="dxa"/>
          </w:tcPr>
          <w:p w14:paraId="39C86AE6" w14:textId="77777777" w:rsidR="005370AD" w:rsidRDefault="005370AD" w:rsidP="007C20D0">
            <w:pPr>
              <w:spacing w:after="0" w:line="240" w:lineRule="auto"/>
              <w:jc w:val="center"/>
            </w:pPr>
          </w:p>
        </w:tc>
        <w:tc>
          <w:tcPr>
            <w:tcW w:w="1933" w:type="dxa"/>
          </w:tcPr>
          <w:p w14:paraId="58B9C2A5" w14:textId="77777777" w:rsidR="005370AD" w:rsidRDefault="005370AD" w:rsidP="007C20D0">
            <w:pPr>
              <w:spacing w:after="0" w:line="240" w:lineRule="auto"/>
              <w:jc w:val="center"/>
            </w:pPr>
          </w:p>
        </w:tc>
      </w:tr>
      <w:tr w:rsidR="005370AD" w:rsidRPr="008359D2" w14:paraId="13B1003D" w14:textId="77777777" w:rsidTr="00241AAF">
        <w:tc>
          <w:tcPr>
            <w:tcW w:w="4390" w:type="dxa"/>
          </w:tcPr>
          <w:p w14:paraId="1BAD35AE" w14:textId="77777777" w:rsidR="005370AD" w:rsidRPr="00830D93" w:rsidRDefault="005370AD" w:rsidP="007C20D0">
            <w:pPr>
              <w:spacing w:after="0" w:line="240" w:lineRule="auto"/>
            </w:pPr>
            <w:r w:rsidRPr="00830D93">
              <w:t>Yes</w:t>
            </w:r>
          </w:p>
        </w:tc>
        <w:tc>
          <w:tcPr>
            <w:tcW w:w="2693" w:type="dxa"/>
          </w:tcPr>
          <w:p w14:paraId="5EF10A4F" w14:textId="77777777" w:rsidR="005370AD" w:rsidRPr="00DF5CAA" w:rsidRDefault="005370AD" w:rsidP="007C20D0">
            <w:pPr>
              <w:spacing w:after="0" w:line="240" w:lineRule="auto"/>
              <w:jc w:val="center"/>
              <w:rPr>
                <w:b/>
              </w:rPr>
            </w:pPr>
            <w:r>
              <w:rPr>
                <w:b/>
              </w:rPr>
              <w:t>113</w:t>
            </w:r>
          </w:p>
        </w:tc>
        <w:tc>
          <w:tcPr>
            <w:tcW w:w="1933" w:type="dxa"/>
          </w:tcPr>
          <w:p w14:paraId="60255815" w14:textId="77777777" w:rsidR="005370AD" w:rsidRPr="00DF5CAA" w:rsidRDefault="005370AD" w:rsidP="007C20D0">
            <w:pPr>
              <w:spacing w:after="0" w:line="240" w:lineRule="auto"/>
              <w:jc w:val="center"/>
              <w:rPr>
                <w:b/>
              </w:rPr>
            </w:pPr>
            <w:r w:rsidRPr="00123003">
              <w:t>47.1%</w:t>
            </w:r>
          </w:p>
        </w:tc>
      </w:tr>
      <w:tr w:rsidR="005370AD" w:rsidRPr="008359D2" w14:paraId="59E20DD6" w14:textId="77777777" w:rsidTr="00241AAF">
        <w:tc>
          <w:tcPr>
            <w:tcW w:w="4390" w:type="dxa"/>
          </w:tcPr>
          <w:p w14:paraId="0862D923" w14:textId="77777777" w:rsidR="005370AD" w:rsidRPr="00830D93" w:rsidRDefault="005370AD" w:rsidP="007C20D0">
            <w:pPr>
              <w:spacing w:after="0" w:line="240" w:lineRule="auto"/>
            </w:pPr>
            <w:r w:rsidRPr="00830D93">
              <w:t>No</w:t>
            </w:r>
          </w:p>
        </w:tc>
        <w:tc>
          <w:tcPr>
            <w:tcW w:w="2693" w:type="dxa"/>
          </w:tcPr>
          <w:p w14:paraId="5330D74D" w14:textId="77777777" w:rsidR="005370AD" w:rsidRPr="002C27F8" w:rsidRDefault="005370AD" w:rsidP="007C20D0">
            <w:pPr>
              <w:spacing w:after="0" w:line="240" w:lineRule="auto"/>
              <w:jc w:val="center"/>
            </w:pPr>
            <w:r>
              <w:t>36</w:t>
            </w:r>
          </w:p>
        </w:tc>
        <w:tc>
          <w:tcPr>
            <w:tcW w:w="1933" w:type="dxa"/>
          </w:tcPr>
          <w:p w14:paraId="13C078AC" w14:textId="77777777" w:rsidR="005370AD" w:rsidRPr="0073233E" w:rsidRDefault="005370AD" w:rsidP="007C20D0">
            <w:pPr>
              <w:spacing w:after="0" w:line="240" w:lineRule="auto"/>
              <w:jc w:val="center"/>
            </w:pPr>
            <w:r w:rsidRPr="00123003">
              <w:t>15.0%</w:t>
            </w:r>
          </w:p>
        </w:tc>
      </w:tr>
      <w:tr w:rsidR="005370AD" w:rsidRPr="008359D2" w14:paraId="5450AD3D" w14:textId="77777777" w:rsidTr="00241AAF">
        <w:tc>
          <w:tcPr>
            <w:tcW w:w="4390" w:type="dxa"/>
          </w:tcPr>
          <w:p w14:paraId="5039C327" w14:textId="77777777" w:rsidR="005370AD" w:rsidRPr="00830D93" w:rsidRDefault="005370AD" w:rsidP="007C20D0">
            <w:pPr>
              <w:spacing w:after="0" w:line="240" w:lineRule="auto"/>
            </w:pPr>
            <w:r w:rsidRPr="00830D93">
              <w:t xml:space="preserve">Maybe </w:t>
            </w:r>
          </w:p>
        </w:tc>
        <w:tc>
          <w:tcPr>
            <w:tcW w:w="2693" w:type="dxa"/>
          </w:tcPr>
          <w:p w14:paraId="53008509" w14:textId="77777777" w:rsidR="005370AD" w:rsidRPr="002C27F8" w:rsidRDefault="005370AD" w:rsidP="007C20D0">
            <w:pPr>
              <w:spacing w:after="0" w:line="240" w:lineRule="auto"/>
              <w:jc w:val="center"/>
            </w:pPr>
            <w:r>
              <w:t>41</w:t>
            </w:r>
          </w:p>
        </w:tc>
        <w:tc>
          <w:tcPr>
            <w:tcW w:w="1933" w:type="dxa"/>
          </w:tcPr>
          <w:p w14:paraId="55FC8A40" w14:textId="77777777" w:rsidR="005370AD" w:rsidRPr="0073233E" w:rsidRDefault="005370AD" w:rsidP="007C20D0">
            <w:pPr>
              <w:spacing w:after="0" w:line="240" w:lineRule="auto"/>
              <w:jc w:val="center"/>
            </w:pPr>
            <w:r w:rsidRPr="00123003">
              <w:t>17.1%</w:t>
            </w:r>
          </w:p>
        </w:tc>
      </w:tr>
      <w:tr w:rsidR="005370AD" w:rsidRPr="008359D2" w14:paraId="00F04142" w14:textId="77777777" w:rsidTr="00241AAF">
        <w:tc>
          <w:tcPr>
            <w:tcW w:w="4390" w:type="dxa"/>
          </w:tcPr>
          <w:p w14:paraId="3612DDE5" w14:textId="77777777" w:rsidR="005370AD" w:rsidRDefault="005370AD" w:rsidP="007C20D0">
            <w:pPr>
              <w:spacing w:after="0" w:line="240" w:lineRule="auto"/>
            </w:pPr>
            <w:r w:rsidRPr="00830D93">
              <w:t>Missing</w:t>
            </w:r>
          </w:p>
        </w:tc>
        <w:tc>
          <w:tcPr>
            <w:tcW w:w="2693" w:type="dxa"/>
          </w:tcPr>
          <w:p w14:paraId="0CD760C7" w14:textId="77777777" w:rsidR="005370AD" w:rsidRDefault="005370AD" w:rsidP="007C20D0">
            <w:pPr>
              <w:spacing w:after="0" w:line="240" w:lineRule="auto"/>
              <w:jc w:val="center"/>
            </w:pPr>
            <w:r>
              <w:t>50</w:t>
            </w:r>
          </w:p>
        </w:tc>
        <w:tc>
          <w:tcPr>
            <w:tcW w:w="1933" w:type="dxa"/>
          </w:tcPr>
          <w:p w14:paraId="3DA869D1" w14:textId="77777777" w:rsidR="005370AD" w:rsidRDefault="005370AD" w:rsidP="007C20D0">
            <w:pPr>
              <w:spacing w:after="0" w:line="240" w:lineRule="auto"/>
              <w:jc w:val="center"/>
            </w:pPr>
            <w:r w:rsidRPr="00123003">
              <w:t>20.8%</w:t>
            </w:r>
          </w:p>
        </w:tc>
      </w:tr>
    </w:tbl>
    <w:p w14:paraId="1C043BA6" w14:textId="77777777" w:rsidR="005370AD" w:rsidRDefault="005370AD" w:rsidP="00241AAF">
      <w:pPr>
        <w:rPr>
          <w:b/>
          <w:sz w:val="24"/>
          <w:szCs w:val="24"/>
        </w:rPr>
      </w:pPr>
    </w:p>
    <w:p w14:paraId="69710B65" w14:textId="77777777" w:rsidR="005370AD" w:rsidRDefault="005370AD" w:rsidP="00241AAF">
      <w:pPr>
        <w:rPr>
          <w:b/>
        </w:rPr>
      </w:pPr>
    </w:p>
    <w:p w14:paraId="30CF20F5" w14:textId="77777777" w:rsidR="005370AD" w:rsidRDefault="005370AD" w:rsidP="00241AAF">
      <w:pPr>
        <w:rPr>
          <w:b/>
        </w:rPr>
      </w:pPr>
    </w:p>
    <w:p w14:paraId="15303185" w14:textId="77777777" w:rsidR="005370AD" w:rsidRDefault="005370AD" w:rsidP="00241AAF">
      <w:pPr>
        <w:rPr>
          <w:b/>
        </w:rPr>
      </w:pPr>
    </w:p>
    <w:p w14:paraId="74E87EF9" w14:textId="77777777" w:rsidR="005370AD" w:rsidRDefault="005370AD" w:rsidP="00241AAF">
      <w:pPr>
        <w:rPr>
          <w:b/>
        </w:rPr>
      </w:pPr>
    </w:p>
    <w:p w14:paraId="165C177D" w14:textId="77777777" w:rsidR="005370AD" w:rsidRDefault="005370AD" w:rsidP="00241AAF">
      <w:pPr>
        <w:rPr>
          <w:b/>
        </w:rPr>
        <w:sectPr w:rsidR="005370AD" w:rsidSect="00241AAF">
          <w:headerReference w:type="default" r:id="rId12"/>
          <w:footerReference w:type="default" r:id="rId13"/>
          <w:pgSz w:w="11906" w:h="16838"/>
          <w:pgMar w:top="1440" w:right="1440" w:bottom="1440" w:left="1440" w:header="709" w:footer="709" w:gutter="0"/>
          <w:cols w:space="708"/>
          <w:docGrid w:linePitch="360"/>
        </w:sectPr>
      </w:pPr>
    </w:p>
    <w:p w14:paraId="65FDC1CB" w14:textId="77777777" w:rsidR="005370AD" w:rsidRPr="005E6994" w:rsidRDefault="005370AD" w:rsidP="00241AAF">
      <w:pPr>
        <w:rPr>
          <w:b/>
        </w:rPr>
      </w:pPr>
      <w:r w:rsidRPr="005E6994">
        <w:rPr>
          <w:b/>
        </w:rPr>
        <w:t xml:space="preserve">Table 4 Willingness to adopt cellulitis prevention based on experience of recurrence </w:t>
      </w:r>
    </w:p>
    <w:tbl>
      <w:tblPr>
        <w:tblStyle w:val="TableGrid"/>
        <w:tblW w:w="13178" w:type="dxa"/>
        <w:tblLayout w:type="fixed"/>
        <w:tblLook w:val="04A0" w:firstRow="1" w:lastRow="0" w:firstColumn="1" w:lastColumn="0" w:noHBand="0" w:noVBand="1"/>
      </w:tblPr>
      <w:tblGrid>
        <w:gridCol w:w="4390"/>
        <w:gridCol w:w="1086"/>
        <w:gridCol w:w="1087"/>
        <w:gridCol w:w="1087"/>
        <w:gridCol w:w="1086"/>
        <w:gridCol w:w="1087"/>
        <w:gridCol w:w="1087"/>
        <w:gridCol w:w="2268"/>
      </w:tblGrid>
      <w:tr w:rsidR="005370AD" w14:paraId="2AC59A2C" w14:textId="77777777" w:rsidTr="00241AAF">
        <w:tc>
          <w:tcPr>
            <w:tcW w:w="4390" w:type="dxa"/>
            <w:vMerge w:val="restart"/>
          </w:tcPr>
          <w:p w14:paraId="5300691A" w14:textId="77777777" w:rsidR="005370AD" w:rsidRPr="005A2A38" w:rsidRDefault="005370AD" w:rsidP="007C20D0">
            <w:pPr>
              <w:pStyle w:val="EndNoteBibliography"/>
              <w:spacing w:after="0"/>
              <w:rPr>
                <w:b/>
              </w:rPr>
            </w:pPr>
            <w:r w:rsidRPr="005A2A38">
              <w:rPr>
                <w:b/>
              </w:rPr>
              <w:t>Cellulitis prevention strategies</w:t>
            </w:r>
          </w:p>
        </w:tc>
        <w:tc>
          <w:tcPr>
            <w:tcW w:w="8788" w:type="dxa"/>
            <w:gridSpan w:val="7"/>
          </w:tcPr>
          <w:p w14:paraId="51CCFAE9" w14:textId="77777777" w:rsidR="005370AD" w:rsidRDefault="005370AD" w:rsidP="007C20D0">
            <w:pPr>
              <w:pStyle w:val="EndNoteBibliography"/>
              <w:spacing w:after="0"/>
              <w:rPr>
                <w:b/>
              </w:rPr>
            </w:pPr>
            <w:r>
              <w:rPr>
                <w:b/>
              </w:rPr>
              <w:t xml:space="preserve">                                        </w:t>
            </w:r>
            <w:r w:rsidRPr="005A2A38">
              <w:rPr>
                <w:b/>
              </w:rPr>
              <w:t>Number of participants</w:t>
            </w:r>
            <w:r>
              <w:rPr>
                <w:b/>
              </w:rPr>
              <w:t xml:space="preserve">  </w:t>
            </w:r>
          </w:p>
          <w:p w14:paraId="3FC2AF23" w14:textId="77777777" w:rsidR="005370AD" w:rsidRPr="005A2A38" w:rsidRDefault="005370AD" w:rsidP="007C20D0">
            <w:pPr>
              <w:pStyle w:val="EndNoteBibliography"/>
              <w:spacing w:after="0"/>
              <w:ind w:left="2880"/>
              <w:rPr>
                <w:b/>
              </w:rPr>
            </w:pPr>
            <w:r w:rsidRPr="005A2A38">
              <w:rPr>
                <w:b/>
              </w:rPr>
              <w:t>(%)</w:t>
            </w:r>
          </w:p>
        </w:tc>
      </w:tr>
      <w:tr w:rsidR="005370AD" w14:paraId="1A75D711" w14:textId="77777777" w:rsidTr="00241AAF">
        <w:tc>
          <w:tcPr>
            <w:tcW w:w="4390" w:type="dxa"/>
            <w:vMerge/>
          </w:tcPr>
          <w:p w14:paraId="79B85642" w14:textId="77777777" w:rsidR="005370AD" w:rsidRPr="00C01877" w:rsidRDefault="005370AD" w:rsidP="007C20D0">
            <w:pPr>
              <w:pStyle w:val="EndNoteBibliography"/>
              <w:spacing w:after="0"/>
              <w:rPr>
                <w:b/>
                <w:color w:val="0070C0"/>
              </w:rPr>
            </w:pPr>
          </w:p>
        </w:tc>
        <w:tc>
          <w:tcPr>
            <w:tcW w:w="3260" w:type="dxa"/>
            <w:gridSpan w:val="3"/>
          </w:tcPr>
          <w:p w14:paraId="2FD21EBC" w14:textId="77777777" w:rsidR="005370AD" w:rsidRPr="005A2A38" w:rsidRDefault="005370AD" w:rsidP="007C20D0">
            <w:pPr>
              <w:pStyle w:val="EndNoteBibliography"/>
              <w:spacing w:after="0"/>
              <w:jc w:val="center"/>
              <w:rPr>
                <w:b/>
              </w:rPr>
            </w:pPr>
            <w:r w:rsidRPr="005A2A38">
              <w:rPr>
                <w:b/>
              </w:rPr>
              <w:t>First episode</w:t>
            </w:r>
            <w:r>
              <w:rPr>
                <w:b/>
              </w:rPr>
              <w:t xml:space="preserve"> (n=109)</w:t>
            </w:r>
          </w:p>
        </w:tc>
        <w:tc>
          <w:tcPr>
            <w:tcW w:w="3260" w:type="dxa"/>
            <w:gridSpan w:val="3"/>
          </w:tcPr>
          <w:p w14:paraId="2AF1D669" w14:textId="77777777" w:rsidR="005370AD" w:rsidRPr="005A2A38" w:rsidRDefault="005370AD" w:rsidP="007C20D0">
            <w:pPr>
              <w:pStyle w:val="EndNoteBibliography"/>
              <w:spacing w:after="0"/>
              <w:jc w:val="center"/>
              <w:rPr>
                <w:b/>
              </w:rPr>
            </w:pPr>
            <w:r w:rsidRPr="005A2A38">
              <w:rPr>
                <w:b/>
              </w:rPr>
              <w:t>Recurrent episode</w:t>
            </w:r>
            <w:r>
              <w:rPr>
                <w:b/>
              </w:rPr>
              <w:t>s (n=130)</w:t>
            </w:r>
          </w:p>
        </w:tc>
        <w:tc>
          <w:tcPr>
            <w:tcW w:w="2268" w:type="dxa"/>
            <w:vMerge w:val="restart"/>
          </w:tcPr>
          <w:p w14:paraId="1ABB31E5" w14:textId="77777777" w:rsidR="005370AD" w:rsidRDefault="005370AD" w:rsidP="007C20D0">
            <w:pPr>
              <w:pStyle w:val="EndNoteBibliography"/>
              <w:spacing w:after="0"/>
            </w:pPr>
            <w:r>
              <w:t>Chi-squared (P-value)</w:t>
            </w:r>
          </w:p>
        </w:tc>
      </w:tr>
      <w:tr w:rsidR="005370AD" w14:paraId="798DBF66" w14:textId="77777777" w:rsidTr="00241AAF">
        <w:tc>
          <w:tcPr>
            <w:tcW w:w="4390" w:type="dxa"/>
            <w:vMerge/>
          </w:tcPr>
          <w:p w14:paraId="35C8557B" w14:textId="77777777" w:rsidR="005370AD" w:rsidRPr="00C01877" w:rsidRDefault="005370AD" w:rsidP="007C20D0">
            <w:pPr>
              <w:pStyle w:val="EndNoteBibliography"/>
              <w:spacing w:after="0"/>
              <w:rPr>
                <w:b/>
                <w:color w:val="0070C0"/>
              </w:rPr>
            </w:pPr>
          </w:p>
        </w:tc>
        <w:tc>
          <w:tcPr>
            <w:tcW w:w="1086" w:type="dxa"/>
          </w:tcPr>
          <w:p w14:paraId="61843343" w14:textId="77777777" w:rsidR="005370AD" w:rsidRDefault="005370AD" w:rsidP="007C20D0">
            <w:pPr>
              <w:pStyle w:val="EndNoteBibliography"/>
              <w:spacing w:after="0"/>
              <w:jc w:val="center"/>
            </w:pPr>
            <w:r>
              <w:t>Yes</w:t>
            </w:r>
          </w:p>
        </w:tc>
        <w:tc>
          <w:tcPr>
            <w:tcW w:w="1087" w:type="dxa"/>
          </w:tcPr>
          <w:p w14:paraId="27AF7A8A" w14:textId="77777777" w:rsidR="005370AD" w:rsidRDefault="005370AD" w:rsidP="007C20D0">
            <w:pPr>
              <w:pStyle w:val="EndNoteBibliography"/>
              <w:spacing w:after="0"/>
              <w:jc w:val="center"/>
            </w:pPr>
            <w:r>
              <w:t>No</w:t>
            </w:r>
          </w:p>
        </w:tc>
        <w:tc>
          <w:tcPr>
            <w:tcW w:w="1087" w:type="dxa"/>
          </w:tcPr>
          <w:p w14:paraId="11FCDAE0" w14:textId="77777777" w:rsidR="005370AD" w:rsidRDefault="005370AD" w:rsidP="007C20D0">
            <w:pPr>
              <w:pStyle w:val="EndNoteBibliography"/>
              <w:spacing w:after="0"/>
              <w:jc w:val="center"/>
            </w:pPr>
            <w:r>
              <w:t>Maybe</w:t>
            </w:r>
          </w:p>
        </w:tc>
        <w:tc>
          <w:tcPr>
            <w:tcW w:w="1086" w:type="dxa"/>
          </w:tcPr>
          <w:p w14:paraId="2C657594" w14:textId="77777777" w:rsidR="005370AD" w:rsidRDefault="005370AD" w:rsidP="007C20D0">
            <w:pPr>
              <w:pStyle w:val="EndNoteBibliography"/>
              <w:spacing w:after="0"/>
              <w:jc w:val="center"/>
            </w:pPr>
            <w:r>
              <w:t>Yes</w:t>
            </w:r>
          </w:p>
        </w:tc>
        <w:tc>
          <w:tcPr>
            <w:tcW w:w="1087" w:type="dxa"/>
          </w:tcPr>
          <w:p w14:paraId="4B5C7D11" w14:textId="77777777" w:rsidR="005370AD" w:rsidRDefault="005370AD" w:rsidP="007C20D0">
            <w:pPr>
              <w:pStyle w:val="EndNoteBibliography"/>
              <w:spacing w:after="0"/>
              <w:jc w:val="center"/>
            </w:pPr>
            <w:r>
              <w:t>No</w:t>
            </w:r>
          </w:p>
        </w:tc>
        <w:tc>
          <w:tcPr>
            <w:tcW w:w="1087" w:type="dxa"/>
          </w:tcPr>
          <w:p w14:paraId="3636C7E6" w14:textId="77777777" w:rsidR="005370AD" w:rsidRDefault="005370AD" w:rsidP="007C20D0">
            <w:pPr>
              <w:pStyle w:val="EndNoteBibliography"/>
              <w:spacing w:after="0"/>
              <w:jc w:val="center"/>
            </w:pPr>
            <w:r>
              <w:t>Maybe</w:t>
            </w:r>
          </w:p>
        </w:tc>
        <w:tc>
          <w:tcPr>
            <w:tcW w:w="2268" w:type="dxa"/>
            <w:vMerge/>
          </w:tcPr>
          <w:p w14:paraId="6E9F8A69" w14:textId="77777777" w:rsidR="005370AD" w:rsidRDefault="005370AD" w:rsidP="007C20D0">
            <w:pPr>
              <w:pStyle w:val="EndNoteBibliography"/>
              <w:spacing w:after="0"/>
            </w:pPr>
          </w:p>
        </w:tc>
      </w:tr>
      <w:tr w:rsidR="005370AD" w14:paraId="50800BD1" w14:textId="77777777" w:rsidTr="00241AAF">
        <w:tc>
          <w:tcPr>
            <w:tcW w:w="4390" w:type="dxa"/>
          </w:tcPr>
          <w:p w14:paraId="4DF4A391" w14:textId="77777777" w:rsidR="005370AD" w:rsidRDefault="005370AD" w:rsidP="007C20D0">
            <w:pPr>
              <w:pStyle w:val="EndNoteBibliography"/>
              <w:spacing w:after="0"/>
            </w:pPr>
            <w:r w:rsidRPr="00C01877">
              <w:rPr>
                <w:b/>
                <w:color w:val="0070C0"/>
              </w:rPr>
              <w:t>Wash and dry feet carefully every day</w:t>
            </w:r>
          </w:p>
        </w:tc>
        <w:tc>
          <w:tcPr>
            <w:tcW w:w="1086" w:type="dxa"/>
          </w:tcPr>
          <w:p w14:paraId="3D33C0BA" w14:textId="77777777" w:rsidR="005370AD" w:rsidRDefault="005370AD" w:rsidP="007C20D0">
            <w:pPr>
              <w:pStyle w:val="EndNoteBibliography"/>
              <w:spacing w:after="0"/>
              <w:jc w:val="center"/>
            </w:pPr>
            <w:r w:rsidRPr="00F20453">
              <w:t>74</w:t>
            </w:r>
            <w:r>
              <w:t>/86</w:t>
            </w:r>
            <w:r w:rsidRPr="002E0157">
              <w:rPr>
                <w:sz w:val="18"/>
                <w:szCs w:val="18"/>
              </w:rPr>
              <w:t>*</w:t>
            </w:r>
          </w:p>
          <w:p w14:paraId="05756B40" w14:textId="77777777" w:rsidR="005370AD" w:rsidRPr="0061456F" w:rsidRDefault="005370AD" w:rsidP="007C20D0">
            <w:pPr>
              <w:pStyle w:val="EndNoteBibliography"/>
              <w:spacing w:after="0"/>
              <w:jc w:val="center"/>
            </w:pPr>
            <w:r w:rsidRPr="0061456F">
              <w:t>(86)</w:t>
            </w:r>
          </w:p>
        </w:tc>
        <w:tc>
          <w:tcPr>
            <w:tcW w:w="1087" w:type="dxa"/>
          </w:tcPr>
          <w:p w14:paraId="04A03B43" w14:textId="77777777" w:rsidR="005370AD" w:rsidRDefault="005370AD" w:rsidP="007C20D0">
            <w:pPr>
              <w:pStyle w:val="EndNoteBibliography"/>
              <w:spacing w:after="0"/>
              <w:jc w:val="center"/>
            </w:pPr>
            <w:r w:rsidRPr="00F20453">
              <w:t>2</w:t>
            </w:r>
            <w:r>
              <w:t>/86</w:t>
            </w:r>
          </w:p>
          <w:p w14:paraId="120E37FC" w14:textId="77777777" w:rsidR="005370AD" w:rsidRPr="00F20453" w:rsidRDefault="005370AD" w:rsidP="007C20D0">
            <w:pPr>
              <w:pStyle w:val="EndNoteBibliography"/>
              <w:spacing w:after="0"/>
              <w:jc w:val="center"/>
            </w:pPr>
            <w:r w:rsidRPr="00F20453">
              <w:t>(2)</w:t>
            </w:r>
          </w:p>
        </w:tc>
        <w:tc>
          <w:tcPr>
            <w:tcW w:w="1087" w:type="dxa"/>
          </w:tcPr>
          <w:p w14:paraId="46866C54" w14:textId="77777777" w:rsidR="005370AD" w:rsidRDefault="005370AD" w:rsidP="007C20D0">
            <w:pPr>
              <w:pStyle w:val="EndNoteBibliography"/>
              <w:spacing w:after="0"/>
              <w:jc w:val="center"/>
            </w:pPr>
            <w:r>
              <w:t>10/86 (12)</w:t>
            </w:r>
          </w:p>
        </w:tc>
        <w:tc>
          <w:tcPr>
            <w:tcW w:w="1086" w:type="dxa"/>
          </w:tcPr>
          <w:p w14:paraId="2DF6ABAF" w14:textId="77777777" w:rsidR="005370AD" w:rsidRPr="00F20453" w:rsidRDefault="005370AD" w:rsidP="007C20D0">
            <w:pPr>
              <w:pStyle w:val="EndNoteBibliography"/>
              <w:spacing w:after="0"/>
              <w:jc w:val="center"/>
            </w:pPr>
            <w:r w:rsidRPr="00F20453">
              <w:t>105</w:t>
            </w:r>
            <w:r>
              <w:t>/113 (93</w:t>
            </w:r>
            <w:r w:rsidRPr="00F20453">
              <w:t>)</w:t>
            </w:r>
          </w:p>
        </w:tc>
        <w:tc>
          <w:tcPr>
            <w:tcW w:w="1087" w:type="dxa"/>
          </w:tcPr>
          <w:p w14:paraId="6B2511E4" w14:textId="77777777" w:rsidR="005370AD" w:rsidRDefault="005370AD" w:rsidP="007C20D0">
            <w:pPr>
              <w:pStyle w:val="EndNoteBibliography"/>
              <w:spacing w:after="0"/>
              <w:jc w:val="center"/>
            </w:pPr>
            <w:r>
              <w:t>2/113</w:t>
            </w:r>
          </w:p>
          <w:p w14:paraId="082C5650" w14:textId="77777777" w:rsidR="005370AD" w:rsidRDefault="005370AD" w:rsidP="007C20D0">
            <w:pPr>
              <w:pStyle w:val="EndNoteBibliography"/>
              <w:spacing w:after="0"/>
              <w:jc w:val="center"/>
            </w:pPr>
            <w:r>
              <w:t>(2)</w:t>
            </w:r>
          </w:p>
        </w:tc>
        <w:tc>
          <w:tcPr>
            <w:tcW w:w="1087" w:type="dxa"/>
          </w:tcPr>
          <w:p w14:paraId="27F7DF8E" w14:textId="77777777" w:rsidR="005370AD" w:rsidRDefault="005370AD" w:rsidP="007C20D0">
            <w:pPr>
              <w:pStyle w:val="EndNoteBibliography"/>
              <w:spacing w:after="0"/>
              <w:jc w:val="center"/>
            </w:pPr>
            <w:r>
              <w:t>6/113</w:t>
            </w:r>
          </w:p>
          <w:p w14:paraId="6B480FAB" w14:textId="77777777" w:rsidR="005370AD" w:rsidRDefault="005370AD" w:rsidP="007C20D0">
            <w:pPr>
              <w:pStyle w:val="EndNoteBibliography"/>
              <w:spacing w:after="0"/>
              <w:jc w:val="center"/>
            </w:pPr>
            <w:r>
              <w:t>(5)</w:t>
            </w:r>
          </w:p>
        </w:tc>
        <w:tc>
          <w:tcPr>
            <w:tcW w:w="2268" w:type="dxa"/>
          </w:tcPr>
          <w:p w14:paraId="468DFF18" w14:textId="77777777" w:rsidR="005370AD" w:rsidRDefault="005370AD" w:rsidP="007C20D0">
            <w:pPr>
              <w:pStyle w:val="EndNoteBibliography"/>
              <w:spacing w:after="0"/>
            </w:pPr>
            <w:r>
              <w:t>2.756; p &lt; 0.252</w:t>
            </w:r>
          </w:p>
        </w:tc>
      </w:tr>
      <w:tr w:rsidR="005370AD" w14:paraId="76E49E82" w14:textId="77777777" w:rsidTr="00241AAF">
        <w:tc>
          <w:tcPr>
            <w:tcW w:w="4390" w:type="dxa"/>
          </w:tcPr>
          <w:p w14:paraId="5B52316F" w14:textId="77777777" w:rsidR="005370AD" w:rsidRDefault="005370AD" w:rsidP="007C20D0">
            <w:pPr>
              <w:pStyle w:val="EndNoteBibliography"/>
              <w:spacing w:after="0"/>
            </w:pPr>
            <w:r w:rsidRPr="00C01877">
              <w:rPr>
                <w:b/>
                <w:color w:val="0070C0"/>
              </w:rPr>
              <w:t>Apply cream to feet once a day</w:t>
            </w:r>
          </w:p>
        </w:tc>
        <w:tc>
          <w:tcPr>
            <w:tcW w:w="1086" w:type="dxa"/>
          </w:tcPr>
          <w:p w14:paraId="7B3F475D" w14:textId="77777777" w:rsidR="005370AD" w:rsidRPr="00F20453" w:rsidRDefault="005370AD" w:rsidP="007C20D0">
            <w:pPr>
              <w:pStyle w:val="EndNoteBibliography"/>
              <w:spacing w:after="0"/>
              <w:jc w:val="center"/>
            </w:pPr>
            <w:r w:rsidRPr="00F20453">
              <w:t>67</w:t>
            </w:r>
            <w:r>
              <w:t>/83 (8</w:t>
            </w:r>
            <w:r w:rsidRPr="00F20453">
              <w:t>1)</w:t>
            </w:r>
          </w:p>
        </w:tc>
        <w:tc>
          <w:tcPr>
            <w:tcW w:w="1087" w:type="dxa"/>
          </w:tcPr>
          <w:p w14:paraId="45A1A509" w14:textId="77777777" w:rsidR="005370AD" w:rsidRDefault="005370AD" w:rsidP="007C20D0">
            <w:pPr>
              <w:pStyle w:val="EndNoteBibliography"/>
              <w:spacing w:after="0"/>
              <w:jc w:val="center"/>
            </w:pPr>
            <w:r w:rsidRPr="00F20453">
              <w:t>5</w:t>
            </w:r>
            <w:r>
              <w:t>/83</w:t>
            </w:r>
          </w:p>
          <w:p w14:paraId="6545139F" w14:textId="77777777" w:rsidR="005370AD" w:rsidRPr="00F20453" w:rsidRDefault="005370AD" w:rsidP="007C20D0">
            <w:pPr>
              <w:pStyle w:val="EndNoteBibliography"/>
              <w:spacing w:after="0"/>
              <w:jc w:val="center"/>
            </w:pPr>
            <w:r w:rsidRPr="00F20453">
              <w:t>(</w:t>
            </w:r>
            <w:r>
              <w:t>6</w:t>
            </w:r>
            <w:r w:rsidRPr="00F20453">
              <w:t>)</w:t>
            </w:r>
          </w:p>
        </w:tc>
        <w:tc>
          <w:tcPr>
            <w:tcW w:w="1087" w:type="dxa"/>
          </w:tcPr>
          <w:p w14:paraId="260EB44C" w14:textId="77777777" w:rsidR="005370AD" w:rsidRDefault="005370AD" w:rsidP="007C20D0">
            <w:pPr>
              <w:pStyle w:val="EndNoteBibliography"/>
              <w:spacing w:after="0"/>
              <w:jc w:val="center"/>
            </w:pPr>
            <w:r>
              <w:t>11/83 (13)</w:t>
            </w:r>
          </w:p>
        </w:tc>
        <w:tc>
          <w:tcPr>
            <w:tcW w:w="1086" w:type="dxa"/>
          </w:tcPr>
          <w:p w14:paraId="1D2792EA" w14:textId="77777777" w:rsidR="005370AD" w:rsidRPr="00F20453" w:rsidRDefault="005370AD" w:rsidP="007C20D0">
            <w:pPr>
              <w:pStyle w:val="EndNoteBibliography"/>
              <w:spacing w:after="0"/>
              <w:jc w:val="center"/>
            </w:pPr>
            <w:r w:rsidRPr="00F20453">
              <w:t>100</w:t>
            </w:r>
            <w:r>
              <w:t>/109 (92</w:t>
            </w:r>
            <w:r w:rsidRPr="00F20453">
              <w:t>)</w:t>
            </w:r>
          </w:p>
        </w:tc>
        <w:tc>
          <w:tcPr>
            <w:tcW w:w="1087" w:type="dxa"/>
          </w:tcPr>
          <w:p w14:paraId="123BE38B" w14:textId="77777777" w:rsidR="005370AD" w:rsidRDefault="005370AD" w:rsidP="007C20D0">
            <w:pPr>
              <w:pStyle w:val="EndNoteBibliography"/>
              <w:spacing w:after="0"/>
              <w:jc w:val="center"/>
            </w:pPr>
            <w:r>
              <w:t>2/109</w:t>
            </w:r>
          </w:p>
          <w:p w14:paraId="1E94F861" w14:textId="77777777" w:rsidR="005370AD" w:rsidRDefault="005370AD" w:rsidP="007C20D0">
            <w:pPr>
              <w:pStyle w:val="EndNoteBibliography"/>
              <w:spacing w:after="0"/>
              <w:jc w:val="center"/>
            </w:pPr>
            <w:r>
              <w:t>(2)</w:t>
            </w:r>
          </w:p>
        </w:tc>
        <w:tc>
          <w:tcPr>
            <w:tcW w:w="1087" w:type="dxa"/>
          </w:tcPr>
          <w:p w14:paraId="54097382" w14:textId="77777777" w:rsidR="005370AD" w:rsidRDefault="005370AD" w:rsidP="007C20D0">
            <w:pPr>
              <w:pStyle w:val="EndNoteBibliography"/>
              <w:spacing w:after="0"/>
              <w:jc w:val="center"/>
            </w:pPr>
            <w:r>
              <w:t>7/109</w:t>
            </w:r>
          </w:p>
          <w:p w14:paraId="09A12D01" w14:textId="77777777" w:rsidR="005370AD" w:rsidRDefault="005370AD" w:rsidP="007C20D0">
            <w:pPr>
              <w:pStyle w:val="EndNoteBibliography"/>
              <w:spacing w:after="0"/>
              <w:jc w:val="center"/>
            </w:pPr>
            <w:r>
              <w:t>(6)</w:t>
            </w:r>
          </w:p>
        </w:tc>
        <w:tc>
          <w:tcPr>
            <w:tcW w:w="2268" w:type="dxa"/>
          </w:tcPr>
          <w:p w14:paraId="07482CA0" w14:textId="77777777" w:rsidR="005370AD" w:rsidRDefault="005370AD" w:rsidP="007C20D0">
            <w:pPr>
              <w:pStyle w:val="EndNoteBibliography"/>
              <w:spacing w:after="0"/>
            </w:pPr>
            <w:r>
              <w:t>5.271; P &lt; 0.072</w:t>
            </w:r>
          </w:p>
        </w:tc>
      </w:tr>
      <w:tr w:rsidR="005370AD" w14:paraId="22A3B85C" w14:textId="77777777" w:rsidTr="00241AAF">
        <w:tc>
          <w:tcPr>
            <w:tcW w:w="4390" w:type="dxa"/>
          </w:tcPr>
          <w:p w14:paraId="3BA1DDC2" w14:textId="77777777" w:rsidR="005370AD" w:rsidRDefault="005370AD" w:rsidP="007C20D0">
            <w:pPr>
              <w:pStyle w:val="EndNoteBibliography"/>
              <w:spacing w:after="0"/>
            </w:pPr>
            <w:r w:rsidRPr="00C01877">
              <w:rPr>
                <w:b/>
                <w:color w:val="0070C0"/>
              </w:rPr>
              <w:t>Apply cream to feet twice a day</w:t>
            </w:r>
          </w:p>
        </w:tc>
        <w:tc>
          <w:tcPr>
            <w:tcW w:w="1086" w:type="dxa"/>
          </w:tcPr>
          <w:p w14:paraId="4BC5311F" w14:textId="77777777" w:rsidR="005370AD" w:rsidRPr="00F20453" w:rsidRDefault="005370AD" w:rsidP="007C20D0">
            <w:pPr>
              <w:pStyle w:val="EndNoteBibliography"/>
              <w:spacing w:after="0"/>
              <w:jc w:val="center"/>
            </w:pPr>
            <w:r w:rsidRPr="00F20453">
              <w:t>45</w:t>
            </w:r>
            <w:r>
              <w:t>/78</w:t>
            </w:r>
            <w:r w:rsidRPr="00F20453">
              <w:t xml:space="preserve"> (</w:t>
            </w:r>
            <w:r>
              <w:t>58</w:t>
            </w:r>
            <w:r w:rsidRPr="00F20453">
              <w:t>)</w:t>
            </w:r>
          </w:p>
        </w:tc>
        <w:tc>
          <w:tcPr>
            <w:tcW w:w="1087" w:type="dxa"/>
          </w:tcPr>
          <w:p w14:paraId="66FA3D56" w14:textId="77777777" w:rsidR="005370AD" w:rsidRPr="00F20453" w:rsidRDefault="005370AD" w:rsidP="007C20D0">
            <w:pPr>
              <w:pStyle w:val="EndNoteBibliography"/>
              <w:spacing w:after="0"/>
              <w:jc w:val="center"/>
            </w:pPr>
            <w:r w:rsidRPr="00F20453">
              <w:t>13</w:t>
            </w:r>
            <w:r>
              <w:t>/78</w:t>
            </w:r>
            <w:r w:rsidRPr="00F20453">
              <w:t xml:space="preserve"> (1</w:t>
            </w:r>
            <w:r>
              <w:t>7</w:t>
            </w:r>
            <w:r w:rsidRPr="00F20453">
              <w:t>)</w:t>
            </w:r>
          </w:p>
        </w:tc>
        <w:tc>
          <w:tcPr>
            <w:tcW w:w="1087" w:type="dxa"/>
          </w:tcPr>
          <w:p w14:paraId="29100C99" w14:textId="77777777" w:rsidR="005370AD" w:rsidRDefault="005370AD" w:rsidP="007C20D0">
            <w:pPr>
              <w:pStyle w:val="EndNoteBibliography"/>
              <w:spacing w:after="0"/>
              <w:jc w:val="center"/>
            </w:pPr>
            <w:r>
              <w:t>20/78 (25)</w:t>
            </w:r>
          </w:p>
        </w:tc>
        <w:tc>
          <w:tcPr>
            <w:tcW w:w="1086" w:type="dxa"/>
          </w:tcPr>
          <w:p w14:paraId="67C002D3" w14:textId="77777777" w:rsidR="005370AD" w:rsidRPr="00F20453" w:rsidRDefault="005370AD" w:rsidP="007C20D0">
            <w:pPr>
              <w:pStyle w:val="EndNoteBibliography"/>
              <w:spacing w:after="0"/>
              <w:jc w:val="center"/>
            </w:pPr>
            <w:r w:rsidRPr="00F20453">
              <w:t>65</w:t>
            </w:r>
            <w:r>
              <w:t>/94</w:t>
            </w:r>
            <w:r w:rsidRPr="00F20453">
              <w:t xml:space="preserve"> (</w:t>
            </w:r>
            <w:r>
              <w:t>69</w:t>
            </w:r>
            <w:r w:rsidRPr="00F20453">
              <w:t>)</w:t>
            </w:r>
          </w:p>
        </w:tc>
        <w:tc>
          <w:tcPr>
            <w:tcW w:w="1087" w:type="dxa"/>
          </w:tcPr>
          <w:p w14:paraId="4C39502A" w14:textId="77777777" w:rsidR="005370AD" w:rsidRDefault="005370AD" w:rsidP="007C20D0">
            <w:pPr>
              <w:pStyle w:val="EndNoteBibliography"/>
              <w:spacing w:after="0"/>
              <w:jc w:val="center"/>
            </w:pPr>
            <w:r>
              <w:t>13/94 (14)</w:t>
            </w:r>
          </w:p>
        </w:tc>
        <w:tc>
          <w:tcPr>
            <w:tcW w:w="1087" w:type="dxa"/>
          </w:tcPr>
          <w:p w14:paraId="4DC52A3B" w14:textId="77777777" w:rsidR="005370AD" w:rsidRDefault="005370AD" w:rsidP="007C20D0">
            <w:pPr>
              <w:pStyle w:val="EndNoteBibliography"/>
              <w:spacing w:after="0"/>
              <w:jc w:val="center"/>
            </w:pPr>
            <w:r>
              <w:t>16/94 (17)</w:t>
            </w:r>
          </w:p>
        </w:tc>
        <w:tc>
          <w:tcPr>
            <w:tcW w:w="2268" w:type="dxa"/>
          </w:tcPr>
          <w:p w14:paraId="1FF20482" w14:textId="77777777" w:rsidR="005370AD" w:rsidRDefault="005370AD" w:rsidP="007C20D0">
            <w:pPr>
              <w:pStyle w:val="EndNoteBibliography"/>
              <w:spacing w:after="0"/>
            </w:pPr>
            <w:r>
              <w:t>2.615; P &lt; 0.270</w:t>
            </w:r>
          </w:p>
        </w:tc>
      </w:tr>
      <w:tr w:rsidR="005370AD" w14:paraId="716F212C" w14:textId="77777777" w:rsidTr="00241AAF">
        <w:tc>
          <w:tcPr>
            <w:tcW w:w="4390" w:type="dxa"/>
          </w:tcPr>
          <w:p w14:paraId="7DE45FAF" w14:textId="77777777" w:rsidR="005370AD" w:rsidRDefault="005370AD" w:rsidP="007C20D0">
            <w:pPr>
              <w:pStyle w:val="EndNoteBibliography"/>
              <w:spacing w:after="0"/>
            </w:pPr>
            <w:r w:rsidRPr="00C01877">
              <w:rPr>
                <w:b/>
                <w:color w:val="0070C0"/>
              </w:rPr>
              <w:t>Take antibiotics by mouth every day</w:t>
            </w:r>
          </w:p>
        </w:tc>
        <w:tc>
          <w:tcPr>
            <w:tcW w:w="1086" w:type="dxa"/>
          </w:tcPr>
          <w:p w14:paraId="3D37BA9B" w14:textId="77777777" w:rsidR="005370AD" w:rsidRPr="00F20453" w:rsidRDefault="005370AD" w:rsidP="007C20D0">
            <w:pPr>
              <w:pStyle w:val="EndNoteBibliography"/>
              <w:spacing w:after="0"/>
              <w:jc w:val="center"/>
            </w:pPr>
            <w:r w:rsidRPr="00F20453">
              <w:t>21</w:t>
            </w:r>
            <w:r>
              <w:t>/79 (27</w:t>
            </w:r>
            <w:r w:rsidRPr="00F20453">
              <w:t>)</w:t>
            </w:r>
          </w:p>
        </w:tc>
        <w:tc>
          <w:tcPr>
            <w:tcW w:w="1087" w:type="dxa"/>
          </w:tcPr>
          <w:p w14:paraId="1DFE93DE" w14:textId="77777777" w:rsidR="005370AD" w:rsidRPr="00F20453" w:rsidRDefault="005370AD" w:rsidP="007C20D0">
            <w:pPr>
              <w:pStyle w:val="EndNoteBibliography"/>
              <w:spacing w:after="0"/>
              <w:jc w:val="center"/>
            </w:pPr>
            <w:r w:rsidRPr="00F20453">
              <w:t>38</w:t>
            </w:r>
            <w:r>
              <w:t>/79</w:t>
            </w:r>
            <w:r w:rsidRPr="00F20453">
              <w:t xml:space="preserve"> (</w:t>
            </w:r>
            <w:r>
              <w:t>48</w:t>
            </w:r>
            <w:r w:rsidRPr="00F20453">
              <w:t>)</w:t>
            </w:r>
          </w:p>
        </w:tc>
        <w:tc>
          <w:tcPr>
            <w:tcW w:w="1087" w:type="dxa"/>
          </w:tcPr>
          <w:p w14:paraId="4A7B7108" w14:textId="77777777" w:rsidR="005370AD" w:rsidRDefault="005370AD" w:rsidP="007C20D0">
            <w:pPr>
              <w:pStyle w:val="EndNoteBibliography"/>
              <w:spacing w:after="0"/>
              <w:jc w:val="center"/>
            </w:pPr>
            <w:r>
              <w:t>20/79</w:t>
            </w:r>
          </w:p>
          <w:p w14:paraId="7CAC2162" w14:textId="77777777" w:rsidR="005370AD" w:rsidRDefault="005370AD" w:rsidP="007C20D0">
            <w:pPr>
              <w:pStyle w:val="EndNoteBibliography"/>
              <w:spacing w:after="0"/>
              <w:jc w:val="center"/>
            </w:pPr>
            <w:r>
              <w:t>(25)</w:t>
            </w:r>
          </w:p>
        </w:tc>
        <w:tc>
          <w:tcPr>
            <w:tcW w:w="1086" w:type="dxa"/>
          </w:tcPr>
          <w:p w14:paraId="7289B8DD" w14:textId="77777777" w:rsidR="005370AD" w:rsidRPr="00F20453" w:rsidRDefault="005370AD" w:rsidP="007C20D0">
            <w:pPr>
              <w:pStyle w:val="EndNoteBibliography"/>
              <w:spacing w:after="0"/>
              <w:jc w:val="center"/>
            </w:pPr>
            <w:r w:rsidRPr="00F20453">
              <w:t>52</w:t>
            </w:r>
            <w:r>
              <w:t>/110 (47</w:t>
            </w:r>
            <w:r w:rsidRPr="00F20453">
              <w:t>)</w:t>
            </w:r>
          </w:p>
        </w:tc>
        <w:tc>
          <w:tcPr>
            <w:tcW w:w="1087" w:type="dxa"/>
          </w:tcPr>
          <w:p w14:paraId="2885F7B0" w14:textId="77777777" w:rsidR="005370AD" w:rsidRDefault="005370AD" w:rsidP="007C20D0">
            <w:pPr>
              <w:pStyle w:val="EndNoteBibliography"/>
              <w:spacing w:after="0"/>
              <w:jc w:val="center"/>
            </w:pPr>
            <w:r>
              <w:t>30/110 (27)</w:t>
            </w:r>
          </w:p>
        </w:tc>
        <w:tc>
          <w:tcPr>
            <w:tcW w:w="1087" w:type="dxa"/>
          </w:tcPr>
          <w:p w14:paraId="367BE917" w14:textId="77777777" w:rsidR="005370AD" w:rsidRDefault="005370AD" w:rsidP="007C20D0">
            <w:pPr>
              <w:pStyle w:val="EndNoteBibliography"/>
              <w:spacing w:after="0"/>
              <w:jc w:val="center"/>
            </w:pPr>
            <w:r>
              <w:t>28/110 (26)</w:t>
            </w:r>
          </w:p>
        </w:tc>
        <w:tc>
          <w:tcPr>
            <w:tcW w:w="2268" w:type="dxa"/>
          </w:tcPr>
          <w:p w14:paraId="4AA9DC24" w14:textId="77777777" w:rsidR="005370AD" w:rsidRPr="00FB7A0D" w:rsidRDefault="005370AD" w:rsidP="007C20D0">
            <w:pPr>
              <w:pStyle w:val="EndNoteBibliography"/>
              <w:spacing w:after="0"/>
              <w:rPr>
                <w:b/>
              </w:rPr>
            </w:pPr>
            <w:r w:rsidRPr="00FB7A0D">
              <w:rPr>
                <w:b/>
              </w:rPr>
              <w:t>10.640; P</w:t>
            </w:r>
            <w:r>
              <w:rPr>
                <w:b/>
              </w:rPr>
              <w:t xml:space="preserve"> </w:t>
            </w:r>
            <w:r w:rsidRPr="00FB7A0D">
              <w:rPr>
                <w:b/>
              </w:rPr>
              <w:t>&lt;0.005</w:t>
            </w:r>
          </w:p>
        </w:tc>
      </w:tr>
      <w:tr w:rsidR="005370AD" w14:paraId="389CFBB2" w14:textId="77777777" w:rsidTr="00241AAF">
        <w:tc>
          <w:tcPr>
            <w:tcW w:w="4390" w:type="dxa"/>
          </w:tcPr>
          <w:p w14:paraId="4F589BDB" w14:textId="77777777" w:rsidR="005370AD" w:rsidRDefault="005370AD" w:rsidP="007C20D0">
            <w:pPr>
              <w:pStyle w:val="EndNoteBibliography"/>
              <w:spacing w:after="0"/>
            </w:pPr>
            <w:r w:rsidRPr="00C01877">
              <w:rPr>
                <w:b/>
                <w:color w:val="0070C0"/>
              </w:rPr>
              <w:t>Wear compression stockings every day</w:t>
            </w:r>
          </w:p>
        </w:tc>
        <w:tc>
          <w:tcPr>
            <w:tcW w:w="1086" w:type="dxa"/>
          </w:tcPr>
          <w:p w14:paraId="155FF89A" w14:textId="77777777" w:rsidR="005370AD" w:rsidRPr="00F20453" w:rsidRDefault="005370AD" w:rsidP="007C20D0">
            <w:pPr>
              <w:pStyle w:val="EndNoteBibliography"/>
              <w:spacing w:after="0"/>
              <w:jc w:val="center"/>
            </w:pPr>
            <w:r w:rsidRPr="00F20453">
              <w:t>30</w:t>
            </w:r>
            <w:r>
              <w:t>/82</w:t>
            </w:r>
            <w:r w:rsidRPr="00F20453">
              <w:t xml:space="preserve"> (</w:t>
            </w:r>
            <w:r>
              <w:t>37</w:t>
            </w:r>
            <w:r w:rsidRPr="00F20453">
              <w:t>)</w:t>
            </w:r>
          </w:p>
        </w:tc>
        <w:tc>
          <w:tcPr>
            <w:tcW w:w="1087" w:type="dxa"/>
          </w:tcPr>
          <w:p w14:paraId="1DD0EFD5" w14:textId="77777777" w:rsidR="005370AD" w:rsidRPr="00F20453" w:rsidRDefault="005370AD" w:rsidP="007C20D0">
            <w:pPr>
              <w:pStyle w:val="EndNoteBibliography"/>
              <w:spacing w:after="0"/>
              <w:jc w:val="center"/>
            </w:pPr>
            <w:r w:rsidRPr="00F20453">
              <w:t>32</w:t>
            </w:r>
            <w:r>
              <w:t>/82 (3</w:t>
            </w:r>
            <w:r w:rsidRPr="00F20453">
              <w:t>9)</w:t>
            </w:r>
          </w:p>
        </w:tc>
        <w:tc>
          <w:tcPr>
            <w:tcW w:w="1087" w:type="dxa"/>
          </w:tcPr>
          <w:p w14:paraId="738D8795" w14:textId="77777777" w:rsidR="005370AD" w:rsidRDefault="005370AD" w:rsidP="007C20D0">
            <w:pPr>
              <w:pStyle w:val="EndNoteBibliography"/>
              <w:spacing w:after="0"/>
              <w:jc w:val="center"/>
            </w:pPr>
            <w:r>
              <w:t>20/82 (24)</w:t>
            </w:r>
          </w:p>
        </w:tc>
        <w:tc>
          <w:tcPr>
            <w:tcW w:w="1086" w:type="dxa"/>
          </w:tcPr>
          <w:p w14:paraId="17974ABB" w14:textId="77777777" w:rsidR="005370AD" w:rsidRPr="00F20453" w:rsidRDefault="005370AD" w:rsidP="007C20D0">
            <w:pPr>
              <w:pStyle w:val="EndNoteBibliography"/>
              <w:spacing w:after="0"/>
              <w:jc w:val="center"/>
            </w:pPr>
            <w:r w:rsidRPr="00F20453">
              <w:t>53</w:t>
            </w:r>
            <w:r>
              <w:t>/113</w:t>
            </w:r>
            <w:r w:rsidRPr="00F20453">
              <w:t xml:space="preserve"> (4</w:t>
            </w:r>
            <w:r>
              <w:t>7</w:t>
            </w:r>
            <w:r w:rsidRPr="00F20453">
              <w:t>)</w:t>
            </w:r>
          </w:p>
        </w:tc>
        <w:tc>
          <w:tcPr>
            <w:tcW w:w="1087" w:type="dxa"/>
          </w:tcPr>
          <w:p w14:paraId="221A951E" w14:textId="77777777" w:rsidR="005370AD" w:rsidRDefault="005370AD" w:rsidP="007C20D0">
            <w:pPr>
              <w:pStyle w:val="EndNoteBibliography"/>
              <w:spacing w:after="0"/>
              <w:jc w:val="center"/>
            </w:pPr>
            <w:r>
              <w:t>34/113 (30)</w:t>
            </w:r>
          </w:p>
        </w:tc>
        <w:tc>
          <w:tcPr>
            <w:tcW w:w="1087" w:type="dxa"/>
          </w:tcPr>
          <w:p w14:paraId="70D767AD" w14:textId="77777777" w:rsidR="005370AD" w:rsidRDefault="005370AD" w:rsidP="007C20D0">
            <w:pPr>
              <w:pStyle w:val="EndNoteBibliography"/>
              <w:spacing w:after="0"/>
              <w:jc w:val="center"/>
            </w:pPr>
            <w:r>
              <w:t>26/113 (23)</w:t>
            </w:r>
          </w:p>
        </w:tc>
        <w:tc>
          <w:tcPr>
            <w:tcW w:w="2268" w:type="dxa"/>
          </w:tcPr>
          <w:p w14:paraId="12B15881" w14:textId="77777777" w:rsidR="005370AD" w:rsidRDefault="005370AD" w:rsidP="007C20D0">
            <w:pPr>
              <w:pStyle w:val="EndNoteBibliography"/>
              <w:spacing w:after="0"/>
            </w:pPr>
            <w:r>
              <w:t>2.348; p &lt; 0.309</w:t>
            </w:r>
          </w:p>
        </w:tc>
      </w:tr>
      <w:tr w:rsidR="005370AD" w14:paraId="4337A4BE" w14:textId="77777777" w:rsidTr="00241AAF">
        <w:tc>
          <w:tcPr>
            <w:tcW w:w="4390" w:type="dxa"/>
          </w:tcPr>
          <w:p w14:paraId="7970A34B" w14:textId="77777777" w:rsidR="005370AD" w:rsidRPr="00C01877" w:rsidRDefault="005370AD" w:rsidP="007C20D0">
            <w:pPr>
              <w:spacing w:after="0" w:line="240" w:lineRule="auto"/>
              <w:rPr>
                <w:b/>
              </w:rPr>
            </w:pPr>
            <w:r w:rsidRPr="00C01877">
              <w:rPr>
                <w:b/>
                <w:color w:val="0070C0"/>
              </w:rPr>
              <w:t>Increase physical activity</w:t>
            </w:r>
          </w:p>
        </w:tc>
        <w:tc>
          <w:tcPr>
            <w:tcW w:w="1086" w:type="dxa"/>
          </w:tcPr>
          <w:p w14:paraId="713566F5" w14:textId="77777777" w:rsidR="005370AD" w:rsidRPr="00F20453" w:rsidRDefault="005370AD" w:rsidP="007C20D0">
            <w:pPr>
              <w:pStyle w:val="EndNoteBibliography"/>
              <w:spacing w:after="0"/>
              <w:jc w:val="center"/>
            </w:pPr>
            <w:r w:rsidRPr="00F20453">
              <w:t>63</w:t>
            </w:r>
            <w:r>
              <w:t>/88</w:t>
            </w:r>
            <w:r w:rsidRPr="00F20453">
              <w:t xml:space="preserve"> (</w:t>
            </w:r>
            <w:r>
              <w:t>72</w:t>
            </w:r>
            <w:r w:rsidRPr="00F20453">
              <w:t>)</w:t>
            </w:r>
          </w:p>
        </w:tc>
        <w:tc>
          <w:tcPr>
            <w:tcW w:w="1087" w:type="dxa"/>
          </w:tcPr>
          <w:p w14:paraId="28BBC8CE" w14:textId="77777777" w:rsidR="005370AD" w:rsidRPr="00F20453" w:rsidRDefault="005370AD" w:rsidP="007C20D0">
            <w:pPr>
              <w:pStyle w:val="EndNoteBibliography"/>
              <w:spacing w:after="0"/>
              <w:jc w:val="center"/>
            </w:pPr>
            <w:r w:rsidRPr="00F20453">
              <w:t>11</w:t>
            </w:r>
            <w:r>
              <w:t>/88 (12</w:t>
            </w:r>
            <w:r w:rsidRPr="00F20453">
              <w:t>)</w:t>
            </w:r>
          </w:p>
        </w:tc>
        <w:tc>
          <w:tcPr>
            <w:tcW w:w="1087" w:type="dxa"/>
          </w:tcPr>
          <w:p w14:paraId="47134DCB" w14:textId="77777777" w:rsidR="005370AD" w:rsidRDefault="005370AD" w:rsidP="007C20D0">
            <w:pPr>
              <w:pStyle w:val="EndNoteBibliography"/>
              <w:spacing w:after="0"/>
              <w:jc w:val="center"/>
            </w:pPr>
            <w:r>
              <w:t>14/88 (16)</w:t>
            </w:r>
          </w:p>
        </w:tc>
        <w:tc>
          <w:tcPr>
            <w:tcW w:w="1086" w:type="dxa"/>
          </w:tcPr>
          <w:p w14:paraId="4A9C3F1C" w14:textId="77777777" w:rsidR="005370AD" w:rsidRPr="00F20453" w:rsidRDefault="005370AD" w:rsidP="007C20D0">
            <w:pPr>
              <w:pStyle w:val="EndNoteBibliography"/>
              <w:spacing w:after="0"/>
              <w:jc w:val="center"/>
            </w:pPr>
            <w:r w:rsidRPr="00F20453">
              <w:t>60</w:t>
            </w:r>
            <w:r>
              <w:t>/105</w:t>
            </w:r>
            <w:r w:rsidRPr="00F20453">
              <w:t xml:space="preserve"> (</w:t>
            </w:r>
            <w:r>
              <w:t>57</w:t>
            </w:r>
            <w:r w:rsidRPr="00F20453">
              <w:t>)</w:t>
            </w:r>
          </w:p>
        </w:tc>
        <w:tc>
          <w:tcPr>
            <w:tcW w:w="1087" w:type="dxa"/>
          </w:tcPr>
          <w:p w14:paraId="672DF142" w14:textId="77777777" w:rsidR="005370AD" w:rsidRDefault="005370AD" w:rsidP="007C20D0">
            <w:pPr>
              <w:pStyle w:val="EndNoteBibliography"/>
              <w:spacing w:after="0"/>
              <w:jc w:val="center"/>
            </w:pPr>
            <w:r>
              <w:t>20/105 (19)</w:t>
            </w:r>
          </w:p>
        </w:tc>
        <w:tc>
          <w:tcPr>
            <w:tcW w:w="1087" w:type="dxa"/>
          </w:tcPr>
          <w:p w14:paraId="688D53E1" w14:textId="77777777" w:rsidR="005370AD" w:rsidRDefault="005370AD" w:rsidP="007C20D0">
            <w:pPr>
              <w:pStyle w:val="EndNoteBibliography"/>
              <w:spacing w:after="0"/>
              <w:jc w:val="center"/>
            </w:pPr>
            <w:r>
              <w:t>25/105 (24)</w:t>
            </w:r>
          </w:p>
        </w:tc>
        <w:tc>
          <w:tcPr>
            <w:tcW w:w="2268" w:type="dxa"/>
          </w:tcPr>
          <w:p w14:paraId="10D7D5F4" w14:textId="77777777" w:rsidR="005370AD" w:rsidRDefault="005370AD" w:rsidP="007C20D0">
            <w:pPr>
              <w:pStyle w:val="EndNoteBibliography"/>
              <w:spacing w:after="0"/>
            </w:pPr>
            <w:r>
              <w:t>4.325; P &lt; 0.115</w:t>
            </w:r>
          </w:p>
        </w:tc>
      </w:tr>
      <w:tr w:rsidR="005370AD" w14:paraId="73D2C618" w14:textId="77777777" w:rsidTr="00241AAF">
        <w:tc>
          <w:tcPr>
            <w:tcW w:w="4390" w:type="dxa"/>
          </w:tcPr>
          <w:p w14:paraId="48B7E237" w14:textId="77777777" w:rsidR="005370AD" w:rsidRDefault="005370AD" w:rsidP="007C20D0">
            <w:pPr>
              <w:pStyle w:val="EndNoteBibliography"/>
              <w:spacing w:after="0"/>
            </w:pPr>
            <w:r w:rsidRPr="00C01877">
              <w:rPr>
                <w:b/>
                <w:color w:val="0070C0"/>
              </w:rPr>
              <w:t>Lose weight</w:t>
            </w:r>
          </w:p>
        </w:tc>
        <w:tc>
          <w:tcPr>
            <w:tcW w:w="1086" w:type="dxa"/>
          </w:tcPr>
          <w:p w14:paraId="516E45F9" w14:textId="77777777" w:rsidR="005370AD" w:rsidRPr="00F20453" w:rsidRDefault="005370AD" w:rsidP="007C20D0">
            <w:pPr>
              <w:pStyle w:val="EndNoteBibliography"/>
              <w:spacing w:after="0"/>
              <w:jc w:val="center"/>
            </w:pPr>
            <w:r w:rsidRPr="00F20453">
              <w:t>46</w:t>
            </w:r>
            <w:r>
              <w:t>/82 (56</w:t>
            </w:r>
            <w:r w:rsidRPr="00F20453">
              <w:t>)</w:t>
            </w:r>
          </w:p>
        </w:tc>
        <w:tc>
          <w:tcPr>
            <w:tcW w:w="1087" w:type="dxa"/>
          </w:tcPr>
          <w:p w14:paraId="0E7F542D" w14:textId="77777777" w:rsidR="005370AD" w:rsidRPr="00F20453" w:rsidRDefault="005370AD" w:rsidP="007C20D0">
            <w:pPr>
              <w:pStyle w:val="EndNoteBibliography"/>
              <w:spacing w:after="0"/>
              <w:jc w:val="center"/>
            </w:pPr>
            <w:r w:rsidRPr="00F20453">
              <w:t>19</w:t>
            </w:r>
            <w:r>
              <w:t>/82</w:t>
            </w:r>
            <w:r w:rsidRPr="00F20453">
              <w:t xml:space="preserve"> (</w:t>
            </w:r>
            <w:r>
              <w:t>23</w:t>
            </w:r>
            <w:r w:rsidRPr="00F20453">
              <w:t>)</w:t>
            </w:r>
          </w:p>
        </w:tc>
        <w:tc>
          <w:tcPr>
            <w:tcW w:w="1087" w:type="dxa"/>
          </w:tcPr>
          <w:p w14:paraId="45CCF958" w14:textId="77777777" w:rsidR="005370AD" w:rsidRDefault="005370AD" w:rsidP="007C20D0">
            <w:pPr>
              <w:pStyle w:val="EndNoteBibliography"/>
              <w:spacing w:after="0"/>
              <w:jc w:val="center"/>
            </w:pPr>
            <w:r>
              <w:t>17/82 (21)</w:t>
            </w:r>
          </w:p>
        </w:tc>
        <w:tc>
          <w:tcPr>
            <w:tcW w:w="1086" w:type="dxa"/>
          </w:tcPr>
          <w:p w14:paraId="63868B3E" w14:textId="77777777" w:rsidR="005370AD" w:rsidRPr="00F20453" w:rsidRDefault="005370AD" w:rsidP="007C20D0">
            <w:pPr>
              <w:pStyle w:val="EndNoteBibliography"/>
              <w:spacing w:after="0"/>
              <w:jc w:val="center"/>
            </w:pPr>
            <w:r w:rsidRPr="00F20453">
              <w:t>66</w:t>
            </w:r>
            <w:r>
              <w:t>/107 (62</w:t>
            </w:r>
            <w:r w:rsidRPr="00F20453">
              <w:t>)</w:t>
            </w:r>
          </w:p>
        </w:tc>
        <w:tc>
          <w:tcPr>
            <w:tcW w:w="1087" w:type="dxa"/>
          </w:tcPr>
          <w:p w14:paraId="3B98C767" w14:textId="77777777" w:rsidR="005370AD" w:rsidRDefault="005370AD" w:rsidP="007C20D0">
            <w:pPr>
              <w:pStyle w:val="EndNoteBibliography"/>
              <w:spacing w:after="0"/>
              <w:jc w:val="center"/>
            </w:pPr>
            <w:r>
              <w:t>17/107 (16)</w:t>
            </w:r>
          </w:p>
        </w:tc>
        <w:tc>
          <w:tcPr>
            <w:tcW w:w="1087" w:type="dxa"/>
          </w:tcPr>
          <w:p w14:paraId="6F269A40" w14:textId="77777777" w:rsidR="005370AD" w:rsidRDefault="005370AD" w:rsidP="007C20D0">
            <w:pPr>
              <w:pStyle w:val="EndNoteBibliography"/>
              <w:spacing w:after="0"/>
              <w:jc w:val="center"/>
            </w:pPr>
            <w:r>
              <w:t>24/107 (22)</w:t>
            </w:r>
          </w:p>
        </w:tc>
        <w:tc>
          <w:tcPr>
            <w:tcW w:w="2268" w:type="dxa"/>
          </w:tcPr>
          <w:p w14:paraId="36F86F4E" w14:textId="77777777" w:rsidR="005370AD" w:rsidRDefault="005370AD" w:rsidP="007C20D0">
            <w:pPr>
              <w:pStyle w:val="EndNoteBibliography"/>
              <w:spacing w:after="0"/>
            </w:pPr>
            <w:r>
              <w:t>1.599. P &lt; 0.450</w:t>
            </w:r>
          </w:p>
        </w:tc>
      </w:tr>
    </w:tbl>
    <w:p w14:paraId="780680D9" w14:textId="77777777" w:rsidR="005370AD" w:rsidRPr="00FB7A0D" w:rsidRDefault="005370AD" w:rsidP="00241AAF">
      <w:pPr>
        <w:autoSpaceDE w:val="0"/>
        <w:autoSpaceDN w:val="0"/>
        <w:adjustRightInd w:val="0"/>
        <w:spacing w:after="0" w:line="240" w:lineRule="auto"/>
        <w:rPr>
          <w:rFonts w:ascii="Times New Roman" w:hAnsi="Times New Roman" w:cs="Times New Roman"/>
          <w:sz w:val="24"/>
          <w:szCs w:val="24"/>
        </w:rPr>
      </w:pPr>
    </w:p>
    <w:p w14:paraId="2C8A0808" w14:textId="77777777" w:rsidR="005370AD" w:rsidRDefault="005370AD" w:rsidP="00241AAF">
      <w:pPr>
        <w:pStyle w:val="EndNoteBibliography"/>
      </w:pPr>
      <w:r>
        <w:t>*reflects missing data</w:t>
      </w:r>
    </w:p>
    <w:p w14:paraId="4662F6D8" w14:textId="77777777" w:rsidR="005370AD" w:rsidRDefault="005370AD" w:rsidP="00241AAF">
      <w:pPr>
        <w:rPr>
          <w:b/>
        </w:rPr>
      </w:pPr>
    </w:p>
    <w:p w14:paraId="5DA49170" w14:textId="77777777" w:rsidR="005370AD" w:rsidRDefault="005370AD" w:rsidP="00241AAF">
      <w:pPr>
        <w:rPr>
          <w:b/>
        </w:rPr>
      </w:pPr>
    </w:p>
    <w:p w14:paraId="0D6C4EC8" w14:textId="77777777" w:rsidR="005370AD" w:rsidRDefault="005370AD" w:rsidP="00241AAF">
      <w:pPr>
        <w:rPr>
          <w:b/>
        </w:rPr>
      </w:pPr>
    </w:p>
    <w:p w14:paraId="0F170103" w14:textId="77777777" w:rsidR="005370AD" w:rsidRDefault="005370AD" w:rsidP="00241AAF">
      <w:pPr>
        <w:rPr>
          <w:b/>
        </w:rPr>
      </w:pPr>
    </w:p>
    <w:p w14:paraId="008E85F8" w14:textId="77777777" w:rsidR="005370AD" w:rsidRPr="00CE63CB" w:rsidRDefault="005370AD" w:rsidP="00241AAF">
      <w:pPr>
        <w:rPr>
          <w:b/>
        </w:rPr>
      </w:pPr>
      <w:r>
        <w:rPr>
          <w:b/>
        </w:rPr>
        <w:fldChar w:fldCharType="begin"/>
      </w:r>
      <w:r>
        <w:rPr>
          <w:b/>
        </w:rPr>
        <w:instrText xml:space="preserve"> ADDIN </w:instrText>
      </w:r>
      <w:r>
        <w:rPr>
          <w:b/>
        </w:rPr>
        <w:fldChar w:fldCharType="end"/>
      </w:r>
    </w:p>
    <w:p w14:paraId="76B61F35" w14:textId="77777777" w:rsidR="00FC50FA" w:rsidRDefault="00FC50FA"/>
    <w:sectPr w:rsidR="00FC50FA" w:rsidSect="00241AA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B73B7" w14:textId="77777777" w:rsidR="00C56013" w:rsidRDefault="00C56013">
      <w:pPr>
        <w:spacing w:after="0" w:line="240" w:lineRule="auto"/>
      </w:pPr>
      <w:r>
        <w:separator/>
      </w:r>
    </w:p>
  </w:endnote>
  <w:endnote w:type="continuationSeparator" w:id="0">
    <w:p w14:paraId="4C77910B" w14:textId="77777777" w:rsidR="00C56013" w:rsidRDefault="00C5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DIN-Light">
    <w:panose1 w:val="00000000000000000000"/>
    <w:charset w:val="00"/>
    <w:family w:val="auto"/>
    <w:notTrueType/>
    <w:pitch w:val="default"/>
    <w:sig w:usb0="00000003" w:usb1="00000000" w:usb2="00000000" w:usb3="00000000" w:csb0="00000001" w:csb1="00000000"/>
  </w:font>
  <w:font w:name="FpskvyAdvTT86d47313">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793994"/>
      <w:docPartObj>
        <w:docPartGallery w:val="Page Numbers (Bottom of Page)"/>
        <w:docPartUnique/>
      </w:docPartObj>
    </w:sdtPr>
    <w:sdtEndPr>
      <w:rPr>
        <w:noProof/>
      </w:rPr>
    </w:sdtEndPr>
    <w:sdtContent>
      <w:p w14:paraId="1BFB58C9" w14:textId="43C2E14A" w:rsidR="00C56013" w:rsidRDefault="00C56013">
        <w:pPr>
          <w:pStyle w:val="Footer"/>
          <w:jc w:val="right"/>
        </w:pPr>
        <w:r>
          <w:fldChar w:fldCharType="begin"/>
        </w:r>
        <w:r>
          <w:instrText xml:space="preserve"> PAGE   \* MERGEFORMAT </w:instrText>
        </w:r>
        <w:r>
          <w:fldChar w:fldCharType="separate"/>
        </w:r>
        <w:r w:rsidR="001820ED">
          <w:rPr>
            <w:noProof/>
          </w:rPr>
          <w:t>16</w:t>
        </w:r>
        <w:r>
          <w:rPr>
            <w:noProof/>
          </w:rPr>
          <w:fldChar w:fldCharType="end"/>
        </w:r>
      </w:p>
    </w:sdtContent>
  </w:sdt>
  <w:p w14:paraId="1489E1BA" w14:textId="77777777" w:rsidR="00C56013" w:rsidRDefault="00C56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942137"/>
      <w:docPartObj>
        <w:docPartGallery w:val="Page Numbers (Bottom of Page)"/>
        <w:docPartUnique/>
      </w:docPartObj>
    </w:sdtPr>
    <w:sdtEndPr>
      <w:rPr>
        <w:noProof/>
      </w:rPr>
    </w:sdtEndPr>
    <w:sdtContent>
      <w:p w14:paraId="14EAAE88" w14:textId="32A1FF39" w:rsidR="00C56013" w:rsidRDefault="00C56013">
        <w:pPr>
          <w:pStyle w:val="Footer"/>
          <w:jc w:val="right"/>
        </w:pPr>
        <w:r>
          <w:fldChar w:fldCharType="begin"/>
        </w:r>
        <w:r>
          <w:instrText xml:space="preserve"> PAGE   \* MERGEFORMAT </w:instrText>
        </w:r>
        <w:r>
          <w:fldChar w:fldCharType="separate"/>
        </w:r>
        <w:r w:rsidR="001820ED">
          <w:rPr>
            <w:noProof/>
          </w:rPr>
          <w:t>25</w:t>
        </w:r>
        <w:r>
          <w:rPr>
            <w:noProof/>
          </w:rPr>
          <w:fldChar w:fldCharType="end"/>
        </w:r>
      </w:p>
    </w:sdtContent>
  </w:sdt>
  <w:p w14:paraId="0A3660FD" w14:textId="77777777" w:rsidR="00C56013" w:rsidRDefault="00C56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E1E0F" w14:textId="77777777" w:rsidR="00C56013" w:rsidRDefault="00C56013">
      <w:pPr>
        <w:spacing w:after="0" w:line="240" w:lineRule="auto"/>
      </w:pPr>
      <w:r>
        <w:separator/>
      </w:r>
    </w:p>
  </w:footnote>
  <w:footnote w:type="continuationSeparator" w:id="0">
    <w:p w14:paraId="38DCD723" w14:textId="77777777" w:rsidR="00C56013" w:rsidRDefault="00C56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49D51" w14:textId="77777777" w:rsidR="00C56013" w:rsidRDefault="00C56013">
    <w:pPr>
      <w:pStyle w:val="Header"/>
    </w:pPr>
  </w:p>
  <w:p w14:paraId="46B4346C" w14:textId="77777777" w:rsidR="00C56013" w:rsidRDefault="00C560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987B2" w14:textId="77777777" w:rsidR="00C56013" w:rsidRPr="002D4607" w:rsidRDefault="00C56013" w:rsidP="00241AAF">
    <w:pPr>
      <w:jc w:val="right"/>
      <w:rPr>
        <w:b/>
        <w:bCs/>
        <w:color w:val="0070C0"/>
        <w:sz w:val="18"/>
        <w:szCs w:val="18"/>
      </w:rPr>
    </w:pPr>
    <w:r w:rsidRPr="002D4607">
      <w:rPr>
        <w:b/>
        <w:bCs/>
        <w:color w:val="0070C0"/>
        <w:sz w:val="18"/>
        <w:szCs w:val="18"/>
      </w:rPr>
      <w:t>Cellulitis study draft manuscript 2 (for BJD)</w:t>
    </w:r>
  </w:p>
  <w:p w14:paraId="3C2786F0" w14:textId="77777777" w:rsidR="00C56013" w:rsidRDefault="00C56013">
    <w:pPr>
      <w:pStyle w:val="Header"/>
    </w:pPr>
  </w:p>
  <w:p w14:paraId="537085C5" w14:textId="77777777" w:rsidR="00C56013" w:rsidRDefault="00C56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824"/>
    <w:multiLevelType w:val="hybridMultilevel"/>
    <w:tmpl w:val="E8629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773CEA"/>
    <w:multiLevelType w:val="hybridMultilevel"/>
    <w:tmpl w:val="459A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1433A"/>
    <w:multiLevelType w:val="hybridMultilevel"/>
    <w:tmpl w:val="AF0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373EA"/>
    <w:multiLevelType w:val="hybridMultilevel"/>
    <w:tmpl w:val="2EAE5048"/>
    <w:lvl w:ilvl="0" w:tplc="08090001">
      <w:start w:val="1"/>
      <w:numFmt w:val="bullet"/>
      <w:lvlText w:val=""/>
      <w:lvlJc w:val="left"/>
      <w:pPr>
        <w:ind w:left="2862" w:hanging="360"/>
      </w:pPr>
      <w:rPr>
        <w:rFonts w:ascii="Symbol" w:hAnsi="Symbol" w:hint="default"/>
      </w:rPr>
    </w:lvl>
    <w:lvl w:ilvl="1" w:tplc="08090003" w:tentative="1">
      <w:start w:val="1"/>
      <w:numFmt w:val="bullet"/>
      <w:lvlText w:val="o"/>
      <w:lvlJc w:val="left"/>
      <w:pPr>
        <w:ind w:left="3582" w:hanging="360"/>
      </w:pPr>
      <w:rPr>
        <w:rFonts w:ascii="Courier New" w:hAnsi="Courier New" w:cs="Courier New" w:hint="default"/>
      </w:rPr>
    </w:lvl>
    <w:lvl w:ilvl="2" w:tplc="08090005" w:tentative="1">
      <w:start w:val="1"/>
      <w:numFmt w:val="bullet"/>
      <w:lvlText w:val=""/>
      <w:lvlJc w:val="left"/>
      <w:pPr>
        <w:ind w:left="4302" w:hanging="360"/>
      </w:pPr>
      <w:rPr>
        <w:rFonts w:ascii="Wingdings" w:hAnsi="Wingdings" w:hint="default"/>
      </w:rPr>
    </w:lvl>
    <w:lvl w:ilvl="3" w:tplc="08090001" w:tentative="1">
      <w:start w:val="1"/>
      <w:numFmt w:val="bullet"/>
      <w:lvlText w:val=""/>
      <w:lvlJc w:val="left"/>
      <w:pPr>
        <w:ind w:left="5022" w:hanging="360"/>
      </w:pPr>
      <w:rPr>
        <w:rFonts w:ascii="Symbol" w:hAnsi="Symbol" w:hint="default"/>
      </w:rPr>
    </w:lvl>
    <w:lvl w:ilvl="4" w:tplc="08090003" w:tentative="1">
      <w:start w:val="1"/>
      <w:numFmt w:val="bullet"/>
      <w:lvlText w:val="o"/>
      <w:lvlJc w:val="left"/>
      <w:pPr>
        <w:ind w:left="5742" w:hanging="360"/>
      </w:pPr>
      <w:rPr>
        <w:rFonts w:ascii="Courier New" w:hAnsi="Courier New" w:cs="Courier New" w:hint="default"/>
      </w:rPr>
    </w:lvl>
    <w:lvl w:ilvl="5" w:tplc="08090005" w:tentative="1">
      <w:start w:val="1"/>
      <w:numFmt w:val="bullet"/>
      <w:lvlText w:val=""/>
      <w:lvlJc w:val="left"/>
      <w:pPr>
        <w:ind w:left="6462" w:hanging="360"/>
      </w:pPr>
      <w:rPr>
        <w:rFonts w:ascii="Wingdings" w:hAnsi="Wingdings" w:hint="default"/>
      </w:rPr>
    </w:lvl>
    <w:lvl w:ilvl="6" w:tplc="08090001" w:tentative="1">
      <w:start w:val="1"/>
      <w:numFmt w:val="bullet"/>
      <w:lvlText w:val=""/>
      <w:lvlJc w:val="left"/>
      <w:pPr>
        <w:ind w:left="7182" w:hanging="360"/>
      </w:pPr>
      <w:rPr>
        <w:rFonts w:ascii="Symbol" w:hAnsi="Symbol" w:hint="default"/>
      </w:rPr>
    </w:lvl>
    <w:lvl w:ilvl="7" w:tplc="08090003" w:tentative="1">
      <w:start w:val="1"/>
      <w:numFmt w:val="bullet"/>
      <w:lvlText w:val="o"/>
      <w:lvlJc w:val="left"/>
      <w:pPr>
        <w:ind w:left="7902" w:hanging="360"/>
      </w:pPr>
      <w:rPr>
        <w:rFonts w:ascii="Courier New" w:hAnsi="Courier New" w:cs="Courier New" w:hint="default"/>
      </w:rPr>
    </w:lvl>
    <w:lvl w:ilvl="8" w:tplc="08090005" w:tentative="1">
      <w:start w:val="1"/>
      <w:numFmt w:val="bullet"/>
      <w:lvlText w:val=""/>
      <w:lvlJc w:val="left"/>
      <w:pPr>
        <w:ind w:left="8622" w:hanging="360"/>
      </w:pPr>
      <w:rPr>
        <w:rFonts w:ascii="Wingdings" w:hAnsi="Wingdings" w:hint="default"/>
      </w:rPr>
    </w:lvl>
  </w:abstractNum>
  <w:abstractNum w:abstractNumId="4" w15:restartNumberingAfterBreak="0">
    <w:nsid w:val="0E8771E3"/>
    <w:multiLevelType w:val="hybridMultilevel"/>
    <w:tmpl w:val="C472D77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994A1C40">
      <w:start w:val="1"/>
      <w:numFmt w:val="bullet"/>
      <w:lvlText w:val="+"/>
      <w:lvlJc w:val="left"/>
      <w:pPr>
        <w:ind w:left="2880" w:hanging="360"/>
      </w:pPr>
      <w:rPr>
        <w:rFonts w:ascii="Calibri" w:hAnsi="Calibri" w:hint="default"/>
        <w:sz w:val="28"/>
        <w:szCs w:val="28"/>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A5460A"/>
    <w:multiLevelType w:val="hybridMultilevel"/>
    <w:tmpl w:val="40E028D6"/>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1FD73DEB"/>
    <w:multiLevelType w:val="hybridMultilevel"/>
    <w:tmpl w:val="5D86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1223F"/>
    <w:multiLevelType w:val="hybridMultilevel"/>
    <w:tmpl w:val="0F30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B63EB"/>
    <w:multiLevelType w:val="hybridMultilevel"/>
    <w:tmpl w:val="18F4C9E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BB60F03A">
      <w:start w:val="1"/>
      <w:numFmt w:val="bullet"/>
      <w:lvlText w:val="+"/>
      <w:lvlJc w:val="left"/>
      <w:pPr>
        <w:ind w:left="2880" w:hanging="360"/>
      </w:pPr>
      <w:rPr>
        <w:rFonts w:ascii="Calibri" w:hAnsi="Calibr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C13062"/>
    <w:multiLevelType w:val="hybridMultilevel"/>
    <w:tmpl w:val="D0C825D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12409E8C">
      <w:start w:val="1"/>
      <w:numFmt w:val="bullet"/>
      <w:lvlText w:val="-"/>
      <w:lvlJc w:val="left"/>
      <w:pPr>
        <w:ind w:left="2880" w:hanging="360"/>
      </w:pPr>
      <w:rPr>
        <w:rFonts w:ascii="Calibri" w:hAnsi="Calibr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BD628D"/>
    <w:multiLevelType w:val="hybridMultilevel"/>
    <w:tmpl w:val="EE2A4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1" w15:restartNumberingAfterBreak="0">
    <w:nsid w:val="3A7549E0"/>
    <w:multiLevelType w:val="hybridMultilevel"/>
    <w:tmpl w:val="EB629C3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12409E8C">
      <w:start w:val="1"/>
      <w:numFmt w:val="bullet"/>
      <w:lvlText w:val="-"/>
      <w:lvlJc w:val="left"/>
      <w:pPr>
        <w:ind w:left="1800" w:hanging="360"/>
      </w:pPr>
      <w:rPr>
        <w:rFonts w:ascii="Calibri" w:hAnsi="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1388C"/>
    <w:multiLevelType w:val="hybridMultilevel"/>
    <w:tmpl w:val="107818F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EF263DD"/>
    <w:multiLevelType w:val="hybridMultilevel"/>
    <w:tmpl w:val="9C24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770B60"/>
    <w:multiLevelType w:val="hybridMultilevel"/>
    <w:tmpl w:val="1F183A8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12409E8C">
      <w:start w:val="1"/>
      <w:numFmt w:val="bullet"/>
      <w:lvlText w:val="-"/>
      <w:lvlJc w:val="left"/>
      <w:pPr>
        <w:ind w:left="2880" w:hanging="360"/>
      </w:pPr>
      <w:rPr>
        <w:rFonts w:ascii="Calibri" w:hAnsi="Calibr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7B0746"/>
    <w:multiLevelType w:val="hybridMultilevel"/>
    <w:tmpl w:val="73B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849B1"/>
    <w:multiLevelType w:val="hybridMultilevel"/>
    <w:tmpl w:val="9264A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F24402"/>
    <w:multiLevelType w:val="hybridMultilevel"/>
    <w:tmpl w:val="E5709574"/>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1D02C2"/>
    <w:multiLevelType w:val="hybridMultilevel"/>
    <w:tmpl w:val="167E2B8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12409E8C">
      <w:start w:val="1"/>
      <w:numFmt w:val="bullet"/>
      <w:lvlText w:val="-"/>
      <w:lvlJc w:val="left"/>
      <w:pPr>
        <w:ind w:left="2880" w:hanging="360"/>
      </w:pPr>
      <w:rPr>
        <w:rFonts w:ascii="Calibri" w:hAnsi="Calibr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B122A5"/>
    <w:multiLevelType w:val="hybridMultilevel"/>
    <w:tmpl w:val="17F44D8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BB60F03A">
      <w:start w:val="1"/>
      <w:numFmt w:val="bullet"/>
      <w:lvlText w:val="+"/>
      <w:lvlJc w:val="left"/>
      <w:pPr>
        <w:ind w:left="2880" w:hanging="360"/>
      </w:pPr>
      <w:rPr>
        <w:rFonts w:ascii="Calibri" w:hAnsi="Calibr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E9A2713"/>
    <w:multiLevelType w:val="hybridMultilevel"/>
    <w:tmpl w:val="B1FED33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abstractNumId w:val="12"/>
  </w:num>
  <w:num w:numId="2">
    <w:abstractNumId w:val="15"/>
  </w:num>
  <w:num w:numId="3">
    <w:abstractNumId w:val="1"/>
  </w:num>
  <w:num w:numId="4">
    <w:abstractNumId w:val="2"/>
  </w:num>
  <w:num w:numId="5">
    <w:abstractNumId w:val="17"/>
  </w:num>
  <w:num w:numId="6">
    <w:abstractNumId w:val="0"/>
  </w:num>
  <w:num w:numId="7">
    <w:abstractNumId w:val="5"/>
  </w:num>
  <w:num w:numId="8">
    <w:abstractNumId w:val="8"/>
  </w:num>
  <w:num w:numId="9">
    <w:abstractNumId w:val="4"/>
  </w:num>
  <w:num w:numId="10">
    <w:abstractNumId w:val="18"/>
  </w:num>
  <w:num w:numId="11">
    <w:abstractNumId w:val="19"/>
  </w:num>
  <w:num w:numId="12">
    <w:abstractNumId w:val="14"/>
  </w:num>
  <w:num w:numId="13">
    <w:abstractNumId w:val="9"/>
  </w:num>
  <w:num w:numId="14">
    <w:abstractNumId w:val="11"/>
  </w:num>
  <w:num w:numId="15">
    <w:abstractNumId w:val="13"/>
  </w:num>
  <w:num w:numId="16">
    <w:abstractNumId w:val="16"/>
  </w:num>
  <w:num w:numId="17">
    <w:abstractNumId w:val="10"/>
  </w:num>
  <w:num w:numId="18">
    <w:abstractNumId w:val="3"/>
  </w:num>
  <w:num w:numId="19">
    <w:abstractNumId w:val="20"/>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370AD"/>
    <w:rsid w:val="00097D4E"/>
    <w:rsid w:val="000B36E7"/>
    <w:rsid w:val="00103F24"/>
    <w:rsid w:val="00105008"/>
    <w:rsid w:val="00116B93"/>
    <w:rsid w:val="00130DAD"/>
    <w:rsid w:val="00137011"/>
    <w:rsid w:val="001820ED"/>
    <w:rsid w:val="001C456D"/>
    <w:rsid w:val="001E2179"/>
    <w:rsid w:val="001E7528"/>
    <w:rsid w:val="00241AAF"/>
    <w:rsid w:val="00291557"/>
    <w:rsid w:val="002B6597"/>
    <w:rsid w:val="002C05DB"/>
    <w:rsid w:val="002E0903"/>
    <w:rsid w:val="00386205"/>
    <w:rsid w:val="003F7672"/>
    <w:rsid w:val="00456E01"/>
    <w:rsid w:val="00466322"/>
    <w:rsid w:val="004A06FE"/>
    <w:rsid w:val="0050359D"/>
    <w:rsid w:val="0050733A"/>
    <w:rsid w:val="005370AD"/>
    <w:rsid w:val="00556615"/>
    <w:rsid w:val="005C0729"/>
    <w:rsid w:val="00650ECA"/>
    <w:rsid w:val="006F1656"/>
    <w:rsid w:val="006F7C18"/>
    <w:rsid w:val="00757521"/>
    <w:rsid w:val="00787A36"/>
    <w:rsid w:val="007C20D0"/>
    <w:rsid w:val="007C7924"/>
    <w:rsid w:val="008203CE"/>
    <w:rsid w:val="00821E08"/>
    <w:rsid w:val="00896B9B"/>
    <w:rsid w:val="00931143"/>
    <w:rsid w:val="009578E1"/>
    <w:rsid w:val="009A16CD"/>
    <w:rsid w:val="009E2A3C"/>
    <w:rsid w:val="009F3F1D"/>
    <w:rsid w:val="00B062C4"/>
    <w:rsid w:val="00B06ABD"/>
    <w:rsid w:val="00B67EFD"/>
    <w:rsid w:val="00BB409B"/>
    <w:rsid w:val="00C14582"/>
    <w:rsid w:val="00C56013"/>
    <w:rsid w:val="00CE2B7B"/>
    <w:rsid w:val="00CF46A5"/>
    <w:rsid w:val="00DB1FC4"/>
    <w:rsid w:val="00DD7350"/>
    <w:rsid w:val="00E14CF8"/>
    <w:rsid w:val="00EA30A9"/>
    <w:rsid w:val="00EA3252"/>
    <w:rsid w:val="00EC0F4E"/>
    <w:rsid w:val="00EF23D5"/>
    <w:rsid w:val="00FC50FA"/>
    <w:rsid w:val="00FF26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8D0F"/>
  <w15:docId w15:val="{5EF26725-FC3E-4F32-A2F8-3A2E0BF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35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0AD"/>
    <w:pPr>
      <w:spacing w:after="160"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0AD"/>
    <w:pPr>
      <w:spacing w:after="200" w:line="276" w:lineRule="auto"/>
      <w:ind w:left="720"/>
      <w:contextualSpacing/>
    </w:pPr>
  </w:style>
  <w:style w:type="character" w:styleId="Hyperlink">
    <w:name w:val="Hyperlink"/>
    <w:basedOn w:val="DefaultParagraphFont"/>
    <w:uiPriority w:val="99"/>
    <w:unhideWhenUsed/>
    <w:rsid w:val="005370AD"/>
    <w:rPr>
      <w:color w:val="0563C1" w:themeColor="hyperlink"/>
      <w:u w:val="single"/>
    </w:rPr>
  </w:style>
  <w:style w:type="table" w:styleId="TableGrid">
    <w:name w:val="Table Grid"/>
    <w:basedOn w:val="TableNormal"/>
    <w:uiPriority w:val="39"/>
    <w:rsid w:val="005370AD"/>
    <w:pPr>
      <w:ind w:left="0" w:firstLine="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5370AD"/>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370AD"/>
    <w:rPr>
      <w:rFonts w:ascii="Calibri" w:hAnsi="Calibri"/>
      <w:noProof/>
      <w:lang w:val="en-US"/>
    </w:rPr>
  </w:style>
  <w:style w:type="table" w:customStyle="1" w:styleId="TableGrid1">
    <w:name w:val="Table Grid1"/>
    <w:basedOn w:val="TableNormal"/>
    <w:next w:val="TableGrid"/>
    <w:uiPriority w:val="39"/>
    <w:rsid w:val="005370AD"/>
    <w:pPr>
      <w:ind w:left="0" w:firstLine="0"/>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37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0AD"/>
  </w:style>
  <w:style w:type="character" w:styleId="CommentReference">
    <w:name w:val="annotation reference"/>
    <w:basedOn w:val="DefaultParagraphFont"/>
    <w:uiPriority w:val="99"/>
    <w:semiHidden/>
    <w:unhideWhenUsed/>
    <w:rsid w:val="005370AD"/>
    <w:rPr>
      <w:sz w:val="16"/>
      <w:szCs w:val="16"/>
    </w:rPr>
  </w:style>
  <w:style w:type="paragraph" w:styleId="CommentText">
    <w:name w:val="annotation text"/>
    <w:basedOn w:val="Normal"/>
    <w:link w:val="CommentTextChar"/>
    <w:uiPriority w:val="99"/>
    <w:unhideWhenUsed/>
    <w:rsid w:val="005370AD"/>
    <w:pPr>
      <w:spacing w:line="240" w:lineRule="auto"/>
    </w:pPr>
    <w:rPr>
      <w:sz w:val="20"/>
      <w:szCs w:val="20"/>
    </w:rPr>
  </w:style>
  <w:style w:type="character" w:customStyle="1" w:styleId="CommentTextChar">
    <w:name w:val="Comment Text Char"/>
    <w:basedOn w:val="DefaultParagraphFont"/>
    <w:link w:val="CommentText"/>
    <w:uiPriority w:val="99"/>
    <w:rsid w:val="005370AD"/>
    <w:rPr>
      <w:sz w:val="20"/>
      <w:szCs w:val="20"/>
    </w:rPr>
  </w:style>
  <w:style w:type="paragraph" w:styleId="CommentSubject">
    <w:name w:val="annotation subject"/>
    <w:basedOn w:val="CommentText"/>
    <w:next w:val="CommentText"/>
    <w:link w:val="CommentSubjectChar"/>
    <w:uiPriority w:val="99"/>
    <w:semiHidden/>
    <w:unhideWhenUsed/>
    <w:rsid w:val="005370AD"/>
    <w:rPr>
      <w:b/>
      <w:bCs/>
    </w:rPr>
  </w:style>
  <w:style w:type="character" w:customStyle="1" w:styleId="CommentSubjectChar">
    <w:name w:val="Comment Subject Char"/>
    <w:basedOn w:val="CommentTextChar"/>
    <w:link w:val="CommentSubject"/>
    <w:uiPriority w:val="99"/>
    <w:semiHidden/>
    <w:rsid w:val="005370AD"/>
    <w:rPr>
      <w:b/>
      <w:bCs/>
      <w:sz w:val="20"/>
      <w:szCs w:val="20"/>
    </w:rPr>
  </w:style>
  <w:style w:type="paragraph" w:styleId="BalloonText">
    <w:name w:val="Balloon Text"/>
    <w:basedOn w:val="Normal"/>
    <w:link w:val="BalloonTextChar"/>
    <w:uiPriority w:val="99"/>
    <w:semiHidden/>
    <w:unhideWhenUsed/>
    <w:rsid w:val="0053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0AD"/>
    <w:rPr>
      <w:rFonts w:ascii="Segoe UI" w:hAnsi="Segoe UI" w:cs="Segoe UI"/>
      <w:sz w:val="18"/>
      <w:szCs w:val="18"/>
    </w:rPr>
  </w:style>
  <w:style w:type="paragraph" w:styleId="Header">
    <w:name w:val="header"/>
    <w:basedOn w:val="Normal"/>
    <w:link w:val="HeaderChar"/>
    <w:uiPriority w:val="99"/>
    <w:unhideWhenUsed/>
    <w:rsid w:val="00537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0AD"/>
  </w:style>
  <w:style w:type="paragraph" w:customStyle="1" w:styleId="EndNoteBibliographyTitle">
    <w:name w:val="EndNote Bibliography Title"/>
    <w:basedOn w:val="Normal"/>
    <w:link w:val="EndNoteBibliographyTitleChar"/>
    <w:rsid w:val="005370AD"/>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370AD"/>
    <w:rPr>
      <w:rFonts w:ascii="Calibri" w:hAnsi="Calibri"/>
      <w:noProof/>
      <w:lang w:val="en-US"/>
    </w:rPr>
  </w:style>
  <w:style w:type="character" w:styleId="Emphasis">
    <w:name w:val="Emphasis"/>
    <w:basedOn w:val="DefaultParagraphFont"/>
    <w:uiPriority w:val="20"/>
    <w:qFormat/>
    <w:rsid w:val="005370AD"/>
    <w:rPr>
      <w:i/>
      <w:iCs/>
    </w:rPr>
  </w:style>
  <w:style w:type="paragraph" w:styleId="PlainText">
    <w:name w:val="Plain Text"/>
    <w:basedOn w:val="Normal"/>
    <w:link w:val="PlainTextChar"/>
    <w:uiPriority w:val="99"/>
    <w:semiHidden/>
    <w:unhideWhenUsed/>
    <w:rsid w:val="00FF260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F260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80286">
      <w:bodyDiv w:val="1"/>
      <w:marLeft w:val="0"/>
      <w:marRight w:val="0"/>
      <w:marTop w:val="0"/>
      <w:marBottom w:val="0"/>
      <w:divBdr>
        <w:top w:val="none" w:sz="0" w:space="0" w:color="auto"/>
        <w:left w:val="none" w:sz="0" w:space="0" w:color="auto"/>
        <w:bottom w:val="none" w:sz="0" w:space="0" w:color="auto"/>
        <w:right w:val="none" w:sz="0" w:space="0" w:color="auto"/>
      </w:divBdr>
    </w:div>
    <w:div w:id="933124744">
      <w:bodyDiv w:val="1"/>
      <w:marLeft w:val="0"/>
      <w:marRight w:val="0"/>
      <w:marTop w:val="0"/>
      <w:marBottom w:val="0"/>
      <w:divBdr>
        <w:top w:val="none" w:sz="0" w:space="0" w:color="auto"/>
        <w:left w:val="none" w:sz="0" w:space="0" w:color="auto"/>
        <w:bottom w:val="none" w:sz="0" w:space="0" w:color="auto"/>
        <w:right w:val="none" w:sz="0" w:space="0" w:color="auto"/>
      </w:divBdr>
      <w:divsChild>
        <w:div w:id="1976522920">
          <w:marLeft w:val="0"/>
          <w:marRight w:val="0"/>
          <w:marTop w:val="0"/>
          <w:marBottom w:val="0"/>
          <w:divBdr>
            <w:top w:val="none" w:sz="0" w:space="0" w:color="auto"/>
            <w:left w:val="none" w:sz="0" w:space="0" w:color="auto"/>
            <w:bottom w:val="none" w:sz="0" w:space="0" w:color="auto"/>
            <w:right w:val="none" w:sz="0" w:space="0" w:color="auto"/>
          </w:divBdr>
          <w:divsChild>
            <w:div w:id="1962104611">
              <w:marLeft w:val="0"/>
              <w:marRight w:val="0"/>
              <w:marTop w:val="0"/>
              <w:marBottom w:val="0"/>
              <w:divBdr>
                <w:top w:val="none" w:sz="0" w:space="0" w:color="auto"/>
                <w:left w:val="none" w:sz="0" w:space="0" w:color="auto"/>
                <w:bottom w:val="none" w:sz="0" w:space="0" w:color="auto"/>
                <w:right w:val="none" w:sz="0" w:space="0" w:color="auto"/>
              </w:divBdr>
              <w:divsChild>
                <w:div w:id="1551184976">
                  <w:marLeft w:val="0"/>
                  <w:marRight w:val="0"/>
                  <w:marTop w:val="0"/>
                  <w:marBottom w:val="0"/>
                  <w:divBdr>
                    <w:top w:val="none" w:sz="0" w:space="0" w:color="auto"/>
                    <w:left w:val="none" w:sz="0" w:space="0" w:color="auto"/>
                    <w:bottom w:val="none" w:sz="0" w:space="0" w:color="auto"/>
                    <w:right w:val="none" w:sz="0" w:space="0" w:color="auto"/>
                  </w:divBdr>
                  <w:divsChild>
                    <w:div w:id="2056737276">
                      <w:marLeft w:val="0"/>
                      <w:marRight w:val="0"/>
                      <w:marTop w:val="0"/>
                      <w:marBottom w:val="0"/>
                      <w:divBdr>
                        <w:top w:val="none" w:sz="0" w:space="0" w:color="auto"/>
                        <w:left w:val="none" w:sz="0" w:space="0" w:color="auto"/>
                        <w:bottom w:val="none" w:sz="0" w:space="0" w:color="auto"/>
                        <w:right w:val="none" w:sz="0" w:space="0" w:color="auto"/>
                      </w:divBdr>
                      <w:divsChild>
                        <w:div w:id="1844082846">
                          <w:marLeft w:val="0"/>
                          <w:marRight w:val="0"/>
                          <w:marTop w:val="0"/>
                          <w:marBottom w:val="0"/>
                          <w:divBdr>
                            <w:top w:val="none" w:sz="0" w:space="0" w:color="auto"/>
                            <w:left w:val="none" w:sz="0" w:space="0" w:color="auto"/>
                            <w:bottom w:val="none" w:sz="0" w:space="0" w:color="auto"/>
                            <w:right w:val="none" w:sz="0" w:space="0" w:color="auto"/>
                          </w:divBdr>
                          <w:divsChild>
                            <w:div w:id="905846706">
                              <w:marLeft w:val="0"/>
                              <w:marRight w:val="0"/>
                              <w:marTop w:val="0"/>
                              <w:marBottom w:val="0"/>
                              <w:divBdr>
                                <w:top w:val="none" w:sz="0" w:space="0" w:color="auto"/>
                                <w:left w:val="none" w:sz="0" w:space="0" w:color="auto"/>
                                <w:bottom w:val="none" w:sz="0" w:space="0" w:color="auto"/>
                                <w:right w:val="none" w:sz="0" w:space="0" w:color="auto"/>
                              </w:divBdr>
                              <w:divsChild>
                                <w:div w:id="972446501">
                                  <w:marLeft w:val="0"/>
                                  <w:marRight w:val="0"/>
                                  <w:marTop w:val="0"/>
                                  <w:marBottom w:val="0"/>
                                  <w:divBdr>
                                    <w:top w:val="none" w:sz="0" w:space="0" w:color="auto"/>
                                    <w:left w:val="none" w:sz="0" w:space="0" w:color="auto"/>
                                    <w:bottom w:val="none" w:sz="0" w:space="0" w:color="auto"/>
                                    <w:right w:val="none" w:sz="0" w:space="0" w:color="auto"/>
                                  </w:divBdr>
                                  <w:divsChild>
                                    <w:div w:id="916940158">
                                      <w:marLeft w:val="0"/>
                                      <w:marRight w:val="0"/>
                                      <w:marTop w:val="0"/>
                                      <w:marBottom w:val="0"/>
                                      <w:divBdr>
                                        <w:top w:val="none" w:sz="0" w:space="0" w:color="auto"/>
                                        <w:left w:val="none" w:sz="0" w:space="0" w:color="auto"/>
                                        <w:bottom w:val="none" w:sz="0" w:space="0" w:color="auto"/>
                                        <w:right w:val="none" w:sz="0" w:space="0" w:color="auto"/>
                                      </w:divBdr>
                                      <w:divsChild>
                                        <w:div w:id="566845335">
                                          <w:marLeft w:val="0"/>
                                          <w:marRight w:val="0"/>
                                          <w:marTop w:val="0"/>
                                          <w:marBottom w:val="0"/>
                                          <w:divBdr>
                                            <w:top w:val="none" w:sz="0" w:space="0" w:color="auto"/>
                                            <w:left w:val="none" w:sz="0" w:space="0" w:color="auto"/>
                                            <w:bottom w:val="none" w:sz="0" w:space="0" w:color="auto"/>
                                            <w:right w:val="none" w:sz="0" w:space="0" w:color="auto"/>
                                          </w:divBdr>
                                          <w:divsChild>
                                            <w:div w:id="1660188431">
                                              <w:marLeft w:val="0"/>
                                              <w:marRight w:val="0"/>
                                              <w:marTop w:val="0"/>
                                              <w:marBottom w:val="0"/>
                                              <w:divBdr>
                                                <w:top w:val="none" w:sz="0" w:space="0" w:color="auto"/>
                                                <w:left w:val="none" w:sz="0" w:space="0" w:color="auto"/>
                                                <w:bottom w:val="none" w:sz="0" w:space="0" w:color="auto"/>
                                                <w:right w:val="none" w:sz="0" w:space="0" w:color="auto"/>
                                              </w:divBdr>
                                              <w:divsChild>
                                                <w:div w:id="1102185732">
                                                  <w:marLeft w:val="0"/>
                                                  <w:marRight w:val="0"/>
                                                  <w:marTop w:val="0"/>
                                                  <w:marBottom w:val="0"/>
                                                  <w:divBdr>
                                                    <w:top w:val="none" w:sz="0" w:space="0" w:color="auto"/>
                                                    <w:left w:val="none" w:sz="0" w:space="0" w:color="auto"/>
                                                    <w:bottom w:val="none" w:sz="0" w:space="0" w:color="auto"/>
                                                    <w:right w:val="none" w:sz="0" w:space="0" w:color="auto"/>
                                                  </w:divBdr>
                                                  <w:divsChild>
                                                    <w:div w:id="383334252">
                                                      <w:marLeft w:val="0"/>
                                                      <w:marRight w:val="0"/>
                                                      <w:marTop w:val="0"/>
                                                      <w:marBottom w:val="0"/>
                                                      <w:divBdr>
                                                        <w:top w:val="none" w:sz="0" w:space="0" w:color="auto"/>
                                                        <w:left w:val="none" w:sz="0" w:space="0" w:color="auto"/>
                                                        <w:bottom w:val="none" w:sz="0" w:space="0" w:color="auto"/>
                                                        <w:right w:val="none" w:sz="0" w:space="0" w:color="auto"/>
                                                      </w:divBdr>
                                                      <w:divsChild>
                                                        <w:div w:id="1772359244">
                                                          <w:marLeft w:val="0"/>
                                                          <w:marRight w:val="0"/>
                                                          <w:marTop w:val="0"/>
                                                          <w:marBottom w:val="0"/>
                                                          <w:divBdr>
                                                            <w:top w:val="none" w:sz="0" w:space="0" w:color="auto"/>
                                                            <w:left w:val="none" w:sz="0" w:space="0" w:color="auto"/>
                                                            <w:bottom w:val="none" w:sz="0" w:space="0" w:color="auto"/>
                                                            <w:right w:val="none" w:sz="0" w:space="0" w:color="auto"/>
                                                          </w:divBdr>
                                                          <w:divsChild>
                                                            <w:div w:id="2041398299">
                                                              <w:marLeft w:val="0"/>
                                                              <w:marRight w:val="0"/>
                                                              <w:marTop w:val="0"/>
                                                              <w:marBottom w:val="0"/>
                                                              <w:divBdr>
                                                                <w:top w:val="none" w:sz="0" w:space="0" w:color="auto"/>
                                                                <w:left w:val="none" w:sz="0" w:space="0" w:color="auto"/>
                                                                <w:bottom w:val="none" w:sz="0" w:space="0" w:color="auto"/>
                                                                <w:right w:val="none" w:sz="0" w:space="0" w:color="auto"/>
                                                              </w:divBdr>
                                                              <w:divsChild>
                                                                <w:div w:id="1782186938">
                                                                  <w:marLeft w:val="0"/>
                                                                  <w:marRight w:val="0"/>
                                                                  <w:marTop w:val="0"/>
                                                                  <w:marBottom w:val="0"/>
                                                                  <w:divBdr>
                                                                    <w:top w:val="none" w:sz="0" w:space="0" w:color="auto"/>
                                                                    <w:left w:val="none" w:sz="0" w:space="0" w:color="auto"/>
                                                                    <w:bottom w:val="none" w:sz="0" w:space="0" w:color="auto"/>
                                                                    <w:right w:val="none" w:sz="0" w:space="0" w:color="auto"/>
                                                                  </w:divBdr>
                                                                  <w:divsChild>
                                                                    <w:div w:id="2136025704">
                                                                      <w:marLeft w:val="0"/>
                                                                      <w:marRight w:val="0"/>
                                                                      <w:marTop w:val="0"/>
                                                                      <w:marBottom w:val="0"/>
                                                                      <w:divBdr>
                                                                        <w:top w:val="none" w:sz="0" w:space="0" w:color="auto"/>
                                                                        <w:left w:val="none" w:sz="0" w:space="0" w:color="auto"/>
                                                                        <w:bottom w:val="none" w:sz="0" w:space="0" w:color="auto"/>
                                                                        <w:right w:val="none" w:sz="0" w:space="0" w:color="auto"/>
                                                                      </w:divBdr>
                                                                      <w:divsChild>
                                                                        <w:div w:id="1756317992">
                                                                          <w:marLeft w:val="0"/>
                                                                          <w:marRight w:val="0"/>
                                                                          <w:marTop w:val="0"/>
                                                                          <w:marBottom w:val="0"/>
                                                                          <w:divBdr>
                                                                            <w:top w:val="none" w:sz="0" w:space="0" w:color="auto"/>
                                                                            <w:left w:val="none" w:sz="0" w:space="0" w:color="auto"/>
                                                                            <w:bottom w:val="none" w:sz="0" w:space="0" w:color="auto"/>
                                                                            <w:right w:val="none" w:sz="0" w:space="0" w:color="auto"/>
                                                                          </w:divBdr>
                                                                          <w:divsChild>
                                                                            <w:div w:id="1172180014">
                                                                              <w:marLeft w:val="0"/>
                                                                              <w:marRight w:val="0"/>
                                                                              <w:marTop w:val="0"/>
                                                                              <w:marBottom w:val="0"/>
                                                                              <w:divBdr>
                                                                                <w:top w:val="none" w:sz="0" w:space="0" w:color="auto"/>
                                                                                <w:left w:val="none" w:sz="0" w:space="0" w:color="auto"/>
                                                                                <w:bottom w:val="none" w:sz="0" w:space="0" w:color="auto"/>
                                                                                <w:right w:val="none" w:sz="0" w:space="0" w:color="auto"/>
                                                                              </w:divBdr>
                                                                            </w:div>
                                                                            <w:div w:id="1520241220">
                                                                              <w:marLeft w:val="0"/>
                                                                              <w:marRight w:val="0"/>
                                                                              <w:marTop w:val="0"/>
                                                                              <w:marBottom w:val="0"/>
                                                                              <w:divBdr>
                                                                                <w:top w:val="none" w:sz="0" w:space="0" w:color="auto"/>
                                                                                <w:left w:val="none" w:sz="0" w:space="0" w:color="auto"/>
                                                                                <w:bottom w:val="none" w:sz="0" w:space="0" w:color="auto"/>
                                                                                <w:right w:val="none" w:sz="0" w:space="0" w:color="auto"/>
                                                                              </w:divBdr>
                                                                            </w:div>
                                                                          </w:divsChild>
                                                                        </w:div>
                                                                        <w:div w:id="345525383">
                                                                          <w:marLeft w:val="0"/>
                                                                          <w:marRight w:val="0"/>
                                                                          <w:marTop w:val="0"/>
                                                                          <w:marBottom w:val="0"/>
                                                                          <w:divBdr>
                                                                            <w:top w:val="none" w:sz="0" w:space="0" w:color="auto"/>
                                                                            <w:left w:val="none" w:sz="0" w:space="0" w:color="auto"/>
                                                                            <w:bottom w:val="none" w:sz="0" w:space="0" w:color="auto"/>
                                                                            <w:right w:val="none" w:sz="0" w:space="0" w:color="auto"/>
                                                                          </w:divBdr>
                                                                          <w:divsChild>
                                                                            <w:div w:id="481702550">
                                                                              <w:marLeft w:val="0"/>
                                                                              <w:marRight w:val="0"/>
                                                                              <w:marTop w:val="0"/>
                                                                              <w:marBottom w:val="0"/>
                                                                              <w:divBdr>
                                                                                <w:top w:val="none" w:sz="0" w:space="0" w:color="auto"/>
                                                                                <w:left w:val="none" w:sz="0" w:space="0" w:color="auto"/>
                                                                                <w:bottom w:val="none" w:sz="0" w:space="0" w:color="auto"/>
                                                                                <w:right w:val="none" w:sz="0" w:space="0" w:color="auto"/>
                                                                              </w:divBdr>
                                                                            </w:div>
                                                                            <w:div w:id="700011159">
                                                                              <w:marLeft w:val="0"/>
                                                                              <w:marRight w:val="0"/>
                                                                              <w:marTop w:val="0"/>
                                                                              <w:marBottom w:val="0"/>
                                                                              <w:divBdr>
                                                                                <w:top w:val="none" w:sz="0" w:space="0" w:color="auto"/>
                                                                                <w:left w:val="none" w:sz="0" w:space="0" w:color="auto"/>
                                                                                <w:bottom w:val="none" w:sz="0" w:space="0" w:color="auto"/>
                                                                                <w:right w:val="none" w:sz="0" w:space="0" w:color="auto"/>
                                                                              </w:divBdr>
                                                                            </w:div>
                                                                          </w:divsChild>
                                                                        </w:div>
                                                                        <w:div w:id="1459179012">
                                                                          <w:marLeft w:val="0"/>
                                                                          <w:marRight w:val="0"/>
                                                                          <w:marTop w:val="0"/>
                                                                          <w:marBottom w:val="0"/>
                                                                          <w:divBdr>
                                                                            <w:top w:val="none" w:sz="0" w:space="0" w:color="auto"/>
                                                                            <w:left w:val="none" w:sz="0" w:space="0" w:color="auto"/>
                                                                            <w:bottom w:val="none" w:sz="0" w:space="0" w:color="auto"/>
                                                                            <w:right w:val="none" w:sz="0" w:space="0" w:color="auto"/>
                                                                          </w:divBdr>
                                                                          <w:divsChild>
                                                                            <w:div w:id="23600437">
                                                                              <w:marLeft w:val="0"/>
                                                                              <w:marRight w:val="0"/>
                                                                              <w:marTop w:val="0"/>
                                                                              <w:marBottom w:val="0"/>
                                                                              <w:divBdr>
                                                                                <w:top w:val="none" w:sz="0" w:space="0" w:color="auto"/>
                                                                                <w:left w:val="none" w:sz="0" w:space="0" w:color="auto"/>
                                                                                <w:bottom w:val="none" w:sz="0" w:space="0" w:color="auto"/>
                                                                                <w:right w:val="none" w:sz="0" w:space="0" w:color="auto"/>
                                                                              </w:divBdr>
                                                                            </w:div>
                                                                            <w:div w:id="3699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5236">
                                                                      <w:marLeft w:val="0"/>
                                                                      <w:marRight w:val="0"/>
                                                                      <w:marTop w:val="0"/>
                                                                      <w:marBottom w:val="0"/>
                                                                      <w:divBdr>
                                                                        <w:top w:val="none" w:sz="0" w:space="0" w:color="auto"/>
                                                                        <w:left w:val="none" w:sz="0" w:space="0" w:color="auto"/>
                                                                        <w:bottom w:val="none" w:sz="0" w:space="0" w:color="auto"/>
                                                                        <w:right w:val="none" w:sz="0" w:space="0" w:color="auto"/>
                                                                      </w:divBdr>
                                                                      <w:divsChild>
                                                                        <w:div w:id="54208468">
                                                                          <w:marLeft w:val="0"/>
                                                                          <w:marRight w:val="0"/>
                                                                          <w:marTop w:val="0"/>
                                                                          <w:marBottom w:val="0"/>
                                                                          <w:divBdr>
                                                                            <w:top w:val="none" w:sz="0" w:space="0" w:color="auto"/>
                                                                            <w:left w:val="none" w:sz="0" w:space="0" w:color="auto"/>
                                                                            <w:bottom w:val="none" w:sz="0" w:space="0" w:color="auto"/>
                                                                            <w:right w:val="none" w:sz="0" w:space="0" w:color="auto"/>
                                                                          </w:divBdr>
                                                                          <w:divsChild>
                                                                            <w:div w:id="1898979488">
                                                                              <w:marLeft w:val="0"/>
                                                                              <w:marRight w:val="0"/>
                                                                              <w:marTop w:val="0"/>
                                                                              <w:marBottom w:val="0"/>
                                                                              <w:divBdr>
                                                                                <w:top w:val="none" w:sz="0" w:space="0" w:color="auto"/>
                                                                                <w:left w:val="none" w:sz="0" w:space="0" w:color="auto"/>
                                                                                <w:bottom w:val="none" w:sz="0" w:space="0" w:color="auto"/>
                                                                                <w:right w:val="none" w:sz="0" w:space="0" w:color="auto"/>
                                                                              </w:divBdr>
                                                                            </w:div>
                                                                            <w:div w:id="928391477">
                                                                              <w:marLeft w:val="0"/>
                                                                              <w:marRight w:val="0"/>
                                                                              <w:marTop w:val="0"/>
                                                                              <w:marBottom w:val="0"/>
                                                                              <w:divBdr>
                                                                                <w:top w:val="none" w:sz="0" w:space="0" w:color="auto"/>
                                                                                <w:left w:val="none" w:sz="0" w:space="0" w:color="auto"/>
                                                                                <w:bottom w:val="none" w:sz="0" w:space="0" w:color="auto"/>
                                                                                <w:right w:val="none" w:sz="0" w:space="0" w:color="auto"/>
                                                                              </w:divBdr>
                                                                            </w:div>
                                                                          </w:divsChild>
                                                                        </w:div>
                                                                        <w:div w:id="910458582">
                                                                          <w:marLeft w:val="0"/>
                                                                          <w:marRight w:val="0"/>
                                                                          <w:marTop w:val="0"/>
                                                                          <w:marBottom w:val="0"/>
                                                                          <w:divBdr>
                                                                            <w:top w:val="none" w:sz="0" w:space="0" w:color="auto"/>
                                                                            <w:left w:val="none" w:sz="0" w:space="0" w:color="auto"/>
                                                                            <w:bottom w:val="none" w:sz="0" w:space="0" w:color="auto"/>
                                                                            <w:right w:val="none" w:sz="0" w:space="0" w:color="auto"/>
                                                                          </w:divBdr>
                                                                          <w:divsChild>
                                                                            <w:div w:id="1960136479">
                                                                              <w:marLeft w:val="0"/>
                                                                              <w:marRight w:val="0"/>
                                                                              <w:marTop w:val="0"/>
                                                                              <w:marBottom w:val="0"/>
                                                                              <w:divBdr>
                                                                                <w:top w:val="none" w:sz="0" w:space="0" w:color="auto"/>
                                                                                <w:left w:val="none" w:sz="0" w:space="0" w:color="auto"/>
                                                                                <w:bottom w:val="none" w:sz="0" w:space="0" w:color="auto"/>
                                                                                <w:right w:val="none" w:sz="0" w:space="0" w:color="auto"/>
                                                                              </w:divBdr>
                                                                            </w:div>
                                                                            <w:div w:id="556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9538">
                                                                      <w:marLeft w:val="0"/>
                                                                      <w:marRight w:val="0"/>
                                                                      <w:marTop w:val="0"/>
                                                                      <w:marBottom w:val="0"/>
                                                                      <w:divBdr>
                                                                        <w:top w:val="none" w:sz="0" w:space="0" w:color="auto"/>
                                                                        <w:left w:val="none" w:sz="0" w:space="0" w:color="auto"/>
                                                                        <w:bottom w:val="none" w:sz="0" w:space="0" w:color="auto"/>
                                                                        <w:right w:val="none" w:sz="0" w:space="0" w:color="auto"/>
                                                                      </w:divBdr>
                                                                    </w:div>
                                                                    <w:div w:id="1118527632">
                                                                      <w:marLeft w:val="0"/>
                                                                      <w:marRight w:val="0"/>
                                                                      <w:marTop w:val="0"/>
                                                                      <w:marBottom w:val="0"/>
                                                                      <w:divBdr>
                                                                        <w:top w:val="none" w:sz="0" w:space="0" w:color="auto"/>
                                                                        <w:left w:val="none" w:sz="0" w:space="0" w:color="auto"/>
                                                                        <w:bottom w:val="none" w:sz="0" w:space="0" w:color="auto"/>
                                                                        <w:right w:val="none" w:sz="0" w:space="0" w:color="auto"/>
                                                                      </w:divBdr>
                                                                    </w:div>
                                                                    <w:div w:id="362830741">
                                                                      <w:marLeft w:val="0"/>
                                                                      <w:marRight w:val="0"/>
                                                                      <w:marTop w:val="0"/>
                                                                      <w:marBottom w:val="0"/>
                                                                      <w:divBdr>
                                                                        <w:top w:val="none" w:sz="0" w:space="0" w:color="auto"/>
                                                                        <w:left w:val="none" w:sz="0" w:space="0" w:color="auto"/>
                                                                        <w:bottom w:val="none" w:sz="0" w:space="0" w:color="auto"/>
                                                                        <w:right w:val="none" w:sz="0" w:space="0" w:color="auto"/>
                                                                      </w:divBdr>
                                                                    </w:div>
                                                                    <w:div w:id="1978146267">
                                                                      <w:marLeft w:val="0"/>
                                                                      <w:marRight w:val="0"/>
                                                                      <w:marTop w:val="0"/>
                                                                      <w:marBottom w:val="0"/>
                                                                      <w:divBdr>
                                                                        <w:top w:val="none" w:sz="0" w:space="0" w:color="auto"/>
                                                                        <w:left w:val="none" w:sz="0" w:space="0" w:color="auto"/>
                                                                        <w:bottom w:val="none" w:sz="0" w:space="0" w:color="auto"/>
                                                                        <w:right w:val="none" w:sz="0" w:space="0" w:color="auto"/>
                                                                      </w:divBdr>
                                                                    </w:div>
                                                                    <w:div w:id="1894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teasdale@soton.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gertips.phe.org.uk/profile/general-practice/da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7F21C-65CC-4000-A9D4-24A6BF56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7673</Words>
  <Characters>43738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Teasdale E.J.</dc:creator>
  <cp:lastModifiedBy>Teasdale E.J.</cp:lastModifiedBy>
  <cp:revision>5</cp:revision>
  <dcterms:created xsi:type="dcterms:W3CDTF">2018-11-19T11:00:00Z</dcterms:created>
  <dcterms:modified xsi:type="dcterms:W3CDTF">2018-11-19T11:05:00Z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791492121</vt:i4>
  </property>
  <property fmtid="{D5CDD505-2E9C-101B-9397-08002B2CF9AE}" pid="3" name="_NewReviewCycle">
    <vt:lpwstr/>
  </property>
  <property fmtid="{D5CDD505-2E9C-101B-9397-08002B2CF9AE}" pid="4" name="_EmailSubject">
    <vt:lpwstr>Revise and resubmit -  BJD-2018-1630</vt:lpwstr>
  </property>
  <property fmtid="{D5CDD505-2E9C-101B-9397-08002B2CF9AE}" pid="5" name="_AuthorEmail">
    <vt:lpwstr>I.Muller@soton.ac.uk</vt:lpwstr>
  </property>
  <property fmtid="{D5CDD505-2E9C-101B-9397-08002B2CF9AE}" pid="6" name="_AuthorEmailDisplayName">
    <vt:lpwstr>Muller I.</vt:lpwstr>
  </property>
  <property fmtid="{D5CDD505-2E9C-101B-9397-08002B2CF9AE}" pid="7" name="_ReviewingToolsShownOnce">
    <vt:lpwstr/>
  </property>
</Properties>
</file>