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BDC55" w14:textId="320894B1" w:rsidR="00FB5186" w:rsidRPr="007E2A65" w:rsidRDefault="00FB5186" w:rsidP="00FB5186">
      <w:pPr>
        <w:rPr>
          <w:b/>
        </w:rPr>
      </w:pPr>
      <w:r w:rsidRPr="007E2A65">
        <w:rPr>
          <w:b/>
        </w:rPr>
        <w:t>Workshop Report 2: Competitive tendering and other forms of contracting-out: institutional and contract design and performance measurement.</w:t>
      </w:r>
    </w:p>
    <w:p w14:paraId="37F05670" w14:textId="77777777" w:rsidR="00FB5186" w:rsidRPr="007E2A65" w:rsidRDefault="00FB5186" w:rsidP="00FB5186">
      <w:r w:rsidRPr="007E2A65">
        <w:t>Chairs: Rico Merkert and John Preston</w:t>
      </w:r>
    </w:p>
    <w:p w14:paraId="1A30CAF3" w14:textId="6A207B00" w:rsidR="00FB5186" w:rsidRDefault="00FB5186" w:rsidP="00FB5186">
      <w:r w:rsidRPr="007E2A65">
        <w:t>Rapporteurs: Maria Melkersson and Heike Link</w:t>
      </w:r>
    </w:p>
    <w:p w14:paraId="7B1BA84E" w14:textId="426B5049" w:rsidR="00E51D58" w:rsidRDefault="00E51D58" w:rsidP="00FB5186">
      <w:pPr>
        <w:rPr>
          <w:b/>
        </w:rPr>
      </w:pPr>
      <w:r w:rsidRPr="00E51D58">
        <w:rPr>
          <w:b/>
        </w:rPr>
        <w:t>Abstract</w:t>
      </w:r>
    </w:p>
    <w:p w14:paraId="29F3E35A" w14:textId="67345662" w:rsidR="00E51D58" w:rsidRDefault="00E95817" w:rsidP="00FB5186">
      <w:r>
        <w:t>Consideration of c</w:t>
      </w:r>
      <w:r w:rsidR="00E51D58">
        <w:t xml:space="preserve">ontracting-out has been a mainstay of </w:t>
      </w:r>
      <w:proofErr w:type="spellStart"/>
      <w:r w:rsidR="00E51D58">
        <w:t>Thredbo</w:t>
      </w:r>
      <w:proofErr w:type="spellEnd"/>
      <w:r w:rsidR="00E51D58">
        <w:t xml:space="preserve"> conferences past, accounting for over half of conference papers.  This workshop showed that contracting-out remains an important </w:t>
      </w:r>
      <w:r>
        <w:t xml:space="preserve">and vibrant </w:t>
      </w:r>
      <w:r w:rsidR="00E51D58">
        <w:t>theme, with 32 papers and some 50 participants from 20 countries.</w:t>
      </w:r>
      <w:r w:rsidR="00A06E72">
        <w:t xml:space="preserve"> Case studies of contracting-out (and variants thereof) </w:t>
      </w:r>
      <w:proofErr w:type="gramStart"/>
      <w:r w:rsidR="00A06E72">
        <w:t>were presented</w:t>
      </w:r>
      <w:proofErr w:type="gramEnd"/>
      <w:r w:rsidR="00A06E72">
        <w:t xml:space="preserve"> at the national level for both bus (21) and rail (6). </w:t>
      </w:r>
      <w:r>
        <w:t xml:space="preserve">All stages of the contracting-out life cycle </w:t>
      </w:r>
      <w:proofErr w:type="gramStart"/>
      <w:r>
        <w:t>were considered</w:t>
      </w:r>
      <w:proofErr w:type="gramEnd"/>
      <w:r>
        <w:t xml:space="preserve">, including design, procurement and management. </w:t>
      </w:r>
      <w:r w:rsidR="00A06E72">
        <w:t xml:space="preserve">A focus </w:t>
      </w:r>
      <w:proofErr w:type="gramStart"/>
      <w:r w:rsidR="00A06E72">
        <w:t>was placed</w:t>
      </w:r>
      <w:proofErr w:type="gramEnd"/>
      <w:r w:rsidR="00A06E72">
        <w:t xml:space="preserve"> on assessing key performance indicators and critical success factors and relating these to governance issues, both formal and informal. In particular, the extent to which concepts such as institutional maturity, soft competition and transaction costs could provide new insights </w:t>
      </w:r>
      <w:proofErr w:type="gramStart"/>
      <w:r w:rsidR="00A06E72">
        <w:t>was examined</w:t>
      </w:r>
      <w:proofErr w:type="gramEnd"/>
      <w:r w:rsidR="00A06E72">
        <w:t>.</w:t>
      </w:r>
      <w:r>
        <w:t xml:space="preserve"> The key finding was that contracting-out critical </w:t>
      </w:r>
      <w:proofErr w:type="gramStart"/>
      <w:r>
        <w:t>success</w:t>
      </w:r>
      <w:proofErr w:type="gramEnd"/>
      <w:r>
        <w:t xml:space="preserve"> factors are highly context specific. In the light of this, recommendations f</w:t>
      </w:r>
      <w:r w:rsidR="006E19E5">
        <w:t>or</w:t>
      </w:r>
      <w:r>
        <w:t xml:space="preserve"> research topics </w:t>
      </w:r>
      <w:r w:rsidR="006E19E5">
        <w:t xml:space="preserve">at </w:t>
      </w:r>
      <w:r>
        <w:t xml:space="preserve">future </w:t>
      </w:r>
      <w:proofErr w:type="spellStart"/>
      <w:r>
        <w:t>Thredbo</w:t>
      </w:r>
      <w:proofErr w:type="spellEnd"/>
      <w:r>
        <w:t xml:space="preserve"> conference </w:t>
      </w:r>
      <w:proofErr w:type="gramStart"/>
      <w:r>
        <w:t>are made</w:t>
      </w:r>
      <w:proofErr w:type="gramEnd"/>
      <w:r>
        <w:t>.</w:t>
      </w:r>
    </w:p>
    <w:p w14:paraId="5DE2E76F" w14:textId="54E8F0AE" w:rsidR="006E19E5" w:rsidRDefault="006E19E5" w:rsidP="00FB5186">
      <w:r w:rsidRPr="006E19E5">
        <w:rPr>
          <w:b/>
        </w:rPr>
        <w:t xml:space="preserve">Keywords: </w:t>
      </w:r>
      <w:r>
        <w:t>Competitive Tendering; Contracting-out; Institutional Maturity; Transaction Costs.</w:t>
      </w:r>
    </w:p>
    <w:p w14:paraId="076631E2" w14:textId="7CFDE6F4" w:rsidR="006E19E5" w:rsidRPr="006E19E5" w:rsidRDefault="006E19E5" w:rsidP="00FB5186">
      <w:r w:rsidRPr="006E19E5">
        <w:rPr>
          <w:b/>
        </w:rPr>
        <w:t>JEL Classification:</w:t>
      </w:r>
      <w:r>
        <w:rPr>
          <w:b/>
        </w:rPr>
        <w:t xml:space="preserve"> </w:t>
      </w:r>
      <w:r w:rsidR="003D39B6">
        <w:t>L24 Contracting Out.</w:t>
      </w:r>
      <w:bookmarkStart w:id="0" w:name="_GoBack"/>
      <w:bookmarkEnd w:id="0"/>
    </w:p>
    <w:p w14:paraId="5CE691F6" w14:textId="77777777" w:rsidR="000128F1" w:rsidRPr="007E2A65" w:rsidRDefault="00FB5186" w:rsidP="00DD70BB">
      <w:pPr>
        <w:pStyle w:val="ListParagraph"/>
        <w:numPr>
          <w:ilvl w:val="0"/>
          <w:numId w:val="1"/>
        </w:numPr>
        <w:ind w:left="567" w:hanging="567"/>
        <w:rPr>
          <w:b/>
        </w:rPr>
      </w:pPr>
      <w:r w:rsidRPr="007E2A65">
        <w:rPr>
          <w:b/>
        </w:rPr>
        <w:t>Introduction</w:t>
      </w:r>
    </w:p>
    <w:p w14:paraId="147A615D" w14:textId="324CD491" w:rsidR="00FB5186" w:rsidRPr="007E2A65" w:rsidRDefault="00FB5186" w:rsidP="00F213F0">
      <w:r w:rsidRPr="007E2A65">
        <w:t xml:space="preserve">This workshop focuses </w:t>
      </w:r>
      <w:r w:rsidR="00B5337E" w:rsidRPr="007E2A65">
        <w:t xml:space="preserve">on </w:t>
      </w:r>
      <w:r w:rsidRPr="007E2A65">
        <w:t xml:space="preserve">one of the traditional areas of investigation for the </w:t>
      </w:r>
      <w:proofErr w:type="spellStart"/>
      <w:r w:rsidRPr="007E2A65">
        <w:t>Thredbo</w:t>
      </w:r>
      <w:proofErr w:type="spellEnd"/>
      <w:r w:rsidRPr="007E2A65">
        <w:t xml:space="preserve"> Conference series</w:t>
      </w:r>
      <w:r w:rsidR="0058345A">
        <w:t>,</w:t>
      </w:r>
      <w:r w:rsidRPr="007E2A65">
        <w:t xml:space="preserve"> </w:t>
      </w:r>
      <w:r w:rsidR="00F213F0" w:rsidRPr="007E2A65">
        <w:t>that of contracts</w:t>
      </w:r>
      <w:r w:rsidR="0058345A">
        <w:t>. This topic</w:t>
      </w:r>
      <w:r w:rsidR="00F213F0" w:rsidRPr="007E2A65">
        <w:t xml:space="preserve"> has been </w:t>
      </w:r>
      <w:r w:rsidR="0058345A">
        <w:t xml:space="preserve">examined </w:t>
      </w:r>
      <w:r w:rsidR="00F213F0" w:rsidRPr="007E2A65">
        <w:t xml:space="preserve">in some way </w:t>
      </w:r>
      <w:r w:rsidR="00DD70BB" w:rsidRPr="007E2A65">
        <w:t xml:space="preserve">by </w:t>
      </w:r>
      <w:r w:rsidR="00F213F0" w:rsidRPr="007E2A65">
        <w:t xml:space="preserve">343 papers </w:t>
      </w:r>
      <w:r w:rsidR="00D8387B">
        <w:t xml:space="preserve">presented to </w:t>
      </w:r>
      <w:proofErr w:type="spellStart"/>
      <w:r w:rsidR="00D8387B">
        <w:t>Thredbo</w:t>
      </w:r>
      <w:proofErr w:type="spellEnd"/>
      <w:r w:rsidR="00D8387B">
        <w:t xml:space="preserve"> Conferences </w:t>
      </w:r>
      <w:r w:rsidR="00F213F0" w:rsidRPr="007E2A65">
        <w:t>between 1989 and 2015 – some 55</w:t>
      </w:r>
      <w:r w:rsidR="006B09EA">
        <w:t xml:space="preserve"> percent</w:t>
      </w:r>
      <w:r w:rsidR="00F213F0" w:rsidRPr="007E2A65">
        <w:t xml:space="preserve"> of the total </w:t>
      </w:r>
      <w:r w:rsidR="00DD70BB" w:rsidRPr="007E2A65">
        <w:t xml:space="preserve">presented </w:t>
      </w:r>
      <w:r w:rsidR="00F213F0" w:rsidRPr="007E2A65">
        <w:t>(</w:t>
      </w:r>
      <w:r w:rsidR="00B5337E" w:rsidRPr="007E2A65">
        <w:t xml:space="preserve">as outlined by </w:t>
      </w:r>
      <w:proofErr w:type="spellStart"/>
      <w:r w:rsidR="00F213F0" w:rsidRPr="007E2A65">
        <w:t>Hensher</w:t>
      </w:r>
      <w:proofErr w:type="spellEnd"/>
      <w:r w:rsidR="00F213F0" w:rsidRPr="007E2A65">
        <w:t>, Bray and Wong</w:t>
      </w:r>
      <w:r w:rsidR="00E84448">
        <w:t>, 2017,</w:t>
      </w:r>
      <w:r w:rsidR="00B5337E" w:rsidRPr="007E2A65">
        <w:t xml:space="preserve"> at </w:t>
      </w:r>
      <w:proofErr w:type="spellStart"/>
      <w:r w:rsidR="00B5337E" w:rsidRPr="007E2A65">
        <w:t>Thredbo</w:t>
      </w:r>
      <w:proofErr w:type="spellEnd"/>
      <w:r w:rsidR="00B5337E" w:rsidRPr="007E2A65">
        <w:t xml:space="preserve"> 15</w:t>
      </w:r>
      <w:r w:rsidR="00F213F0" w:rsidRPr="007E2A65">
        <w:t>). Within the category of c</w:t>
      </w:r>
      <w:r w:rsidR="00F213F0" w:rsidRPr="007E2A65">
        <w:rPr>
          <w:iCs/>
        </w:rPr>
        <w:t>ontracts</w:t>
      </w:r>
      <w:r w:rsidR="00F213F0" w:rsidRPr="007E2A65">
        <w:t xml:space="preserve">, </w:t>
      </w:r>
      <w:r w:rsidR="00B5337E" w:rsidRPr="007E2A65">
        <w:t>they found tha</w:t>
      </w:r>
      <w:r w:rsidR="0058345A">
        <w:t>t</w:t>
      </w:r>
      <w:r w:rsidR="00B5337E" w:rsidRPr="007E2A65">
        <w:t xml:space="preserve"> </w:t>
      </w:r>
      <w:r w:rsidR="00F213F0" w:rsidRPr="007E2A65">
        <w:t>13</w:t>
      </w:r>
      <w:r w:rsidR="006B09EA">
        <w:t xml:space="preserve"> percent</w:t>
      </w:r>
      <w:r w:rsidR="00F213F0" w:rsidRPr="007E2A65">
        <w:t xml:space="preserve"> </w:t>
      </w:r>
      <w:r w:rsidR="00B5337E" w:rsidRPr="007E2A65">
        <w:t xml:space="preserve">of papers </w:t>
      </w:r>
      <w:r w:rsidR="00F213F0" w:rsidRPr="007E2A65">
        <w:t>were related to the ownership of assets, 48</w:t>
      </w:r>
      <w:r w:rsidR="000928D5">
        <w:t xml:space="preserve"> </w:t>
      </w:r>
      <w:r w:rsidR="006B09EA">
        <w:t>percent</w:t>
      </w:r>
      <w:r w:rsidR="00F213F0" w:rsidRPr="007E2A65">
        <w:t xml:space="preserve"> to the design of contracts, 29</w:t>
      </w:r>
      <w:r w:rsidR="006B09EA">
        <w:t xml:space="preserve"> percent</w:t>
      </w:r>
      <w:r w:rsidR="00F213F0" w:rsidRPr="007E2A65">
        <w:t xml:space="preserve"> to securing contracts and the remaining 10</w:t>
      </w:r>
      <w:r w:rsidR="006B09EA">
        <w:t xml:space="preserve"> percent</w:t>
      </w:r>
      <w:r w:rsidR="00F213F0" w:rsidRPr="007E2A65">
        <w:t xml:space="preserve"> to the management of contracts.</w:t>
      </w:r>
    </w:p>
    <w:p w14:paraId="35F5DBD7" w14:textId="452ABD01" w:rsidR="009E2432" w:rsidRPr="007E2A65" w:rsidRDefault="00F213F0" w:rsidP="00F213F0">
      <w:r w:rsidRPr="007E2A65">
        <w:t xml:space="preserve">This workshop reflected the </w:t>
      </w:r>
      <w:r w:rsidR="000B0D89" w:rsidRPr="007E2A65">
        <w:t xml:space="preserve">continued </w:t>
      </w:r>
      <w:r w:rsidRPr="007E2A65">
        <w:t xml:space="preserve">popularity of this </w:t>
      </w:r>
      <w:r w:rsidR="00DD70BB" w:rsidRPr="007E2A65">
        <w:t>topic</w:t>
      </w:r>
      <w:r w:rsidR="009E2432" w:rsidRPr="007E2A65">
        <w:t>, with 3</w:t>
      </w:r>
      <w:r w:rsidR="00D8387B">
        <w:t>2</w:t>
      </w:r>
      <w:r w:rsidR="009E2432" w:rsidRPr="007E2A65">
        <w:t xml:space="preserve"> new papers contributing to the evidence base</w:t>
      </w:r>
      <w:r w:rsidR="00D8387B">
        <w:t>. Only one of these papers was specifically about the ownership of assets, with the rest split relatively evenly between the remaining three categories (12 on securing, 10 on designing and 9 on managing contracts)</w:t>
      </w:r>
      <w:r w:rsidR="00E84448">
        <w:t>. This reflects the continuing evolution of the topic matter</w:t>
      </w:r>
      <w:r w:rsidR="009E2432" w:rsidRPr="007E2A65">
        <w:t xml:space="preserve">. </w:t>
      </w:r>
      <w:r w:rsidR="00886708" w:rsidRPr="00886708">
        <w:t>Overall</w:t>
      </w:r>
      <w:r w:rsidR="00886708">
        <w:t>, the workshop involved</w:t>
      </w:r>
      <w:r w:rsidR="00886708" w:rsidRPr="00886708">
        <w:t xml:space="preserve"> </w:t>
      </w:r>
      <w:r w:rsidR="00E84448">
        <w:t xml:space="preserve">around </w:t>
      </w:r>
      <w:r w:rsidR="00886708" w:rsidRPr="00886708">
        <w:t>5</w:t>
      </w:r>
      <w:r w:rsidR="00E84448">
        <w:t>0</w:t>
      </w:r>
      <w:r w:rsidR="00886708" w:rsidRPr="00886708">
        <w:t xml:space="preserve"> participants</w:t>
      </w:r>
      <w:r w:rsidR="00886708">
        <w:t xml:space="preserve"> from</w:t>
      </w:r>
      <w:r w:rsidR="00886708" w:rsidRPr="00886708">
        <w:t xml:space="preserve"> 2</w:t>
      </w:r>
      <w:r w:rsidR="00E84448">
        <w:t>0</w:t>
      </w:r>
      <w:r w:rsidR="00886708" w:rsidRPr="00886708">
        <w:t xml:space="preserve"> countries</w:t>
      </w:r>
      <w:r w:rsidR="00E84448">
        <w:t>, reflecting the enduring international interest in the topic</w:t>
      </w:r>
      <w:r w:rsidR="00886708" w:rsidRPr="00886708">
        <w:t>.</w:t>
      </w:r>
      <w:r w:rsidR="00886708">
        <w:t xml:space="preserve"> </w:t>
      </w:r>
      <w:r w:rsidR="009E2432" w:rsidRPr="007E2A65">
        <w:t>This necessitated the division of the workshop into two parallel sessions: one covering bus and the other covering rail and more general public transport topics.</w:t>
      </w:r>
      <w:r w:rsidR="00DD70BB" w:rsidRPr="007E2A65">
        <w:t xml:space="preserve"> However, we present here one workshop report that attempts to draw together the discussions of the two parallel workshops.</w:t>
      </w:r>
    </w:p>
    <w:p w14:paraId="33FFA3A5" w14:textId="06FFC1C1" w:rsidR="00DD70BB" w:rsidRPr="007E2A65" w:rsidRDefault="00DD70BB" w:rsidP="00F213F0">
      <w:r w:rsidRPr="007E2A65">
        <w:t>The format of this report is therefore as follows. In section 2, we highlight the aims of the workshop and some of the key concepts that have informed our discussions. In section 3, we briefly review the evidence presented</w:t>
      </w:r>
      <w:r w:rsidR="007E2A65" w:rsidRPr="007E2A65">
        <w:t xml:space="preserve"> by the workshop papers and presentations</w:t>
      </w:r>
      <w:r w:rsidRPr="007E2A65">
        <w:t xml:space="preserve">. In section 4, we outline the key themes and takeaways, whilst in section 5 we make some policy recommendations. In section 6, we assess research priorities and make some recommendations for </w:t>
      </w:r>
      <w:proofErr w:type="spellStart"/>
      <w:r w:rsidRPr="007E2A65">
        <w:t>Thredbo</w:t>
      </w:r>
      <w:proofErr w:type="spellEnd"/>
      <w:r w:rsidRPr="007E2A65">
        <w:t xml:space="preserve"> 16 in Singapore in 2019.</w:t>
      </w:r>
      <w:r w:rsidR="0044279E" w:rsidRPr="007E2A65">
        <w:t xml:space="preserve"> Lastly, in section 7 we draw some conclusions.</w:t>
      </w:r>
    </w:p>
    <w:p w14:paraId="7135B0ED" w14:textId="12C7EFB9" w:rsidR="00DD70BB" w:rsidRPr="007E2A65" w:rsidRDefault="00DD70BB" w:rsidP="00DD70BB">
      <w:pPr>
        <w:ind w:left="567" w:hanging="567"/>
        <w:rPr>
          <w:b/>
        </w:rPr>
      </w:pPr>
      <w:r w:rsidRPr="007E2A65">
        <w:rPr>
          <w:b/>
        </w:rPr>
        <w:t>2</w:t>
      </w:r>
      <w:r w:rsidRPr="007E2A65">
        <w:t>.</w:t>
      </w:r>
      <w:r w:rsidRPr="007E2A65">
        <w:tab/>
      </w:r>
      <w:r w:rsidRPr="007E2A65">
        <w:rPr>
          <w:b/>
        </w:rPr>
        <w:t>Aims</w:t>
      </w:r>
      <w:r w:rsidR="0044279E" w:rsidRPr="007E2A65">
        <w:rPr>
          <w:b/>
        </w:rPr>
        <w:t xml:space="preserve">, </w:t>
      </w:r>
      <w:r w:rsidR="00380290">
        <w:rPr>
          <w:b/>
        </w:rPr>
        <w:t>O</w:t>
      </w:r>
      <w:r w:rsidR="0044279E" w:rsidRPr="007E2A65">
        <w:rPr>
          <w:b/>
        </w:rPr>
        <w:t>bjectives</w:t>
      </w:r>
      <w:r w:rsidRPr="007E2A65">
        <w:rPr>
          <w:b/>
        </w:rPr>
        <w:t xml:space="preserve"> and </w:t>
      </w:r>
      <w:r w:rsidR="00380290">
        <w:rPr>
          <w:b/>
        </w:rPr>
        <w:t>C</w:t>
      </w:r>
      <w:r w:rsidRPr="007E2A65">
        <w:rPr>
          <w:b/>
        </w:rPr>
        <w:t>oncepts</w:t>
      </w:r>
    </w:p>
    <w:p w14:paraId="33D178F2" w14:textId="454A4682" w:rsidR="00DD70BB" w:rsidRPr="007E2A65" w:rsidRDefault="0044279E" w:rsidP="0044279E">
      <w:r w:rsidRPr="007E2A65">
        <w:t>Overall, the aim of this workshop was to review the international evidence on contracting-out in the bus and rail industries and assess the robustness of this evidence. This in turn led to four broad objectives</w:t>
      </w:r>
      <w:r w:rsidR="001939DA" w:rsidRPr="007E2A65">
        <w:t>, as follows</w:t>
      </w:r>
      <w:r w:rsidR="00DD70BB" w:rsidRPr="007E2A65">
        <w:t>:</w:t>
      </w:r>
    </w:p>
    <w:p w14:paraId="0619B7B5" w14:textId="7673D2FF" w:rsidR="0009562B" w:rsidRPr="007E2A65" w:rsidRDefault="001939DA" w:rsidP="00DD70BB">
      <w:pPr>
        <w:numPr>
          <w:ilvl w:val="0"/>
          <w:numId w:val="2"/>
        </w:numPr>
      </w:pPr>
      <w:r w:rsidRPr="007E2A65">
        <w:t>To r</w:t>
      </w:r>
      <w:r w:rsidR="00382F3B" w:rsidRPr="007E2A65">
        <w:t xml:space="preserve">eview the critical success factors in contracting-out, including </w:t>
      </w:r>
      <w:r w:rsidR="0044279E" w:rsidRPr="007E2A65">
        <w:t xml:space="preserve">the </w:t>
      </w:r>
      <w:r w:rsidR="00382F3B" w:rsidRPr="007E2A65">
        <w:t>role of key performance indicators, incentive/penalty regimes and allocation of risks.</w:t>
      </w:r>
    </w:p>
    <w:p w14:paraId="23A93B6D" w14:textId="6E283652" w:rsidR="0009562B" w:rsidRPr="007E2A65" w:rsidRDefault="001939DA" w:rsidP="00DD70BB">
      <w:pPr>
        <w:numPr>
          <w:ilvl w:val="0"/>
          <w:numId w:val="2"/>
        </w:numPr>
      </w:pPr>
      <w:r w:rsidRPr="007E2A65">
        <w:t>To u</w:t>
      </w:r>
      <w:r w:rsidR="00382F3B" w:rsidRPr="007E2A65">
        <w:t>nderstand the relations</w:t>
      </w:r>
      <w:r w:rsidR="0044279E" w:rsidRPr="007E2A65">
        <w:t>hips</w:t>
      </w:r>
      <w:r w:rsidR="00382F3B" w:rsidRPr="007E2A65">
        <w:t xml:space="preserve"> between authorities and operators (both formal and informal).</w:t>
      </w:r>
    </w:p>
    <w:p w14:paraId="2E597F91" w14:textId="708B1FCC" w:rsidR="0009562B" w:rsidRPr="007E2A65" w:rsidRDefault="001939DA" w:rsidP="00DD70BB">
      <w:pPr>
        <w:numPr>
          <w:ilvl w:val="0"/>
          <w:numId w:val="2"/>
        </w:numPr>
      </w:pPr>
      <w:r w:rsidRPr="007E2A65">
        <w:t>To i</w:t>
      </w:r>
      <w:r w:rsidR="00382F3B" w:rsidRPr="007E2A65">
        <w:t>dentify appropriate means of procurement, contract</w:t>
      </w:r>
      <w:r w:rsidR="0044279E" w:rsidRPr="007E2A65">
        <w:t xml:space="preserve"> design</w:t>
      </w:r>
      <w:r w:rsidR="00382F3B" w:rsidRPr="007E2A65">
        <w:t xml:space="preserve"> and payment mechanisms</w:t>
      </w:r>
      <w:r w:rsidR="0044279E" w:rsidRPr="007E2A65">
        <w:t xml:space="preserve"> and contract management</w:t>
      </w:r>
      <w:r w:rsidR="00382F3B" w:rsidRPr="007E2A65">
        <w:t>.</w:t>
      </w:r>
    </w:p>
    <w:p w14:paraId="3A7FB5A4" w14:textId="77777777" w:rsidR="0009562B" w:rsidRPr="007E2A65" w:rsidRDefault="001939DA" w:rsidP="00DD70BB">
      <w:pPr>
        <w:numPr>
          <w:ilvl w:val="0"/>
          <w:numId w:val="2"/>
        </w:numPr>
      </w:pPr>
      <w:r w:rsidRPr="007E2A65">
        <w:t>To e</w:t>
      </w:r>
      <w:r w:rsidR="00382F3B" w:rsidRPr="007E2A65">
        <w:t>xamine the potential for hybrid regimes and deconstruct governance elements, including transaction costs.</w:t>
      </w:r>
    </w:p>
    <w:p w14:paraId="4ECE77F5" w14:textId="5FE3FAC4" w:rsidR="00773798" w:rsidRPr="007E2A65" w:rsidRDefault="0044279E" w:rsidP="00EC1508">
      <w:pPr>
        <w:tabs>
          <w:tab w:val="num" w:pos="720"/>
        </w:tabs>
      </w:pPr>
      <w:r w:rsidRPr="007E2A65">
        <w:t xml:space="preserve">In meeting these objectives, we were aware of the existing literature on reviews of contracting-out in public transport industries (e.g., </w:t>
      </w:r>
      <w:proofErr w:type="spellStart"/>
      <w:r w:rsidR="00C3057B" w:rsidRPr="007E2A65">
        <w:t>Alexandersson</w:t>
      </w:r>
      <w:proofErr w:type="spellEnd"/>
      <w:r w:rsidR="00C3057B" w:rsidRPr="007E2A65">
        <w:t xml:space="preserve">, 2009, </w:t>
      </w:r>
      <w:proofErr w:type="spellStart"/>
      <w:r w:rsidRPr="007E2A65">
        <w:t>Hensher</w:t>
      </w:r>
      <w:proofErr w:type="spellEnd"/>
      <w:r w:rsidRPr="007E2A65">
        <w:t xml:space="preserve"> and Wallis, </w:t>
      </w:r>
      <w:r w:rsidR="00C3057B" w:rsidRPr="007E2A65">
        <w:t>2005, Preston, 2005).</w:t>
      </w:r>
      <w:r w:rsidR="00773798" w:rsidRPr="007E2A65">
        <w:t xml:space="preserve"> We note that taxonomies of contracting-out cover a number of dimensions. Geographical scale </w:t>
      </w:r>
      <w:r w:rsidR="00773798" w:rsidRPr="007E2A65">
        <w:lastRenderedPageBreak/>
        <w:t>extends from r</w:t>
      </w:r>
      <w:r w:rsidR="00382F3B" w:rsidRPr="007E2A65">
        <w:t>oute tenders</w:t>
      </w:r>
      <w:r w:rsidR="00EC1508" w:rsidRPr="007E2A65">
        <w:t xml:space="preserve"> </w:t>
      </w:r>
      <w:r w:rsidR="00773798" w:rsidRPr="007E2A65">
        <w:t>(and parts thereof) to full</w:t>
      </w:r>
      <w:r w:rsidR="00382F3B" w:rsidRPr="007E2A65">
        <w:t xml:space="preserve"> network</w:t>
      </w:r>
      <w:r w:rsidR="00773798" w:rsidRPr="007E2A65">
        <w:t>/area</w:t>
      </w:r>
      <w:r w:rsidR="00382F3B" w:rsidRPr="007E2A65">
        <w:t xml:space="preserve"> contracts/franchises</w:t>
      </w:r>
      <w:r w:rsidR="00773798" w:rsidRPr="007E2A65">
        <w:t>. Payment mechanisms include g</w:t>
      </w:r>
      <w:r w:rsidR="00382F3B" w:rsidRPr="007E2A65">
        <w:t xml:space="preserve">ross costs </w:t>
      </w:r>
      <w:r w:rsidR="00773798" w:rsidRPr="007E2A65">
        <w:t xml:space="preserve">(revenue risk with </w:t>
      </w:r>
      <w:r w:rsidR="00B5337E" w:rsidRPr="007E2A65">
        <w:t xml:space="preserve">the </w:t>
      </w:r>
      <w:r w:rsidR="00773798" w:rsidRPr="007E2A65">
        <w:t>authority), n</w:t>
      </w:r>
      <w:r w:rsidR="00382F3B" w:rsidRPr="007E2A65">
        <w:t>et subsidy</w:t>
      </w:r>
      <w:r w:rsidR="00773798" w:rsidRPr="007E2A65">
        <w:t xml:space="preserve"> (revenue risk with</w:t>
      </w:r>
      <w:r w:rsidR="00B5337E" w:rsidRPr="007E2A65">
        <w:t xml:space="preserve"> the</w:t>
      </w:r>
      <w:r w:rsidR="00773798" w:rsidRPr="007E2A65">
        <w:t xml:space="preserve"> operator) and i</w:t>
      </w:r>
      <w:r w:rsidR="00382F3B" w:rsidRPr="007E2A65">
        <w:t>ncentive contracts</w:t>
      </w:r>
      <w:r w:rsidR="00773798" w:rsidRPr="007E2A65">
        <w:t xml:space="preserve"> (revenue risk shared). The degree of c</w:t>
      </w:r>
      <w:r w:rsidR="00382F3B" w:rsidRPr="007E2A65">
        <w:t xml:space="preserve">ompleteness of </w:t>
      </w:r>
      <w:r w:rsidR="00773798" w:rsidRPr="007E2A65">
        <w:t xml:space="preserve">the </w:t>
      </w:r>
      <w:r w:rsidR="00382F3B" w:rsidRPr="007E2A65">
        <w:t>contract specification</w:t>
      </w:r>
      <w:r w:rsidR="00773798" w:rsidRPr="007E2A65">
        <w:t xml:space="preserve"> is a factor and, in particular, the assets that need to be provided by the contractor (e.g. vehicles</w:t>
      </w:r>
      <w:r w:rsidR="006B09EA">
        <w:t xml:space="preserve"> and</w:t>
      </w:r>
      <w:r w:rsidR="00773798" w:rsidRPr="007E2A65">
        <w:t xml:space="preserve"> depots). </w:t>
      </w:r>
      <w:r w:rsidR="00CA283A" w:rsidRPr="007E2A65">
        <w:t xml:space="preserve">Contract duration is a perennial issue with short contracts having advantages in terms of applying competitive pressure but disadvantages in terms of promoting strategic investments. </w:t>
      </w:r>
      <w:r w:rsidR="00773798" w:rsidRPr="007E2A65">
        <w:t>In reality</w:t>
      </w:r>
      <w:r w:rsidR="002F4B01">
        <w:t>,</w:t>
      </w:r>
      <w:r w:rsidR="00773798" w:rsidRPr="007E2A65">
        <w:t xml:space="preserve"> h</w:t>
      </w:r>
      <w:r w:rsidR="00382F3B" w:rsidRPr="007E2A65">
        <w:t>ybrids</w:t>
      </w:r>
      <w:r w:rsidR="00773798" w:rsidRPr="007E2A65">
        <w:t xml:space="preserve"> of these contract dimen</w:t>
      </w:r>
      <w:r w:rsidR="00EC1508" w:rsidRPr="007E2A65">
        <w:t>sions might be expected such as c</w:t>
      </w:r>
      <w:r w:rsidR="00773798" w:rsidRPr="007E2A65">
        <w:t xml:space="preserve">ompetitive contracting-out </w:t>
      </w:r>
      <w:r w:rsidR="00EC1508" w:rsidRPr="007E2A65">
        <w:t xml:space="preserve">in combination </w:t>
      </w:r>
      <w:r w:rsidR="00773798" w:rsidRPr="007E2A65">
        <w:t>with direct awards and/or performance based awards</w:t>
      </w:r>
      <w:r w:rsidR="002F4B01">
        <w:t>.</w:t>
      </w:r>
    </w:p>
    <w:p w14:paraId="4933C03F" w14:textId="3390614A" w:rsidR="00DD70BB" w:rsidRPr="007E2A65" w:rsidRDefault="00EC1508" w:rsidP="00CC0A2B">
      <w:r w:rsidRPr="007E2A65">
        <w:t>Our discussions wil</w:t>
      </w:r>
      <w:r w:rsidR="007E2A65" w:rsidRPr="007E2A65">
        <w:t>l also focus on the contracting-</w:t>
      </w:r>
      <w:r w:rsidRPr="007E2A65">
        <w:t xml:space="preserve">out </w:t>
      </w:r>
      <w:r w:rsidR="002F4B01" w:rsidRPr="007E2A65">
        <w:t>life cycle</w:t>
      </w:r>
      <w:r w:rsidRPr="007E2A65">
        <w:t>, illustrated by Figure 1 (</w:t>
      </w:r>
      <w:r w:rsidR="00B82C2C">
        <w:t xml:space="preserve">adapted </w:t>
      </w:r>
      <w:r w:rsidRPr="007E2A65">
        <w:t>from Preston and Shaw, 2000)</w:t>
      </w:r>
      <w:r w:rsidR="00CC0A2B">
        <w:t xml:space="preserve">, </w:t>
      </w:r>
      <w:r w:rsidR="00CC0A2B" w:rsidRPr="00CC0A2B">
        <w:t xml:space="preserve">whilst acknowledging that this cycle may not be valid in all cases. </w:t>
      </w:r>
      <w:r w:rsidRPr="007E2A65">
        <w:t xml:space="preserve"> </w:t>
      </w:r>
    </w:p>
    <w:p w14:paraId="71917DED" w14:textId="45C229EE" w:rsidR="00B82C2C" w:rsidRPr="00B82C2C" w:rsidRDefault="00B82C2C" w:rsidP="00B82C2C">
      <w:pPr>
        <w:rPr>
          <w:b/>
        </w:rPr>
      </w:pPr>
      <w:r w:rsidRPr="00B82C2C">
        <w:rPr>
          <w:b/>
          <w:noProof/>
          <w:lang w:eastAsia="en-GB"/>
        </w:rPr>
        <mc:AlternateContent>
          <mc:Choice Requires="wps">
            <w:drawing>
              <wp:anchor distT="0" distB="0" distL="114300" distR="114300" simplePos="0" relativeHeight="251671552" behindDoc="0" locked="0" layoutInCell="0" allowOverlap="1" wp14:anchorId="43CB19CF" wp14:editId="068E13B1">
                <wp:simplePos x="0" y="0"/>
                <wp:positionH relativeFrom="column">
                  <wp:posOffset>618490</wp:posOffset>
                </wp:positionH>
                <wp:positionV relativeFrom="paragraph">
                  <wp:posOffset>2034540</wp:posOffset>
                </wp:positionV>
                <wp:extent cx="1371600" cy="548640"/>
                <wp:effectExtent l="11430" t="55245" r="17145" b="5715"/>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7160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79158" id="Freeform 24" o:spid="_x0000_s1026" style="position:absolute;margin-left:48.7pt;margin-top:160.2pt;width:108pt;height:43.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" o:allowincell="f" path="m-1,nfc11929,,21600,9670,21600,21600em-1,nsc11929,,21600,9670,21600,21600l,21600,-1,xe" filled="f">
                <v:stroke startarrow="block"/>
                <v:path arrowok="t" o:extrusionok="f" o:connecttype="custom" o:connectlocs="0,0;1371600,548640;0,548640" o:connectangles="0,0,0"/>
              </v:shape>
            </w:pict>
          </mc:Fallback>
        </mc:AlternateContent>
      </w:r>
      <w:r w:rsidRPr="00B82C2C">
        <w:rPr>
          <w:b/>
          <w:noProof/>
          <w:lang w:eastAsia="en-GB"/>
        </w:rPr>
        <mc:AlternateContent>
          <mc:Choice Requires="wps">
            <w:drawing>
              <wp:anchor distT="0" distB="0" distL="114300" distR="114300" simplePos="0" relativeHeight="251670528" behindDoc="0" locked="0" layoutInCell="0" allowOverlap="1" wp14:anchorId="61A9F4D3" wp14:editId="7E264590">
                <wp:simplePos x="0" y="0"/>
                <wp:positionH relativeFrom="column">
                  <wp:posOffset>527050</wp:posOffset>
                </wp:positionH>
                <wp:positionV relativeFrom="paragraph">
                  <wp:posOffset>3223260</wp:posOffset>
                </wp:positionV>
                <wp:extent cx="822960" cy="1188720"/>
                <wp:effectExtent l="53340" t="15240" r="9525" b="571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22960" cy="1188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3721" id="Freeform 23" o:spid="_x0000_s1026" style="position:absolute;margin-left:41.5pt;margin-top:253.8pt;width:64.8pt;height:93.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" o:allowincell="f" path="m-1,nfc11929,,21600,9670,21600,21600em-1,nsc11929,,21600,9670,21600,21600l,21600,-1,xe" filled="f">
                <v:stroke endarrow="block"/>
                <v:path arrowok="t" o:extrusionok="f" o:connecttype="custom" o:connectlocs="0,0;822960,1188720;0,1188720" o:connectangles="0,0,0"/>
              </v:shape>
            </w:pict>
          </mc:Fallback>
        </mc:AlternateContent>
      </w:r>
      <w:r w:rsidRPr="00B82C2C">
        <w:rPr>
          <w:b/>
          <w:noProof/>
          <w:lang w:eastAsia="en-GB"/>
        </w:rPr>
        <mc:AlternateContent>
          <mc:Choice Requires="wps">
            <w:drawing>
              <wp:anchor distT="0" distB="0" distL="114300" distR="114300" simplePos="0" relativeHeight="251669504" behindDoc="0" locked="0" layoutInCell="0" allowOverlap="1" wp14:anchorId="502223E9" wp14:editId="3594ED3D">
                <wp:simplePos x="0" y="0"/>
                <wp:positionH relativeFrom="column">
                  <wp:posOffset>69850</wp:posOffset>
                </wp:positionH>
                <wp:positionV relativeFrom="paragraph">
                  <wp:posOffset>2583180</wp:posOffset>
                </wp:positionV>
                <wp:extent cx="1097280" cy="640080"/>
                <wp:effectExtent l="5715" t="13335" r="11430"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14:paraId="1DFC6252" w14:textId="1E4AF6A0" w:rsidR="00C76C40" w:rsidRDefault="00C76C40" w:rsidP="00B82C2C">
                            <w:r>
                              <w:t>Contract Evaluation &amp; Renewal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223E9" id="_x0000_t202" coordsize="21600,21600" o:spt="202" path="m,l,21600r21600,l21600,xe">
                <v:stroke joinstyle="miter"/>
                <v:path gradientshapeok="t" o:connecttype="rect"/>
              </v:shapetype>
              <v:shape id="Text Box 22" o:spid="_x0000_s1026" type="#_x0000_t202" style="position:absolute;margin-left:5.5pt;margin-top:203.4pt;width:86.4pt;height:5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lKAIAAFI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" o:allowincell="f">
                <v:textbox>
                  <w:txbxContent>
                    <w:p w14:paraId="1DFC6252" w14:textId="1E4AF6A0" w:rsidR="00C76C40" w:rsidRDefault="00C76C40" w:rsidP="00B82C2C">
                      <w:r>
                        <w:t>Contract Evaluation &amp; Renewal</w:t>
                      </w:r>
                    </w:p>
                  </w:txbxContent>
                </v:textbox>
              </v:shape>
            </w:pict>
          </mc:Fallback>
        </mc:AlternateContent>
      </w:r>
      <w:r w:rsidRPr="00B82C2C">
        <w:rPr>
          <w:b/>
          <w:noProof/>
          <w:lang w:eastAsia="en-GB"/>
        </w:rPr>
        <mc:AlternateContent>
          <mc:Choice Requires="wps">
            <w:drawing>
              <wp:anchor distT="0" distB="0" distL="114300" distR="114300" simplePos="0" relativeHeight="251667456" behindDoc="0" locked="0" layoutInCell="0" allowOverlap="1" wp14:anchorId="4CE2E4FB" wp14:editId="0E674D2C">
                <wp:simplePos x="0" y="0"/>
                <wp:positionH relativeFrom="column">
                  <wp:posOffset>1350010</wp:posOffset>
                </wp:positionH>
                <wp:positionV relativeFrom="paragraph">
                  <wp:posOffset>4320540</wp:posOffset>
                </wp:positionV>
                <wp:extent cx="1188720" cy="731520"/>
                <wp:effectExtent l="9525" t="7620" r="11430"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731520"/>
                        </a:xfrm>
                        <a:prstGeom prst="rect">
                          <a:avLst/>
                        </a:prstGeom>
                        <a:solidFill>
                          <a:srgbClr val="FFFFFF"/>
                        </a:solidFill>
                        <a:ln w="9525">
                          <a:solidFill>
                            <a:srgbClr val="000000"/>
                          </a:solidFill>
                          <a:miter lim="800000"/>
                          <a:headEnd/>
                          <a:tailEnd/>
                        </a:ln>
                      </wps:spPr>
                      <wps:txbx>
                        <w:txbxContent>
                          <w:p w14:paraId="66009B9D" w14:textId="18AE4A4B" w:rsidR="00C76C40" w:rsidRDefault="00C76C40" w:rsidP="005451CE">
                            <w:r>
                              <w:t>Contract Enforcement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E4FB" id="Text Box 20" o:spid="_x0000_s1027" type="#_x0000_t202" style="position:absolute;margin-left:106.3pt;margin-top:340.2pt;width:93.6pt;height:5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" o:allowincell="f">
                <v:textbox>
                  <w:txbxContent>
                    <w:p w14:paraId="66009B9D" w14:textId="18AE4A4B" w:rsidR="00C76C40" w:rsidRDefault="00C76C40" w:rsidP="005451CE">
                      <w:r>
                        <w:t>Contract Enforcement</w:t>
                      </w:r>
                    </w:p>
                  </w:txbxContent>
                </v:textbox>
              </v:shape>
            </w:pict>
          </mc:Fallback>
        </mc:AlternateContent>
      </w:r>
      <w:r w:rsidRPr="00B82C2C">
        <w:rPr>
          <w:b/>
          <w:noProof/>
          <w:lang w:eastAsia="en-GB"/>
        </w:rPr>
        <mc:AlternateContent>
          <mc:Choice Requires="wps">
            <w:drawing>
              <wp:anchor distT="0" distB="0" distL="114300" distR="114300" simplePos="0" relativeHeight="251666432" behindDoc="0" locked="0" layoutInCell="0" allowOverlap="1" wp14:anchorId="37773E23" wp14:editId="198F0E0D">
                <wp:simplePos x="0" y="0"/>
                <wp:positionH relativeFrom="column">
                  <wp:posOffset>4184650</wp:posOffset>
                </wp:positionH>
                <wp:positionV relativeFrom="paragraph">
                  <wp:posOffset>3131820</wp:posOffset>
                </wp:positionV>
                <wp:extent cx="731520" cy="1188720"/>
                <wp:effectExtent l="15240" t="9525" r="5715" b="5905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1520" cy="1188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FF166" id="Freeform 19" o:spid="_x0000_s1026" style="position:absolute;margin-left:329.5pt;margin-top:246.6pt;width:57.6pt;height:9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" o:allowincell="f" path="m-1,nfc11929,,21600,9670,21600,21600em-1,nsc11929,,21600,9670,21600,21600l,21600,-1,xe" filled="f">
                <v:stroke startarrow="block"/>
                <v:path arrowok="t" o:extrusionok="f" o:connecttype="custom" o:connectlocs="0,0;731520,1188720;0,1188720" o:connectangles="0,0,0"/>
              </v:shape>
            </w:pict>
          </mc:Fallback>
        </mc:AlternateContent>
      </w:r>
      <w:r w:rsidRPr="00B82C2C">
        <w:rPr>
          <w:b/>
          <w:noProof/>
          <w:lang w:eastAsia="en-GB"/>
        </w:rPr>
        <mc:AlternateContent>
          <mc:Choice Requires="wps">
            <w:drawing>
              <wp:anchor distT="0" distB="0" distL="114300" distR="114300" simplePos="0" relativeHeight="251664384" behindDoc="0" locked="0" layoutInCell="0" allowOverlap="1" wp14:anchorId="750CBD63" wp14:editId="613BC0D8">
                <wp:simplePos x="0" y="0"/>
                <wp:positionH relativeFrom="column">
                  <wp:posOffset>3270250</wp:posOffset>
                </wp:positionH>
                <wp:positionV relativeFrom="paragraph">
                  <wp:posOffset>2034540</wp:posOffset>
                </wp:positionV>
                <wp:extent cx="1554480" cy="457200"/>
                <wp:effectExtent l="5715" t="7620" r="59055" b="2095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232F8" id="Freeform 17" o:spid="_x0000_s1026" style="position:absolute;margin-left:257.5pt;margin-top:160.2pt;width:122.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" o:allowincell="f" path="m-1,nfc11929,,21600,9670,21600,21600em-1,nsc11929,,21600,9670,21600,21600l,21600,-1,xe" filled="f">
                <v:stroke endarrow="block"/>
                <v:path arrowok="t" o:extrusionok="f" o:connecttype="custom" o:connectlocs="0,0;1554480,457200;0,457200" o:connectangles="0,0,0"/>
              </v:shape>
            </w:pict>
          </mc:Fallback>
        </mc:AlternateContent>
      </w:r>
      <w:r w:rsidRPr="00B82C2C">
        <w:rPr>
          <w:b/>
          <w:noProof/>
          <w:lang w:eastAsia="en-GB"/>
        </w:rPr>
        <mc:AlternateContent>
          <mc:Choice Requires="wps">
            <w:drawing>
              <wp:anchor distT="0" distB="0" distL="114300" distR="114300" simplePos="0" relativeHeight="251663360" behindDoc="0" locked="0" layoutInCell="0" allowOverlap="1" wp14:anchorId="04CA7FEC" wp14:editId="68CE060F">
                <wp:simplePos x="0" y="0"/>
                <wp:positionH relativeFrom="column">
                  <wp:posOffset>4367530</wp:posOffset>
                </wp:positionH>
                <wp:positionV relativeFrom="paragraph">
                  <wp:posOffset>2491740</wp:posOffset>
                </wp:positionV>
                <wp:extent cx="1097280" cy="640080"/>
                <wp:effectExtent l="7620" t="762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14:paraId="6380DE1F" w14:textId="74C828EA" w:rsidR="00C76C40" w:rsidRDefault="00C76C40" w:rsidP="00B82C2C">
                            <w:r>
                              <w:t>Contract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7FEC" id="Text Box 16" o:spid="_x0000_s1028" type="#_x0000_t202" style="position:absolute;margin-left:343.9pt;margin-top:196.2pt;width:86.4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NjKwIAAFk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" o:allowincell="f">
                <v:textbox>
                  <w:txbxContent>
                    <w:p w14:paraId="6380DE1F" w14:textId="74C828EA" w:rsidR="00C76C40" w:rsidRDefault="00C76C40" w:rsidP="00B82C2C">
                      <w:r>
                        <w:t>Contract Specification</w:t>
                      </w:r>
                    </w:p>
                  </w:txbxContent>
                </v:textbox>
              </v:shape>
            </w:pict>
          </mc:Fallback>
        </mc:AlternateContent>
      </w:r>
      <w:r w:rsidRPr="00B82C2C">
        <w:rPr>
          <w:b/>
          <w:noProof/>
          <w:lang w:eastAsia="en-GB"/>
        </w:rPr>
        <mc:AlternateContent>
          <mc:Choice Requires="wps">
            <w:drawing>
              <wp:anchor distT="0" distB="0" distL="114300" distR="114300" simplePos="0" relativeHeight="251662336" behindDoc="0" locked="0" layoutInCell="0" allowOverlap="1" wp14:anchorId="679A2513" wp14:editId="37327BCF">
                <wp:simplePos x="0" y="0"/>
                <wp:positionH relativeFrom="column">
                  <wp:posOffset>1990090</wp:posOffset>
                </wp:positionH>
                <wp:positionV relativeFrom="paragraph">
                  <wp:posOffset>1851660</wp:posOffset>
                </wp:positionV>
                <wp:extent cx="1280160" cy="640080"/>
                <wp:effectExtent l="11430" t="5715" r="1333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40080"/>
                        </a:xfrm>
                        <a:prstGeom prst="rect">
                          <a:avLst/>
                        </a:prstGeom>
                        <a:solidFill>
                          <a:srgbClr val="FFFFFF"/>
                        </a:solidFill>
                        <a:ln w="9525">
                          <a:solidFill>
                            <a:srgbClr val="000000"/>
                          </a:solidFill>
                          <a:miter lim="800000"/>
                          <a:headEnd/>
                          <a:tailEnd/>
                        </a:ln>
                      </wps:spPr>
                      <wps:txbx>
                        <w:txbxContent>
                          <w:p w14:paraId="48E55A68" w14:textId="6F295B4D" w:rsidR="00C76C40" w:rsidRDefault="00C76C40" w:rsidP="00B82C2C">
                            <w:r>
                              <w:t>Contract Competition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2513" id="Text Box 15" o:spid="_x0000_s1029" type="#_x0000_t202" style="position:absolute;margin-left:156.7pt;margin-top:145.8pt;width:100.8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" o:allowincell="f">
                <v:textbox>
                  <w:txbxContent>
                    <w:p w14:paraId="48E55A68" w14:textId="6F295B4D" w:rsidR="00C76C40" w:rsidRDefault="00C76C40" w:rsidP="00B82C2C">
                      <w:r>
                        <w:t>Contract Competition</w:t>
                      </w:r>
                    </w:p>
                  </w:txbxContent>
                </v:textbox>
              </v:shape>
            </w:pict>
          </mc:Fallback>
        </mc:AlternateContent>
      </w:r>
      <w:r w:rsidRPr="00B82C2C">
        <w:rPr>
          <w:b/>
          <w:noProof/>
          <w:lang w:eastAsia="en-GB"/>
        </w:rPr>
        <mc:AlternateContent>
          <mc:Choice Requires="wps">
            <w:drawing>
              <wp:anchor distT="0" distB="0" distL="114300" distR="114300" simplePos="0" relativeHeight="251661312" behindDoc="0" locked="0" layoutInCell="0" allowOverlap="1" wp14:anchorId="1F8D276A" wp14:editId="29E1C16B">
                <wp:simplePos x="0" y="0"/>
                <wp:positionH relativeFrom="column">
                  <wp:posOffset>2447290</wp:posOffset>
                </wp:positionH>
                <wp:positionV relativeFrom="paragraph">
                  <wp:posOffset>1028700</wp:posOffset>
                </wp:positionV>
                <wp:extent cx="0" cy="822960"/>
                <wp:effectExtent l="59055" t="20955" r="55245" b="1333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174BF" id="Straight Connector 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pt,81pt" to="192.7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" o:allowincell="f">
                <v:stroke endarrow="block"/>
              </v:line>
            </w:pict>
          </mc:Fallback>
        </mc:AlternateContent>
      </w:r>
      <w:r w:rsidRPr="00B82C2C">
        <w:rPr>
          <w:b/>
          <w:noProof/>
          <w:lang w:eastAsia="en-GB"/>
        </w:rPr>
        <mc:AlternateContent>
          <mc:Choice Requires="wps">
            <w:drawing>
              <wp:anchor distT="0" distB="0" distL="114300" distR="114300" simplePos="0" relativeHeight="251660288" behindDoc="0" locked="0" layoutInCell="0" allowOverlap="1" wp14:anchorId="052DDB5D" wp14:editId="476D9513">
                <wp:simplePos x="0" y="0"/>
                <wp:positionH relativeFrom="column">
                  <wp:posOffset>2630170</wp:posOffset>
                </wp:positionH>
                <wp:positionV relativeFrom="paragraph">
                  <wp:posOffset>1028700</wp:posOffset>
                </wp:positionV>
                <wp:extent cx="0" cy="822960"/>
                <wp:effectExtent l="60960" t="11430" r="53340" b="228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F7A62"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81pt" to="207.1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wM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" o:allowincell="f">
                <v:stroke endarrow="block"/>
              </v:line>
            </w:pict>
          </mc:Fallback>
        </mc:AlternateContent>
      </w:r>
      <w:r w:rsidRPr="00B82C2C">
        <w:rPr>
          <w:b/>
          <w:noProof/>
          <w:lang w:eastAsia="en-GB"/>
        </w:rPr>
        <mc:AlternateContent>
          <mc:Choice Requires="wps">
            <w:drawing>
              <wp:anchor distT="0" distB="0" distL="114300" distR="114300" simplePos="0" relativeHeight="251659264" behindDoc="0" locked="0" layoutInCell="0" allowOverlap="1" wp14:anchorId="4B4527B2" wp14:editId="3AE026CB">
                <wp:simplePos x="0" y="0"/>
                <wp:positionH relativeFrom="column">
                  <wp:posOffset>1990090</wp:posOffset>
                </wp:positionH>
                <wp:positionV relativeFrom="paragraph">
                  <wp:posOffset>114300</wp:posOffset>
                </wp:positionV>
                <wp:extent cx="1188720" cy="914400"/>
                <wp:effectExtent l="11430" t="11430" r="952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14400"/>
                        </a:xfrm>
                        <a:prstGeom prst="rect">
                          <a:avLst/>
                        </a:prstGeom>
                        <a:solidFill>
                          <a:srgbClr val="FFFFFF"/>
                        </a:solidFill>
                        <a:ln w="9525">
                          <a:solidFill>
                            <a:srgbClr val="000000"/>
                          </a:solidFill>
                          <a:miter lim="800000"/>
                          <a:headEnd/>
                          <a:tailEnd/>
                        </a:ln>
                      </wps:spPr>
                      <wps:txbx>
                        <w:txbxContent>
                          <w:p w14:paraId="23640B38" w14:textId="48B18CAB" w:rsidR="00C76C40" w:rsidRDefault="00C76C40" w:rsidP="00B82C2C">
                            <w:r>
                              <w:t>Public Transport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527B2" id="Text Box 11" o:spid="_x0000_s1030" type="#_x0000_t202" style="position:absolute;margin-left:156.7pt;margin-top:9pt;width:93.6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" o:allowincell="f">
                <v:textbox>
                  <w:txbxContent>
                    <w:p w14:paraId="23640B38" w14:textId="48B18CAB" w:rsidR="00C76C40" w:rsidRDefault="00C76C40" w:rsidP="00B82C2C">
                      <w:r>
                        <w:t>Public Transport Environment</w:t>
                      </w:r>
                    </w:p>
                  </w:txbxContent>
                </v:textbox>
              </v:shape>
            </w:pict>
          </mc:Fallback>
        </mc:AlternateContent>
      </w:r>
    </w:p>
    <w:p w14:paraId="2468D7E6" w14:textId="1CBE3530" w:rsidR="00B82C2C" w:rsidRDefault="00B82C2C" w:rsidP="00AC41C6">
      <w:pPr>
        <w:rPr>
          <w:b/>
        </w:rPr>
      </w:pPr>
    </w:p>
    <w:p w14:paraId="480B314D" w14:textId="3DC9537C" w:rsidR="00B82C2C" w:rsidRDefault="00B82C2C" w:rsidP="00AC41C6">
      <w:pPr>
        <w:rPr>
          <w:b/>
        </w:rPr>
      </w:pPr>
    </w:p>
    <w:p w14:paraId="6F949848" w14:textId="1AA3A962" w:rsidR="00B82C2C" w:rsidRDefault="00B82C2C" w:rsidP="00AC41C6">
      <w:pPr>
        <w:rPr>
          <w:b/>
        </w:rPr>
      </w:pPr>
    </w:p>
    <w:p w14:paraId="13A5CA2E" w14:textId="472F6774" w:rsidR="00B82C2C" w:rsidRDefault="00B82C2C" w:rsidP="00AC41C6">
      <w:pPr>
        <w:rPr>
          <w:b/>
        </w:rPr>
      </w:pPr>
    </w:p>
    <w:p w14:paraId="00A09C32" w14:textId="57241F18" w:rsidR="00B82C2C" w:rsidRDefault="00B82C2C" w:rsidP="00AC41C6">
      <w:pPr>
        <w:rPr>
          <w:b/>
        </w:rPr>
      </w:pPr>
    </w:p>
    <w:p w14:paraId="1FC9BB1B" w14:textId="37EFCF6F" w:rsidR="00B82C2C" w:rsidRDefault="00B82C2C" w:rsidP="00AC41C6">
      <w:pPr>
        <w:rPr>
          <w:b/>
        </w:rPr>
      </w:pPr>
    </w:p>
    <w:p w14:paraId="05F5A2BB" w14:textId="113695EE" w:rsidR="00B82C2C" w:rsidRDefault="00B82C2C" w:rsidP="00AC41C6">
      <w:pPr>
        <w:rPr>
          <w:b/>
        </w:rPr>
      </w:pPr>
    </w:p>
    <w:p w14:paraId="762298A2" w14:textId="6E9EBD6D" w:rsidR="00B82C2C" w:rsidRDefault="00B82C2C" w:rsidP="00AC41C6">
      <w:pPr>
        <w:rPr>
          <w:b/>
        </w:rPr>
      </w:pPr>
    </w:p>
    <w:p w14:paraId="5AD601A5" w14:textId="7A1C6B19" w:rsidR="00B82C2C" w:rsidRDefault="00B82C2C" w:rsidP="00AC41C6">
      <w:pPr>
        <w:rPr>
          <w:b/>
        </w:rPr>
      </w:pPr>
    </w:p>
    <w:p w14:paraId="2F459BBD" w14:textId="06811E07" w:rsidR="00B82C2C" w:rsidRDefault="00B82C2C" w:rsidP="00AC41C6">
      <w:pPr>
        <w:rPr>
          <w:b/>
        </w:rPr>
      </w:pPr>
    </w:p>
    <w:p w14:paraId="22699CF4" w14:textId="0EFE792B" w:rsidR="00B82C2C" w:rsidRDefault="00B82C2C" w:rsidP="00AC41C6">
      <w:pPr>
        <w:rPr>
          <w:b/>
        </w:rPr>
      </w:pPr>
    </w:p>
    <w:p w14:paraId="537B1021" w14:textId="28E911C4" w:rsidR="00B82C2C" w:rsidRDefault="00B82C2C" w:rsidP="00AC41C6">
      <w:pPr>
        <w:rPr>
          <w:b/>
        </w:rPr>
      </w:pPr>
    </w:p>
    <w:p w14:paraId="105B62E6" w14:textId="243AA94D" w:rsidR="00B82C2C" w:rsidRDefault="00B82C2C" w:rsidP="00AC41C6">
      <w:pPr>
        <w:rPr>
          <w:b/>
        </w:rPr>
      </w:pPr>
    </w:p>
    <w:p w14:paraId="797DB52D" w14:textId="5DDA9289" w:rsidR="00B82C2C" w:rsidRDefault="00B82C2C" w:rsidP="00AC41C6">
      <w:pPr>
        <w:rPr>
          <w:b/>
        </w:rPr>
      </w:pPr>
    </w:p>
    <w:p w14:paraId="253485D6" w14:textId="44CF56A5" w:rsidR="00B82C2C" w:rsidRDefault="00B82C2C" w:rsidP="00AC41C6">
      <w:pPr>
        <w:rPr>
          <w:b/>
        </w:rPr>
      </w:pPr>
      <w:r w:rsidRPr="00B82C2C">
        <w:rPr>
          <w:b/>
          <w:noProof/>
          <w:lang w:eastAsia="en-GB"/>
        </w:rPr>
        <mc:AlternateContent>
          <mc:Choice Requires="wps">
            <w:drawing>
              <wp:anchor distT="0" distB="0" distL="114300" distR="114300" simplePos="0" relativeHeight="251665408" behindDoc="0" locked="0" layoutInCell="0" allowOverlap="1" wp14:anchorId="74978D18" wp14:editId="4A0E83EF">
                <wp:simplePos x="0" y="0"/>
                <wp:positionH relativeFrom="column">
                  <wp:posOffset>3686322</wp:posOffset>
                </wp:positionH>
                <wp:positionV relativeFrom="paragraph">
                  <wp:posOffset>36195</wp:posOffset>
                </wp:positionV>
                <wp:extent cx="1280160" cy="731520"/>
                <wp:effectExtent l="0" t="0" r="1524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31520"/>
                        </a:xfrm>
                        <a:prstGeom prst="rect">
                          <a:avLst/>
                        </a:prstGeom>
                        <a:solidFill>
                          <a:srgbClr val="FFFFFF"/>
                        </a:solidFill>
                        <a:ln w="9525">
                          <a:solidFill>
                            <a:srgbClr val="000000"/>
                          </a:solidFill>
                          <a:miter lim="800000"/>
                          <a:headEnd/>
                          <a:tailEnd/>
                        </a:ln>
                      </wps:spPr>
                      <wps:txbx>
                        <w:txbxContent>
                          <w:p w14:paraId="0E1D5890" w14:textId="7164E779" w:rsidR="00C76C40" w:rsidRDefault="00C76C40" w:rsidP="00B82C2C">
                            <w:r>
                              <w:t>Bid Evaluation &amp; Contract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8D18" id="Text Box 18" o:spid="_x0000_s1031" type="#_x0000_t202" style="position:absolute;margin-left:290.25pt;margin-top:2.85pt;width:100.8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" o:allowincell="f">
                <v:textbox>
                  <w:txbxContent>
                    <w:p w14:paraId="0E1D5890" w14:textId="7164E779" w:rsidR="00C76C40" w:rsidRDefault="00C76C40" w:rsidP="00B82C2C">
                      <w:r>
                        <w:t>Bid Evaluation &amp; Contract Award</w:t>
                      </w:r>
                    </w:p>
                  </w:txbxContent>
                </v:textbox>
              </v:shape>
            </w:pict>
          </mc:Fallback>
        </mc:AlternateContent>
      </w:r>
      <w:r w:rsidRPr="00B82C2C">
        <w:rPr>
          <w:b/>
          <w:noProof/>
          <w:lang w:eastAsia="en-GB"/>
        </w:rPr>
        <mc:AlternateContent>
          <mc:Choice Requires="wps">
            <w:drawing>
              <wp:anchor distT="0" distB="0" distL="114300" distR="114300" simplePos="0" relativeHeight="251668480" behindDoc="0" locked="0" layoutInCell="0" allowOverlap="1" wp14:anchorId="48C872A4" wp14:editId="4DE1C39C">
                <wp:simplePos x="0" y="0"/>
                <wp:positionH relativeFrom="column">
                  <wp:posOffset>2538046</wp:posOffset>
                </wp:positionH>
                <wp:positionV relativeFrom="paragraph">
                  <wp:posOffset>123190</wp:posOffset>
                </wp:positionV>
                <wp:extent cx="1154723" cy="0"/>
                <wp:effectExtent l="38100" t="76200" r="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47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7D8E1" id="Straight Connector 2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5pt,9.7pt" to="29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" o:allowincell="f">
                <v:stroke endarrow="block"/>
              </v:line>
            </w:pict>
          </mc:Fallback>
        </mc:AlternateContent>
      </w:r>
    </w:p>
    <w:p w14:paraId="007DBD90" w14:textId="177B08B6" w:rsidR="00B82C2C" w:rsidRDefault="00B82C2C" w:rsidP="00AC41C6">
      <w:pPr>
        <w:rPr>
          <w:b/>
        </w:rPr>
      </w:pPr>
    </w:p>
    <w:p w14:paraId="6609F4D9" w14:textId="441A301D" w:rsidR="00B82C2C" w:rsidRDefault="00B82C2C" w:rsidP="00AC41C6">
      <w:pPr>
        <w:rPr>
          <w:b/>
        </w:rPr>
      </w:pPr>
    </w:p>
    <w:p w14:paraId="3CA9CF24" w14:textId="137C1846" w:rsidR="00AC41C6" w:rsidRPr="007E2A65" w:rsidRDefault="00AC41C6" w:rsidP="00AC41C6">
      <w:pPr>
        <w:rPr>
          <w:b/>
        </w:rPr>
      </w:pPr>
      <w:r w:rsidRPr="007E2A65">
        <w:rPr>
          <w:b/>
        </w:rPr>
        <w:t xml:space="preserve">Figure 1: The Contracting-Out </w:t>
      </w:r>
      <w:r w:rsidR="00B82C2C">
        <w:rPr>
          <w:b/>
        </w:rPr>
        <w:t>L</w:t>
      </w:r>
      <w:r w:rsidRPr="007E2A65">
        <w:rPr>
          <w:b/>
        </w:rPr>
        <w:t xml:space="preserve">ife </w:t>
      </w:r>
      <w:r w:rsidR="00B82C2C">
        <w:rPr>
          <w:b/>
        </w:rPr>
        <w:t>C</w:t>
      </w:r>
      <w:r w:rsidRPr="007E2A65">
        <w:rPr>
          <w:b/>
        </w:rPr>
        <w:t>ycle</w:t>
      </w:r>
    </w:p>
    <w:p w14:paraId="06491DCF" w14:textId="1ABBE9BB" w:rsidR="00090DFD" w:rsidRPr="007E2A65" w:rsidRDefault="00EC1508">
      <w:r w:rsidRPr="007E2A65">
        <w:t xml:space="preserve">As noted by </w:t>
      </w:r>
      <w:proofErr w:type="spellStart"/>
      <w:r w:rsidRPr="007E2A65">
        <w:t>Hensher</w:t>
      </w:r>
      <w:proofErr w:type="spellEnd"/>
      <w:r w:rsidRPr="007E2A65">
        <w:t>, Bray and Wong</w:t>
      </w:r>
      <w:r w:rsidR="006B09EA">
        <w:t xml:space="preserve"> (</w:t>
      </w:r>
      <w:r w:rsidR="0058345A">
        <w:t>2017</w:t>
      </w:r>
      <w:r w:rsidR="006B09EA">
        <w:t>)</w:t>
      </w:r>
      <w:r w:rsidRPr="007E2A65">
        <w:t>, the focus of past conferences has been on the design stage (contract specification in Figure 1). There has been less focus on procurement (contract renewal and compe</w:t>
      </w:r>
      <w:r w:rsidR="00090DFD" w:rsidRPr="007E2A65">
        <w:t xml:space="preserve">tition) and on management (contract award and enforcement). </w:t>
      </w:r>
    </w:p>
    <w:p w14:paraId="7025037E" w14:textId="11573295" w:rsidR="00090DFD" w:rsidRPr="007E2A65" w:rsidRDefault="00090DFD" w:rsidP="00090DFD">
      <w:pPr>
        <w:tabs>
          <w:tab w:val="num" w:pos="720"/>
        </w:tabs>
        <w:rPr>
          <w:bCs/>
        </w:rPr>
      </w:pPr>
      <w:r w:rsidRPr="007E2A65">
        <w:t>An important further issue highlighted by Figure 1 is the inter-relationship between the public transport environment and the contracting process.</w:t>
      </w:r>
      <w:r w:rsidR="00EC1508" w:rsidRPr="007E2A65">
        <w:t xml:space="preserve"> </w:t>
      </w:r>
      <w:r w:rsidRPr="007E2A65">
        <w:t xml:space="preserve"> </w:t>
      </w:r>
      <w:r w:rsidRPr="007E2A65">
        <w:rPr>
          <w:bCs/>
        </w:rPr>
        <w:t xml:space="preserve">Desirable properties of contracted-out markets may include stable service requirements, </w:t>
      </w:r>
      <w:r w:rsidR="002F4B01" w:rsidRPr="007E2A65">
        <w:rPr>
          <w:bCs/>
        </w:rPr>
        <w:t>well-understood</w:t>
      </w:r>
      <w:r w:rsidR="00382F3B" w:rsidRPr="007E2A65">
        <w:rPr>
          <w:bCs/>
        </w:rPr>
        <w:t xml:space="preserve"> technology</w:t>
      </w:r>
      <w:r w:rsidRPr="007E2A65">
        <w:rPr>
          <w:bCs/>
        </w:rPr>
        <w:t>, f</w:t>
      </w:r>
      <w:r w:rsidR="00382F3B" w:rsidRPr="007E2A65">
        <w:rPr>
          <w:bCs/>
        </w:rPr>
        <w:t>ew sunk costs</w:t>
      </w:r>
      <w:r w:rsidRPr="007E2A65">
        <w:rPr>
          <w:bCs/>
        </w:rPr>
        <w:t>, ease of defining and letting the contracts and ease of enforcing service delivery</w:t>
      </w:r>
      <w:r w:rsidR="00DB098F" w:rsidRPr="007E2A65">
        <w:rPr>
          <w:bCs/>
        </w:rPr>
        <w:t xml:space="preserve"> (Waterson, 1988)</w:t>
      </w:r>
      <w:r w:rsidRPr="007E2A65">
        <w:rPr>
          <w:bCs/>
        </w:rPr>
        <w:t>. Within the public transport</w:t>
      </w:r>
      <w:r w:rsidR="00B5337E" w:rsidRPr="007E2A65">
        <w:rPr>
          <w:bCs/>
        </w:rPr>
        <w:t xml:space="preserve"> industry</w:t>
      </w:r>
      <w:r w:rsidRPr="007E2A65">
        <w:rPr>
          <w:bCs/>
        </w:rPr>
        <w:t xml:space="preserve">, bus is a </w:t>
      </w:r>
      <w:r w:rsidR="002F4B01" w:rsidRPr="007E2A65">
        <w:rPr>
          <w:bCs/>
        </w:rPr>
        <w:t>well-understood</w:t>
      </w:r>
      <w:r w:rsidRPr="007E2A65">
        <w:rPr>
          <w:bCs/>
        </w:rPr>
        <w:t xml:space="preserve"> </w:t>
      </w:r>
      <w:r w:rsidR="00B5337E" w:rsidRPr="007E2A65">
        <w:rPr>
          <w:bCs/>
        </w:rPr>
        <w:t>and re</w:t>
      </w:r>
      <w:r w:rsidR="00075C1C">
        <w:rPr>
          <w:bCs/>
        </w:rPr>
        <w:t>asonably</w:t>
      </w:r>
      <w:r w:rsidR="00B5337E" w:rsidRPr="007E2A65">
        <w:rPr>
          <w:bCs/>
        </w:rPr>
        <w:t xml:space="preserve"> simple </w:t>
      </w:r>
      <w:r w:rsidRPr="007E2A65">
        <w:rPr>
          <w:bCs/>
        </w:rPr>
        <w:t xml:space="preserve">technology with relatively few sunk costs. By contrast, heavy rail is a more complex technology </w:t>
      </w:r>
      <w:r w:rsidR="00DB098F" w:rsidRPr="007E2A65">
        <w:rPr>
          <w:bCs/>
        </w:rPr>
        <w:t>with higher sunk costs. Intermediate public transport technologies, such as bus rapid transit and light rapid transit, are, naturally enough, somewhere in-between.</w:t>
      </w:r>
      <w:r w:rsidRPr="007E2A65">
        <w:rPr>
          <w:bCs/>
        </w:rPr>
        <w:t xml:space="preserve"> </w:t>
      </w:r>
    </w:p>
    <w:p w14:paraId="1054A8C4" w14:textId="5BB87A40" w:rsidR="007E6F90" w:rsidRPr="007E2A65" w:rsidRDefault="007E6F90" w:rsidP="00090DFD">
      <w:pPr>
        <w:tabs>
          <w:tab w:val="num" w:pos="720"/>
        </w:tabs>
        <w:rPr>
          <w:bCs/>
        </w:rPr>
      </w:pPr>
      <w:r w:rsidRPr="007E2A65">
        <w:rPr>
          <w:bCs/>
        </w:rPr>
        <w:t xml:space="preserve">Allied to the contracting-out </w:t>
      </w:r>
      <w:r w:rsidR="002F4B01" w:rsidRPr="007E2A65">
        <w:rPr>
          <w:bCs/>
        </w:rPr>
        <w:t>life cycle</w:t>
      </w:r>
      <w:r w:rsidRPr="007E2A65">
        <w:rPr>
          <w:bCs/>
        </w:rPr>
        <w:t xml:space="preserve"> is the concept of regulatory cycles (</w:t>
      </w:r>
      <w:proofErr w:type="spellStart"/>
      <w:r w:rsidRPr="007E2A65">
        <w:rPr>
          <w:bCs/>
        </w:rPr>
        <w:t>Gwilliam</w:t>
      </w:r>
      <w:proofErr w:type="spellEnd"/>
      <w:r w:rsidRPr="007E2A65">
        <w:rPr>
          <w:bCs/>
        </w:rPr>
        <w:t xml:space="preserve">, </w:t>
      </w:r>
      <w:r w:rsidR="00892965" w:rsidRPr="007E2A65">
        <w:rPr>
          <w:bCs/>
        </w:rPr>
        <w:t xml:space="preserve">2008, </w:t>
      </w:r>
      <w:r w:rsidRPr="007E2A65">
        <w:rPr>
          <w:bCs/>
        </w:rPr>
        <w:t>after Needham</w:t>
      </w:r>
      <w:r w:rsidR="00892965" w:rsidRPr="007E2A65">
        <w:rPr>
          <w:bCs/>
        </w:rPr>
        <w:t>, 1983</w:t>
      </w:r>
      <w:r w:rsidRPr="007E2A65">
        <w:rPr>
          <w:bCs/>
        </w:rPr>
        <w:t>)</w:t>
      </w:r>
      <w:r w:rsidR="00892965" w:rsidRPr="007E2A65">
        <w:rPr>
          <w:bCs/>
        </w:rPr>
        <w:t>. Parallels can be drawn between the regulatory cycle of Figure 2 and the life cycle of competitive tendering</w:t>
      </w:r>
      <w:r w:rsidR="00E84448">
        <w:rPr>
          <w:bCs/>
        </w:rPr>
        <w:t xml:space="preserve"> sketched by Figure 1</w:t>
      </w:r>
      <w:r w:rsidR="00892965" w:rsidRPr="007E2A65">
        <w:rPr>
          <w:bCs/>
        </w:rPr>
        <w:t>.</w:t>
      </w:r>
    </w:p>
    <w:p w14:paraId="6F5D29A7" w14:textId="4CAE977F" w:rsidR="00892965" w:rsidRPr="007E2A65" w:rsidRDefault="002A2A23">
      <w:pPr>
        <w:rPr>
          <w:b/>
        </w:rPr>
      </w:pPr>
      <w:r w:rsidRPr="007E2A65">
        <w:rPr>
          <w:noProof/>
          <w:lang w:eastAsia="en-GB"/>
        </w:rPr>
        <w:drawing>
          <wp:inline distT="0" distB="0" distL="0" distR="0" wp14:anchorId="7B1BE198" wp14:editId="7234BFB7">
            <wp:extent cx="5731510" cy="3173730"/>
            <wp:effectExtent l="0" t="0" r="2540" b="7620"/>
            <wp:docPr id="1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73730"/>
                    </a:xfrm>
                    <a:prstGeom prst="rect">
                      <a:avLst/>
                    </a:prstGeom>
                    <a:noFill/>
                    <a:ln>
                      <a:noFill/>
                    </a:ln>
                    <a:extLst/>
                  </pic:spPr>
                </pic:pic>
              </a:graphicData>
            </a:graphic>
          </wp:inline>
        </w:drawing>
      </w:r>
    </w:p>
    <w:p w14:paraId="40AF7FDD" w14:textId="77777777" w:rsidR="00AC41C6" w:rsidRPr="007E2A65" w:rsidRDefault="00AC41C6" w:rsidP="00AC41C6">
      <w:pPr>
        <w:rPr>
          <w:b/>
        </w:rPr>
      </w:pPr>
      <w:r w:rsidRPr="007E2A65">
        <w:rPr>
          <w:b/>
        </w:rPr>
        <w:t>Figure 2: The Regulatory Cycle</w:t>
      </w:r>
    </w:p>
    <w:p w14:paraId="3DD7A839" w14:textId="266071E7" w:rsidR="002A2A23" w:rsidRDefault="002A2A23" w:rsidP="006D4D77">
      <w:r w:rsidRPr="007E2A65">
        <w:t>Concern with the regulatory failings of public monopolies, particularly with respect to cost control, led to experiments with competitive private supply through tendering and franchising. However, over time the competitive pressure exerted by tendering has reduced and</w:t>
      </w:r>
      <w:r w:rsidR="00B5337E" w:rsidRPr="007E2A65">
        <w:t>,</w:t>
      </w:r>
      <w:r w:rsidRPr="007E2A65">
        <w:t xml:space="preserve"> </w:t>
      </w:r>
      <w:r w:rsidR="00184330">
        <w:t xml:space="preserve">based on evidence for the UK, </w:t>
      </w:r>
      <w:r w:rsidRPr="007E2A65">
        <w:t>following unit costs reductions of as much as 50</w:t>
      </w:r>
      <w:r w:rsidR="006B09EA">
        <w:t xml:space="preserve"> percent</w:t>
      </w:r>
      <w:r w:rsidR="00B5337E" w:rsidRPr="007E2A65">
        <w:t>,</w:t>
      </w:r>
      <w:r w:rsidRPr="007E2A65">
        <w:t xml:space="preserve"> costs have </w:t>
      </w:r>
      <w:r w:rsidR="00B5337E" w:rsidRPr="007E2A65">
        <w:t xml:space="preserve">subsequently </w:t>
      </w:r>
      <w:r w:rsidRPr="007E2A65">
        <w:t xml:space="preserve">increased (Preston, 2017). </w:t>
      </w:r>
      <w:r w:rsidR="00E84448">
        <w:t>As we will see, similar trends have been observed in other countries, particularly in northern Europe</w:t>
      </w:r>
      <w:r w:rsidR="00CC0A2B">
        <w:t xml:space="preserve">, although this may </w:t>
      </w:r>
      <w:r w:rsidR="00CC0A2B" w:rsidRPr="00CC0A2B">
        <w:t>be due to factors that are not related to contracting</w:t>
      </w:r>
      <w:r w:rsidR="006D4D77">
        <w:t>-out per se</w:t>
      </w:r>
      <w:r w:rsidR="00CC0A2B" w:rsidRPr="00CC0A2B">
        <w:t xml:space="preserve"> e.g. higher wages</w:t>
      </w:r>
      <w:r w:rsidR="00CC0A2B">
        <w:t xml:space="preserve"> in the wider economy</w:t>
      </w:r>
      <w:r w:rsidR="00CC0A2B" w:rsidRPr="00CC0A2B">
        <w:t xml:space="preserve">, </w:t>
      </w:r>
      <w:r w:rsidR="00CC0A2B">
        <w:t xml:space="preserve">higher </w:t>
      </w:r>
      <w:r w:rsidR="006D4D77">
        <w:t xml:space="preserve">fuel prices and </w:t>
      </w:r>
      <w:r w:rsidR="00CC0A2B" w:rsidRPr="00CC0A2B">
        <w:t>higher quality requirements (</w:t>
      </w:r>
      <w:r w:rsidR="006D4D77">
        <w:t xml:space="preserve">related to accessible </w:t>
      </w:r>
      <w:r w:rsidR="00CC0A2B" w:rsidRPr="00CC0A2B">
        <w:t>vehicles</w:t>
      </w:r>
      <w:r w:rsidR="006D4D77">
        <w:t xml:space="preserve"> and</w:t>
      </w:r>
      <w:r w:rsidR="00CC0A2B" w:rsidRPr="00CC0A2B">
        <w:t xml:space="preserve"> environmental standards)</w:t>
      </w:r>
      <w:r w:rsidR="00E84448">
        <w:t xml:space="preserve">. </w:t>
      </w:r>
      <w:r w:rsidR="006D4D77">
        <w:t>Nonetheless, t</w:t>
      </w:r>
      <w:r w:rsidRPr="007E2A65">
        <w:t>his has led to calls by some for negotiated contracts – in essence a move towards regulated private local monopolies (</w:t>
      </w:r>
      <w:proofErr w:type="spellStart"/>
      <w:r w:rsidRPr="007E2A65">
        <w:t>Hensher</w:t>
      </w:r>
      <w:proofErr w:type="spellEnd"/>
      <w:r w:rsidRPr="007E2A65">
        <w:t xml:space="preserve">, </w:t>
      </w:r>
      <w:r w:rsidR="00AC41C6" w:rsidRPr="007E2A65">
        <w:t>2007</w:t>
      </w:r>
      <w:r w:rsidRPr="007E2A65">
        <w:t>)</w:t>
      </w:r>
      <w:r w:rsidR="00E84448">
        <w:t>.</w:t>
      </w:r>
    </w:p>
    <w:p w14:paraId="6792A16F" w14:textId="296F8ACB" w:rsidR="00E84448" w:rsidRPr="00E84448" w:rsidRDefault="00E84448" w:rsidP="00E84448">
      <w:r w:rsidRPr="00E84448">
        <w:t xml:space="preserve">We are also interested the role of stakeholder analysis as indicated by Figure 3 (from Veeneman and Smith, 2016, and put forward at </w:t>
      </w:r>
      <w:proofErr w:type="spellStart"/>
      <w:r w:rsidRPr="00E84448">
        <w:t>Thredbo</w:t>
      </w:r>
      <w:proofErr w:type="spellEnd"/>
      <w:r w:rsidRPr="00E84448">
        <w:t xml:space="preserve"> 14), which itself may be related to principal-agent analysis</w:t>
      </w:r>
      <w:r w:rsidR="00DB6380">
        <w:t xml:space="preserve"> (Rees, 1985)</w:t>
      </w:r>
      <w:r w:rsidRPr="00E84448">
        <w:t xml:space="preserve">. </w:t>
      </w:r>
      <w:r w:rsidR="00581EA2">
        <w:t xml:space="preserve">In this highly stylised example, the same key actors have very different relationships under different organisational arrangements. </w:t>
      </w:r>
      <w:r w:rsidRPr="00E84448">
        <w:t>The top row illustrate</w:t>
      </w:r>
      <w:r w:rsidR="00581EA2">
        <w:t>s</w:t>
      </w:r>
      <w:r w:rsidRPr="00E84448">
        <w:t xml:space="preserve"> the traditional tendering model of unilateral imposition by the authority</w:t>
      </w:r>
      <w:r w:rsidR="00581EA2">
        <w:t xml:space="preserve"> and hard competition for the market</w:t>
      </w:r>
      <w:r w:rsidRPr="00E84448">
        <w:t xml:space="preserve">. With increased institutional maturity, this </w:t>
      </w:r>
      <w:r w:rsidR="00581EA2">
        <w:t xml:space="preserve">stakeholder supply chain </w:t>
      </w:r>
      <w:r w:rsidRPr="00E84448">
        <w:t>may evolve into multilateral influence</w:t>
      </w:r>
      <w:r w:rsidR="00581EA2">
        <w:t>,</w:t>
      </w:r>
      <w:r w:rsidRPr="00E84448">
        <w:t xml:space="preserve"> negotiated contracts</w:t>
      </w:r>
      <w:r w:rsidR="00581EA2">
        <w:t xml:space="preserve"> and a softer form of competition</w:t>
      </w:r>
      <w:r w:rsidRPr="00E84448">
        <w:t xml:space="preserve">, as illustrated by the bottom row of Figure 3. Here institutional maturity relates to a local public transport market that has progressed beyond direct in-house operations and/or competitive tendering (after </w:t>
      </w:r>
      <w:proofErr w:type="spellStart"/>
      <w:r w:rsidRPr="00E84448">
        <w:t>Canitez</w:t>
      </w:r>
      <w:proofErr w:type="spellEnd"/>
      <w:r w:rsidRPr="00E84448">
        <w:t xml:space="preserve"> and </w:t>
      </w:r>
      <w:proofErr w:type="spellStart"/>
      <w:r w:rsidRPr="00E84448">
        <w:t>Celebi</w:t>
      </w:r>
      <w:proofErr w:type="spellEnd"/>
      <w:r w:rsidRPr="00E84448">
        <w:t xml:space="preserve"> – see below).</w:t>
      </w:r>
      <w:r w:rsidR="00581EA2">
        <w:t xml:space="preserve"> However, it is worth saying up front that one of our key recommendations will be </w:t>
      </w:r>
      <w:r w:rsidR="002F4B01">
        <w:t>the need for</w:t>
      </w:r>
      <w:r w:rsidR="00581EA2">
        <w:t xml:space="preserve"> clearer definitions of terms such as institutional maturity and soft competition in the context of public transport contracting-out.</w:t>
      </w:r>
    </w:p>
    <w:p w14:paraId="014BA2B0" w14:textId="77777777" w:rsidR="00E84448" w:rsidRPr="007E2A65" w:rsidRDefault="00E84448"/>
    <w:p w14:paraId="3C4F218B" w14:textId="79DDD3BD" w:rsidR="00AC41C6" w:rsidRPr="007E2A65" w:rsidRDefault="00AC41C6">
      <w:r w:rsidRPr="007E2A65">
        <w:rPr>
          <w:noProof/>
          <w:lang w:eastAsia="en-GB"/>
        </w:rPr>
        <w:drawing>
          <wp:inline distT="0" distB="0" distL="0" distR="0" wp14:anchorId="52436994" wp14:editId="55CBFE5E">
            <wp:extent cx="5731510" cy="1920489"/>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20489"/>
                    </a:xfrm>
                    <a:prstGeom prst="rect">
                      <a:avLst/>
                    </a:prstGeom>
                    <a:noFill/>
                    <a:ln>
                      <a:noFill/>
                    </a:ln>
                  </pic:spPr>
                </pic:pic>
              </a:graphicData>
            </a:graphic>
          </wp:inline>
        </w:drawing>
      </w:r>
    </w:p>
    <w:p w14:paraId="2763B33D" w14:textId="71857286" w:rsidR="00BB6DA8" w:rsidRPr="007E2A65" w:rsidRDefault="00BB6DA8">
      <w:r w:rsidRPr="007E2A65">
        <w:rPr>
          <w:b/>
        </w:rPr>
        <w:t xml:space="preserve">Figure 3: Governance Modes in the Chain of Interactions between Key Decision-makers in Public Transport </w:t>
      </w:r>
      <w:r w:rsidRPr="007E2A65">
        <w:t>(C=citizens, P=politicians, A=authorities, O = operators, T=travellers)</w:t>
      </w:r>
    </w:p>
    <w:p w14:paraId="32A2A1F4" w14:textId="1F2ADEBA" w:rsidR="0057643C" w:rsidRPr="007E2A65" w:rsidRDefault="0057643C" w:rsidP="0057643C">
      <w:pPr>
        <w:ind w:left="567" w:hanging="567"/>
        <w:rPr>
          <w:b/>
        </w:rPr>
      </w:pPr>
      <w:r w:rsidRPr="007E2A65">
        <w:rPr>
          <w:b/>
        </w:rPr>
        <w:t>3.</w:t>
      </w:r>
      <w:r w:rsidRPr="007E2A65">
        <w:rPr>
          <w:b/>
        </w:rPr>
        <w:tab/>
        <w:t>The Evidence Base</w:t>
      </w:r>
    </w:p>
    <w:p w14:paraId="4AAF3D64" w14:textId="3686C4DC" w:rsidR="0057643C" w:rsidRPr="007E2A65" w:rsidRDefault="0057643C" w:rsidP="0057643C">
      <w:r w:rsidRPr="007E2A65">
        <w:t xml:space="preserve">Given the number of resource papers presented to this workshop, the evidence base will be discussed in three sub-sections. In 3.1, we will discuss three plenary papers that helped set the scene. In 3.2, we discuss the results from 19 papers concerning bus, whilst in 3.3 we examine 12 papers concerning rail and general public transport. </w:t>
      </w:r>
    </w:p>
    <w:p w14:paraId="6B3AEA43" w14:textId="5FAD8F7F" w:rsidR="00606390" w:rsidRPr="007E2A65" w:rsidRDefault="00606390" w:rsidP="0057643C">
      <w:pPr>
        <w:rPr>
          <w:b/>
        </w:rPr>
      </w:pPr>
      <w:r w:rsidRPr="007E2A65">
        <w:rPr>
          <w:b/>
        </w:rPr>
        <w:t>3.1</w:t>
      </w:r>
      <w:r w:rsidRPr="007E2A65">
        <w:rPr>
          <w:b/>
        </w:rPr>
        <w:tab/>
        <w:t>Plenary Papers</w:t>
      </w:r>
    </w:p>
    <w:p w14:paraId="7C0C60F6" w14:textId="70AAF364" w:rsidR="00581EA2" w:rsidRDefault="00606390" w:rsidP="00542F22">
      <w:r w:rsidRPr="007E2A65">
        <w:t xml:space="preserve">Our workshop started with three plenary papers. The paper by </w:t>
      </w:r>
      <w:proofErr w:type="spellStart"/>
      <w:r w:rsidRPr="007E2A65">
        <w:rPr>
          <w:b/>
        </w:rPr>
        <w:t>Lotshaw</w:t>
      </w:r>
      <w:proofErr w:type="spellEnd"/>
      <w:r w:rsidRPr="007E2A65">
        <w:rPr>
          <w:b/>
        </w:rPr>
        <w:t xml:space="preserve"> et al.</w:t>
      </w:r>
      <w:r w:rsidRPr="007E2A65">
        <w:t xml:space="preserve"> (presented by </w:t>
      </w:r>
      <w:proofErr w:type="spellStart"/>
      <w:r w:rsidRPr="007E2A65">
        <w:t>Bragdon</w:t>
      </w:r>
      <w:proofErr w:type="spellEnd"/>
      <w:r w:rsidRPr="007E2A65">
        <w:t xml:space="preserve"> and </w:t>
      </w:r>
      <w:proofErr w:type="spellStart"/>
      <w:r w:rsidRPr="007E2A65">
        <w:t>Accuardi</w:t>
      </w:r>
      <w:proofErr w:type="spellEnd"/>
      <w:r w:rsidRPr="007E2A65">
        <w:t xml:space="preserve">) provided a comparative assessment of the US and Europe, with a particular focus on Los Angeles and New Orleans.  It was argued that debates in the US were not technical but ideological, with political will (or lack thereof) a key factor. </w:t>
      </w:r>
      <w:r w:rsidRPr="007E2A65">
        <w:rPr>
          <w:b/>
        </w:rPr>
        <w:t>Scha</w:t>
      </w:r>
      <w:r w:rsidR="00B076DB">
        <w:rPr>
          <w:b/>
        </w:rPr>
        <w:t>a</w:t>
      </w:r>
      <w:r w:rsidR="00E07B8A">
        <w:rPr>
          <w:b/>
        </w:rPr>
        <w:t>f</w:t>
      </w:r>
      <w:r w:rsidRPr="007E2A65">
        <w:rPr>
          <w:b/>
        </w:rPr>
        <w:t xml:space="preserve">fkamp </w:t>
      </w:r>
      <w:r w:rsidRPr="007E2A65">
        <w:t xml:space="preserve">described the public transport industry in Switzerland, which is </w:t>
      </w:r>
      <w:r w:rsidR="00784965" w:rsidRPr="007E2A65">
        <w:t xml:space="preserve">largely </w:t>
      </w:r>
      <w:r w:rsidRPr="007E2A65">
        <w:t xml:space="preserve">non-competitive and non-commercial but </w:t>
      </w:r>
      <w:r w:rsidR="00784965" w:rsidRPr="007E2A65">
        <w:t>deemed a success</w:t>
      </w:r>
      <w:r w:rsidR="00B5337E" w:rsidRPr="007E2A65">
        <w:t xml:space="preserve"> overall</w:t>
      </w:r>
      <w:r w:rsidR="00784965" w:rsidRPr="007E2A65">
        <w:t>. In part, Schaaf</w:t>
      </w:r>
      <w:r w:rsidR="00E07B8A">
        <w:t>f</w:t>
      </w:r>
      <w:r w:rsidR="00784965" w:rsidRPr="007E2A65">
        <w:t>kamp attributed this success to Switzerland’s direct democracy model that with reference to Figure 3 puts citizens at the heart of the public transport production process. Moreover, Swiss company culture also provides intrinsic motivation. The extent to which this ‘</w:t>
      </w:r>
      <w:proofErr w:type="spellStart"/>
      <w:r w:rsidR="00784965" w:rsidRPr="007E2A65">
        <w:t>Helvetisation</w:t>
      </w:r>
      <w:proofErr w:type="spellEnd"/>
      <w:r w:rsidR="00784965" w:rsidRPr="007E2A65">
        <w:t xml:space="preserve">’ process could be transferred to Innsbruck (Austria) was examined.  </w:t>
      </w:r>
      <w:r w:rsidR="00784965" w:rsidRPr="007E2A65">
        <w:rPr>
          <w:b/>
        </w:rPr>
        <w:t>Hirschhorn et al.</w:t>
      </w:r>
      <w:r w:rsidR="00784965" w:rsidRPr="007E2A65">
        <w:t xml:space="preserve"> report on a Delphi study </w:t>
      </w:r>
      <w:r w:rsidR="000F3C24" w:rsidRPr="007E2A65">
        <w:t>of 4</w:t>
      </w:r>
      <w:r w:rsidR="00542F22">
        <w:t>6</w:t>
      </w:r>
      <w:r w:rsidR="000F3C24" w:rsidRPr="007E2A65">
        <w:t xml:space="preserve"> public transport experts</w:t>
      </w:r>
      <w:r w:rsidR="000F3C24" w:rsidRPr="007E2A65">
        <w:rPr>
          <w:rStyle w:val="FootnoteReference"/>
        </w:rPr>
        <w:footnoteReference w:id="1"/>
      </w:r>
      <w:r w:rsidR="000F3C24" w:rsidRPr="007E2A65">
        <w:t xml:space="preserve"> </w:t>
      </w:r>
      <w:r w:rsidR="00850E34">
        <w:t xml:space="preserve">and involving three stages (brainstorming, shortlisting and rating)  </w:t>
      </w:r>
      <w:r w:rsidR="00784965" w:rsidRPr="007E2A65">
        <w:t>that highlighted the role of performance measures and organisational features</w:t>
      </w:r>
      <w:r w:rsidR="00BE2D26" w:rsidRPr="007E2A65">
        <w:t xml:space="preserve"> (see Tables 1 and 2).</w:t>
      </w:r>
      <w:r w:rsidR="00581EA2">
        <w:t xml:space="preserve"> </w:t>
      </w:r>
    </w:p>
    <w:p w14:paraId="2066DFEB" w14:textId="321A7853" w:rsidR="006C5735" w:rsidRDefault="00581EA2" w:rsidP="00581EA2">
      <w:r w:rsidRPr="00581EA2">
        <w:t>Discussion highlighted that general performance indicators have limited meaning without specific context</w:t>
      </w:r>
      <w:r>
        <w:t xml:space="preserve">, as for example, </w:t>
      </w:r>
      <w:r w:rsidRPr="00581EA2">
        <w:t>illustrated by the differences in the shortlisting and rating rankings</w:t>
      </w:r>
      <w:r w:rsidR="006C5735">
        <w:t xml:space="preserve"> in successive rounds of the Delphi study. However, </w:t>
      </w:r>
      <w:r w:rsidRPr="00581EA2">
        <w:t>with respect to Table 1</w:t>
      </w:r>
      <w:r w:rsidR="006C5735">
        <w:t>,</w:t>
      </w:r>
      <w:r w:rsidRPr="00581EA2">
        <w:t xml:space="preserve"> the high rating of user satisfaction is worth noting. The discussions also highlighted the different nature of the indicators (e.g. between direct indicators such as user satisfaction and more background indicators such as percent of inhabitants living within wa</w:t>
      </w:r>
      <w:r w:rsidR="006C5735">
        <w:t>l</w:t>
      </w:r>
      <w:r w:rsidRPr="00581EA2">
        <w:t>king distance of frequent Public Transport services) and the lack of an overarching measure such as welfare (net social benefit).</w:t>
      </w:r>
    </w:p>
    <w:p w14:paraId="3C86E42A" w14:textId="77777777" w:rsidR="006C5735" w:rsidRDefault="006C5735">
      <w:r>
        <w:br w:type="page"/>
      </w:r>
    </w:p>
    <w:p w14:paraId="4571997F" w14:textId="77777777" w:rsidR="00606390" w:rsidRPr="00581EA2" w:rsidRDefault="00606390" w:rsidP="00581EA2"/>
    <w:p w14:paraId="20B8649D" w14:textId="0329E9E6" w:rsidR="00BE2D26" w:rsidRPr="007E2A65" w:rsidRDefault="00BE2D26" w:rsidP="0057643C">
      <w:pPr>
        <w:rPr>
          <w:b/>
        </w:rPr>
      </w:pPr>
      <w:r w:rsidRPr="007E2A65">
        <w:rPr>
          <w:b/>
        </w:rPr>
        <w:t>Table 1: Key Performance Indicators</w:t>
      </w:r>
      <w:r w:rsidR="00581EA2">
        <w:rPr>
          <w:b/>
        </w:rPr>
        <w:t xml:space="preserve"> (KPIs)</w:t>
      </w:r>
    </w:p>
    <w:tbl>
      <w:tblPr>
        <w:tblW w:w="9229" w:type="dxa"/>
        <w:tblInd w:w="93" w:type="dxa"/>
        <w:tblLook w:val="04A0" w:firstRow="1" w:lastRow="0" w:firstColumn="1" w:lastColumn="0" w:noHBand="0" w:noVBand="1"/>
      </w:tblPr>
      <w:tblGrid>
        <w:gridCol w:w="2850"/>
        <w:gridCol w:w="597"/>
        <w:gridCol w:w="277"/>
        <w:gridCol w:w="2403"/>
        <w:gridCol w:w="692"/>
        <w:gridCol w:w="581"/>
        <w:gridCol w:w="562"/>
        <w:gridCol w:w="662"/>
        <w:gridCol w:w="605"/>
      </w:tblGrid>
      <w:tr w:rsidR="00542F22" w:rsidRPr="00C064C5" w14:paraId="1E489ECE" w14:textId="77777777" w:rsidTr="00C76C40">
        <w:trPr>
          <w:trHeight w:val="240"/>
        </w:trPr>
        <w:tc>
          <w:tcPr>
            <w:tcW w:w="3276" w:type="dxa"/>
            <w:gridSpan w:val="2"/>
            <w:tcBorders>
              <w:top w:val="single" w:sz="8" w:space="0" w:color="000000"/>
              <w:left w:val="nil"/>
              <w:bottom w:val="single" w:sz="8" w:space="0" w:color="000000"/>
              <w:right w:val="single" w:sz="8" w:space="0" w:color="000000"/>
            </w:tcBorders>
            <w:shd w:val="clear" w:color="auto" w:fill="auto"/>
            <w:noWrap/>
            <w:vAlign w:val="center"/>
          </w:tcPr>
          <w:p w14:paraId="2637884B" w14:textId="77777777" w:rsidR="00542F22" w:rsidRPr="00542F22" w:rsidRDefault="00542F22" w:rsidP="00C76C40">
            <w:pPr>
              <w:spacing w:after="0" w:line="240" w:lineRule="auto"/>
              <w:jc w:val="center"/>
              <w:rPr>
                <w:rFonts w:cs="Times New Roman"/>
                <w:b/>
                <w:bCs/>
                <w:color w:val="000000"/>
                <w:sz w:val="20"/>
                <w:szCs w:val="20"/>
                <w:lang w:eastAsia="nl-NL"/>
              </w:rPr>
            </w:pPr>
            <w:r w:rsidRPr="00542F22">
              <w:rPr>
                <w:rFonts w:cs="Times New Roman"/>
                <w:b/>
                <w:bCs/>
                <w:color w:val="000000"/>
                <w:sz w:val="20"/>
                <w:szCs w:val="20"/>
                <w:lang w:eastAsia="nl-NL"/>
              </w:rPr>
              <w:t>Shortlisting (Round 2)</w:t>
            </w:r>
          </w:p>
        </w:tc>
        <w:tc>
          <w:tcPr>
            <w:tcW w:w="283" w:type="dxa"/>
            <w:tcBorders>
              <w:top w:val="single" w:sz="8" w:space="0" w:color="000000"/>
              <w:left w:val="single" w:sz="8" w:space="0" w:color="000000"/>
              <w:right w:val="single" w:sz="8" w:space="0" w:color="000000"/>
            </w:tcBorders>
            <w:shd w:val="clear" w:color="auto" w:fill="FFFFFF" w:themeFill="background1"/>
          </w:tcPr>
          <w:p w14:paraId="3B7479D7" w14:textId="77777777" w:rsidR="00542F22" w:rsidRPr="00542F22" w:rsidRDefault="00542F22" w:rsidP="00C76C40">
            <w:pPr>
              <w:spacing w:after="0" w:line="240" w:lineRule="auto"/>
              <w:jc w:val="center"/>
              <w:rPr>
                <w:rFonts w:cs="Times New Roman"/>
                <w:b/>
                <w:bCs/>
                <w:color w:val="000000"/>
                <w:sz w:val="20"/>
                <w:szCs w:val="20"/>
                <w:lang w:eastAsia="nl-NL"/>
              </w:rPr>
            </w:pPr>
          </w:p>
        </w:tc>
        <w:tc>
          <w:tcPr>
            <w:tcW w:w="5670" w:type="dxa"/>
            <w:gridSpan w:val="6"/>
            <w:tcBorders>
              <w:top w:val="single" w:sz="8" w:space="0" w:color="000000"/>
              <w:left w:val="single" w:sz="8" w:space="0" w:color="000000"/>
              <w:bottom w:val="single" w:sz="8" w:space="0" w:color="000000"/>
              <w:right w:val="nil"/>
            </w:tcBorders>
          </w:tcPr>
          <w:p w14:paraId="7E7309B7" w14:textId="77777777" w:rsidR="00542F22" w:rsidRPr="00542F22" w:rsidRDefault="00542F22" w:rsidP="00C76C40">
            <w:pPr>
              <w:spacing w:after="0" w:line="240" w:lineRule="auto"/>
              <w:jc w:val="center"/>
              <w:rPr>
                <w:rFonts w:cs="Times New Roman"/>
                <w:b/>
                <w:color w:val="000000"/>
                <w:sz w:val="20"/>
                <w:szCs w:val="20"/>
                <w:lang w:eastAsia="en-GB"/>
              </w:rPr>
            </w:pPr>
            <w:r w:rsidRPr="00542F22">
              <w:rPr>
                <w:rFonts w:cs="Times New Roman"/>
                <w:b/>
                <w:color w:val="000000"/>
                <w:sz w:val="20"/>
                <w:szCs w:val="20"/>
                <w:lang w:eastAsia="en-GB"/>
              </w:rPr>
              <w:t>Rating (Round 3)</w:t>
            </w:r>
          </w:p>
        </w:tc>
      </w:tr>
      <w:tr w:rsidR="00542F22" w:rsidRPr="00C064C5" w14:paraId="6F55778A" w14:textId="77777777" w:rsidTr="00C76C40">
        <w:trPr>
          <w:trHeight w:val="240"/>
        </w:trPr>
        <w:tc>
          <w:tcPr>
            <w:tcW w:w="2850" w:type="dxa"/>
            <w:tcBorders>
              <w:top w:val="single" w:sz="8" w:space="0" w:color="000000"/>
              <w:left w:val="nil"/>
              <w:bottom w:val="single" w:sz="8" w:space="0" w:color="000000"/>
              <w:right w:val="nil"/>
            </w:tcBorders>
            <w:shd w:val="clear" w:color="auto" w:fill="auto"/>
            <w:noWrap/>
            <w:vAlign w:val="center"/>
            <w:hideMark/>
          </w:tcPr>
          <w:p w14:paraId="6300F8E9"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bCs/>
                <w:color w:val="000000"/>
                <w:sz w:val="16"/>
                <w:szCs w:val="16"/>
                <w:lang w:eastAsia="nl-NL"/>
              </w:rPr>
              <w:t>Performance Indicators</w:t>
            </w:r>
          </w:p>
        </w:tc>
        <w:tc>
          <w:tcPr>
            <w:tcW w:w="426" w:type="dxa"/>
            <w:tcBorders>
              <w:top w:val="single" w:sz="8" w:space="0" w:color="000000"/>
              <w:left w:val="nil"/>
              <w:bottom w:val="single" w:sz="8" w:space="0" w:color="000000"/>
              <w:right w:val="single" w:sz="8" w:space="0" w:color="000000"/>
            </w:tcBorders>
            <w:shd w:val="clear" w:color="auto" w:fill="auto"/>
            <w:noWrap/>
            <w:vAlign w:val="center"/>
            <w:hideMark/>
          </w:tcPr>
          <w:p w14:paraId="3759E5B3"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bCs/>
                <w:color w:val="000000"/>
                <w:sz w:val="16"/>
                <w:szCs w:val="16"/>
                <w:lang w:eastAsia="nl-NL"/>
              </w:rPr>
              <w:t>Votes (%)</w:t>
            </w:r>
          </w:p>
        </w:tc>
        <w:tc>
          <w:tcPr>
            <w:tcW w:w="283" w:type="dxa"/>
            <w:tcBorders>
              <w:left w:val="single" w:sz="8" w:space="0" w:color="000000"/>
              <w:right w:val="single" w:sz="8" w:space="0" w:color="000000"/>
            </w:tcBorders>
            <w:shd w:val="clear" w:color="auto" w:fill="FFFFFF" w:themeFill="background1"/>
          </w:tcPr>
          <w:p w14:paraId="0ECDE2D1" w14:textId="77777777" w:rsidR="00542F22" w:rsidRPr="00542F22" w:rsidRDefault="00542F22" w:rsidP="00C76C40">
            <w:pPr>
              <w:spacing w:after="0" w:line="240" w:lineRule="auto"/>
              <w:rPr>
                <w:rFonts w:cs="Times New Roman"/>
                <w:b/>
                <w:bCs/>
                <w:color w:val="000000"/>
                <w:sz w:val="16"/>
                <w:szCs w:val="16"/>
                <w:lang w:eastAsia="nl-NL"/>
              </w:rPr>
            </w:pPr>
          </w:p>
        </w:tc>
        <w:tc>
          <w:tcPr>
            <w:tcW w:w="2552" w:type="dxa"/>
            <w:tcBorders>
              <w:top w:val="single" w:sz="8" w:space="0" w:color="000000"/>
              <w:left w:val="single" w:sz="8" w:space="0" w:color="000000"/>
              <w:bottom w:val="single" w:sz="8" w:space="0" w:color="000000"/>
              <w:right w:val="nil"/>
            </w:tcBorders>
          </w:tcPr>
          <w:p w14:paraId="0B8316CA"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Performance Indicators</w:t>
            </w:r>
          </w:p>
        </w:tc>
        <w:tc>
          <w:tcPr>
            <w:tcW w:w="699" w:type="dxa"/>
            <w:tcBorders>
              <w:top w:val="single" w:sz="8" w:space="0" w:color="000000"/>
              <w:left w:val="nil"/>
              <w:bottom w:val="single" w:sz="8" w:space="0" w:color="000000"/>
              <w:right w:val="nil"/>
            </w:tcBorders>
          </w:tcPr>
          <w:p w14:paraId="3F0DF2F6"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Avg. Points</w:t>
            </w:r>
          </w:p>
        </w:tc>
        <w:tc>
          <w:tcPr>
            <w:tcW w:w="576" w:type="dxa"/>
            <w:tcBorders>
              <w:top w:val="single" w:sz="8" w:space="0" w:color="000000"/>
              <w:left w:val="nil"/>
              <w:bottom w:val="single" w:sz="8" w:space="0" w:color="000000"/>
              <w:right w:val="nil"/>
            </w:tcBorders>
          </w:tcPr>
          <w:p w14:paraId="152EAE52"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Std. Dev.</w:t>
            </w:r>
          </w:p>
        </w:tc>
        <w:tc>
          <w:tcPr>
            <w:tcW w:w="567" w:type="dxa"/>
            <w:tcBorders>
              <w:top w:val="single" w:sz="8" w:space="0" w:color="000000"/>
              <w:left w:val="nil"/>
              <w:bottom w:val="single" w:sz="8" w:space="0" w:color="000000"/>
              <w:right w:val="nil"/>
            </w:tcBorders>
          </w:tcPr>
          <w:p w14:paraId="3AE2494B"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High</w:t>
            </w:r>
          </w:p>
        </w:tc>
        <w:tc>
          <w:tcPr>
            <w:tcW w:w="668" w:type="dxa"/>
            <w:tcBorders>
              <w:top w:val="single" w:sz="8" w:space="0" w:color="000000"/>
              <w:left w:val="nil"/>
              <w:bottom w:val="single" w:sz="8" w:space="0" w:color="000000"/>
              <w:right w:val="nil"/>
            </w:tcBorders>
          </w:tcPr>
          <w:p w14:paraId="1622A35B"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Mode</w:t>
            </w:r>
          </w:p>
        </w:tc>
        <w:tc>
          <w:tcPr>
            <w:tcW w:w="608" w:type="dxa"/>
            <w:tcBorders>
              <w:top w:val="single" w:sz="8" w:space="0" w:color="000000"/>
              <w:left w:val="nil"/>
              <w:bottom w:val="single" w:sz="8" w:space="0" w:color="000000"/>
              <w:right w:val="nil"/>
            </w:tcBorders>
          </w:tcPr>
          <w:p w14:paraId="49E19D1E"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Zeros</w:t>
            </w:r>
          </w:p>
        </w:tc>
      </w:tr>
      <w:tr w:rsidR="00542F22" w:rsidRPr="00C064C5" w14:paraId="5D61DAF1" w14:textId="77777777" w:rsidTr="00C76C40">
        <w:trPr>
          <w:trHeight w:val="228"/>
        </w:trPr>
        <w:tc>
          <w:tcPr>
            <w:tcW w:w="2850" w:type="dxa"/>
            <w:tcBorders>
              <w:top w:val="nil"/>
              <w:left w:val="nil"/>
              <w:bottom w:val="nil"/>
              <w:right w:val="nil"/>
            </w:tcBorders>
            <w:shd w:val="clear" w:color="D9D9D9" w:fill="D9D9D9"/>
            <w:noWrap/>
            <w:vAlign w:val="center"/>
            <w:hideMark/>
          </w:tcPr>
          <w:p w14:paraId="3CD7DBB3"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Cost-recovery ratio</w:t>
            </w:r>
          </w:p>
        </w:tc>
        <w:tc>
          <w:tcPr>
            <w:tcW w:w="426" w:type="dxa"/>
            <w:tcBorders>
              <w:left w:val="nil"/>
              <w:bottom w:val="nil"/>
              <w:right w:val="single" w:sz="8" w:space="0" w:color="000000"/>
            </w:tcBorders>
            <w:shd w:val="clear" w:color="D9D9D9" w:fill="D9D9D9"/>
            <w:noWrap/>
            <w:vAlign w:val="center"/>
            <w:hideMark/>
          </w:tcPr>
          <w:p w14:paraId="40143187"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45</w:t>
            </w:r>
          </w:p>
        </w:tc>
        <w:tc>
          <w:tcPr>
            <w:tcW w:w="283" w:type="dxa"/>
            <w:tcBorders>
              <w:left w:val="single" w:sz="8" w:space="0" w:color="000000"/>
              <w:bottom w:val="nil"/>
              <w:right w:val="single" w:sz="8" w:space="0" w:color="000000"/>
            </w:tcBorders>
            <w:shd w:val="clear" w:color="auto" w:fill="FFFFFF" w:themeFill="background1"/>
          </w:tcPr>
          <w:p w14:paraId="61BCD72A"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shd w:val="clear" w:color="D9D9D9" w:fill="D9D9D9"/>
          </w:tcPr>
          <w:p w14:paraId="24975F45"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User Satisfaction (overall index)</w:t>
            </w:r>
          </w:p>
        </w:tc>
        <w:tc>
          <w:tcPr>
            <w:tcW w:w="699" w:type="dxa"/>
            <w:tcBorders>
              <w:top w:val="nil"/>
              <w:left w:val="nil"/>
              <w:bottom w:val="nil"/>
              <w:right w:val="nil"/>
            </w:tcBorders>
            <w:shd w:val="clear" w:color="D9D9D9" w:fill="D9D9D9"/>
          </w:tcPr>
          <w:p w14:paraId="5E2E9AF4"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15,91</w:t>
            </w:r>
          </w:p>
        </w:tc>
        <w:tc>
          <w:tcPr>
            <w:tcW w:w="576" w:type="dxa"/>
            <w:tcBorders>
              <w:top w:val="nil"/>
              <w:left w:val="nil"/>
              <w:bottom w:val="nil"/>
              <w:right w:val="nil"/>
            </w:tcBorders>
            <w:shd w:val="clear" w:color="D9D9D9" w:fill="D9D9D9"/>
          </w:tcPr>
          <w:p w14:paraId="3CFB680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11,03</w:t>
            </w:r>
          </w:p>
        </w:tc>
        <w:tc>
          <w:tcPr>
            <w:tcW w:w="567" w:type="dxa"/>
            <w:tcBorders>
              <w:top w:val="nil"/>
              <w:left w:val="nil"/>
              <w:bottom w:val="nil"/>
              <w:right w:val="nil"/>
            </w:tcBorders>
            <w:shd w:val="clear" w:color="D9D9D9" w:fill="D9D9D9"/>
          </w:tcPr>
          <w:p w14:paraId="13D25871"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50</w:t>
            </w:r>
          </w:p>
        </w:tc>
        <w:tc>
          <w:tcPr>
            <w:tcW w:w="668" w:type="dxa"/>
            <w:tcBorders>
              <w:top w:val="nil"/>
              <w:left w:val="nil"/>
              <w:bottom w:val="nil"/>
              <w:right w:val="nil"/>
            </w:tcBorders>
            <w:shd w:val="clear" w:color="D9D9D9" w:fill="D9D9D9"/>
          </w:tcPr>
          <w:p w14:paraId="0797AB9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15</w:t>
            </w:r>
          </w:p>
        </w:tc>
        <w:tc>
          <w:tcPr>
            <w:tcW w:w="608" w:type="dxa"/>
            <w:tcBorders>
              <w:top w:val="nil"/>
              <w:left w:val="nil"/>
              <w:bottom w:val="nil"/>
              <w:right w:val="nil"/>
            </w:tcBorders>
            <w:shd w:val="clear" w:color="D9D9D9" w:fill="D9D9D9"/>
          </w:tcPr>
          <w:p w14:paraId="609F613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11%</w:t>
            </w:r>
          </w:p>
        </w:tc>
      </w:tr>
      <w:tr w:rsidR="00542F22" w:rsidRPr="00C064C5" w14:paraId="2417142B" w14:textId="77777777" w:rsidTr="00C76C40">
        <w:trPr>
          <w:trHeight w:val="228"/>
        </w:trPr>
        <w:tc>
          <w:tcPr>
            <w:tcW w:w="2850" w:type="dxa"/>
            <w:tcBorders>
              <w:top w:val="nil"/>
              <w:left w:val="nil"/>
              <w:bottom w:val="nil"/>
              <w:right w:val="nil"/>
            </w:tcBorders>
            <w:shd w:val="clear" w:color="auto" w:fill="auto"/>
            <w:noWrap/>
            <w:vAlign w:val="center"/>
            <w:hideMark/>
          </w:tcPr>
          <w:p w14:paraId="0E192679"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Modal split: by trips and passenger km</w:t>
            </w:r>
          </w:p>
        </w:tc>
        <w:tc>
          <w:tcPr>
            <w:tcW w:w="426" w:type="dxa"/>
            <w:tcBorders>
              <w:top w:val="nil"/>
              <w:left w:val="nil"/>
              <w:bottom w:val="nil"/>
              <w:right w:val="single" w:sz="8" w:space="0" w:color="000000"/>
            </w:tcBorders>
            <w:shd w:val="clear" w:color="auto" w:fill="auto"/>
            <w:noWrap/>
            <w:vAlign w:val="center"/>
            <w:hideMark/>
          </w:tcPr>
          <w:p w14:paraId="75E5980A"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41</w:t>
            </w:r>
          </w:p>
        </w:tc>
        <w:tc>
          <w:tcPr>
            <w:tcW w:w="283" w:type="dxa"/>
            <w:tcBorders>
              <w:top w:val="nil"/>
              <w:left w:val="single" w:sz="8" w:space="0" w:color="000000"/>
              <w:bottom w:val="nil"/>
              <w:right w:val="single" w:sz="8" w:space="0" w:color="000000"/>
            </w:tcBorders>
            <w:shd w:val="clear" w:color="auto" w:fill="FFFFFF" w:themeFill="background1"/>
          </w:tcPr>
          <w:p w14:paraId="0406BEA8"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tcPr>
          <w:p w14:paraId="11CCF2A6"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Cost-Recovery Ratio</w:t>
            </w:r>
          </w:p>
        </w:tc>
        <w:tc>
          <w:tcPr>
            <w:tcW w:w="699" w:type="dxa"/>
            <w:tcBorders>
              <w:top w:val="nil"/>
              <w:left w:val="nil"/>
              <w:bottom w:val="nil"/>
              <w:right w:val="nil"/>
            </w:tcBorders>
          </w:tcPr>
          <w:p w14:paraId="7E8585F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15,24</w:t>
            </w:r>
          </w:p>
        </w:tc>
        <w:tc>
          <w:tcPr>
            <w:tcW w:w="576" w:type="dxa"/>
            <w:tcBorders>
              <w:top w:val="nil"/>
              <w:left w:val="nil"/>
              <w:bottom w:val="nil"/>
              <w:right w:val="nil"/>
            </w:tcBorders>
          </w:tcPr>
          <w:p w14:paraId="6370853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9,07</w:t>
            </w:r>
          </w:p>
        </w:tc>
        <w:tc>
          <w:tcPr>
            <w:tcW w:w="567" w:type="dxa"/>
            <w:tcBorders>
              <w:top w:val="nil"/>
              <w:left w:val="nil"/>
              <w:bottom w:val="nil"/>
              <w:right w:val="nil"/>
            </w:tcBorders>
          </w:tcPr>
          <w:p w14:paraId="6EB40D0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8" w:type="dxa"/>
            <w:tcBorders>
              <w:top w:val="nil"/>
              <w:left w:val="nil"/>
              <w:bottom w:val="nil"/>
              <w:right w:val="nil"/>
            </w:tcBorders>
          </w:tcPr>
          <w:p w14:paraId="0C65F67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20</w:t>
            </w:r>
          </w:p>
        </w:tc>
        <w:tc>
          <w:tcPr>
            <w:tcW w:w="608" w:type="dxa"/>
            <w:tcBorders>
              <w:top w:val="nil"/>
              <w:left w:val="nil"/>
              <w:bottom w:val="nil"/>
              <w:right w:val="nil"/>
            </w:tcBorders>
          </w:tcPr>
          <w:p w14:paraId="3EAD941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14%</w:t>
            </w:r>
          </w:p>
        </w:tc>
      </w:tr>
      <w:tr w:rsidR="00542F22" w:rsidRPr="00C064C5" w14:paraId="07C9D2AC" w14:textId="77777777" w:rsidTr="00C76C40">
        <w:trPr>
          <w:trHeight w:val="228"/>
        </w:trPr>
        <w:tc>
          <w:tcPr>
            <w:tcW w:w="2850" w:type="dxa"/>
            <w:tcBorders>
              <w:top w:val="nil"/>
              <w:left w:val="nil"/>
              <w:bottom w:val="nil"/>
              <w:right w:val="nil"/>
            </w:tcBorders>
            <w:shd w:val="clear" w:color="D9D9D9" w:fill="D9D9D9"/>
            <w:noWrap/>
            <w:vAlign w:val="center"/>
            <w:hideMark/>
          </w:tcPr>
          <w:p w14:paraId="246D78FC"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User satisfaction (overall index)</w:t>
            </w:r>
          </w:p>
        </w:tc>
        <w:tc>
          <w:tcPr>
            <w:tcW w:w="426" w:type="dxa"/>
            <w:tcBorders>
              <w:top w:val="nil"/>
              <w:left w:val="nil"/>
              <w:bottom w:val="nil"/>
              <w:right w:val="single" w:sz="8" w:space="0" w:color="000000"/>
            </w:tcBorders>
            <w:shd w:val="clear" w:color="D9D9D9" w:fill="D9D9D9"/>
            <w:noWrap/>
            <w:vAlign w:val="center"/>
            <w:hideMark/>
          </w:tcPr>
          <w:p w14:paraId="16C71A57"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37</w:t>
            </w:r>
          </w:p>
        </w:tc>
        <w:tc>
          <w:tcPr>
            <w:tcW w:w="283" w:type="dxa"/>
            <w:tcBorders>
              <w:top w:val="nil"/>
              <w:left w:val="single" w:sz="8" w:space="0" w:color="000000"/>
              <w:bottom w:val="nil"/>
              <w:right w:val="single" w:sz="8" w:space="0" w:color="000000"/>
            </w:tcBorders>
            <w:shd w:val="clear" w:color="auto" w:fill="FFFFFF" w:themeFill="background1"/>
          </w:tcPr>
          <w:p w14:paraId="6F4A3752"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shd w:val="clear" w:color="D9D9D9" w:fill="D9D9D9"/>
          </w:tcPr>
          <w:p w14:paraId="0D393C14"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Modal Split</w:t>
            </w:r>
          </w:p>
        </w:tc>
        <w:tc>
          <w:tcPr>
            <w:tcW w:w="699" w:type="dxa"/>
            <w:tcBorders>
              <w:top w:val="nil"/>
              <w:left w:val="nil"/>
              <w:bottom w:val="nil"/>
              <w:right w:val="nil"/>
            </w:tcBorders>
            <w:shd w:val="clear" w:color="D9D9D9" w:fill="D9D9D9"/>
          </w:tcPr>
          <w:p w14:paraId="67C2855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13,20</w:t>
            </w:r>
          </w:p>
        </w:tc>
        <w:tc>
          <w:tcPr>
            <w:tcW w:w="576" w:type="dxa"/>
            <w:tcBorders>
              <w:top w:val="nil"/>
              <w:left w:val="nil"/>
              <w:bottom w:val="nil"/>
              <w:right w:val="nil"/>
            </w:tcBorders>
            <w:shd w:val="clear" w:color="D9D9D9" w:fill="D9D9D9"/>
          </w:tcPr>
          <w:p w14:paraId="2C820551"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9,68</w:t>
            </w:r>
          </w:p>
        </w:tc>
        <w:tc>
          <w:tcPr>
            <w:tcW w:w="567" w:type="dxa"/>
            <w:tcBorders>
              <w:top w:val="nil"/>
              <w:left w:val="nil"/>
              <w:bottom w:val="nil"/>
              <w:right w:val="nil"/>
            </w:tcBorders>
            <w:shd w:val="clear" w:color="D9D9D9" w:fill="D9D9D9"/>
          </w:tcPr>
          <w:p w14:paraId="1312BC6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40</w:t>
            </w:r>
          </w:p>
        </w:tc>
        <w:tc>
          <w:tcPr>
            <w:tcW w:w="668" w:type="dxa"/>
            <w:tcBorders>
              <w:top w:val="nil"/>
              <w:left w:val="nil"/>
              <w:bottom w:val="nil"/>
              <w:right w:val="nil"/>
            </w:tcBorders>
            <w:shd w:val="clear" w:color="D9D9D9" w:fill="D9D9D9"/>
          </w:tcPr>
          <w:p w14:paraId="50D3B72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20</w:t>
            </w:r>
          </w:p>
        </w:tc>
        <w:tc>
          <w:tcPr>
            <w:tcW w:w="608" w:type="dxa"/>
            <w:tcBorders>
              <w:top w:val="nil"/>
              <w:left w:val="nil"/>
              <w:bottom w:val="nil"/>
              <w:right w:val="nil"/>
            </w:tcBorders>
            <w:shd w:val="clear" w:color="D9D9D9" w:fill="D9D9D9"/>
          </w:tcPr>
          <w:p w14:paraId="65264249"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20%</w:t>
            </w:r>
          </w:p>
        </w:tc>
      </w:tr>
      <w:tr w:rsidR="00542F22" w:rsidRPr="00C064C5" w14:paraId="28CC50E6" w14:textId="77777777" w:rsidTr="00C76C40">
        <w:trPr>
          <w:trHeight w:val="228"/>
        </w:trPr>
        <w:tc>
          <w:tcPr>
            <w:tcW w:w="2850" w:type="dxa"/>
            <w:tcBorders>
              <w:top w:val="nil"/>
              <w:left w:val="nil"/>
              <w:bottom w:val="nil"/>
              <w:right w:val="nil"/>
            </w:tcBorders>
            <w:shd w:val="clear" w:color="auto" w:fill="auto"/>
            <w:noWrap/>
            <w:vAlign w:val="center"/>
            <w:hideMark/>
          </w:tcPr>
          <w:p w14:paraId="64A3D664"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On-time performance according to timetable</w:t>
            </w:r>
          </w:p>
        </w:tc>
        <w:tc>
          <w:tcPr>
            <w:tcW w:w="426" w:type="dxa"/>
            <w:tcBorders>
              <w:top w:val="nil"/>
              <w:left w:val="nil"/>
              <w:bottom w:val="nil"/>
              <w:right w:val="single" w:sz="8" w:space="0" w:color="000000"/>
            </w:tcBorders>
            <w:shd w:val="clear" w:color="auto" w:fill="auto"/>
            <w:noWrap/>
            <w:vAlign w:val="center"/>
            <w:hideMark/>
          </w:tcPr>
          <w:p w14:paraId="7C64A639"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31</w:t>
            </w:r>
          </w:p>
        </w:tc>
        <w:tc>
          <w:tcPr>
            <w:tcW w:w="283" w:type="dxa"/>
            <w:tcBorders>
              <w:top w:val="nil"/>
              <w:left w:val="single" w:sz="8" w:space="0" w:color="000000"/>
              <w:bottom w:val="nil"/>
              <w:right w:val="single" w:sz="8" w:space="0" w:color="000000"/>
            </w:tcBorders>
            <w:shd w:val="clear" w:color="auto" w:fill="FFFFFF" w:themeFill="background1"/>
          </w:tcPr>
          <w:p w14:paraId="3C49C820"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tcPr>
          <w:p w14:paraId="758F515B"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 xml:space="preserve">% of Inhabitants (or users) living within walking distance to Frequent PT Service </w:t>
            </w:r>
          </w:p>
        </w:tc>
        <w:tc>
          <w:tcPr>
            <w:tcW w:w="699" w:type="dxa"/>
            <w:tcBorders>
              <w:top w:val="nil"/>
              <w:left w:val="nil"/>
              <w:bottom w:val="nil"/>
              <w:right w:val="nil"/>
            </w:tcBorders>
          </w:tcPr>
          <w:p w14:paraId="1631192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9,78</w:t>
            </w:r>
          </w:p>
        </w:tc>
        <w:tc>
          <w:tcPr>
            <w:tcW w:w="576" w:type="dxa"/>
            <w:tcBorders>
              <w:top w:val="nil"/>
              <w:left w:val="nil"/>
              <w:bottom w:val="nil"/>
              <w:right w:val="nil"/>
            </w:tcBorders>
          </w:tcPr>
          <w:p w14:paraId="749FBC9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7,71</w:t>
            </w:r>
          </w:p>
        </w:tc>
        <w:tc>
          <w:tcPr>
            <w:tcW w:w="567" w:type="dxa"/>
            <w:tcBorders>
              <w:top w:val="nil"/>
              <w:left w:val="nil"/>
              <w:bottom w:val="nil"/>
              <w:right w:val="nil"/>
            </w:tcBorders>
          </w:tcPr>
          <w:p w14:paraId="2F14017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8" w:type="dxa"/>
            <w:tcBorders>
              <w:top w:val="nil"/>
              <w:left w:val="nil"/>
              <w:bottom w:val="nil"/>
              <w:right w:val="nil"/>
            </w:tcBorders>
          </w:tcPr>
          <w:p w14:paraId="2D892D0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tcPr>
          <w:p w14:paraId="0291A750"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23%</w:t>
            </w:r>
          </w:p>
        </w:tc>
      </w:tr>
      <w:tr w:rsidR="00542F22" w:rsidRPr="00C064C5" w14:paraId="0C350981" w14:textId="77777777" w:rsidTr="00C76C40">
        <w:trPr>
          <w:trHeight w:val="228"/>
        </w:trPr>
        <w:tc>
          <w:tcPr>
            <w:tcW w:w="2850" w:type="dxa"/>
            <w:tcBorders>
              <w:top w:val="nil"/>
              <w:left w:val="nil"/>
              <w:bottom w:val="nil"/>
              <w:right w:val="nil"/>
            </w:tcBorders>
            <w:shd w:val="clear" w:color="D9D9D9" w:fill="D9D9D9"/>
            <w:noWrap/>
            <w:vAlign w:val="center"/>
            <w:hideMark/>
          </w:tcPr>
          <w:p w14:paraId="4148612C"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Ratio between travel time in PT and car</w:t>
            </w:r>
          </w:p>
        </w:tc>
        <w:tc>
          <w:tcPr>
            <w:tcW w:w="426" w:type="dxa"/>
            <w:tcBorders>
              <w:top w:val="nil"/>
              <w:left w:val="nil"/>
              <w:bottom w:val="nil"/>
              <w:right w:val="single" w:sz="8" w:space="0" w:color="000000"/>
            </w:tcBorders>
            <w:shd w:val="clear" w:color="D9D9D9" w:fill="D9D9D9"/>
            <w:noWrap/>
            <w:vAlign w:val="center"/>
            <w:hideMark/>
          </w:tcPr>
          <w:p w14:paraId="10C4A8C2"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30</w:t>
            </w:r>
          </w:p>
        </w:tc>
        <w:tc>
          <w:tcPr>
            <w:tcW w:w="283" w:type="dxa"/>
            <w:tcBorders>
              <w:top w:val="nil"/>
              <w:left w:val="single" w:sz="8" w:space="0" w:color="000000"/>
              <w:bottom w:val="nil"/>
              <w:right w:val="single" w:sz="8" w:space="0" w:color="000000"/>
            </w:tcBorders>
            <w:shd w:val="clear" w:color="auto" w:fill="FFFFFF" w:themeFill="background1"/>
          </w:tcPr>
          <w:p w14:paraId="638AD0CC"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shd w:val="clear" w:color="D9D9D9" w:fill="D9D9D9"/>
          </w:tcPr>
          <w:p w14:paraId="5F791666"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 xml:space="preserve">Ridership per Capita </w:t>
            </w:r>
          </w:p>
        </w:tc>
        <w:tc>
          <w:tcPr>
            <w:tcW w:w="699" w:type="dxa"/>
            <w:tcBorders>
              <w:top w:val="nil"/>
              <w:left w:val="nil"/>
              <w:bottom w:val="nil"/>
              <w:right w:val="nil"/>
            </w:tcBorders>
            <w:shd w:val="clear" w:color="D9D9D9" w:fill="D9D9D9"/>
          </w:tcPr>
          <w:p w14:paraId="435D1D4C"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9,57</w:t>
            </w:r>
          </w:p>
        </w:tc>
        <w:tc>
          <w:tcPr>
            <w:tcW w:w="576" w:type="dxa"/>
            <w:tcBorders>
              <w:top w:val="nil"/>
              <w:left w:val="nil"/>
              <w:bottom w:val="nil"/>
              <w:right w:val="nil"/>
            </w:tcBorders>
            <w:shd w:val="clear" w:color="D9D9D9" w:fill="D9D9D9"/>
          </w:tcPr>
          <w:p w14:paraId="6639C91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8,70</w:t>
            </w:r>
          </w:p>
        </w:tc>
        <w:tc>
          <w:tcPr>
            <w:tcW w:w="567" w:type="dxa"/>
            <w:tcBorders>
              <w:top w:val="nil"/>
              <w:left w:val="nil"/>
              <w:bottom w:val="nil"/>
              <w:right w:val="nil"/>
            </w:tcBorders>
            <w:shd w:val="clear" w:color="D9D9D9" w:fill="D9D9D9"/>
          </w:tcPr>
          <w:p w14:paraId="51E396EC"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8" w:type="dxa"/>
            <w:tcBorders>
              <w:top w:val="nil"/>
              <w:left w:val="nil"/>
              <w:bottom w:val="nil"/>
              <w:right w:val="nil"/>
            </w:tcBorders>
            <w:shd w:val="clear" w:color="D9D9D9" w:fill="D9D9D9"/>
          </w:tcPr>
          <w:p w14:paraId="2321BE5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w:t>
            </w:r>
          </w:p>
        </w:tc>
        <w:tc>
          <w:tcPr>
            <w:tcW w:w="608" w:type="dxa"/>
            <w:tcBorders>
              <w:top w:val="nil"/>
              <w:left w:val="nil"/>
              <w:bottom w:val="nil"/>
              <w:right w:val="nil"/>
            </w:tcBorders>
            <w:shd w:val="clear" w:color="D9D9D9" w:fill="D9D9D9"/>
          </w:tcPr>
          <w:p w14:paraId="608FEAF1"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25%</w:t>
            </w:r>
          </w:p>
        </w:tc>
      </w:tr>
      <w:tr w:rsidR="00542F22" w:rsidRPr="00C064C5" w14:paraId="2297412D" w14:textId="77777777" w:rsidTr="00C76C40">
        <w:trPr>
          <w:trHeight w:val="228"/>
        </w:trPr>
        <w:tc>
          <w:tcPr>
            <w:tcW w:w="2850" w:type="dxa"/>
            <w:tcBorders>
              <w:top w:val="nil"/>
              <w:left w:val="nil"/>
              <w:bottom w:val="nil"/>
              <w:right w:val="nil"/>
            </w:tcBorders>
            <w:shd w:val="clear" w:color="auto" w:fill="auto"/>
            <w:noWrap/>
            <w:vAlign w:val="center"/>
            <w:hideMark/>
          </w:tcPr>
          <w:p w14:paraId="69BA4731"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 of inhabitants (or users) living within walking distance to frequent PT service</w:t>
            </w:r>
          </w:p>
        </w:tc>
        <w:tc>
          <w:tcPr>
            <w:tcW w:w="426" w:type="dxa"/>
            <w:tcBorders>
              <w:top w:val="nil"/>
              <w:left w:val="nil"/>
              <w:bottom w:val="nil"/>
              <w:right w:val="single" w:sz="8" w:space="0" w:color="000000"/>
            </w:tcBorders>
            <w:shd w:val="clear" w:color="auto" w:fill="auto"/>
            <w:noWrap/>
            <w:vAlign w:val="center"/>
            <w:hideMark/>
          </w:tcPr>
          <w:p w14:paraId="2A4A1EE2"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30</w:t>
            </w:r>
          </w:p>
        </w:tc>
        <w:tc>
          <w:tcPr>
            <w:tcW w:w="283" w:type="dxa"/>
            <w:tcBorders>
              <w:top w:val="nil"/>
              <w:left w:val="single" w:sz="8" w:space="0" w:color="000000"/>
              <w:bottom w:val="nil"/>
              <w:right w:val="single" w:sz="8" w:space="0" w:color="000000"/>
            </w:tcBorders>
            <w:shd w:val="clear" w:color="auto" w:fill="FFFFFF" w:themeFill="background1"/>
          </w:tcPr>
          <w:p w14:paraId="788F9625"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tcPr>
          <w:p w14:paraId="378005AC"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 xml:space="preserve">Ratio between Travel time in PT and Car </w:t>
            </w:r>
          </w:p>
        </w:tc>
        <w:tc>
          <w:tcPr>
            <w:tcW w:w="699" w:type="dxa"/>
            <w:tcBorders>
              <w:top w:val="nil"/>
              <w:left w:val="nil"/>
              <w:bottom w:val="nil"/>
              <w:right w:val="nil"/>
            </w:tcBorders>
          </w:tcPr>
          <w:p w14:paraId="4566777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8,22</w:t>
            </w:r>
          </w:p>
        </w:tc>
        <w:tc>
          <w:tcPr>
            <w:tcW w:w="576" w:type="dxa"/>
            <w:tcBorders>
              <w:top w:val="nil"/>
              <w:left w:val="nil"/>
              <w:bottom w:val="nil"/>
              <w:right w:val="nil"/>
            </w:tcBorders>
          </w:tcPr>
          <w:p w14:paraId="07020439"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6,36</w:t>
            </w:r>
          </w:p>
        </w:tc>
        <w:tc>
          <w:tcPr>
            <w:tcW w:w="567" w:type="dxa"/>
            <w:tcBorders>
              <w:top w:val="nil"/>
              <w:left w:val="nil"/>
              <w:bottom w:val="nil"/>
              <w:right w:val="nil"/>
            </w:tcBorders>
          </w:tcPr>
          <w:p w14:paraId="7368B913"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25</w:t>
            </w:r>
          </w:p>
        </w:tc>
        <w:tc>
          <w:tcPr>
            <w:tcW w:w="668" w:type="dxa"/>
            <w:tcBorders>
              <w:top w:val="nil"/>
              <w:left w:val="nil"/>
              <w:bottom w:val="nil"/>
              <w:right w:val="nil"/>
            </w:tcBorders>
          </w:tcPr>
          <w:p w14:paraId="1390FAD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tcPr>
          <w:p w14:paraId="3BF434B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25%</w:t>
            </w:r>
          </w:p>
        </w:tc>
      </w:tr>
      <w:tr w:rsidR="00542F22" w:rsidRPr="00C064C5" w14:paraId="7CAC8757" w14:textId="77777777" w:rsidTr="00C76C40">
        <w:trPr>
          <w:trHeight w:val="228"/>
        </w:trPr>
        <w:tc>
          <w:tcPr>
            <w:tcW w:w="2850" w:type="dxa"/>
            <w:tcBorders>
              <w:top w:val="nil"/>
              <w:left w:val="nil"/>
              <w:bottom w:val="nil"/>
              <w:right w:val="nil"/>
            </w:tcBorders>
            <w:shd w:val="clear" w:color="D9D9D9" w:fill="D9D9D9"/>
            <w:noWrap/>
            <w:vAlign w:val="center"/>
            <w:hideMark/>
          </w:tcPr>
          <w:p w14:paraId="1FAC1605"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Ridership per capita</w:t>
            </w:r>
          </w:p>
        </w:tc>
        <w:tc>
          <w:tcPr>
            <w:tcW w:w="426" w:type="dxa"/>
            <w:tcBorders>
              <w:top w:val="nil"/>
              <w:left w:val="nil"/>
              <w:bottom w:val="nil"/>
              <w:right w:val="single" w:sz="8" w:space="0" w:color="000000"/>
            </w:tcBorders>
            <w:shd w:val="clear" w:color="D9D9D9" w:fill="D9D9D9"/>
            <w:noWrap/>
            <w:vAlign w:val="center"/>
            <w:hideMark/>
          </w:tcPr>
          <w:p w14:paraId="27D579E9"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27</w:t>
            </w:r>
          </w:p>
        </w:tc>
        <w:tc>
          <w:tcPr>
            <w:tcW w:w="283" w:type="dxa"/>
            <w:tcBorders>
              <w:top w:val="nil"/>
              <w:left w:val="single" w:sz="8" w:space="0" w:color="000000"/>
              <w:bottom w:val="nil"/>
              <w:right w:val="single" w:sz="8" w:space="0" w:color="000000"/>
            </w:tcBorders>
            <w:shd w:val="clear" w:color="auto" w:fill="FFFFFF" w:themeFill="background1"/>
          </w:tcPr>
          <w:p w14:paraId="43B2AD0C"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shd w:val="clear" w:color="D9D9D9" w:fill="D9D9D9"/>
          </w:tcPr>
          <w:p w14:paraId="38A57130"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On-time Performance according to Timetable</w:t>
            </w:r>
          </w:p>
        </w:tc>
        <w:tc>
          <w:tcPr>
            <w:tcW w:w="699" w:type="dxa"/>
            <w:tcBorders>
              <w:top w:val="nil"/>
              <w:left w:val="nil"/>
              <w:bottom w:val="nil"/>
              <w:right w:val="nil"/>
            </w:tcBorders>
            <w:shd w:val="clear" w:color="D9D9D9" w:fill="D9D9D9"/>
          </w:tcPr>
          <w:p w14:paraId="3DF4116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8,04</w:t>
            </w:r>
          </w:p>
        </w:tc>
        <w:tc>
          <w:tcPr>
            <w:tcW w:w="576" w:type="dxa"/>
            <w:tcBorders>
              <w:top w:val="nil"/>
              <w:left w:val="nil"/>
              <w:bottom w:val="nil"/>
              <w:right w:val="nil"/>
            </w:tcBorders>
            <w:shd w:val="clear" w:color="D9D9D9" w:fill="D9D9D9"/>
          </w:tcPr>
          <w:p w14:paraId="574BB95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6,95</w:t>
            </w:r>
          </w:p>
        </w:tc>
        <w:tc>
          <w:tcPr>
            <w:tcW w:w="567" w:type="dxa"/>
            <w:tcBorders>
              <w:top w:val="nil"/>
              <w:left w:val="nil"/>
              <w:bottom w:val="nil"/>
              <w:right w:val="nil"/>
            </w:tcBorders>
            <w:shd w:val="clear" w:color="D9D9D9" w:fill="D9D9D9"/>
          </w:tcPr>
          <w:p w14:paraId="0F12F9A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20</w:t>
            </w:r>
          </w:p>
        </w:tc>
        <w:tc>
          <w:tcPr>
            <w:tcW w:w="668" w:type="dxa"/>
            <w:tcBorders>
              <w:top w:val="nil"/>
              <w:left w:val="nil"/>
              <w:bottom w:val="nil"/>
              <w:right w:val="nil"/>
            </w:tcBorders>
            <w:shd w:val="clear" w:color="D9D9D9" w:fill="D9D9D9"/>
          </w:tcPr>
          <w:p w14:paraId="66015A5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nil"/>
              <w:right w:val="nil"/>
            </w:tcBorders>
            <w:shd w:val="clear" w:color="D9D9D9" w:fill="D9D9D9"/>
          </w:tcPr>
          <w:p w14:paraId="5CF34BB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32%</w:t>
            </w:r>
          </w:p>
        </w:tc>
      </w:tr>
      <w:tr w:rsidR="00542F22" w:rsidRPr="00C064C5" w14:paraId="63ED5F38" w14:textId="77777777" w:rsidTr="00C76C40">
        <w:trPr>
          <w:trHeight w:val="228"/>
        </w:trPr>
        <w:tc>
          <w:tcPr>
            <w:tcW w:w="2850" w:type="dxa"/>
            <w:tcBorders>
              <w:top w:val="nil"/>
              <w:left w:val="nil"/>
              <w:bottom w:val="nil"/>
              <w:right w:val="nil"/>
            </w:tcBorders>
            <w:shd w:val="clear" w:color="auto" w:fill="auto"/>
            <w:noWrap/>
            <w:vAlign w:val="center"/>
            <w:hideMark/>
          </w:tcPr>
          <w:p w14:paraId="01D108F9"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Cost per passenger km</w:t>
            </w:r>
          </w:p>
        </w:tc>
        <w:tc>
          <w:tcPr>
            <w:tcW w:w="426" w:type="dxa"/>
            <w:tcBorders>
              <w:top w:val="nil"/>
              <w:left w:val="nil"/>
              <w:bottom w:val="nil"/>
              <w:right w:val="single" w:sz="8" w:space="0" w:color="000000"/>
            </w:tcBorders>
            <w:shd w:val="clear" w:color="auto" w:fill="auto"/>
            <w:noWrap/>
            <w:vAlign w:val="center"/>
            <w:hideMark/>
          </w:tcPr>
          <w:p w14:paraId="4B51EF61"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21</w:t>
            </w:r>
          </w:p>
        </w:tc>
        <w:tc>
          <w:tcPr>
            <w:tcW w:w="283" w:type="dxa"/>
            <w:tcBorders>
              <w:top w:val="nil"/>
              <w:left w:val="single" w:sz="8" w:space="0" w:color="000000"/>
              <w:bottom w:val="nil"/>
              <w:right w:val="single" w:sz="8" w:space="0" w:color="000000"/>
            </w:tcBorders>
            <w:shd w:val="clear" w:color="auto" w:fill="FFFFFF" w:themeFill="background1"/>
          </w:tcPr>
          <w:p w14:paraId="21593B8D"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tcPr>
          <w:p w14:paraId="774E5C7F"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Total revenue and total cost</w:t>
            </w:r>
          </w:p>
        </w:tc>
        <w:tc>
          <w:tcPr>
            <w:tcW w:w="699" w:type="dxa"/>
            <w:tcBorders>
              <w:top w:val="nil"/>
              <w:left w:val="nil"/>
              <w:bottom w:val="nil"/>
              <w:right w:val="nil"/>
            </w:tcBorders>
          </w:tcPr>
          <w:p w14:paraId="143F70E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7,28</w:t>
            </w:r>
          </w:p>
        </w:tc>
        <w:tc>
          <w:tcPr>
            <w:tcW w:w="576" w:type="dxa"/>
            <w:tcBorders>
              <w:top w:val="nil"/>
              <w:left w:val="nil"/>
              <w:bottom w:val="nil"/>
              <w:right w:val="nil"/>
            </w:tcBorders>
          </w:tcPr>
          <w:p w14:paraId="60DAC54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8,39</w:t>
            </w:r>
          </w:p>
        </w:tc>
        <w:tc>
          <w:tcPr>
            <w:tcW w:w="567" w:type="dxa"/>
            <w:tcBorders>
              <w:top w:val="nil"/>
              <w:left w:val="nil"/>
              <w:bottom w:val="nil"/>
              <w:right w:val="nil"/>
            </w:tcBorders>
          </w:tcPr>
          <w:p w14:paraId="43CFF91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8" w:type="dxa"/>
            <w:tcBorders>
              <w:top w:val="nil"/>
              <w:left w:val="nil"/>
              <w:bottom w:val="nil"/>
              <w:right w:val="nil"/>
            </w:tcBorders>
          </w:tcPr>
          <w:p w14:paraId="1C9379D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nil"/>
              <w:right w:val="nil"/>
            </w:tcBorders>
          </w:tcPr>
          <w:p w14:paraId="60B6E7F4"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45%</w:t>
            </w:r>
          </w:p>
        </w:tc>
      </w:tr>
      <w:tr w:rsidR="00542F22" w:rsidRPr="00C064C5" w14:paraId="373A4E16" w14:textId="77777777" w:rsidTr="00C76C40">
        <w:trPr>
          <w:trHeight w:val="228"/>
        </w:trPr>
        <w:tc>
          <w:tcPr>
            <w:tcW w:w="2850" w:type="dxa"/>
            <w:tcBorders>
              <w:top w:val="nil"/>
              <w:left w:val="nil"/>
              <w:bottom w:val="nil"/>
              <w:right w:val="nil"/>
            </w:tcBorders>
            <w:shd w:val="clear" w:color="D9D9D9" w:fill="D9D9D9"/>
            <w:noWrap/>
            <w:vAlign w:val="center"/>
            <w:hideMark/>
          </w:tcPr>
          <w:p w14:paraId="246AD08C"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Total revenue and total cost</w:t>
            </w:r>
          </w:p>
        </w:tc>
        <w:tc>
          <w:tcPr>
            <w:tcW w:w="426" w:type="dxa"/>
            <w:tcBorders>
              <w:top w:val="nil"/>
              <w:left w:val="nil"/>
              <w:bottom w:val="nil"/>
              <w:right w:val="single" w:sz="8" w:space="0" w:color="000000"/>
            </w:tcBorders>
            <w:shd w:val="clear" w:color="D9D9D9" w:fill="D9D9D9"/>
            <w:noWrap/>
            <w:vAlign w:val="center"/>
            <w:hideMark/>
          </w:tcPr>
          <w:p w14:paraId="30CF3F3C"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17</w:t>
            </w:r>
          </w:p>
        </w:tc>
        <w:tc>
          <w:tcPr>
            <w:tcW w:w="283" w:type="dxa"/>
            <w:tcBorders>
              <w:top w:val="nil"/>
              <w:left w:val="single" w:sz="8" w:space="0" w:color="000000"/>
              <w:bottom w:val="nil"/>
              <w:right w:val="single" w:sz="8" w:space="0" w:color="000000"/>
            </w:tcBorders>
            <w:shd w:val="clear" w:color="auto" w:fill="FFFFFF" w:themeFill="background1"/>
          </w:tcPr>
          <w:p w14:paraId="19B9B95D"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nil"/>
              <w:right w:val="nil"/>
            </w:tcBorders>
            <w:shd w:val="clear" w:color="D9D9D9" w:fill="D9D9D9"/>
          </w:tcPr>
          <w:p w14:paraId="0508F317"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Cost per Passenger Km</w:t>
            </w:r>
          </w:p>
        </w:tc>
        <w:tc>
          <w:tcPr>
            <w:tcW w:w="699" w:type="dxa"/>
            <w:tcBorders>
              <w:top w:val="nil"/>
              <w:left w:val="nil"/>
              <w:bottom w:val="nil"/>
              <w:right w:val="nil"/>
            </w:tcBorders>
            <w:shd w:val="clear" w:color="D9D9D9" w:fill="D9D9D9"/>
          </w:tcPr>
          <w:p w14:paraId="436265B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6,98</w:t>
            </w:r>
          </w:p>
        </w:tc>
        <w:tc>
          <w:tcPr>
            <w:tcW w:w="576" w:type="dxa"/>
            <w:tcBorders>
              <w:top w:val="nil"/>
              <w:left w:val="nil"/>
              <w:bottom w:val="nil"/>
              <w:right w:val="nil"/>
            </w:tcBorders>
            <w:shd w:val="clear" w:color="D9D9D9" w:fill="D9D9D9"/>
          </w:tcPr>
          <w:p w14:paraId="30E4E55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6,77</w:t>
            </w:r>
          </w:p>
        </w:tc>
        <w:tc>
          <w:tcPr>
            <w:tcW w:w="567" w:type="dxa"/>
            <w:tcBorders>
              <w:top w:val="nil"/>
              <w:left w:val="nil"/>
              <w:bottom w:val="nil"/>
              <w:right w:val="nil"/>
            </w:tcBorders>
            <w:shd w:val="clear" w:color="D9D9D9" w:fill="D9D9D9"/>
          </w:tcPr>
          <w:p w14:paraId="583EF57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26</w:t>
            </w:r>
          </w:p>
        </w:tc>
        <w:tc>
          <w:tcPr>
            <w:tcW w:w="668" w:type="dxa"/>
            <w:tcBorders>
              <w:top w:val="nil"/>
              <w:left w:val="nil"/>
              <w:bottom w:val="nil"/>
              <w:right w:val="nil"/>
            </w:tcBorders>
            <w:shd w:val="clear" w:color="D9D9D9" w:fill="D9D9D9"/>
          </w:tcPr>
          <w:p w14:paraId="025D0080"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nil"/>
              <w:right w:val="nil"/>
            </w:tcBorders>
            <w:shd w:val="clear" w:color="D9D9D9" w:fill="D9D9D9"/>
          </w:tcPr>
          <w:p w14:paraId="44E8EF8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36%</w:t>
            </w:r>
          </w:p>
        </w:tc>
      </w:tr>
      <w:tr w:rsidR="00542F22" w:rsidRPr="00C064C5" w14:paraId="0FF2FEE3" w14:textId="77777777" w:rsidTr="00C76C40">
        <w:trPr>
          <w:trHeight w:val="240"/>
        </w:trPr>
        <w:tc>
          <w:tcPr>
            <w:tcW w:w="2850" w:type="dxa"/>
            <w:tcBorders>
              <w:top w:val="nil"/>
              <w:left w:val="nil"/>
              <w:bottom w:val="single" w:sz="8" w:space="0" w:color="000000"/>
              <w:right w:val="nil"/>
            </w:tcBorders>
            <w:shd w:val="clear" w:color="auto" w:fill="auto"/>
            <w:noWrap/>
            <w:vAlign w:val="center"/>
            <w:hideMark/>
          </w:tcPr>
          <w:p w14:paraId="52D28160"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en-GB"/>
              </w:rPr>
              <w:t>Comfort: average vehicle occupation, fleet conditions and characteristics</w:t>
            </w:r>
          </w:p>
        </w:tc>
        <w:tc>
          <w:tcPr>
            <w:tcW w:w="426" w:type="dxa"/>
            <w:tcBorders>
              <w:top w:val="nil"/>
              <w:left w:val="nil"/>
              <w:bottom w:val="single" w:sz="8" w:space="0" w:color="000000"/>
              <w:right w:val="single" w:sz="8" w:space="0" w:color="000000"/>
            </w:tcBorders>
            <w:shd w:val="clear" w:color="auto" w:fill="auto"/>
            <w:noWrap/>
            <w:vAlign w:val="center"/>
            <w:hideMark/>
          </w:tcPr>
          <w:p w14:paraId="70BA227A"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color w:val="000000"/>
                <w:sz w:val="16"/>
                <w:szCs w:val="16"/>
                <w:lang w:eastAsia="nl-NL"/>
              </w:rPr>
              <w:t>16</w:t>
            </w:r>
          </w:p>
        </w:tc>
        <w:tc>
          <w:tcPr>
            <w:tcW w:w="283" w:type="dxa"/>
            <w:tcBorders>
              <w:top w:val="nil"/>
              <w:left w:val="single" w:sz="8" w:space="0" w:color="000000"/>
              <w:bottom w:val="single" w:sz="8" w:space="0" w:color="000000"/>
              <w:right w:val="single" w:sz="8" w:space="0" w:color="000000"/>
            </w:tcBorders>
            <w:shd w:val="clear" w:color="auto" w:fill="FFFFFF" w:themeFill="background1"/>
          </w:tcPr>
          <w:p w14:paraId="2FC9A406" w14:textId="77777777" w:rsidR="00542F22" w:rsidRPr="00542F22" w:rsidRDefault="00542F22" w:rsidP="00C76C40">
            <w:pPr>
              <w:spacing w:after="0" w:line="240" w:lineRule="auto"/>
              <w:rPr>
                <w:rFonts w:cs="Times New Roman"/>
                <w:color w:val="000000"/>
                <w:sz w:val="16"/>
                <w:szCs w:val="16"/>
                <w:lang w:eastAsia="nl-NL"/>
              </w:rPr>
            </w:pPr>
          </w:p>
        </w:tc>
        <w:tc>
          <w:tcPr>
            <w:tcW w:w="2552" w:type="dxa"/>
            <w:tcBorders>
              <w:top w:val="nil"/>
              <w:left w:val="single" w:sz="8" w:space="0" w:color="000000"/>
              <w:bottom w:val="single" w:sz="8" w:space="0" w:color="000000"/>
              <w:right w:val="nil"/>
            </w:tcBorders>
          </w:tcPr>
          <w:p w14:paraId="65A63DD7"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Comfort</w:t>
            </w:r>
          </w:p>
        </w:tc>
        <w:tc>
          <w:tcPr>
            <w:tcW w:w="699" w:type="dxa"/>
            <w:tcBorders>
              <w:top w:val="nil"/>
              <w:left w:val="nil"/>
              <w:bottom w:val="single" w:sz="8" w:space="0" w:color="000000"/>
              <w:right w:val="nil"/>
            </w:tcBorders>
          </w:tcPr>
          <w:p w14:paraId="359F3BC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5,78</w:t>
            </w:r>
          </w:p>
        </w:tc>
        <w:tc>
          <w:tcPr>
            <w:tcW w:w="576" w:type="dxa"/>
            <w:tcBorders>
              <w:top w:val="nil"/>
              <w:left w:val="nil"/>
              <w:bottom w:val="single" w:sz="8" w:space="0" w:color="000000"/>
              <w:right w:val="nil"/>
            </w:tcBorders>
          </w:tcPr>
          <w:p w14:paraId="38C4C62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5,88</w:t>
            </w:r>
          </w:p>
        </w:tc>
        <w:tc>
          <w:tcPr>
            <w:tcW w:w="567" w:type="dxa"/>
            <w:tcBorders>
              <w:top w:val="nil"/>
              <w:left w:val="nil"/>
              <w:bottom w:val="single" w:sz="8" w:space="0" w:color="000000"/>
              <w:right w:val="nil"/>
            </w:tcBorders>
          </w:tcPr>
          <w:p w14:paraId="6FF30BA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20</w:t>
            </w:r>
          </w:p>
        </w:tc>
        <w:tc>
          <w:tcPr>
            <w:tcW w:w="668" w:type="dxa"/>
            <w:tcBorders>
              <w:top w:val="nil"/>
              <w:left w:val="nil"/>
              <w:bottom w:val="single" w:sz="8" w:space="0" w:color="000000"/>
              <w:right w:val="nil"/>
            </w:tcBorders>
          </w:tcPr>
          <w:p w14:paraId="5A13E48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single" w:sz="8" w:space="0" w:color="000000"/>
              <w:right w:val="nil"/>
            </w:tcBorders>
          </w:tcPr>
          <w:p w14:paraId="48340D6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41%</w:t>
            </w:r>
          </w:p>
        </w:tc>
      </w:tr>
    </w:tbl>
    <w:p w14:paraId="78291577" w14:textId="77777777" w:rsidR="00542F22" w:rsidRDefault="00542F22" w:rsidP="00542F22">
      <w:pPr>
        <w:rPr>
          <w:b/>
        </w:rPr>
      </w:pPr>
    </w:p>
    <w:p w14:paraId="416F5104" w14:textId="4E08FD66" w:rsidR="00BE2D26" w:rsidRPr="007E2A65" w:rsidRDefault="00BE2D26">
      <w:r w:rsidRPr="007E2A65">
        <w:t>Similarly, with respect to organisational features</w:t>
      </w:r>
      <w:r w:rsidR="000F3C24" w:rsidRPr="007E2A65">
        <w:t>,</w:t>
      </w:r>
      <w:r w:rsidR="0061302B" w:rsidRPr="007E2A65">
        <w:t xml:space="preserve"> Table 2 suggests that the highest ra</w:t>
      </w:r>
      <w:r w:rsidR="006C5735">
        <w:t>nk</w:t>
      </w:r>
      <w:r w:rsidR="0061302B" w:rsidRPr="007E2A65">
        <w:t xml:space="preserve">ings seem to be placed on strategic </w:t>
      </w:r>
      <w:r w:rsidR="00184330">
        <w:t xml:space="preserve">issues </w:t>
      </w:r>
      <w:r w:rsidR="0061302B" w:rsidRPr="007E2A65">
        <w:t>(e.g. policy integration) and tactical</w:t>
      </w:r>
      <w:r w:rsidR="00184330">
        <w:t xml:space="preserve"> questions</w:t>
      </w:r>
      <w:r w:rsidR="0061302B" w:rsidRPr="007E2A65">
        <w:t xml:space="preserve"> (e.g. fares integration). Operation functions related to contract specification and, particularly award seem to be much lower down the list.</w:t>
      </w:r>
      <w:r w:rsidR="006C5735">
        <w:t xml:space="preserve"> It is also interesting to see how the more strategic features move up the rankings as the Delphi study progresses from shortlisting to rating, although this may reflect the composition of the expert panel. </w:t>
      </w:r>
    </w:p>
    <w:p w14:paraId="2BA27D05" w14:textId="6ABDDB24" w:rsidR="002D4E30" w:rsidRPr="007E2A65" w:rsidRDefault="002D4E30">
      <w:pPr>
        <w:rPr>
          <w:b/>
        </w:rPr>
      </w:pPr>
      <w:r w:rsidRPr="007E2A65">
        <w:rPr>
          <w:b/>
        </w:rPr>
        <w:t>Table 2: Key Organisational Features.</w:t>
      </w:r>
    </w:p>
    <w:tbl>
      <w:tblPr>
        <w:tblW w:w="9229" w:type="dxa"/>
        <w:tblInd w:w="93" w:type="dxa"/>
        <w:tblLook w:val="04A0" w:firstRow="1" w:lastRow="0" w:firstColumn="1" w:lastColumn="0" w:noHBand="0" w:noVBand="1"/>
      </w:tblPr>
      <w:tblGrid>
        <w:gridCol w:w="2850"/>
        <w:gridCol w:w="599"/>
        <w:gridCol w:w="281"/>
        <w:gridCol w:w="2379"/>
        <w:gridCol w:w="698"/>
        <w:gridCol w:w="581"/>
        <w:gridCol w:w="567"/>
        <w:gridCol w:w="666"/>
        <w:gridCol w:w="608"/>
      </w:tblGrid>
      <w:tr w:rsidR="00542F22" w:rsidRPr="00586971" w14:paraId="2EB71530" w14:textId="77777777" w:rsidTr="00C76C40">
        <w:trPr>
          <w:trHeight w:val="240"/>
        </w:trPr>
        <w:tc>
          <w:tcPr>
            <w:tcW w:w="3449" w:type="dxa"/>
            <w:gridSpan w:val="2"/>
            <w:tcBorders>
              <w:top w:val="single" w:sz="8" w:space="0" w:color="000000"/>
              <w:left w:val="nil"/>
              <w:bottom w:val="single" w:sz="8" w:space="0" w:color="000000"/>
              <w:right w:val="single" w:sz="8" w:space="0" w:color="000000"/>
            </w:tcBorders>
            <w:shd w:val="clear" w:color="auto" w:fill="auto"/>
            <w:noWrap/>
            <w:vAlign w:val="center"/>
          </w:tcPr>
          <w:p w14:paraId="0D62B05F" w14:textId="77777777" w:rsidR="00542F22" w:rsidRPr="00542F22" w:rsidRDefault="00542F22" w:rsidP="00C76C40">
            <w:pPr>
              <w:spacing w:after="0" w:line="240" w:lineRule="auto"/>
              <w:jc w:val="center"/>
              <w:rPr>
                <w:rFonts w:cs="Times New Roman"/>
                <w:b/>
                <w:bCs/>
                <w:color w:val="000000"/>
                <w:sz w:val="20"/>
                <w:szCs w:val="20"/>
                <w:lang w:eastAsia="nl-NL"/>
              </w:rPr>
            </w:pPr>
            <w:r w:rsidRPr="00542F22">
              <w:rPr>
                <w:rFonts w:cs="Times New Roman"/>
                <w:b/>
                <w:bCs/>
                <w:color w:val="000000"/>
                <w:sz w:val="20"/>
                <w:szCs w:val="20"/>
                <w:lang w:eastAsia="nl-NL"/>
              </w:rPr>
              <w:t>Shortlisting (Round 2)</w:t>
            </w:r>
          </w:p>
        </w:tc>
        <w:tc>
          <w:tcPr>
            <w:tcW w:w="282" w:type="dxa"/>
            <w:tcBorders>
              <w:top w:val="single" w:sz="8" w:space="0" w:color="000000"/>
              <w:left w:val="single" w:sz="8" w:space="0" w:color="000000"/>
              <w:right w:val="single" w:sz="8" w:space="0" w:color="000000"/>
            </w:tcBorders>
            <w:shd w:val="clear" w:color="auto" w:fill="FFFFFF" w:themeFill="background1"/>
          </w:tcPr>
          <w:p w14:paraId="1E14F784" w14:textId="77777777" w:rsidR="00542F22" w:rsidRPr="00542F22" w:rsidRDefault="00542F22" w:rsidP="00C76C40">
            <w:pPr>
              <w:spacing w:after="0" w:line="240" w:lineRule="auto"/>
              <w:jc w:val="center"/>
              <w:rPr>
                <w:rFonts w:cs="Times New Roman"/>
                <w:b/>
                <w:bCs/>
                <w:color w:val="000000"/>
                <w:sz w:val="16"/>
                <w:szCs w:val="16"/>
                <w:lang w:eastAsia="nl-NL"/>
              </w:rPr>
            </w:pPr>
          </w:p>
        </w:tc>
        <w:tc>
          <w:tcPr>
            <w:tcW w:w="5498" w:type="dxa"/>
            <w:gridSpan w:val="6"/>
            <w:tcBorders>
              <w:top w:val="single" w:sz="8" w:space="0" w:color="000000"/>
              <w:left w:val="single" w:sz="8" w:space="0" w:color="000000"/>
              <w:bottom w:val="single" w:sz="8" w:space="0" w:color="000000"/>
              <w:right w:val="nil"/>
            </w:tcBorders>
          </w:tcPr>
          <w:p w14:paraId="256855FA" w14:textId="77777777" w:rsidR="00542F22" w:rsidRPr="00542F22" w:rsidRDefault="00542F22" w:rsidP="00C76C40">
            <w:pPr>
              <w:spacing w:after="0" w:line="240" w:lineRule="auto"/>
              <w:jc w:val="center"/>
              <w:rPr>
                <w:rFonts w:cs="Times New Roman"/>
                <w:b/>
                <w:color w:val="000000"/>
                <w:sz w:val="20"/>
                <w:szCs w:val="20"/>
                <w:lang w:eastAsia="en-GB"/>
              </w:rPr>
            </w:pPr>
            <w:r w:rsidRPr="00542F22">
              <w:rPr>
                <w:rFonts w:cs="Times New Roman"/>
                <w:b/>
                <w:color w:val="000000"/>
                <w:sz w:val="20"/>
                <w:szCs w:val="20"/>
                <w:lang w:eastAsia="en-GB"/>
              </w:rPr>
              <w:t>Rating (Round 3)</w:t>
            </w:r>
          </w:p>
        </w:tc>
      </w:tr>
      <w:tr w:rsidR="00542F22" w:rsidRPr="00586971" w14:paraId="0509F5D3" w14:textId="77777777" w:rsidTr="00C76C40">
        <w:trPr>
          <w:trHeight w:val="324"/>
        </w:trPr>
        <w:tc>
          <w:tcPr>
            <w:tcW w:w="2850" w:type="dxa"/>
            <w:tcBorders>
              <w:top w:val="single" w:sz="8" w:space="0" w:color="000000"/>
              <w:left w:val="nil"/>
              <w:bottom w:val="single" w:sz="8" w:space="0" w:color="000000"/>
              <w:right w:val="nil"/>
            </w:tcBorders>
            <w:shd w:val="clear" w:color="auto" w:fill="auto"/>
            <w:noWrap/>
            <w:vAlign w:val="center"/>
            <w:hideMark/>
          </w:tcPr>
          <w:p w14:paraId="40B4A336"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bCs/>
                <w:color w:val="000000"/>
                <w:sz w:val="16"/>
                <w:szCs w:val="16"/>
                <w:lang w:eastAsia="nl-NL"/>
              </w:rPr>
              <w:t>Organisational Feature</w:t>
            </w:r>
          </w:p>
        </w:tc>
        <w:tc>
          <w:tcPr>
            <w:tcW w:w="599" w:type="dxa"/>
            <w:tcBorders>
              <w:top w:val="single" w:sz="8" w:space="0" w:color="000000"/>
              <w:left w:val="nil"/>
              <w:bottom w:val="single" w:sz="8" w:space="0" w:color="000000"/>
              <w:right w:val="single" w:sz="8" w:space="0" w:color="000000"/>
            </w:tcBorders>
            <w:shd w:val="clear" w:color="auto" w:fill="auto"/>
            <w:noWrap/>
            <w:vAlign w:val="center"/>
            <w:hideMark/>
          </w:tcPr>
          <w:p w14:paraId="6CE6211C"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bCs/>
                <w:color w:val="000000"/>
                <w:sz w:val="16"/>
                <w:szCs w:val="16"/>
                <w:lang w:eastAsia="nl-NL"/>
              </w:rPr>
              <w:t>Votes (%)</w:t>
            </w:r>
          </w:p>
        </w:tc>
        <w:tc>
          <w:tcPr>
            <w:tcW w:w="282" w:type="dxa"/>
            <w:tcBorders>
              <w:left w:val="single" w:sz="8" w:space="0" w:color="000000"/>
              <w:right w:val="single" w:sz="8" w:space="0" w:color="000000"/>
            </w:tcBorders>
            <w:shd w:val="clear" w:color="auto" w:fill="FFFFFF" w:themeFill="background1"/>
          </w:tcPr>
          <w:p w14:paraId="53912ED9" w14:textId="77777777" w:rsidR="00542F22" w:rsidRPr="00542F22" w:rsidRDefault="00542F22" w:rsidP="00C76C40">
            <w:pPr>
              <w:spacing w:after="0" w:line="240" w:lineRule="auto"/>
              <w:rPr>
                <w:rFonts w:cs="Times New Roman"/>
                <w:b/>
                <w:bCs/>
                <w:color w:val="000000"/>
                <w:sz w:val="16"/>
                <w:szCs w:val="16"/>
                <w:lang w:eastAsia="nl-NL"/>
              </w:rPr>
            </w:pPr>
          </w:p>
        </w:tc>
        <w:tc>
          <w:tcPr>
            <w:tcW w:w="2383" w:type="dxa"/>
            <w:tcBorders>
              <w:top w:val="single" w:sz="8" w:space="0" w:color="000000"/>
              <w:left w:val="single" w:sz="8" w:space="0" w:color="000000"/>
              <w:bottom w:val="single" w:sz="8" w:space="0" w:color="000000"/>
              <w:right w:val="nil"/>
            </w:tcBorders>
          </w:tcPr>
          <w:p w14:paraId="03BF2875"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Organisational Features</w:t>
            </w:r>
          </w:p>
        </w:tc>
        <w:tc>
          <w:tcPr>
            <w:tcW w:w="698" w:type="dxa"/>
            <w:tcBorders>
              <w:top w:val="single" w:sz="8" w:space="0" w:color="000000"/>
              <w:left w:val="nil"/>
              <w:bottom w:val="single" w:sz="8" w:space="0" w:color="000000"/>
              <w:right w:val="nil"/>
            </w:tcBorders>
          </w:tcPr>
          <w:p w14:paraId="577FBA03"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Avg. Points</w:t>
            </w:r>
          </w:p>
        </w:tc>
        <w:tc>
          <w:tcPr>
            <w:tcW w:w="576" w:type="dxa"/>
            <w:tcBorders>
              <w:top w:val="single" w:sz="8" w:space="0" w:color="000000"/>
              <w:left w:val="nil"/>
              <w:bottom w:val="single" w:sz="8" w:space="0" w:color="000000"/>
              <w:right w:val="nil"/>
            </w:tcBorders>
          </w:tcPr>
          <w:p w14:paraId="5A0FF70E"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Std. Dev.</w:t>
            </w:r>
          </w:p>
        </w:tc>
        <w:tc>
          <w:tcPr>
            <w:tcW w:w="567" w:type="dxa"/>
            <w:tcBorders>
              <w:top w:val="single" w:sz="8" w:space="0" w:color="000000"/>
              <w:left w:val="nil"/>
              <w:bottom w:val="single" w:sz="8" w:space="0" w:color="000000"/>
              <w:right w:val="nil"/>
            </w:tcBorders>
          </w:tcPr>
          <w:p w14:paraId="3185B87E"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High</w:t>
            </w:r>
          </w:p>
        </w:tc>
        <w:tc>
          <w:tcPr>
            <w:tcW w:w="666" w:type="dxa"/>
            <w:tcBorders>
              <w:top w:val="single" w:sz="8" w:space="0" w:color="000000"/>
              <w:left w:val="nil"/>
              <w:bottom w:val="single" w:sz="8" w:space="0" w:color="000000"/>
              <w:right w:val="nil"/>
            </w:tcBorders>
          </w:tcPr>
          <w:p w14:paraId="72037C88"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Mode</w:t>
            </w:r>
          </w:p>
        </w:tc>
        <w:tc>
          <w:tcPr>
            <w:tcW w:w="608" w:type="dxa"/>
            <w:tcBorders>
              <w:top w:val="single" w:sz="8" w:space="0" w:color="000000"/>
              <w:left w:val="nil"/>
              <w:bottom w:val="single" w:sz="8" w:space="0" w:color="000000"/>
              <w:right w:val="nil"/>
            </w:tcBorders>
          </w:tcPr>
          <w:p w14:paraId="0ACD678B"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b/>
                <w:color w:val="000000"/>
                <w:sz w:val="16"/>
                <w:szCs w:val="16"/>
                <w:lang w:eastAsia="en-GB"/>
              </w:rPr>
              <w:t>Zeros</w:t>
            </w:r>
          </w:p>
        </w:tc>
      </w:tr>
      <w:tr w:rsidR="00542F22" w:rsidRPr="00586971" w14:paraId="771DD466" w14:textId="77777777" w:rsidTr="00C76C40">
        <w:trPr>
          <w:trHeight w:val="228"/>
        </w:trPr>
        <w:tc>
          <w:tcPr>
            <w:tcW w:w="2850" w:type="dxa"/>
            <w:tcBorders>
              <w:top w:val="nil"/>
              <w:left w:val="nil"/>
              <w:bottom w:val="nil"/>
              <w:right w:val="nil"/>
            </w:tcBorders>
            <w:shd w:val="clear" w:color="D9D9D9" w:fill="D9D9D9"/>
            <w:noWrap/>
            <w:vAlign w:val="center"/>
            <w:hideMark/>
          </w:tcPr>
          <w:p w14:paraId="6A284736"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Integrated fare and ticketing (clearinghouse functions)</w:t>
            </w:r>
          </w:p>
        </w:tc>
        <w:tc>
          <w:tcPr>
            <w:tcW w:w="599" w:type="dxa"/>
            <w:tcBorders>
              <w:left w:val="nil"/>
              <w:bottom w:val="nil"/>
              <w:right w:val="single" w:sz="8" w:space="0" w:color="000000"/>
            </w:tcBorders>
            <w:shd w:val="clear" w:color="D9D9D9" w:fill="D9D9D9"/>
            <w:noWrap/>
            <w:vAlign w:val="center"/>
            <w:hideMark/>
          </w:tcPr>
          <w:p w14:paraId="2640DF3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59%</w:t>
            </w:r>
          </w:p>
        </w:tc>
        <w:tc>
          <w:tcPr>
            <w:tcW w:w="282" w:type="dxa"/>
            <w:tcBorders>
              <w:left w:val="single" w:sz="8" w:space="0" w:color="000000"/>
              <w:bottom w:val="nil"/>
              <w:right w:val="single" w:sz="8" w:space="0" w:color="000000"/>
            </w:tcBorders>
            <w:shd w:val="clear" w:color="auto" w:fill="FFFFFF" w:themeFill="background1"/>
          </w:tcPr>
          <w:p w14:paraId="21C06A2C"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shd w:val="clear" w:color="D9D9D9" w:fill="D9D9D9"/>
          </w:tcPr>
          <w:p w14:paraId="6DB5D301"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Policy Integration: cross-sector links with other govt. areas</w:t>
            </w:r>
          </w:p>
        </w:tc>
        <w:tc>
          <w:tcPr>
            <w:tcW w:w="698" w:type="dxa"/>
            <w:tcBorders>
              <w:top w:val="nil"/>
              <w:left w:val="nil"/>
              <w:bottom w:val="nil"/>
              <w:right w:val="nil"/>
            </w:tcBorders>
            <w:shd w:val="clear" w:color="D9D9D9" w:fill="D9D9D9"/>
          </w:tcPr>
          <w:p w14:paraId="736CAFF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14,65</w:t>
            </w:r>
          </w:p>
        </w:tc>
        <w:tc>
          <w:tcPr>
            <w:tcW w:w="576" w:type="dxa"/>
            <w:tcBorders>
              <w:top w:val="nil"/>
              <w:left w:val="nil"/>
              <w:bottom w:val="nil"/>
              <w:right w:val="nil"/>
            </w:tcBorders>
            <w:shd w:val="clear" w:color="D9D9D9" w:fill="D9D9D9"/>
          </w:tcPr>
          <w:p w14:paraId="2BA7986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7,79</w:t>
            </w:r>
          </w:p>
        </w:tc>
        <w:tc>
          <w:tcPr>
            <w:tcW w:w="567" w:type="dxa"/>
            <w:tcBorders>
              <w:top w:val="nil"/>
              <w:left w:val="nil"/>
              <w:bottom w:val="nil"/>
              <w:right w:val="nil"/>
            </w:tcBorders>
            <w:shd w:val="clear" w:color="D9D9D9" w:fill="D9D9D9"/>
          </w:tcPr>
          <w:p w14:paraId="578F9DFC"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6" w:type="dxa"/>
            <w:tcBorders>
              <w:top w:val="nil"/>
              <w:left w:val="nil"/>
              <w:bottom w:val="nil"/>
              <w:right w:val="nil"/>
            </w:tcBorders>
            <w:shd w:val="clear" w:color="D9D9D9" w:fill="D9D9D9"/>
          </w:tcPr>
          <w:p w14:paraId="3BACA736"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shd w:val="clear" w:color="D9D9D9" w:fill="D9D9D9"/>
          </w:tcPr>
          <w:p w14:paraId="69979436"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9%</w:t>
            </w:r>
          </w:p>
        </w:tc>
      </w:tr>
      <w:tr w:rsidR="00542F22" w:rsidRPr="00586971" w14:paraId="21BC4429" w14:textId="77777777" w:rsidTr="00C76C40">
        <w:trPr>
          <w:trHeight w:val="228"/>
        </w:trPr>
        <w:tc>
          <w:tcPr>
            <w:tcW w:w="2850" w:type="dxa"/>
            <w:tcBorders>
              <w:top w:val="nil"/>
              <w:left w:val="nil"/>
              <w:bottom w:val="nil"/>
              <w:right w:val="nil"/>
            </w:tcBorders>
            <w:shd w:val="clear" w:color="auto" w:fill="auto"/>
            <w:noWrap/>
            <w:vAlign w:val="center"/>
            <w:hideMark/>
          </w:tcPr>
          <w:p w14:paraId="4E6A45C3"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Funding framework: source, availability, autonomy/control</w:t>
            </w:r>
          </w:p>
        </w:tc>
        <w:tc>
          <w:tcPr>
            <w:tcW w:w="599" w:type="dxa"/>
            <w:tcBorders>
              <w:top w:val="nil"/>
              <w:left w:val="nil"/>
              <w:bottom w:val="nil"/>
              <w:right w:val="single" w:sz="8" w:space="0" w:color="000000"/>
            </w:tcBorders>
            <w:shd w:val="clear" w:color="auto" w:fill="auto"/>
            <w:noWrap/>
            <w:vAlign w:val="center"/>
            <w:hideMark/>
          </w:tcPr>
          <w:p w14:paraId="5E033BA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57%</w:t>
            </w:r>
          </w:p>
        </w:tc>
        <w:tc>
          <w:tcPr>
            <w:tcW w:w="282" w:type="dxa"/>
            <w:tcBorders>
              <w:top w:val="nil"/>
              <w:left w:val="single" w:sz="8" w:space="0" w:color="000000"/>
              <w:bottom w:val="nil"/>
              <w:right w:val="single" w:sz="8" w:space="0" w:color="000000"/>
            </w:tcBorders>
            <w:shd w:val="clear" w:color="auto" w:fill="FFFFFF" w:themeFill="background1"/>
          </w:tcPr>
          <w:p w14:paraId="3D147280"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tcPr>
          <w:p w14:paraId="54796381"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Funding: source, availability, autonomy/control</w:t>
            </w:r>
          </w:p>
        </w:tc>
        <w:tc>
          <w:tcPr>
            <w:tcW w:w="698" w:type="dxa"/>
            <w:tcBorders>
              <w:top w:val="nil"/>
              <w:left w:val="nil"/>
              <w:bottom w:val="nil"/>
              <w:right w:val="nil"/>
            </w:tcBorders>
          </w:tcPr>
          <w:p w14:paraId="4FEB1EE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14,37</w:t>
            </w:r>
          </w:p>
        </w:tc>
        <w:tc>
          <w:tcPr>
            <w:tcW w:w="576" w:type="dxa"/>
            <w:tcBorders>
              <w:top w:val="nil"/>
              <w:left w:val="nil"/>
              <w:bottom w:val="nil"/>
              <w:right w:val="nil"/>
            </w:tcBorders>
          </w:tcPr>
          <w:p w14:paraId="0A0CA7D6"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11,20</w:t>
            </w:r>
          </w:p>
        </w:tc>
        <w:tc>
          <w:tcPr>
            <w:tcW w:w="567" w:type="dxa"/>
            <w:tcBorders>
              <w:top w:val="nil"/>
              <w:left w:val="nil"/>
              <w:bottom w:val="nil"/>
              <w:right w:val="nil"/>
            </w:tcBorders>
          </w:tcPr>
          <w:p w14:paraId="228F672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50</w:t>
            </w:r>
          </w:p>
        </w:tc>
        <w:tc>
          <w:tcPr>
            <w:tcW w:w="666" w:type="dxa"/>
            <w:tcBorders>
              <w:top w:val="nil"/>
              <w:left w:val="nil"/>
              <w:bottom w:val="nil"/>
              <w:right w:val="nil"/>
            </w:tcBorders>
          </w:tcPr>
          <w:p w14:paraId="727515A9"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15</w:t>
            </w:r>
          </w:p>
        </w:tc>
        <w:tc>
          <w:tcPr>
            <w:tcW w:w="608" w:type="dxa"/>
            <w:tcBorders>
              <w:top w:val="nil"/>
              <w:left w:val="nil"/>
              <w:bottom w:val="nil"/>
              <w:right w:val="nil"/>
            </w:tcBorders>
          </w:tcPr>
          <w:p w14:paraId="10CCF413"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18%</w:t>
            </w:r>
          </w:p>
        </w:tc>
      </w:tr>
      <w:tr w:rsidR="00542F22" w:rsidRPr="00586971" w14:paraId="55974F72" w14:textId="77777777" w:rsidTr="00C76C40">
        <w:trPr>
          <w:trHeight w:val="228"/>
        </w:trPr>
        <w:tc>
          <w:tcPr>
            <w:tcW w:w="2850" w:type="dxa"/>
            <w:tcBorders>
              <w:top w:val="nil"/>
              <w:left w:val="nil"/>
              <w:bottom w:val="nil"/>
              <w:right w:val="nil"/>
            </w:tcBorders>
            <w:shd w:val="clear" w:color="D9D9D9" w:fill="D9D9D9"/>
            <w:noWrap/>
            <w:vAlign w:val="center"/>
            <w:hideMark/>
          </w:tcPr>
          <w:p w14:paraId="4E8FA8C4"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Integrated planning: multimodal and multijurisdictional agency or capability</w:t>
            </w:r>
          </w:p>
        </w:tc>
        <w:tc>
          <w:tcPr>
            <w:tcW w:w="599" w:type="dxa"/>
            <w:tcBorders>
              <w:top w:val="nil"/>
              <w:left w:val="nil"/>
              <w:bottom w:val="nil"/>
              <w:right w:val="single" w:sz="8" w:space="0" w:color="000000"/>
            </w:tcBorders>
            <w:shd w:val="clear" w:color="D9D9D9" w:fill="D9D9D9"/>
            <w:noWrap/>
            <w:vAlign w:val="center"/>
            <w:hideMark/>
          </w:tcPr>
          <w:p w14:paraId="784A592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43%</w:t>
            </w:r>
          </w:p>
        </w:tc>
        <w:tc>
          <w:tcPr>
            <w:tcW w:w="282" w:type="dxa"/>
            <w:tcBorders>
              <w:top w:val="nil"/>
              <w:left w:val="single" w:sz="8" w:space="0" w:color="000000"/>
              <w:bottom w:val="nil"/>
              <w:right w:val="single" w:sz="8" w:space="0" w:color="000000"/>
            </w:tcBorders>
            <w:shd w:val="clear" w:color="auto" w:fill="FFFFFF" w:themeFill="background1"/>
          </w:tcPr>
          <w:p w14:paraId="574BAB06"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shd w:val="clear" w:color="D9D9D9" w:fill="D9D9D9"/>
          </w:tcPr>
          <w:p w14:paraId="0CECEE4F"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Long-term Strategic PT plan</w:t>
            </w:r>
          </w:p>
        </w:tc>
        <w:tc>
          <w:tcPr>
            <w:tcW w:w="698" w:type="dxa"/>
            <w:tcBorders>
              <w:top w:val="nil"/>
              <w:left w:val="nil"/>
              <w:bottom w:val="nil"/>
              <w:right w:val="nil"/>
            </w:tcBorders>
            <w:shd w:val="clear" w:color="D9D9D9" w:fill="D9D9D9"/>
          </w:tcPr>
          <w:p w14:paraId="787EFA1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12,65</w:t>
            </w:r>
          </w:p>
        </w:tc>
        <w:tc>
          <w:tcPr>
            <w:tcW w:w="576" w:type="dxa"/>
            <w:tcBorders>
              <w:top w:val="nil"/>
              <w:left w:val="nil"/>
              <w:bottom w:val="nil"/>
              <w:right w:val="nil"/>
            </w:tcBorders>
            <w:shd w:val="clear" w:color="D9D9D9" w:fill="D9D9D9"/>
          </w:tcPr>
          <w:p w14:paraId="3A4DBA7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7,82</w:t>
            </w:r>
          </w:p>
        </w:tc>
        <w:tc>
          <w:tcPr>
            <w:tcW w:w="567" w:type="dxa"/>
            <w:tcBorders>
              <w:top w:val="nil"/>
              <w:left w:val="nil"/>
              <w:bottom w:val="nil"/>
              <w:right w:val="nil"/>
            </w:tcBorders>
            <w:shd w:val="clear" w:color="D9D9D9" w:fill="D9D9D9"/>
          </w:tcPr>
          <w:p w14:paraId="52F86823"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6" w:type="dxa"/>
            <w:tcBorders>
              <w:top w:val="nil"/>
              <w:left w:val="nil"/>
              <w:bottom w:val="nil"/>
              <w:right w:val="nil"/>
            </w:tcBorders>
            <w:shd w:val="clear" w:color="D9D9D9" w:fill="D9D9D9"/>
          </w:tcPr>
          <w:p w14:paraId="1EBFE3E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shd w:val="clear" w:color="D9D9D9" w:fill="D9D9D9"/>
          </w:tcPr>
          <w:p w14:paraId="4297D370"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11%</w:t>
            </w:r>
          </w:p>
        </w:tc>
      </w:tr>
      <w:tr w:rsidR="00542F22" w:rsidRPr="00586971" w14:paraId="547C0FB1" w14:textId="77777777" w:rsidTr="00C76C40">
        <w:trPr>
          <w:trHeight w:val="228"/>
        </w:trPr>
        <w:tc>
          <w:tcPr>
            <w:tcW w:w="2850" w:type="dxa"/>
            <w:tcBorders>
              <w:top w:val="nil"/>
              <w:left w:val="nil"/>
              <w:bottom w:val="nil"/>
              <w:right w:val="nil"/>
            </w:tcBorders>
            <w:shd w:val="clear" w:color="auto" w:fill="auto"/>
            <w:noWrap/>
            <w:vAlign w:val="center"/>
            <w:hideMark/>
          </w:tcPr>
          <w:p w14:paraId="28CFA780"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Policy Integration: cross-sector links with other govt. areas</w:t>
            </w:r>
          </w:p>
        </w:tc>
        <w:tc>
          <w:tcPr>
            <w:tcW w:w="599" w:type="dxa"/>
            <w:tcBorders>
              <w:top w:val="nil"/>
              <w:left w:val="nil"/>
              <w:bottom w:val="nil"/>
              <w:right w:val="single" w:sz="8" w:space="0" w:color="000000"/>
            </w:tcBorders>
            <w:shd w:val="clear" w:color="auto" w:fill="auto"/>
            <w:noWrap/>
            <w:vAlign w:val="center"/>
            <w:hideMark/>
          </w:tcPr>
          <w:p w14:paraId="4159A03C"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39%</w:t>
            </w:r>
          </w:p>
        </w:tc>
        <w:tc>
          <w:tcPr>
            <w:tcW w:w="282" w:type="dxa"/>
            <w:tcBorders>
              <w:top w:val="nil"/>
              <w:left w:val="single" w:sz="8" w:space="0" w:color="000000"/>
              <w:bottom w:val="nil"/>
              <w:right w:val="single" w:sz="8" w:space="0" w:color="000000"/>
            </w:tcBorders>
            <w:shd w:val="clear" w:color="auto" w:fill="FFFFFF" w:themeFill="background1"/>
          </w:tcPr>
          <w:p w14:paraId="2664E342"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tcPr>
          <w:p w14:paraId="076F1D11"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Integrated Planning: multimodal and multijurisdictional agency or capability</w:t>
            </w:r>
          </w:p>
        </w:tc>
        <w:tc>
          <w:tcPr>
            <w:tcW w:w="698" w:type="dxa"/>
            <w:tcBorders>
              <w:top w:val="nil"/>
              <w:left w:val="nil"/>
              <w:bottom w:val="nil"/>
              <w:right w:val="nil"/>
            </w:tcBorders>
          </w:tcPr>
          <w:p w14:paraId="4CBAD09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12,46</w:t>
            </w:r>
          </w:p>
        </w:tc>
        <w:tc>
          <w:tcPr>
            <w:tcW w:w="576" w:type="dxa"/>
            <w:tcBorders>
              <w:top w:val="nil"/>
              <w:left w:val="nil"/>
              <w:bottom w:val="nil"/>
              <w:right w:val="nil"/>
            </w:tcBorders>
          </w:tcPr>
          <w:p w14:paraId="35E132A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8,42</w:t>
            </w:r>
          </w:p>
        </w:tc>
        <w:tc>
          <w:tcPr>
            <w:tcW w:w="567" w:type="dxa"/>
            <w:tcBorders>
              <w:top w:val="nil"/>
              <w:left w:val="nil"/>
              <w:bottom w:val="nil"/>
              <w:right w:val="nil"/>
            </w:tcBorders>
          </w:tcPr>
          <w:p w14:paraId="1B603B6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40</w:t>
            </w:r>
          </w:p>
        </w:tc>
        <w:tc>
          <w:tcPr>
            <w:tcW w:w="666" w:type="dxa"/>
            <w:tcBorders>
              <w:top w:val="nil"/>
              <w:left w:val="nil"/>
              <w:bottom w:val="nil"/>
              <w:right w:val="nil"/>
            </w:tcBorders>
          </w:tcPr>
          <w:p w14:paraId="55D3D45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tcPr>
          <w:p w14:paraId="3A867D2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16%</w:t>
            </w:r>
          </w:p>
        </w:tc>
      </w:tr>
      <w:tr w:rsidR="00542F22" w:rsidRPr="00586971" w14:paraId="242884E3" w14:textId="77777777" w:rsidTr="00C76C40">
        <w:trPr>
          <w:trHeight w:val="228"/>
        </w:trPr>
        <w:tc>
          <w:tcPr>
            <w:tcW w:w="2850" w:type="dxa"/>
            <w:tcBorders>
              <w:top w:val="nil"/>
              <w:left w:val="nil"/>
              <w:bottom w:val="nil"/>
              <w:right w:val="nil"/>
            </w:tcBorders>
            <w:shd w:val="clear" w:color="D9D9D9" w:fill="D9D9D9"/>
            <w:noWrap/>
            <w:vAlign w:val="center"/>
            <w:hideMark/>
          </w:tcPr>
          <w:p w14:paraId="3672E0ED"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Clear legal and regulatory frameworks: mandates and performance targets</w:t>
            </w:r>
          </w:p>
        </w:tc>
        <w:tc>
          <w:tcPr>
            <w:tcW w:w="599" w:type="dxa"/>
            <w:tcBorders>
              <w:top w:val="nil"/>
              <w:left w:val="nil"/>
              <w:bottom w:val="nil"/>
              <w:right w:val="single" w:sz="8" w:space="0" w:color="000000"/>
            </w:tcBorders>
            <w:shd w:val="clear" w:color="D9D9D9" w:fill="D9D9D9"/>
            <w:noWrap/>
            <w:vAlign w:val="center"/>
            <w:hideMark/>
          </w:tcPr>
          <w:p w14:paraId="702BC5F4"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34%</w:t>
            </w:r>
          </w:p>
        </w:tc>
        <w:tc>
          <w:tcPr>
            <w:tcW w:w="282" w:type="dxa"/>
            <w:tcBorders>
              <w:top w:val="nil"/>
              <w:left w:val="single" w:sz="8" w:space="0" w:color="000000"/>
              <w:bottom w:val="nil"/>
              <w:right w:val="single" w:sz="8" w:space="0" w:color="000000"/>
            </w:tcBorders>
            <w:shd w:val="clear" w:color="auto" w:fill="FFFFFF" w:themeFill="background1"/>
          </w:tcPr>
          <w:p w14:paraId="5A560405"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shd w:val="clear" w:color="D9D9D9" w:fill="D9D9D9"/>
          </w:tcPr>
          <w:p w14:paraId="30E520B0"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Integrated Fare and Ticketing (clearinghouse functions)</w:t>
            </w:r>
          </w:p>
        </w:tc>
        <w:tc>
          <w:tcPr>
            <w:tcW w:w="698" w:type="dxa"/>
            <w:tcBorders>
              <w:top w:val="nil"/>
              <w:left w:val="nil"/>
              <w:bottom w:val="nil"/>
              <w:right w:val="nil"/>
            </w:tcBorders>
            <w:shd w:val="clear" w:color="D9D9D9" w:fill="D9D9D9"/>
          </w:tcPr>
          <w:p w14:paraId="6123D6D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10,28</w:t>
            </w:r>
          </w:p>
        </w:tc>
        <w:tc>
          <w:tcPr>
            <w:tcW w:w="576" w:type="dxa"/>
            <w:tcBorders>
              <w:top w:val="nil"/>
              <w:left w:val="nil"/>
              <w:bottom w:val="nil"/>
              <w:right w:val="nil"/>
            </w:tcBorders>
            <w:shd w:val="clear" w:color="D9D9D9" w:fill="D9D9D9"/>
          </w:tcPr>
          <w:p w14:paraId="36F65E0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8,81</w:t>
            </w:r>
          </w:p>
        </w:tc>
        <w:tc>
          <w:tcPr>
            <w:tcW w:w="567" w:type="dxa"/>
            <w:tcBorders>
              <w:top w:val="nil"/>
              <w:left w:val="nil"/>
              <w:bottom w:val="nil"/>
              <w:right w:val="nil"/>
            </w:tcBorders>
            <w:shd w:val="clear" w:color="D9D9D9" w:fill="D9D9D9"/>
          </w:tcPr>
          <w:p w14:paraId="24815363"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40</w:t>
            </w:r>
          </w:p>
        </w:tc>
        <w:tc>
          <w:tcPr>
            <w:tcW w:w="666" w:type="dxa"/>
            <w:tcBorders>
              <w:top w:val="nil"/>
              <w:left w:val="nil"/>
              <w:bottom w:val="nil"/>
              <w:right w:val="nil"/>
            </w:tcBorders>
            <w:shd w:val="clear" w:color="D9D9D9" w:fill="D9D9D9"/>
          </w:tcPr>
          <w:p w14:paraId="1068BC9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shd w:val="clear" w:color="D9D9D9" w:fill="D9D9D9"/>
          </w:tcPr>
          <w:p w14:paraId="1D175BC6"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25%</w:t>
            </w:r>
          </w:p>
        </w:tc>
      </w:tr>
      <w:tr w:rsidR="00542F22" w:rsidRPr="00586971" w14:paraId="67F19955" w14:textId="77777777" w:rsidTr="00C76C40">
        <w:trPr>
          <w:trHeight w:val="228"/>
        </w:trPr>
        <w:tc>
          <w:tcPr>
            <w:tcW w:w="2850" w:type="dxa"/>
            <w:tcBorders>
              <w:top w:val="nil"/>
              <w:left w:val="nil"/>
              <w:bottom w:val="nil"/>
              <w:right w:val="nil"/>
            </w:tcBorders>
            <w:shd w:val="clear" w:color="auto" w:fill="auto"/>
            <w:noWrap/>
            <w:vAlign w:val="center"/>
            <w:hideMark/>
          </w:tcPr>
          <w:p w14:paraId="417EB6A8"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Long-term strategic PT plan</w:t>
            </w:r>
          </w:p>
        </w:tc>
        <w:tc>
          <w:tcPr>
            <w:tcW w:w="599" w:type="dxa"/>
            <w:tcBorders>
              <w:top w:val="nil"/>
              <w:left w:val="nil"/>
              <w:bottom w:val="nil"/>
              <w:right w:val="single" w:sz="8" w:space="0" w:color="000000"/>
            </w:tcBorders>
            <w:shd w:val="clear" w:color="auto" w:fill="auto"/>
            <w:noWrap/>
            <w:vAlign w:val="center"/>
            <w:hideMark/>
          </w:tcPr>
          <w:p w14:paraId="35321BB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31%</w:t>
            </w:r>
          </w:p>
        </w:tc>
        <w:tc>
          <w:tcPr>
            <w:tcW w:w="282" w:type="dxa"/>
            <w:tcBorders>
              <w:top w:val="nil"/>
              <w:left w:val="single" w:sz="8" w:space="0" w:color="000000"/>
              <w:bottom w:val="nil"/>
              <w:right w:val="single" w:sz="8" w:space="0" w:color="000000"/>
            </w:tcBorders>
            <w:shd w:val="clear" w:color="auto" w:fill="FFFFFF" w:themeFill="background1"/>
          </w:tcPr>
          <w:p w14:paraId="5E5EA076"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tcPr>
          <w:p w14:paraId="6F3EAC4D"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 xml:space="preserve">Clear Legal and Regulatory Frameworks </w:t>
            </w:r>
          </w:p>
        </w:tc>
        <w:tc>
          <w:tcPr>
            <w:tcW w:w="698" w:type="dxa"/>
            <w:tcBorders>
              <w:top w:val="nil"/>
              <w:left w:val="nil"/>
              <w:bottom w:val="nil"/>
              <w:right w:val="nil"/>
            </w:tcBorders>
          </w:tcPr>
          <w:p w14:paraId="5264F33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8,96</w:t>
            </w:r>
          </w:p>
        </w:tc>
        <w:tc>
          <w:tcPr>
            <w:tcW w:w="576" w:type="dxa"/>
            <w:tcBorders>
              <w:top w:val="nil"/>
              <w:left w:val="nil"/>
              <w:bottom w:val="nil"/>
              <w:right w:val="nil"/>
            </w:tcBorders>
          </w:tcPr>
          <w:p w14:paraId="05D37EB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6,87</w:t>
            </w:r>
          </w:p>
        </w:tc>
        <w:tc>
          <w:tcPr>
            <w:tcW w:w="567" w:type="dxa"/>
            <w:tcBorders>
              <w:top w:val="nil"/>
              <w:left w:val="nil"/>
              <w:bottom w:val="nil"/>
              <w:right w:val="nil"/>
            </w:tcBorders>
          </w:tcPr>
          <w:p w14:paraId="1DB1F8D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6" w:type="dxa"/>
            <w:tcBorders>
              <w:top w:val="nil"/>
              <w:left w:val="nil"/>
              <w:bottom w:val="nil"/>
              <w:right w:val="nil"/>
            </w:tcBorders>
          </w:tcPr>
          <w:p w14:paraId="4FA53F2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tcPr>
          <w:p w14:paraId="11759C1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25%</w:t>
            </w:r>
          </w:p>
        </w:tc>
      </w:tr>
      <w:tr w:rsidR="00542F22" w:rsidRPr="00586971" w14:paraId="635C1B06" w14:textId="77777777" w:rsidTr="00C76C40">
        <w:trPr>
          <w:trHeight w:val="384"/>
        </w:trPr>
        <w:tc>
          <w:tcPr>
            <w:tcW w:w="2850" w:type="dxa"/>
            <w:tcBorders>
              <w:top w:val="nil"/>
              <w:left w:val="nil"/>
              <w:bottom w:val="nil"/>
              <w:right w:val="nil"/>
            </w:tcBorders>
            <w:shd w:val="clear" w:color="D9D9D9" w:fill="D9D9D9"/>
            <w:noWrap/>
            <w:vAlign w:val="center"/>
            <w:hideMark/>
          </w:tcPr>
          <w:p w14:paraId="3A944B90"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Contracts: risk allocation and incentive structure</w:t>
            </w:r>
          </w:p>
        </w:tc>
        <w:tc>
          <w:tcPr>
            <w:tcW w:w="599" w:type="dxa"/>
            <w:tcBorders>
              <w:top w:val="nil"/>
              <w:left w:val="nil"/>
              <w:bottom w:val="nil"/>
              <w:right w:val="single" w:sz="8" w:space="0" w:color="000000"/>
            </w:tcBorders>
            <w:shd w:val="clear" w:color="D9D9D9" w:fill="D9D9D9"/>
            <w:noWrap/>
            <w:vAlign w:val="center"/>
            <w:hideMark/>
          </w:tcPr>
          <w:p w14:paraId="6623AC8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28%</w:t>
            </w:r>
          </w:p>
        </w:tc>
        <w:tc>
          <w:tcPr>
            <w:tcW w:w="282" w:type="dxa"/>
            <w:tcBorders>
              <w:top w:val="nil"/>
              <w:left w:val="single" w:sz="8" w:space="0" w:color="000000"/>
              <w:bottom w:val="nil"/>
              <w:right w:val="single" w:sz="8" w:space="0" w:color="000000"/>
            </w:tcBorders>
            <w:shd w:val="clear" w:color="auto" w:fill="FFFFFF" w:themeFill="background1"/>
          </w:tcPr>
          <w:p w14:paraId="019F83E1"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shd w:val="clear" w:color="D9D9D9" w:fill="D9D9D9"/>
          </w:tcPr>
          <w:p w14:paraId="5F92FC5E"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Contracts: risk allocation and incentive structure</w:t>
            </w:r>
          </w:p>
        </w:tc>
        <w:tc>
          <w:tcPr>
            <w:tcW w:w="698" w:type="dxa"/>
            <w:tcBorders>
              <w:top w:val="nil"/>
              <w:left w:val="nil"/>
              <w:bottom w:val="nil"/>
              <w:right w:val="nil"/>
            </w:tcBorders>
            <w:shd w:val="clear" w:color="D9D9D9" w:fill="D9D9D9"/>
          </w:tcPr>
          <w:p w14:paraId="24E893B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8,43</w:t>
            </w:r>
          </w:p>
        </w:tc>
        <w:tc>
          <w:tcPr>
            <w:tcW w:w="576" w:type="dxa"/>
            <w:tcBorders>
              <w:top w:val="nil"/>
              <w:left w:val="nil"/>
              <w:bottom w:val="nil"/>
              <w:right w:val="nil"/>
            </w:tcBorders>
            <w:shd w:val="clear" w:color="D9D9D9" w:fill="D9D9D9"/>
          </w:tcPr>
          <w:p w14:paraId="0978AD0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7,50</w:t>
            </w:r>
          </w:p>
        </w:tc>
        <w:tc>
          <w:tcPr>
            <w:tcW w:w="567" w:type="dxa"/>
            <w:tcBorders>
              <w:top w:val="nil"/>
              <w:left w:val="nil"/>
              <w:bottom w:val="nil"/>
              <w:right w:val="nil"/>
            </w:tcBorders>
            <w:shd w:val="clear" w:color="D9D9D9" w:fill="D9D9D9"/>
          </w:tcPr>
          <w:p w14:paraId="75939B1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30</w:t>
            </w:r>
          </w:p>
        </w:tc>
        <w:tc>
          <w:tcPr>
            <w:tcW w:w="666" w:type="dxa"/>
            <w:tcBorders>
              <w:top w:val="nil"/>
              <w:left w:val="nil"/>
              <w:bottom w:val="nil"/>
              <w:right w:val="nil"/>
            </w:tcBorders>
            <w:shd w:val="clear" w:color="D9D9D9" w:fill="D9D9D9"/>
          </w:tcPr>
          <w:p w14:paraId="3AB0E917"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10</w:t>
            </w:r>
          </w:p>
        </w:tc>
        <w:tc>
          <w:tcPr>
            <w:tcW w:w="608" w:type="dxa"/>
            <w:tcBorders>
              <w:top w:val="nil"/>
              <w:left w:val="nil"/>
              <w:bottom w:val="nil"/>
              <w:right w:val="nil"/>
            </w:tcBorders>
            <w:shd w:val="clear" w:color="D9D9D9" w:fill="D9D9D9"/>
          </w:tcPr>
          <w:p w14:paraId="2FEAF23F"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27%</w:t>
            </w:r>
          </w:p>
        </w:tc>
      </w:tr>
      <w:tr w:rsidR="00542F22" w:rsidRPr="00586971" w14:paraId="506BA1E9" w14:textId="77777777" w:rsidTr="00C76C40">
        <w:trPr>
          <w:trHeight w:val="277"/>
        </w:trPr>
        <w:tc>
          <w:tcPr>
            <w:tcW w:w="2850" w:type="dxa"/>
            <w:tcBorders>
              <w:top w:val="nil"/>
              <w:left w:val="nil"/>
              <w:bottom w:val="nil"/>
              <w:right w:val="nil"/>
            </w:tcBorders>
            <w:shd w:val="clear" w:color="auto" w:fill="auto"/>
            <w:noWrap/>
            <w:vAlign w:val="center"/>
            <w:hideMark/>
          </w:tcPr>
          <w:p w14:paraId="5F85A199"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Skill set and technical expertise of staff</w:t>
            </w:r>
          </w:p>
        </w:tc>
        <w:tc>
          <w:tcPr>
            <w:tcW w:w="599" w:type="dxa"/>
            <w:tcBorders>
              <w:top w:val="nil"/>
              <w:left w:val="nil"/>
              <w:bottom w:val="nil"/>
              <w:right w:val="single" w:sz="8" w:space="0" w:color="000000"/>
            </w:tcBorders>
            <w:shd w:val="clear" w:color="auto" w:fill="auto"/>
            <w:noWrap/>
            <w:vAlign w:val="center"/>
            <w:hideMark/>
          </w:tcPr>
          <w:p w14:paraId="2495646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27%</w:t>
            </w:r>
          </w:p>
        </w:tc>
        <w:tc>
          <w:tcPr>
            <w:tcW w:w="282" w:type="dxa"/>
            <w:tcBorders>
              <w:top w:val="nil"/>
              <w:left w:val="single" w:sz="8" w:space="0" w:color="000000"/>
              <w:bottom w:val="nil"/>
              <w:right w:val="single" w:sz="8" w:space="0" w:color="000000"/>
            </w:tcBorders>
            <w:shd w:val="clear" w:color="auto" w:fill="FFFFFF" w:themeFill="background1"/>
          </w:tcPr>
          <w:p w14:paraId="123A1DB0"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tcPr>
          <w:p w14:paraId="5A91A0FC"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Skill set and technical expertise of staff</w:t>
            </w:r>
          </w:p>
        </w:tc>
        <w:tc>
          <w:tcPr>
            <w:tcW w:w="698" w:type="dxa"/>
            <w:tcBorders>
              <w:top w:val="nil"/>
              <w:left w:val="nil"/>
              <w:bottom w:val="nil"/>
              <w:right w:val="nil"/>
            </w:tcBorders>
          </w:tcPr>
          <w:p w14:paraId="1FD9B84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7,43</w:t>
            </w:r>
          </w:p>
        </w:tc>
        <w:tc>
          <w:tcPr>
            <w:tcW w:w="576" w:type="dxa"/>
            <w:tcBorders>
              <w:top w:val="nil"/>
              <w:left w:val="nil"/>
              <w:bottom w:val="nil"/>
              <w:right w:val="nil"/>
            </w:tcBorders>
          </w:tcPr>
          <w:p w14:paraId="7E7FD96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6,96</w:t>
            </w:r>
          </w:p>
        </w:tc>
        <w:tc>
          <w:tcPr>
            <w:tcW w:w="567" w:type="dxa"/>
            <w:tcBorders>
              <w:top w:val="nil"/>
              <w:left w:val="nil"/>
              <w:bottom w:val="nil"/>
              <w:right w:val="nil"/>
            </w:tcBorders>
          </w:tcPr>
          <w:p w14:paraId="09C5360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25</w:t>
            </w:r>
          </w:p>
        </w:tc>
        <w:tc>
          <w:tcPr>
            <w:tcW w:w="666" w:type="dxa"/>
            <w:tcBorders>
              <w:top w:val="nil"/>
              <w:left w:val="nil"/>
              <w:bottom w:val="nil"/>
              <w:right w:val="nil"/>
            </w:tcBorders>
          </w:tcPr>
          <w:p w14:paraId="6DB6F8D1"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nil"/>
              <w:right w:val="nil"/>
            </w:tcBorders>
          </w:tcPr>
          <w:p w14:paraId="1F746C4E"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34%</w:t>
            </w:r>
          </w:p>
        </w:tc>
      </w:tr>
      <w:tr w:rsidR="00542F22" w:rsidRPr="00586971" w14:paraId="5E980352" w14:textId="77777777" w:rsidTr="00C76C40">
        <w:trPr>
          <w:trHeight w:val="228"/>
        </w:trPr>
        <w:tc>
          <w:tcPr>
            <w:tcW w:w="2850" w:type="dxa"/>
            <w:tcBorders>
              <w:top w:val="nil"/>
              <w:left w:val="nil"/>
              <w:bottom w:val="nil"/>
              <w:right w:val="nil"/>
            </w:tcBorders>
            <w:shd w:val="clear" w:color="D9D9D9" w:fill="D9D9D9"/>
            <w:noWrap/>
            <w:vAlign w:val="center"/>
            <w:hideMark/>
          </w:tcPr>
          <w:p w14:paraId="4C2F3C9D"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Awarding mechanism employed</w:t>
            </w:r>
          </w:p>
        </w:tc>
        <w:tc>
          <w:tcPr>
            <w:tcW w:w="599" w:type="dxa"/>
            <w:tcBorders>
              <w:top w:val="nil"/>
              <w:left w:val="nil"/>
              <w:bottom w:val="nil"/>
              <w:right w:val="single" w:sz="8" w:space="0" w:color="000000"/>
            </w:tcBorders>
            <w:shd w:val="clear" w:color="D9D9D9" w:fill="D9D9D9"/>
            <w:noWrap/>
            <w:vAlign w:val="center"/>
            <w:hideMark/>
          </w:tcPr>
          <w:p w14:paraId="4B352C20"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23%</w:t>
            </w:r>
          </w:p>
        </w:tc>
        <w:tc>
          <w:tcPr>
            <w:tcW w:w="282" w:type="dxa"/>
            <w:tcBorders>
              <w:top w:val="nil"/>
              <w:left w:val="single" w:sz="8" w:space="0" w:color="000000"/>
              <w:bottom w:val="nil"/>
              <w:right w:val="single" w:sz="8" w:space="0" w:color="000000"/>
            </w:tcBorders>
            <w:shd w:val="clear" w:color="auto" w:fill="FFFFFF" w:themeFill="background1"/>
          </w:tcPr>
          <w:p w14:paraId="51EAA057"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nil"/>
              <w:right w:val="nil"/>
            </w:tcBorders>
            <w:shd w:val="clear" w:color="D9D9D9" w:fill="D9D9D9"/>
          </w:tcPr>
          <w:p w14:paraId="311605D8"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Awarding Mechanism Employed</w:t>
            </w:r>
          </w:p>
        </w:tc>
        <w:tc>
          <w:tcPr>
            <w:tcW w:w="698" w:type="dxa"/>
            <w:tcBorders>
              <w:top w:val="nil"/>
              <w:left w:val="nil"/>
              <w:bottom w:val="nil"/>
              <w:right w:val="nil"/>
            </w:tcBorders>
            <w:shd w:val="clear" w:color="D9D9D9" w:fill="D9D9D9"/>
          </w:tcPr>
          <w:p w14:paraId="34EAF9F3"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4,50</w:t>
            </w:r>
          </w:p>
        </w:tc>
        <w:tc>
          <w:tcPr>
            <w:tcW w:w="576" w:type="dxa"/>
            <w:tcBorders>
              <w:top w:val="nil"/>
              <w:left w:val="nil"/>
              <w:bottom w:val="nil"/>
              <w:right w:val="nil"/>
            </w:tcBorders>
            <w:shd w:val="clear" w:color="D9D9D9" w:fill="D9D9D9"/>
          </w:tcPr>
          <w:p w14:paraId="3583A7E2"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5,09</w:t>
            </w:r>
          </w:p>
        </w:tc>
        <w:tc>
          <w:tcPr>
            <w:tcW w:w="567" w:type="dxa"/>
            <w:tcBorders>
              <w:top w:val="nil"/>
              <w:left w:val="nil"/>
              <w:bottom w:val="nil"/>
              <w:right w:val="nil"/>
            </w:tcBorders>
            <w:shd w:val="clear" w:color="D9D9D9" w:fill="D9D9D9"/>
          </w:tcPr>
          <w:p w14:paraId="16CC6351"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20</w:t>
            </w:r>
          </w:p>
        </w:tc>
        <w:tc>
          <w:tcPr>
            <w:tcW w:w="666" w:type="dxa"/>
            <w:tcBorders>
              <w:top w:val="nil"/>
              <w:left w:val="nil"/>
              <w:bottom w:val="nil"/>
              <w:right w:val="nil"/>
            </w:tcBorders>
            <w:shd w:val="clear" w:color="D9D9D9" w:fill="D9D9D9"/>
          </w:tcPr>
          <w:p w14:paraId="3A0AE894"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nil"/>
              <w:right w:val="nil"/>
            </w:tcBorders>
            <w:shd w:val="clear" w:color="D9D9D9" w:fill="D9D9D9"/>
          </w:tcPr>
          <w:p w14:paraId="4F893A8D"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48%</w:t>
            </w:r>
          </w:p>
        </w:tc>
      </w:tr>
      <w:tr w:rsidR="00542F22" w:rsidRPr="00586971" w14:paraId="46D3BA9A" w14:textId="77777777" w:rsidTr="00C76C40">
        <w:trPr>
          <w:trHeight w:val="545"/>
        </w:trPr>
        <w:tc>
          <w:tcPr>
            <w:tcW w:w="2850" w:type="dxa"/>
            <w:tcBorders>
              <w:top w:val="nil"/>
              <w:left w:val="nil"/>
              <w:bottom w:val="single" w:sz="8" w:space="0" w:color="000000"/>
              <w:right w:val="nil"/>
            </w:tcBorders>
            <w:shd w:val="clear" w:color="auto" w:fill="auto"/>
            <w:noWrap/>
            <w:vAlign w:val="center"/>
            <w:hideMark/>
          </w:tcPr>
          <w:p w14:paraId="08C4414D" w14:textId="77777777" w:rsidR="00542F22" w:rsidRPr="00542F22" w:rsidRDefault="00542F22" w:rsidP="00C76C40">
            <w:pPr>
              <w:spacing w:after="0" w:line="240" w:lineRule="auto"/>
              <w:rPr>
                <w:rFonts w:cs="Times New Roman"/>
                <w:color w:val="000000"/>
                <w:sz w:val="16"/>
                <w:szCs w:val="16"/>
                <w:lang w:eastAsia="en-GB"/>
              </w:rPr>
            </w:pPr>
            <w:r w:rsidRPr="00542F22">
              <w:rPr>
                <w:rFonts w:cs="Times New Roman"/>
                <w:bCs/>
                <w:color w:val="000000"/>
                <w:sz w:val="16"/>
                <w:szCs w:val="16"/>
                <w:lang w:eastAsia="nl-NL"/>
              </w:rPr>
              <w:t>Competition among operating companies (re. market concentration)</w:t>
            </w:r>
          </w:p>
        </w:tc>
        <w:tc>
          <w:tcPr>
            <w:tcW w:w="599" w:type="dxa"/>
            <w:tcBorders>
              <w:top w:val="nil"/>
              <w:left w:val="nil"/>
              <w:bottom w:val="single" w:sz="8" w:space="0" w:color="000000"/>
              <w:right w:val="single" w:sz="8" w:space="0" w:color="000000"/>
            </w:tcBorders>
            <w:shd w:val="clear" w:color="auto" w:fill="auto"/>
            <w:noWrap/>
            <w:vAlign w:val="center"/>
            <w:hideMark/>
          </w:tcPr>
          <w:p w14:paraId="6C09D8A6"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bCs/>
                <w:color w:val="000000"/>
                <w:sz w:val="16"/>
                <w:szCs w:val="16"/>
                <w:lang w:eastAsia="nl-NL"/>
              </w:rPr>
              <w:t>21%</w:t>
            </w:r>
          </w:p>
        </w:tc>
        <w:tc>
          <w:tcPr>
            <w:tcW w:w="282" w:type="dxa"/>
            <w:tcBorders>
              <w:top w:val="nil"/>
              <w:left w:val="single" w:sz="8" w:space="0" w:color="000000"/>
              <w:bottom w:val="single" w:sz="8" w:space="0" w:color="000000"/>
              <w:right w:val="single" w:sz="8" w:space="0" w:color="000000"/>
            </w:tcBorders>
            <w:shd w:val="clear" w:color="auto" w:fill="FFFFFF" w:themeFill="background1"/>
          </w:tcPr>
          <w:p w14:paraId="50C9428D" w14:textId="77777777" w:rsidR="00542F22" w:rsidRPr="00542F22" w:rsidRDefault="00542F22" w:rsidP="00C76C40">
            <w:pPr>
              <w:spacing w:after="0" w:line="240" w:lineRule="auto"/>
              <w:rPr>
                <w:rFonts w:cs="Times New Roman"/>
                <w:color w:val="000000"/>
                <w:sz w:val="16"/>
                <w:szCs w:val="16"/>
                <w:lang w:eastAsia="nl-NL"/>
              </w:rPr>
            </w:pPr>
          </w:p>
        </w:tc>
        <w:tc>
          <w:tcPr>
            <w:tcW w:w="2383" w:type="dxa"/>
            <w:tcBorders>
              <w:top w:val="nil"/>
              <w:left w:val="single" w:sz="8" w:space="0" w:color="000000"/>
              <w:bottom w:val="single" w:sz="8" w:space="0" w:color="000000"/>
              <w:right w:val="nil"/>
            </w:tcBorders>
          </w:tcPr>
          <w:p w14:paraId="540B0ACA" w14:textId="77777777" w:rsidR="00542F22" w:rsidRPr="00542F22" w:rsidRDefault="00542F22" w:rsidP="00C76C40">
            <w:pPr>
              <w:spacing w:after="0" w:line="240" w:lineRule="auto"/>
              <w:rPr>
                <w:rFonts w:cs="Times New Roman"/>
                <w:b/>
                <w:color w:val="000000"/>
                <w:sz w:val="16"/>
                <w:szCs w:val="16"/>
                <w:lang w:eastAsia="en-GB"/>
              </w:rPr>
            </w:pPr>
            <w:r w:rsidRPr="00542F22">
              <w:rPr>
                <w:rFonts w:cs="Times New Roman"/>
                <w:color w:val="000000"/>
                <w:sz w:val="16"/>
                <w:szCs w:val="16"/>
                <w:lang w:eastAsia="en-GB"/>
              </w:rPr>
              <w:t>Competition among Operating Companies (re. market concentration)</w:t>
            </w:r>
          </w:p>
        </w:tc>
        <w:tc>
          <w:tcPr>
            <w:tcW w:w="698" w:type="dxa"/>
            <w:tcBorders>
              <w:top w:val="nil"/>
              <w:left w:val="nil"/>
              <w:bottom w:val="single" w:sz="8" w:space="0" w:color="000000"/>
              <w:right w:val="nil"/>
            </w:tcBorders>
          </w:tcPr>
          <w:p w14:paraId="46A9D2FB"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4,09</w:t>
            </w:r>
          </w:p>
        </w:tc>
        <w:tc>
          <w:tcPr>
            <w:tcW w:w="576" w:type="dxa"/>
            <w:tcBorders>
              <w:top w:val="nil"/>
              <w:left w:val="nil"/>
              <w:bottom w:val="single" w:sz="8" w:space="0" w:color="000000"/>
              <w:right w:val="nil"/>
            </w:tcBorders>
          </w:tcPr>
          <w:p w14:paraId="7C0FBABA"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4,55</w:t>
            </w:r>
          </w:p>
        </w:tc>
        <w:tc>
          <w:tcPr>
            <w:tcW w:w="567" w:type="dxa"/>
            <w:tcBorders>
              <w:top w:val="nil"/>
              <w:left w:val="nil"/>
              <w:bottom w:val="single" w:sz="8" w:space="0" w:color="000000"/>
              <w:right w:val="nil"/>
            </w:tcBorders>
          </w:tcPr>
          <w:p w14:paraId="027B5FB8"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15</w:t>
            </w:r>
          </w:p>
        </w:tc>
        <w:tc>
          <w:tcPr>
            <w:tcW w:w="666" w:type="dxa"/>
            <w:tcBorders>
              <w:top w:val="nil"/>
              <w:left w:val="nil"/>
              <w:bottom w:val="single" w:sz="8" w:space="0" w:color="000000"/>
              <w:right w:val="nil"/>
            </w:tcBorders>
          </w:tcPr>
          <w:p w14:paraId="5213C9C5"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0</w:t>
            </w:r>
          </w:p>
        </w:tc>
        <w:tc>
          <w:tcPr>
            <w:tcW w:w="608" w:type="dxa"/>
            <w:tcBorders>
              <w:top w:val="nil"/>
              <w:left w:val="nil"/>
              <w:bottom w:val="single" w:sz="8" w:space="0" w:color="000000"/>
              <w:right w:val="nil"/>
            </w:tcBorders>
          </w:tcPr>
          <w:p w14:paraId="5C305FB0" w14:textId="77777777" w:rsidR="00542F22" w:rsidRPr="00542F22" w:rsidRDefault="00542F22" w:rsidP="00C76C40">
            <w:pPr>
              <w:spacing w:after="0" w:line="240" w:lineRule="auto"/>
              <w:jc w:val="center"/>
              <w:rPr>
                <w:rFonts w:cs="Times New Roman"/>
                <w:color w:val="000000"/>
                <w:sz w:val="16"/>
                <w:szCs w:val="16"/>
                <w:lang w:eastAsia="en-GB"/>
              </w:rPr>
            </w:pPr>
            <w:r w:rsidRPr="00542F22">
              <w:rPr>
                <w:rFonts w:cs="Times New Roman"/>
                <w:color w:val="000000"/>
                <w:sz w:val="16"/>
                <w:szCs w:val="16"/>
                <w:lang w:eastAsia="en-GB"/>
              </w:rPr>
              <w:t>50%</w:t>
            </w:r>
          </w:p>
        </w:tc>
      </w:tr>
    </w:tbl>
    <w:p w14:paraId="595DDB7F" w14:textId="77777777" w:rsidR="00542F22" w:rsidRDefault="00542F22" w:rsidP="0061302B">
      <w:pPr>
        <w:ind w:left="567" w:hanging="567"/>
        <w:rPr>
          <w:b/>
        </w:rPr>
      </w:pPr>
    </w:p>
    <w:p w14:paraId="7220FD41" w14:textId="03E0A5C5" w:rsidR="0061302B" w:rsidRPr="007E2A65" w:rsidRDefault="0061302B" w:rsidP="0061302B">
      <w:pPr>
        <w:ind w:left="567" w:hanging="567"/>
        <w:rPr>
          <w:b/>
        </w:rPr>
      </w:pPr>
      <w:r w:rsidRPr="007E2A65">
        <w:rPr>
          <w:b/>
        </w:rPr>
        <w:t>3.2</w:t>
      </w:r>
      <w:r w:rsidRPr="007E2A65">
        <w:rPr>
          <w:b/>
        </w:rPr>
        <w:tab/>
        <w:t>Bus</w:t>
      </w:r>
    </w:p>
    <w:p w14:paraId="5C443415" w14:textId="46476DC0" w:rsidR="0061302B" w:rsidRPr="007E2A65" w:rsidRDefault="0061302B" w:rsidP="00DE15D1">
      <w:r w:rsidRPr="007E2A65">
        <w:t xml:space="preserve">The evidence from bus markets came from 19 jurisdictions in 18 different countries. The evidence is summarised by </w:t>
      </w:r>
      <w:r w:rsidR="00DE15D1" w:rsidRPr="007E2A65">
        <w:t>Tables 3, 4 and 5.</w:t>
      </w:r>
      <w:r w:rsidR="00963E42" w:rsidRPr="007E2A65">
        <w:t xml:space="preserve"> Our review template brings together information on forms of competition, spatial governance, payment mechanisms, contract duration, perceived institutional maturity, risk allocation, transaction costs, incentives and overall outcomes</w:t>
      </w:r>
      <w:r w:rsidR="0050248B" w:rsidRPr="007E2A65">
        <w:t>.</w:t>
      </w:r>
      <w:r w:rsidR="00963E42" w:rsidRPr="007E2A65">
        <w:t xml:space="preserve"> </w:t>
      </w:r>
    </w:p>
    <w:p w14:paraId="694B87DC" w14:textId="64479864" w:rsidR="00DE15D1" w:rsidRPr="007E2A65" w:rsidRDefault="002A1672" w:rsidP="00DE15D1">
      <w:pPr>
        <w:rPr>
          <w:b/>
        </w:rPr>
      </w:pPr>
      <w:r w:rsidRPr="007E2A65">
        <w:rPr>
          <w:b/>
        </w:rPr>
        <w:t xml:space="preserve">Table 3: </w:t>
      </w:r>
      <w:r w:rsidR="000F3C24" w:rsidRPr="007E2A65">
        <w:rPr>
          <w:b/>
        </w:rPr>
        <w:t>Evidence of Contracting-out of Buses (I)</w:t>
      </w:r>
    </w:p>
    <w:p w14:paraId="6C3E950D" w14:textId="25CDCE41" w:rsidR="002A1672" w:rsidRPr="007E2A65" w:rsidRDefault="002A1672" w:rsidP="00DE15D1">
      <w:pPr>
        <w:rPr>
          <w:b/>
        </w:rPr>
      </w:pPr>
      <w:r w:rsidRPr="007E2A65">
        <w:rPr>
          <w:noProof/>
          <w:lang w:eastAsia="en-GB"/>
        </w:rPr>
        <w:drawing>
          <wp:inline distT="0" distB="0" distL="0" distR="0" wp14:anchorId="02AAC6B0" wp14:editId="5F84F52E">
            <wp:extent cx="5731510" cy="2754602"/>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54602"/>
                    </a:xfrm>
                    <a:prstGeom prst="rect">
                      <a:avLst/>
                    </a:prstGeom>
                    <a:noFill/>
                    <a:ln>
                      <a:noFill/>
                    </a:ln>
                  </pic:spPr>
                </pic:pic>
              </a:graphicData>
            </a:graphic>
          </wp:inline>
        </w:drawing>
      </w:r>
    </w:p>
    <w:p w14:paraId="636E5699" w14:textId="0EA0FEC8" w:rsidR="00963E42" w:rsidRPr="007E2A65" w:rsidRDefault="00963E42" w:rsidP="00DE15D1">
      <w:r w:rsidRPr="007E2A65">
        <w:t xml:space="preserve">CT = Competitive Tendering, NC = </w:t>
      </w:r>
      <w:r w:rsidR="000928D5">
        <w:t>Negotiated Contract</w:t>
      </w:r>
      <w:r w:rsidRPr="007E2A65">
        <w:t>.</w:t>
      </w:r>
    </w:p>
    <w:p w14:paraId="2266F4C2" w14:textId="61C7110B" w:rsidR="000F3C24" w:rsidRPr="007E2A65" w:rsidRDefault="006C5735" w:rsidP="00DE15D1">
      <w:r>
        <w:t xml:space="preserve">Source: Based on workshop presentations by </w:t>
      </w:r>
      <w:proofErr w:type="spellStart"/>
      <w:r>
        <w:t>Accuardi</w:t>
      </w:r>
      <w:proofErr w:type="spellEnd"/>
      <w:r>
        <w:t xml:space="preserve">, </w:t>
      </w:r>
      <w:proofErr w:type="spellStart"/>
      <w:r>
        <w:t>Gregersen</w:t>
      </w:r>
      <w:proofErr w:type="spellEnd"/>
      <w:r>
        <w:t xml:space="preserve">, </w:t>
      </w:r>
      <w:proofErr w:type="spellStart"/>
      <w:r>
        <w:t>Mbara</w:t>
      </w:r>
      <w:proofErr w:type="spellEnd"/>
      <w:r>
        <w:t xml:space="preserve">, </w:t>
      </w:r>
      <w:proofErr w:type="spellStart"/>
      <w:r>
        <w:t>Mokonyama</w:t>
      </w:r>
      <w:proofErr w:type="spellEnd"/>
      <w:r>
        <w:t xml:space="preserve"> and Walters.</w:t>
      </w:r>
    </w:p>
    <w:p w14:paraId="70A1738F" w14:textId="77777777" w:rsidR="000F3C24" w:rsidRPr="007E2A65" w:rsidRDefault="000F3C24" w:rsidP="00DE15D1"/>
    <w:p w14:paraId="6B4CB771" w14:textId="761DE70D" w:rsidR="002A1672" w:rsidRPr="007E2A65" w:rsidRDefault="002A1672" w:rsidP="00DE15D1">
      <w:pPr>
        <w:rPr>
          <w:b/>
        </w:rPr>
      </w:pPr>
      <w:r w:rsidRPr="007E2A65">
        <w:rPr>
          <w:b/>
        </w:rPr>
        <w:t>Table 4:</w:t>
      </w:r>
      <w:r w:rsidR="000F3C24" w:rsidRPr="007E2A65">
        <w:rPr>
          <w:b/>
        </w:rPr>
        <w:t xml:space="preserve"> Evidence of Contracting-out of Buses (II)</w:t>
      </w:r>
    </w:p>
    <w:p w14:paraId="61A733F4" w14:textId="1A97B624" w:rsidR="002A1672" w:rsidRPr="007E2A65" w:rsidRDefault="002A1672" w:rsidP="00DE15D1">
      <w:pPr>
        <w:rPr>
          <w:b/>
        </w:rPr>
      </w:pPr>
      <w:r w:rsidRPr="007E2A65">
        <w:rPr>
          <w:noProof/>
          <w:lang w:eastAsia="en-GB"/>
        </w:rPr>
        <w:drawing>
          <wp:inline distT="0" distB="0" distL="0" distR="0" wp14:anchorId="3A333BD4" wp14:editId="552C5810">
            <wp:extent cx="5731510" cy="248407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84072"/>
                    </a:xfrm>
                    <a:prstGeom prst="rect">
                      <a:avLst/>
                    </a:prstGeom>
                    <a:noFill/>
                    <a:ln>
                      <a:noFill/>
                    </a:ln>
                  </pic:spPr>
                </pic:pic>
              </a:graphicData>
            </a:graphic>
          </wp:inline>
        </w:drawing>
      </w:r>
    </w:p>
    <w:p w14:paraId="49334474" w14:textId="50F08EDD" w:rsidR="00963E42" w:rsidRDefault="00963E42" w:rsidP="00DE15D1">
      <w:r w:rsidRPr="007E2A65">
        <w:t>DA = Direct Award</w:t>
      </w:r>
    </w:p>
    <w:p w14:paraId="37A584AF" w14:textId="36D2D3D3" w:rsidR="00290DCA" w:rsidRDefault="006C5735" w:rsidP="00DE15D1">
      <w:r>
        <w:t xml:space="preserve">Source: Based on workshop presentations by Alison, </w:t>
      </w:r>
      <w:proofErr w:type="spellStart"/>
      <w:r w:rsidR="00290DCA">
        <w:t>Dragicevic</w:t>
      </w:r>
      <w:proofErr w:type="spellEnd"/>
      <w:r w:rsidR="00290DCA">
        <w:t xml:space="preserve">, Kidd, </w:t>
      </w:r>
      <w:r>
        <w:t>MacDonal</w:t>
      </w:r>
      <w:r w:rsidR="00290DCA">
        <w:t>d and Virtanen.</w:t>
      </w:r>
    </w:p>
    <w:p w14:paraId="5115105B" w14:textId="77777777" w:rsidR="00290DCA" w:rsidRDefault="00290DCA">
      <w:r>
        <w:br w:type="page"/>
      </w:r>
    </w:p>
    <w:p w14:paraId="2186435C" w14:textId="77777777" w:rsidR="006C5735" w:rsidRPr="007E2A65" w:rsidRDefault="006C5735" w:rsidP="00DE15D1"/>
    <w:p w14:paraId="096B652C" w14:textId="534A4184" w:rsidR="002A1672" w:rsidRPr="007E2A65" w:rsidRDefault="002A1672" w:rsidP="00DE15D1">
      <w:pPr>
        <w:rPr>
          <w:b/>
        </w:rPr>
      </w:pPr>
      <w:r w:rsidRPr="007E2A65">
        <w:rPr>
          <w:b/>
        </w:rPr>
        <w:t xml:space="preserve">Table 5: </w:t>
      </w:r>
      <w:r w:rsidR="000F3C24" w:rsidRPr="007E2A65">
        <w:rPr>
          <w:b/>
        </w:rPr>
        <w:t>Evidence of Contracting-out of Buses (III)</w:t>
      </w:r>
    </w:p>
    <w:p w14:paraId="19E7038D" w14:textId="1576C916" w:rsidR="00963E42" w:rsidRDefault="003E575C" w:rsidP="00DE15D1">
      <w:pPr>
        <w:rPr>
          <w:b/>
        </w:rPr>
      </w:pPr>
      <w:r>
        <w:rPr>
          <w:b/>
          <w:noProof/>
          <w:lang w:eastAsia="en-GB"/>
        </w:rPr>
        <w:drawing>
          <wp:inline distT="0" distB="0" distL="0" distR="0" wp14:anchorId="5C848C42" wp14:editId="734D6EBC">
            <wp:extent cx="5890031" cy="28448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1681" cy="2850436"/>
                    </a:xfrm>
                    <a:prstGeom prst="rect">
                      <a:avLst/>
                    </a:prstGeom>
                    <a:noFill/>
                  </pic:spPr>
                </pic:pic>
              </a:graphicData>
            </a:graphic>
          </wp:inline>
        </w:drawing>
      </w:r>
    </w:p>
    <w:p w14:paraId="04215387" w14:textId="63017611" w:rsidR="00290DCA" w:rsidRPr="004D4E89" w:rsidRDefault="00290DCA" w:rsidP="00DE15D1">
      <w:r>
        <w:t xml:space="preserve">Source: Based on workshop presentations by </w:t>
      </w:r>
      <w:proofErr w:type="spellStart"/>
      <w:r>
        <w:t>Aldenius</w:t>
      </w:r>
      <w:proofErr w:type="spellEnd"/>
      <w:r>
        <w:t xml:space="preserve">, </w:t>
      </w:r>
      <w:proofErr w:type="spellStart"/>
      <w:r>
        <w:t>Camen</w:t>
      </w:r>
      <w:proofErr w:type="spellEnd"/>
      <w:r>
        <w:t xml:space="preserve">, Finn, </w:t>
      </w:r>
      <w:proofErr w:type="spellStart"/>
      <w:r>
        <w:t>Lidestam</w:t>
      </w:r>
      <w:proofErr w:type="spellEnd"/>
      <w:r>
        <w:t xml:space="preserve">, Pyddoke, </w:t>
      </w:r>
      <w:proofErr w:type="spellStart"/>
      <w:r>
        <w:t>Rosel</w:t>
      </w:r>
      <w:r w:rsidR="002F4B01">
        <w:t>l</w:t>
      </w:r>
      <w:proofErr w:type="spellEnd"/>
      <w:r>
        <w:t xml:space="preserve">, </w:t>
      </w:r>
      <w:proofErr w:type="spellStart"/>
      <w:r>
        <w:t>Ry</w:t>
      </w:r>
      <w:r w:rsidR="002F4B01">
        <w:t>zh</w:t>
      </w:r>
      <w:r>
        <w:t>kov</w:t>
      </w:r>
      <w:proofErr w:type="spellEnd"/>
      <w:r>
        <w:t xml:space="preserve">, </w:t>
      </w:r>
      <w:proofErr w:type="spellStart"/>
      <w:r>
        <w:t>Vigren</w:t>
      </w:r>
      <w:proofErr w:type="spellEnd"/>
      <w:r>
        <w:t xml:space="preserve"> and </w:t>
      </w:r>
      <w:proofErr w:type="spellStart"/>
      <w:r>
        <w:t>Wegelin</w:t>
      </w:r>
      <w:proofErr w:type="spellEnd"/>
      <w:r>
        <w:t>.</w:t>
      </w:r>
    </w:p>
    <w:p w14:paraId="129DBF35" w14:textId="6E80EFCD" w:rsidR="000227A6" w:rsidRDefault="000227A6" w:rsidP="00DE15D1">
      <w:r w:rsidRPr="007E2A65">
        <w:t xml:space="preserve">A key feature is the diversity of the contracting-out schemes and of the results, with </w:t>
      </w:r>
      <w:r w:rsidR="002F62B0">
        <w:t>six</w:t>
      </w:r>
      <w:r w:rsidRPr="007E2A65">
        <w:t xml:space="preserve"> schemes positive, </w:t>
      </w:r>
      <w:r w:rsidR="002F62B0">
        <w:t>five</w:t>
      </w:r>
      <w:r w:rsidRPr="007E2A65">
        <w:t xml:space="preserve"> mixed positive, </w:t>
      </w:r>
      <w:r w:rsidR="002F62B0">
        <w:t>five</w:t>
      </w:r>
      <w:r w:rsidRPr="007E2A65">
        <w:t xml:space="preserve"> mixed (including moderate and marginal), </w:t>
      </w:r>
      <w:r w:rsidR="002F62B0">
        <w:t>one</w:t>
      </w:r>
      <w:r w:rsidRPr="007E2A65">
        <w:t xml:space="preserve"> mixed negative and </w:t>
      </w:r>
      <w:r w:rsidR="002F62B0">
        <w:t>two</w:t>
      </w:r>
      <w:r w:rsidRPr="007E2A65">
        <w:t xml:space="preserve"> negative.</w:t>
      </w:r>
      <w:r w:rsidR="00CE4B55">
        <w:t xml:space="preserve"> It is also interesting to note that it is possible to succeed – and fail – in many different ways. </w:t>
      </w:r>
      <w:r w:rsidR="00696656">
        <w:t xml:space="preserve">Tendering is not an automatic method to have positive results. </w:t>
      </w:r>
    </w:p>
    <w:p w14:paraId="744CCD2B" w14:textId="77777777" w:rsidR="003E575C" w:rsidRPr="003E575C" w:rsidRDefault="007758AF" w:rsidP="003E575C">
      <w:pPr>
        <w:rPr>
          <w:lang w:val="sv-SE"/>
        </w:rPr>
      </w:pPr>
      <w:r>
        <w:t>In terms of the presented papers</w:t>
      </w:r>
      <w:r w:rsidR="002F62B0">
        <w:t>,</w:t>
      </w:r>
      <w:r>
        <w:t xml:space="preserve"> </w:t>
      </w:r>
      <w:proofErr w:type="spellStart"/>
      <w:r w:rsidRPr="005451CE">
        <w:rPr>
          <w:b/>
        </w:rPr>
        <w:t>Gregersen</w:t>
      </w:r>
      <w:proofErr w:type="spellEnd"/>
      <w:r w:rsidRPr="005451CE">
        <w:rPr>
          <w:b/>
        </w:rPr>
        <w:t xml:space="preserve"> et al.</w:t>
      </w:r>
      <w:r>
        <w:t xml:space="preserve"> kicked of</w:t>
      </w:r>
      <w:r w:rsidR="002F62B0">
        <w:t>f</w:t>
      </w:r>
      <w:r>
        <w:t xml:space="preserve"> the session by presenting evidence from Norway suggesting that sev</w:t>
      </w:r>
      <w:r w:rsidR="002F62B0">
        <w:t>er</w:t>
      </w:r>
      <w:r>
        <w:t>al rounds of competitive tendering resulted in a reduction of the number of bidders and an increase in unit cost</w:t>
      </w:r>
      <w:r w:rsidR="002F62B0">
        <w:t>s</w:t>
      </w:r>
      <w:r>
        <w:t xml:space="preserve">. </w:t>
      </w:r>
      <w:proofErr w:type="spellStart"/>
      <w:r w:rsidRPr="005451CE">
        <w:rPr>
          <w:b/>
        </w:rPr>
        <w:t>Lidestam</w:t>
      </w:r>
      <w:proofErr w:type="spellEnd"/>
      <w:r w:rsidRPr="005451CE">
        <w:rPr>
          <w:b/>
        </w:rPr>
        <w:t xml:space="preserve"> and </w:t>
      </w:r>
      <w:proofErr w:type="spellStart"/>
      <w:r w:rsidRPr="005451CE">
        <w:rPr>
          <w:b/>
        </w:rPr>
        <w:t>Camen</w:t>
      </w:r>
      <w:proofErr w:type="spellEnd"/>
      <w:r>
        <w:t xml:space="preserve"> then buil</w:t>
      </w:r>
      <w:r w:rsidR="002F62B0">
        <w:t>t</w:t>
      </w:r>
      <w:r>
        <w:t xml:space="preserve"> on this by presenting key cost determinant of bus public transport in Sweden, most notably the greening of buses and </w:t>
      </w:r>
      <w:r w:rsidR="002F62B0">
        <w:t xml:space="preserve">maximum </w:t>
      </w:r>
      <w:r>
        <w:t xml:space="preserve">age requirements for bus fleets. </w:t>
      </w:r>
      <w:proofErr w:type="spellStart"/>
      <w:r w:rsidR="00864EFD" w:rsidRPr="006D4D77">
        <w:rPr>
          <w:b/>
        </w:rPr>
        <w:t>Vigren</w:t>
      </w:r>
      <w:proofErr w:type="spellEnd"/>
      <w:r w:rsidR="00864EFD">
        <w:t xml:space="preserve"> complemented those findings by discussing the results of his study that covered 268 bus contracts from 72 tenders in 17 Swedish counties (2007-2015) which suggest that more stringent requirements on buses reduce the number of bidders in competitive tendering processes. Completing the set of Nordic papers, </w:t>
      </w:r>
      <w:r w:rsidR="00864EFD" w:rsidRPr="005451CE">
        <w:rPr>
          <w:b/>
        </w:rPr>
        <w:t>Pyddoke</w:t>
      </w:r>
      <w:r w:rsidR="00864EFD">
        <w:t xml:space="preserve"> presented </w:t>
      </w:r>
      <w:r w:rsidR="00621A6A">
        <w:t xml:space="preserve">recent evidence from large bus contracts in Stockholm which had strong incentives to grow patronage. </w:t>
      </w:r>
      <w:r w:rsidR="003E575C" w:rsidRPr="003E575C">
        <w:rPr>
          <w:lang w:val="en-US"/>
        </w:rPr>
        <w:t>While these contracts achieved lower gross costs and less delayed and cancelled departures, they did not perform better than gross contracts in increasing bus ridership.</w:t>
      </w:r>
    </w:p>
    <w:p w14:paraId="77B5638C" w14:textId="32A081FD" w:rsidR="00621A6A" w:rsidRDefault="00621A6A" w:rsidP="00C12F75">
      <w:r w:rsidRPr="005451CE">
        <w:rPr>
          <w:b/>
        </w:rPr>
        <w:t>MacDonald</w:t>
      </w:r>
      <w:r>
        <w:t xml:space="preserve"> then presented an interesting discussion on why public transport is an essential service and why strikes (protected action) may no longer be socially accepted by the public. Building on this and also on the previous </w:t>
      </w:r>
      <w:proofErr w:type="spellStart"/>
      <w:r>
        <w:t>Thredbo</w:t>
      </w:r>
      <w:proofErr w:type="spellEnd"/>
      <w:r>
        <w:t xml:space="preserve"> conference theme around innovation and performance management (e.g. Cu</w:t>
      </w:r>
      <w:r w:rsidR="00C12F75">
        <w:t>r</w:t>
      </w:r>
      <w:r>
        <w:t xml:space="preserve">rie and Merkert, 2016), </w:t>
      </w:r>
      <w:proofErr w:type="spellStart"/>
      <w:r w:rsidRPr="005451CE">
        <w:rPr>
          <w:b/>
        </w:rPr>
        <w:t>Fabianski</w:t>
      </w:r>
      <w:proofErr w:type="spellEnd"/>
      <w:r>
        <w:t xml:space="preserve"> introduced the workshop participants to a public management approach that </w:t>
      </w:r>
      <w:r w:rsidR="00C12F75">
        <w:t xml:space="preserve">shows </w:t>
      </w:r>
      <w:r w:rsidR="00C12F75" w:rsidRPr="00C12F75">
        <w:t xml:space="preserve">how </w:t>
      </w:r>
      <w:r w:rsidR="00C12F75">
        <w:t>authorities</w:t>
      </w:r>
      <w:r w:rsidR="00C12F75" w:rsidRPr="00C12F75">
        <w:t xml:space="preserve"> and </w:t>
      </w:r>
      <w:r w:rsidR="00C12F75">
        <w:t>operators can</w:t>
      </w:r>
      <w:r w:rsidR="00C12F75" w:rsidRPr="00C12F75">
        <w:t xml:space="preserve"> collaborate to account for the changing need of customers</w:t>
      </w:r>
      <w:r w:rsidR="00C12F75">
        <w:t xml:space="preserve"> by increasing service quality. </w:t>
      </w:r>
      <w:r w:rsidR="00C12F75" w:rsidRPr="00C12F75">
        <w:t xml:space="preserve"> </w:t>
      </w:r>
      <w:r w:rsidRPr="005451CE">
        <w:rPr>
          <w:b/>
        </w:rPr>
        <w:t xml:space="preserve">Merkert </w:t>
      </w:r>
      <w:r>
        <w:t xml:space="preserve">then </w:t>
      </w:r>
      <w:r w:rsidR="002F62B0">
        <w:t xml:space="preserve">gave a </w:t>
      </w:r>
      <w:r>
        <w:t>presentation o</w:t>
      </w:r>
      <w:r w:rsidR="002F62B0">
        <w:t>n</w:t>
      </w:r>
      <w:r>
        <w:t xml:space="preserve"> international B</w:t>
      </w:r>
      <w:r w:rsidR="002F62B0">
        <w:t xml:space="preserve">us </w:t>
      </w:r>
      <w:r>
        <w:t>R</w:t>
      </w:r>
      <w:r w:rsidR="002F62B0">
        <w:t>apid Transit (BR</w:t>
      </w:r>
      <w:r>
        <w:t>T</w:t>
      </w:r>
      <w:r w:rsidR="002F62B0">
        <w:t>)</w:t>
      </w:r>
      <w:r>
        <w:t xml:space="preserve"> procurement</w:t>
      </w:r>
      <w:r w:rsidR="002F62B0">
        <w:t xml:space="preserve">. This is </w:t>
      </w:r>
      <w:r>
        <w:t xml:space="preserve">experience </w:t>
      </w:r>
      <w:r w:rsidR="002F62B0">
        <w:t>at</w:t>
      </w:r>
      <w:r>
        <w:t xml:space="preserve"> the higher end of enhanced bus services </w:t>
      </w:r>
      <w:r w:rsidR="00422565">
        <w:t>and showed th</w:t>
      </w:r>
      <w:r w:rsidR="002F62B0">
        <w:t>at</w:t>
      </w:r>
      <w:r w:rsidR="00422565">
        <w:t xml:space="preserve"> too much government involvement and contract pre-specification (i.e. in regards to bus requirements) does not lower transaction costs </w:t>
      </w:r>
      <w:r w:rsidR="002F62B0">
        <w:t xml:space="preserve">in the same way </w:t>
      </w:r>
      <w:r w:rsidR="00422565">
        <w:t>as physical asset specificity does</w:t>
      </w:r>
      <w:r w:rsidR="002F62B0">
        <w:t>. This is</w:t>
      </w:r>
      <w:r w:rsidR="00422565">
        <w:t xml:space="preserve"> different to the perception of various </w:t>
      </w:r>
      <w:r w:rsidR="00E86367">
        <w:t>commentators (</w:t>
      </w:r>
      <w:r w:rsidR="00025B12">
        <w:t xml:space="preserve">such as </w:t>
      </w:r>
      <w:r w:rsidR="00025B12" w:rsidRPr="00025B12">
        <w:t>Hidalgo and Gutiérrez</w:t>
      </w:r>
      <w:r w:rsidR="00025B12">
        <w:t xml:space="preserve">, </w:t>
      </w:r>
      <w:r w:rsidR="00025B12" w:rsidRPr="00025B12">
        <w:t>2013</w:t>
      </w:r>
      <w:r w:rsidR="00025B12">
        <w:t xml:space="preserve">) </w:t>
      </w:r>
      <w:r w:rsidR="002F62B0">
        <w:t xml:space="preserve">that this does </w:t>
      </w:r>
      <w:r w:rsidR="00422565">
        <w:t>not appear to be a significant issue in the BRT context.</w:t>
      </w:r>
    </w:p>
    <w:p w14:paraId="38A13030" w14:textId="179218C5" w:rsidR="00422565" w:rsidRDefault="00422565" w:rsidP="0054263A">
      <w:r>
        <w:t xml:space="preserve">Contrasting the Nordic experience, </w:t>
      </w:r>
      <w:proofErr w:type="spellStart"/>
      <w:r w:rsidRPr="005451CE">
        <w:rPr>
          <w:b/>
        </w:rPr>
        <w:t>Wegelin</w:t>
      </w:r>
      <w:proofErr w:type="spellEnd"/>
      <w:r>
        <w:t xml:space="preserve"> then provided evidence that suggests that competitive tendering may reduce cost in the bus operation context. Applying stochastic cost frontier </w:t>
      </w:r>
      <w:r w:rsidR="00E86367">
        <w:t>models to</w:t>
      </w:r>
      <w:r>
        <w:t xml:space="preserve"> a panel data set containing more than 850 concessionary regional bus lines in Switzerland from 2008 to 201</w:t>
      </w:r>
      <w:r w:rsidR="0054263A">
        <w:t>7</w:t>
      </w:r>
      <w:r>
        <w:t xml:space="preserve">, his results show that competitive tendering as a threat has a positive impact on bus operating company efficiency. </w:t>
      </w:r>
      <w:r w:rsidR="00572031">
        <w:t>T</w:t>
      </w:r>
      <w:r>
        <w:t xml:space="preserve">he simple </w:t>
      </w:r>
      <w:r w:rsidR="0054263A">
        <w:t xml:space="preserve">but credible </w:t>
      </w:r>
      <w:r>
        <w:t xml:space="preserve">threat </w:t>
      </w:r>
      <w:r w:rsidR="00572031">
        <w:t xml:space="preserve">of competition </w:t>
      </w:r>
      <w:r>
        <w:t xml:space="preserve">rather than actual </w:t>
      </w:r>
      <w:r w:rsidR="009F297E">
        <w:t xml:space="preserve">contracting-out </w:t>
      </w:r>
      <w:r>
        <w:t xml:space="preserve">may </w:t>
      </w:r>
      <w:r w:rsidR="00572031">
        <w:t xml:space="preserve">thus </w:t>
      </w:r>
      <w:r>
        <w:t>be the way forward. In regards to the latter</w:t>
      </w:r>
      <w:r w:rsidR="009F297E">
        <w:t>,</w:t>
      </w:r>
      <w:r>
        <w:t xml:space="preserve"> </w:t>
      </w:r>
      <w:r w:rsidRPr="005451CE">
        <w:rPr>
          <w:b/>
        </w:rPr>
        <w:t>Walters</w:t>
      </w:r>
      <w:r>
        <w:t xml:space="preserve"> then discussed some </w:t>
      </w:r>
      <w:r w:rsidR="00572031">
        <w:t xml:space="preserve">bus operator experience from South Africa highlighting the importance of revenue risks and cost loadings in public transport contracts. </w:t>
      </w:r>
      <w:proofErr w:type="spellStart"/>
      <w:r w:rsidR="00572031" w:rsidRPr="004D4E89">
        <w:rPr>
          <w:b/>
        </w:rPr>
        <w:t>Dragicevic</w:t>
      </w:r>
      <w:proofErr w:type="spellEnd"/>
      <w:r w:rsidR="00572031" w:rsidRPr="004D4E89">
        <w:rPr>
          <w:b/>
        </w:rPr>
        <w:t xml:space="preserve"> </w:t>
      </w:r>
      <w:r w:rsidR="00572031">
        <w:t xml:space="preserve">then build on this by presenting urban bus contract risk in the context of </w:t>
      </w:r>
      <w:proofErr w:type="spellStart"/>
      <w:r w:rsidR="00572031">
        <w:t>Transantiago</w:t>
      </w:r>
      <w:proofErr w:type="spellEnd"/>
      <w:r w:rsidR="00572031">
        <w:t xml:space="preserve"> </w:t>
      </w:r>
      <w:r w:rsidR="009F297E">
        <w:t xml:space="preserve">in </w:t>
      </w:r>
      <w:r w:rsidR="00572031">
        <w:t xml:space="preserve">Chile. Her paper and the following discussion revealed a key outcome of our workshop is that while much of the conference focused on </w:t>
      </w:r>
      <w:proofErr w:type="spellStart"/>
      <w:r w:rsidR="00572031">
        <w:t>Maa</w:t>
      </w:r>
      <w:r w:rsidR="009F297E">
        <w:t>S</w:t>
      </w:r>
      <w:proofErr w:type="spellEnd"/>
      <w:r w:rsidR="009F297E">
        <w:t xml:space="preserve"> (Mobility as a Service)</w:t>
      </w:r>
      <w:r w:rsidR="00572031">
        <w:t>, the Internet of Things and other fancy themes</w:t>
      </w:r>
      <w:r w:rsidR="009F297E">
        <w:t>,</w:t>
      </w:r>
      <w:r w:rsidR="00572031">
        <w:t xml:space="preserve"> in practice we are often still struggling with sorting out governance structures for simple operational matters such as getting buses and bus drivers to stop where they are supposed to stop. </w:t>
      </w:r>
    </w:p>
    <w:p w14:paraId="4CEB9904" w14:textId="4BBDFE38" w:rsidR="007E7B7C" w:rsidRDefault="00572031" w:rsidP="00422565">
      <w:proofErr w:type="spellStart"/>
      <w:r w:rsidRPr="005451CE">
        <w:rPr>
          <w:b/>
        </w:rPr>
        <w:t>Rosell</w:t>
      </w:r>
      <w:proofErr w:type="spellEnd"/>
      <w:r>
        <w:t xml:space="preserve"> then got the workshop back to the discussion on whether competitive tendering or negotiated contracts are best for the bus context. Interestingly, for the </w:t>
      </w:r>
      <w:r w:rsidR="007E7B7C">
        <w:t xml:space="preserve">European </w:t>
      </w:r>
      <w:r>
        <w:t xml:space="preserve">small community context of his study he found no significant differences in efficiency </w:t>
      </w:r>
      <w:r w:rsidR="007E7B7C">
        <w:t>when comparing</w:t>
      </w:r>
      <w:r>
        <w:t xml:space="preserve"> the two </w:t>
      </w:r>
      <w:r w:rsidR="007E7B7C">
        <w:t xml:space="preserve">methods of contract award. What appears more important is building trusting partnerships and </w:t>
      </w:r>
      <w:r w:rsidR="009F297E">
        <w:t xml:space="preserve">minimising </w:t>
      </w:r>
      <w:r w:rsidR="007E7B7C">
        <w:t>transition cost</w:t>
      </w:r>
      <w:r w:rsidR="009F297E">
        <w:t>s</w:t>
      </w:r>
      <w:r w:rsidR="007E7B7C">
        <w:t xml:space="preserve"> as often in the small municipality context there is just one person responsible for bus operations in the relevant</w:t>
      </w:r>
      <w:r w:rsidR="00E86367">
        <w:t xml:space="preserve"> </w:t>
      </w:r>
      <w:r w:rsidR="009F297E">
        <w:t>Public Transport Authority</w:t>
      </w:r>
      <w:r w:rsidR="006D3521">
        <w:t xml:space="preserve"> (PTA)</w:t>
      </w:r>
      <w:r w:rsidR="007E7B7C">
        <w:t xml:space="preserve">. </w:t>
      </w:r>
      <w:proofErr w:type="spellStart"/>
      <w:r w:rsidR="007E7B7C" w:rsidRPr="005451CE">
        <w:rPr>
          <w:b/>
        </w:rPr>
        <w:t>Mokonyama</w:t>
      </w:r>
      <w:proofErr w:type="spellEnd"/>
      <w:r w:rsidR="007E7B7C">
        <w:t xml:space="preserve"> then contrasted these small community findings with evidence </w:t>
      </w:r>
      <w:r w:rsidR="006D3521">
        <w:t xml:space="preserve">from </w:t>
      </w:r>
      <w:r w:rsidR="007E7B7C">
        <w:t>large captive user bases in South Africa showing the importance of customer dissatisfaction and strategies to overcome very low cost recovery. Presenting more positive experience</w:t>
      </w:r>
      <w:r w:rsidR="006D3521">
        <w:t>,</w:t>
      </w:r>
      <w:r w:rsidR="007E7B7C">
        <w:t xml:space="preserve"> </w:t>
      </w:r>
      <w:r w:rsidR="007E7B7C" w:rsidRPr="005451CE">
        <w:rPr>
          <w:b/>
        </w:rPr>
        <w:t>Alison</w:t>
      </w:r>
      <w:r w:rsidR="007E7B7C">
        <w:t xml:space="preserve"> introduced the workshop to the recent bus tendering experience in Singapore. Key lessons for the Singaporean PTA appear to be the importance of staff training </w:t>
      </w:r>
      <w:r w:rsidR="006D3521">
        <w:t xml:space="preserve">and </w:t>
      </w:r>
      <w:r w:rsidR="007E7B7C">
        <w:t xml:space="preserve">the benefits of stage wise implementation of the tender process. Contrasting this again, </w:t>
      </w:r>
      <w:proofErr w:type="spellStart"/>
      <w:r w:rsidR="007E7B7C" w:rsidRPr="005451CE">
        <w:rPr>
          <w:b/>
        </w:rPr>
        <w:t>Mbara</w:t>
      </w:r>
      <w:proofErr w:type="spellEnd"/>
      <w:r w:rsidR="007E7B7C">
        <w:t xml:space="preserve"> then presented a Harare</w:t>
      </w:r>
      <w:r w:rsidR="006D3521">
        <w:t>,</w:t>
      </w:r>
      <w:r w:rsidR="007E7B7C">
        <w:t xml:space="preserve"> Zimbabwe</w:t>
      </w:r>
      <w:r w:rsidR="006D3521">
        <w:t>,</w:t>
      </w:r>
      <w:r w:rsidR="007E7B7C">
        <w:t xml:space="preserve"> case study showing that tendering can result in more reliable services at lower fares (due to less competition from mini buses) but only as long as corruption is kept at a minimum. This underlines the importance of the institutional context, a finding that is consistent wit</w:t>
      </w:r>
      <w:r w:rsidR="00B1496A">
        <w:t xml:space="preserve">h previous </w:t>
      </w:r>
      <w:proofErr w:type="spellStart"/>
      <w:r w:rsidR="00B1496A">
        <w:t>Thredbo</w:t>
      </w:r>
      <w:proofErr w:type="spellEnd"/>
      <w:r w:rsidR="00B1496A">
        <w:t xml:space="preserve"> conferences. Arguing along similar lines</w:t>
      </w:r>
      <w:r w:rsidR="006D3521">
        <w:t>,</w:t>
      </w:r>
      <w:r w:rsidR="00B1496A">
        <w:t xml:space="preserve"> </w:t>
      </w:r>
      <w:proofErr w:type="spellStart"/>
      <w:r w:rsidR="00B1496A" w:rsidRPr="005451CE">
        <w:rPr>
          <w:b/>
        </w:rPr>
        <w:t>Ry</w:t>
      </w:r>
      <w:r w:rsidR="00E86367">
        <w:rPr>
          <w:b/>
        </w:rPr>
        <w:t>z</w:t>
      </w:r>
      <w:r w:rsidR="00B1496A" w:rsidRPr="005451CE">
        <w:rPr>
          <w:b/>
        </w:rPr>
        <w:t>hkov</w:t>
      </w:r>
      <w:proofErr w:type="spellEnd"/>
      <w:r w:rsidR="00B1496A" w:rsidRPr="005451CE">
        <w:rPr>
          <w:b/>
        </w:rPr>
        <w:t xml:space="preserve"> </w:t>
      </w:r>
      <w:r w:rsidR="00B1496A">
        <w:t xml:space="preserve">then presented the experience of the latest tendering rounds in </w:t>
      </w:r>
      <w:r w:rsidR="00E86367">
        <w:t>Moscow, which</w:t>
      </w:r>
      <w:r w:rsidR="00B1496A">
        <w:t xml:space="preserve"> resulted in fare decreases despite much consolidation and a too complex penalty regime. Interestingly the </w:t>
      </w:r>
      <w:r w:rsidR="00B1496A" w:rsidRPr="005451CE">
        <w:t xml:space="preserve">tendering programme </w:t>
      </w:r>
      <w:r w:rsidR="00B1496A">
        <w:t xml:space="preserve">in Moscow was done very rapidly with </w:t>
      </w:r>
      <w:r w:rsidR="00B1496A" w:rsidRPr="005451CE">
        <w:t xml:space="preserve">61 of </w:t>
      </w:r>
      <w:r w:rsidR="00B1496A">
        <w:t xml:space="preserve">the </w:t>
      </w:r>
      <w:r w:rsidR="00B1496A" w:rsidRPr="005451CE">
        <w:t xml:space="preserve">63 auctions in </w:t>
      </w:r>
      <w:r w:rsidR="006D3521">
        <w:t>one</w:t>
      </w:r>
      <w:r w:rsidR="00B1496A" w:rsidRPr="005451CE">
        <w:t xml:space="preserve"> month</w:t>
      </w:r>
      <w:r w:rsidR="00B1496A">
        <w:t>, reportedly</w:t>
      </w:r>
      <w:r w:rsidR="00B1496A" w:rsidRPr="005451CE">
        <w:t xml:space="preserve"> to avoid criticism and resistance from incumbent operators</w:t>
      </w:r>
      <w:r w:rsidR="00B1496A">
        <w:t xml:space="preserve">. This resulted in </w:t>
      </w:r>
      <w:r w:rsidR="00B1496A" w:rsidRPr="005451CE">
        <w:t xml:space="preserve">only </w:t>
      </w:r>
      <w:r w:rsidR="006D3521">
        <w:t>eight</w:t>
      </w:r>
      <w:r w:rsidR="00B1496A" w:rsidRPr="005451CE">
        <w:t xml:space="preserve"> companies </w:t>
      </w:r>
      <w:r w:rsidR="00B1496A">
        <w:t xml:space="preserve">being </w:t>
      </w:r>
      <w:r w:rsidR="00B1496A" w:rsidRPr="005451CE">
        <w:t xml:space="preserve">awarded with contracts and 60 </w:t>
      </w:r>
      <w:r w:rsidR="00B1496A">
        <w:t xml:space="preserve">companies leaving the market (as well as </w:t>
      </w:r>
      <w:r w:rsidR="00B1496A" w:rsidRPr="005451CE">
        <w:t>6</w:t>
      </w:r>
      <w:r w:rsidR="006D3521">
        <w:t>,</w:t>
      </w:r>
      <w:r w:rsidR="00B1496A" w:rsidRPr="005451CE">
        <w:t xml:space="preserve">000 mini bus drivers </w:t>
      </w:r>
      <w:r w:rsidR="00B1496A">
        <w:t>being d</w:t>
      </w:r>
      <w:r w:rsidR="00B1496A" w:rsidRPr="005451CE">
        <w:t>ismissed</w:t>
      </w:r>
      <w:r w:rsidR="00B1496A">
        <w:t xml:space="preserve"> and bankruptcy risk going up for the remaining companies). Finally, </w:t>
      </w:r>
      <w:proofErr w:type="spellStart"/>
      <w:r w:rsidR="00B1496A" w:rsidRPr="005451CE">
        <w:rPr>
          <w:b/>
        </w:rPr>
        <w:t>Aldenius</w:t>
      </w:r>
      <w:proofErr w:type="spellEnd"/>
      <w:r w:rsidR="00B1496A" w:rsidRPr="005451CE">
        <w:rPr>
          <w:b/>
        </w:rPr>
        <w:t xml:space="preserve"> </w:t>
      </w:r>
      <w:r w:rsidR="00B1496A">
        <w:t>completed the papers covering the bus market by introducing the workshop to opportunities and challenges of renewable fuel in public transport. Closing the circle in terms of international experience</w:t>
      </w:r>
      <w:r w:rsidR="006D3521">
        <w:t>,</w:t>
      </w:r>
      <w:r w:rsidR="00B1496A">
        <w:t xml:space="preserve"> she introduced the latest experience in </w:t>
      </w:r>
      <w:r w:rsidR="00E86367">
        <w:t>Stockholm, which</w:t>
      </w:r>
      <w:r w:rsidR="00B1496A">
        <w:t xml:space="preserve"> is an interesting case as while Sweden’s aim is to have 90% of all P</w:t>
      </w:r>
      <w:r w:rsidR="006D3521">
        <w:t xml:space="preserve">ublic </w:t>
      </w:r>
      <w:r w:rsidR="00B1496A">
        <w:t>T</w:t>
      </w:r>
      <w:r w:rsidR="006D3521">
        <w:t>ransport</w:t>
      </w:r>
      <w:r w:rsidR="00B1496A">
        <w:t xml:space="preserve"> vehicle km coming from renewable fuel in 2016</w:t>
      </w:r>
      <w:r w:rsidR="006D3521">
        <w:t>,</w:t>
      </w:r>
      <w:r w:rsidR="00B1496A">
        <w:t xml:space="preserve"> </w:t>
      </w:r>
      <w:r w:rsidR="001D6954">
        <w:t>already</w:t>
      </w:r>
      <w:r w:rsidR="00B1496A">
        <w:t xml:space="preserve"> 96% of the city’s public transport </w:t>
      </w:r>
      <w:r w:rsidR="001D6954">
        <w:t xml:space="preserve">was </w:t>
      </w:r>
      <w:r w:rsidR="00B1496A">
        <w:t>generated by renewable fuel</w:t>
      </w:r>
      <w:r w:rsidR="00025B12">
        <w:t xml:space="preserve">. </w:t>
      </w:r>
      <w:r w:rsidR="006D3521">
        <w:t>I</w:t>
      </w:r>
      <w:r w:rsidR="001D6954">
        <w:t>n the view of all workshop participants</w:t>
      </w:r>
      <w:r w:rsidR="006D3521">
        <w:t>, this</w:t>
      </w:r>
      <w:r w:rsidR="001D6954">
        <w:t xml:space="preserve"> represented an impressive </w:t>
      </w:r>
      <w:r w:rsidR="00E86367">
        <w:t>and</w:t>
      </w:r>
      <w:r w:rsidR="001D6954">
        <w:t xml:space="preserve"> encouraging achievement.</w:t>
      </w:r>
    </w:p>
    <w:p w14:paraId="582EBEA1" w14:textId="22EF86E1" w:rsidR="00737BD0" w:rsidRPr="007E2A65" w:rsidRDefault="00737BD0" w:rsidP="00737BD0">
      <w:pPr>
        <w:ind w:left="567" w:hanging="567"/>
        <w:rPr>
          <w:b/>
        </w:rPr>
      </w:pPr>
      <w:r w:rsidRPr="007E2A65">
        <w:rPr>
          <w:b/>
        </w:rPr>
        <w:t>3.3</w:t>
      </w:r>
      <w:r w:rsidRPr="007E2A65">
        <w:rPr>
          <w:b/>
        </w:rPr>
        <w:tab/>
        <w:t xml:space="preserve">Rail and </w:t>
      </w:r>
      <w:r w:rsidR="00CE4B55">
        <w:rPr>
          <w:b/>
        </w:rPr>
        <w:t>g</w:t>
      </w:r>
      <w:r w:rsidR="00184330">
        <w:rPr>
          <w:b/>
        </w:rPr>
        <w:t xml:space="preserve">eneral </w:t>
      </w:r>
      <w:r w:rsidR="00CE4B55">
        <w:rPr>
          <w:b/>
        </w:rPr>
        <w:t>p</w:t>
      </w:r>
      <w:r w:rsidRPr="007E2A65">
        <w:rPr>
          <w:b/>
        </w:rPr>
        <w:t xml:space="preserve">ublic </w:t>
      </w:r>
      <w:r w:rsidR="00CE4B55">
        <w:rPr>
          <w:b/>
        </w:rPr>
        <w:t>t</w:t>
      </w:r>
      <w:r w:rsidRPr="007E2A65">
        <w:rPr>
          <w:b/>
        </w:rPr>
        <w:t>ransport</w:t>
      </w:r>
    </w:p>
    <w:p w14:paraId="6563A917" w14:textId="799FDDAB" w:rsidR="00586F7A" w:rsidRPr="007E2A65" w:rsidRDefault="00E97904" w:rsidP="004A46E4">
      <w:r w:rsidRPr="007E2A65">
        <w:rPr>
          <w:b/>
        </w:rPr>
        <w:t>Nash et al.</w:t>
      </w:r>
      <w:r w:rsidRPr="007E2A65">
        <w:t xml:space="preserve"> compared national passenger railways in Germany, Great Britain and Sweden, all of whom have had experience of some form of contracting</w:t>
      </w:r>
      <w:r w:rsidR="007E2A65" w:rsidRPr="007E2A65">
        <w:t>-</w:t>
      </w:r>
      <w:r w:rsidRPr="007E2A65">
        <w:t xml:space="preserve">out, with France, which has no such experience. However, even where there was contracting-out, there were important differences concerning the degree of vertical separation, the role of the franchising authority, access to ticketing systems and rolling stock and provisions for the transfer of </w:t>
      </w:r>
      <w:proofErr w:type="gramStart"/>
      <w:r w:rsidRPr="007E2A65">
        <w:t>staff.</w:t>
      </w:r>
      <w:proofErr w:type="gramEnd"/>
      <w:r w:rsidRPr="007E2A65">
        <w:t xml:space="preserve"> This applies within countries as well as between countries. For example, the long duration net subsidy franchise for Chiltern in Great Br</w:t>
      </w:r>
      <w:r w:rsidR="00586F7A" w:rsidRPr="007E2A65">
        <w:t>i</w:t>
      </w:r>
      <w:r w:rsidRPr="007E2A65">
        <w:t>ta</w:t>
      </w:r>
      <w:r w:rsidR="00586F7A" w:rsidRPr="007E2A65">
        <w:t>i</w:t>
      </w:r>
      <w:r w:rsidRPr="007E2A65">
        <w:t>n contrasts with the short</w:t>
      </w:r>
      <w:r w:rsidR="000F3C24" w:rsidRPr="007E2A65">
        <w:t>er duration</w:t>
      </w:r>
      <w:r w:rsidRPr="007E2A65">
        <w:t xml:space="preserve"> gross cost contract for London Overground, with there </w:t>
      </w:r>
      <w:r w:rsidR="00586F7A" w:rsidRPr="007E2A65">
        <w:t>being differences between the centralised contracts run by the Department for Transport, and the more decentralised contracts run by devolved bodies (</w:t>
      </w:r>
      <w:r w:rsidR="006D3521">
        <w:t xml:space="preserve">in </w:t>
      </w:r>
      <w:r w:rsidR="00586F7A" w:rsidRPr="007E2A65">
        <w:t>London, Merseyside, Scotland</w:t>
      </w:r>
      <w:r w:rsidR="006D3521">
        <w:t xml:space="preserve"> and</w:t>
      </w:r>
      <w:r w:rsidR="00586F7A" w:rsidRPr="007E2A65">
        <w:t xml:space="preserve"> Wales). Overall, the impacts of contracting-out appear positive, with strong demand growth (although much of this may have occurred in any event) and some indications of cost reductions (except in Great Britain).</w:t>
      </w:r>
      <w:r w:rsidR="00C12F75" w:rsidRPr="00C12F75">
        <w:t xml:space="preserve"> A key issue for countries</w:t>
      </w:r>
      <w:r w:rsidR="004A46E4">
        <w:t xml:space="preserve"> </w:t>
      </w:r>
      <w:r w:rsidR="00C12F75" w:rsidRPr="00C12F75">
        <w:t>who are introducing competitive tendering</w:t>
      </w:r>
      <w:r w:rsidR="004A46E4" w:rsidRPr="004A46E4">
        <w:t xml:space="preserve">, such as France, </w:t>
      </w:r>
      <w:r w:rsidR="00C12F75" w:rsidRPr="00C12F75">
        <w:t>is how to deal with existing staff</w:t>
      </w:r>
      <w:r w:rsidR="004A46E4">
        <w:t xml:space="preserve">. </w:t>
      </w:r>
      <w:r w:rsidR="00C12F75" w:rsidRPr="00C12F75">
        <w:t xml:space="preserve"> </w:t>
      </w:r>
      <w:r w:rsidR="004A46E4">
        <w:t xml:space="preserve">The main options are </w:t>
      </w:r>
      <w:r w:rsidR="00C12F75" w:rsidRPr="00C12F75">
        <w:t>transfer</w:t>
      </w:r>
      <w:r w:rsidR="004A46E4">
        <w:t>s</w:t>
      </w:r>
      <w:r w:rsidR="00C12F75" w:rsidRPr="00C12F75">
        <w:t xml:space="preserve"> to new franchisees at existing salaries and conditions, thus reducing scope for cost savings</w:t>
      </w:r>
      <w:r w:rsidR="004A46E4">
        <w:t>,</w:t>
      </w:r>
      <w:r w:rsidR="00C12F75" w:rsidRPr="00C12F75">
        <w:t xml:space="preserve"> or </w:t>
      </w:r>
      <w:r w:rsidR="004A46E4">
        <w:t xml:space="preserve">staff </w:t>
      </w:r>
      <w:r w:rsidR="00C12F75" w:rsidRPr="00C12F75">
        <w:t>remain with the incumbent, leading to problems of staff surpluses there and shortages for new entrants.</w:t>
      </w:r>
    </w:p>
    <w:p w14:paraId="0AC9DC9C" w14:textId="4652F195" w:rsidR="00E97904" w:rsidRPr="007E2A65" w:rsidRDefault="00586F7A" w:rsidP="00E97904">
      <w:r w:rsidRPr="007E2A65">
        <w:rPr>
          <w:b/>
        </w:rPr>
        <w:t>Link</w:t>
      </w:r>
      <w:r w:rsidRPr="007E2A65">
        <w:t xml:space="preserve"> used Data Envelopment Analysis (DEA) and </w:t>
      </w:r>
      <w:r w:rsidR="00CE4B55">
        <w:t>T</w:t>
      </w:r>
      <w:r w:rsidRPr="007E2A65">
        <w:t xml:space="preserve">obit regression to assess the impact of tendering in Germany, using data for 29 Passenger Transport Authorities. It was found that </w:t>
      </w:r>
      <w:r w:rsidR="00E86367" w:rsidRPr="007E2A65">
        <w:t>city-states</w:t>
      </w:r>
      <w:r w:rsidRPr="007E2A65">
        <w:t xml:space="preserve"> (such as Berlin and Hamburg) were more efficient than non-city states, and </w:t>
      </w:r>
      <w:proofErr w:type="gramStart"/>
      <w:r w:rsidRPr="007E2A65">
        <w:t>west</w:t>
      </w:r>
      <w:proofErr w:type="gramEnd"/>
      <w:r w:rsidRPr="007E2A65">
        <w:t xml:space="preserve"> German states more efficient than those in the east. Overall, tendering was found to have a positive effect on efficiency, as </w:t>
      </w:r>
      <w:r w:rsidR="000F3C24" w:rsidRPr="007E2A65">
        <w:t>did</w:t>
      </w:r>
      <w:r w:rsidRPr="007E2A65">
        <w:t xml:space="preserve"> contract duration. Net contracts and size of contract were found to have a negative effect on efficiency. When quality of service effects are taken into account, </w:t>
      </w:r>
      <w:r w:rsidR="00B82805" w:rsidRPr="007E2A65">
        <w:t>the efficiency enhancing effects of tendering and smaller contracts reduces, but the effects of the longer contracts and gross cost contracts increases. This was believed to illustrate the importance of contract design.</w:t>
      </w:r>
    </w:p>
    <w:p w14:paraId="722AD0CA" w14:textId="56504FF4" w:rsidR="00B82805" w:rsidRPr="007E2A65" w:rsidRDefault="00B82805" w:rsidP="00E97904">
      <w:r w:rsidRPr="007E2A65">
        <w:rPr>
          <w:b/>
        </w:rPr>
        <w:t xml:space="preserve">Preston </w:t>
      </w:r>
      <w:r w:rsidRPr="007E2A65">
        <w:t xml:space="preserve">provided more analysis of passenger rail franchising in Great Britain and found that despite (or perhaps in spite) of rising costs, declining competition and issues with contract specification, the reforms had been welfare positive.  However, an issue is the identification of the transaction costs.  Those costs that can be measured are relatively modest </w:t>
      </w:r>
      <w:r w:rsidR="003B7264" w:rsidRPr="007E2A65">
        <w:t>(see also Merke</w:t>
      </w:r>
      <w:r w:rsidR="007E2A65">
        <w:t>r</w:t>
      </w:r>
      <w:r w:rsidR="003B7264" w:rsidRPr="007E2A65">
        <w:t xml:space="preserve">t et al., 2012) </w:t>
      </w:r>
      <w:r w:rsidRPr="007E2A65">
        <w:t>but then there are the costs that can</w:t>
      </w:r>
      <w:r w:rsidR="006D3521">
        <w:t>no</w:t>
      </w:r>
      <w:r w:rsidRPr="007E2A65">
        <w:t xml:space="preserve">t be </w:t>
      </w:r>
      <w:r w:rsidR="003B7264" w:rsidRPr="007E2A65">
        <w:t xml:space="preserve">easily </w:t>
      </w:r>
      <w:r w:rsidRPr="007E2A65">
        <w:t xml:space="preserve">measured such as </w:t>
      </w:r>
      <w:r w:rsidR="003B7264" w:rsidRPr="007E2A65">
        <w:t xml:space="preserve">the costs of </w:t>
      </w:r>
      <w:r w:rsidRPr="007E2A65">
        <w:t>delayed decision-making as a result of excessive institutional complexity (or, in extremis, no decisions being made).</w:t>
      </w:r>
      <w:r w:rsidR="003A0ED1" w:rsidRPr="007E2A65">
        <w:t xml:space="preserve"> </w:t>
      </w:r>
      <w:r w:rsidR="003A0ED1" w:rsidRPr="007E2A65">
        <w:rPr>
          <w:b/>
        </w:rPr>
        <w:t xml:space="preserve">Cowie </w:t>
      </w:r>
      <w:r w:rsidR="003A0ED1" w:rsidRPr="007E2A65">
        <w:t xml:space="preserve">reviewed the concept of consumer sovereignty </w:t>
      </w:r>
      <w:r w:rsidR="000E4DCA" w:rsidRPr="007E2A65">
        <w:t>(after von Mises, 194</w:t>
      </w:r>
      <w:r w:rsidR="009841D3" w:rsidRPr="007E2A65">
        <w:t>9</w:t>
      </w:r>
      <w:r w:rsidR="000E4DCA" w:rsidRPr="007E2A65">
        <w:t xml:space="preserve">) </w:t>
      </w:r>
      <w:r w:rsidR="003A0ED1" w:rsidRPr="007E2A65">
        <w:t>with respect to data for Train Operating Companies</w:t>
      </w:r>
      <w:r w:rsidR="00997079">
        <w:t xml:space="preserve"> </w:t>
      </w:r>
      <w:r w:rsidR="006D3521">
        <w:t>(</w:t>
      </w:r>
      <w:r w:rsidR="00997079">
        <w:t>TOCs)</w:t>
      </w:r>
      <w:r w:rsidR="003A0ED1" w:rsidRPr="007E2A65">
        <w:t xml:space="preserve"> </w:t>
      </w:r>
      <w:r w:rsidR="000E4DCA" w:rsidRPr="007E2A65">
        <w:t xml:space="preserve">in Britain </w:t>
      </w:r>
      <w:r w:rsidR="003A0ED1" w:rsidRPr="007E2A65">
        <w:t>and</w:t>
      </w:r>
      <w:r w:rsidR="000E4DCA" w:rsidRPr="007E2A65">
        <w:t>, using cluster analysis,</w:t>
      </w:r>
      <w:r w:rsidR="003A0ED1" w:rsidRPr="007E2A65">
        <w:t xml:space="preserve"> found some evidence of the increased importance of this concept over the period 2000-2015</w:t>
      </w:r>
      <w:r w:rsidR="009841D3" w:rsidRPr="007E2A65">
        <w:t xml:space="preserve">, although at the beginning of the period produce sovereignty appeared </w:t>
      </w:r>
      <w:r w:rsidR="006D3521">
        <w:t xml:space="preserve">to be </w:t>
      </w:r>
      <w:r w:rsidR="009841D3" w:rsidRPr="007E2A65">
        <w:t>more dominant (after Galbraith, 1967)</w:t>
      </w:r>
      <w:r w:rsidR="003A0ED1" w:rsidRPr="007E2A65">
        <w:t>.</w:t>
      </w:r>
      <w:r w:rsidR="000E4DCA" w:rsidRPr="007E2A65">
        <w:t xml:space="preserve"> Moreover, it was also found that operators with a consumer focus were more likely to be successful at renewal. </w:t>
      </w:r>
    </w:p>
    <w:p w14:paraId="76E002BB" w14:textId="6905BB87" w:rsidR="009841D3" w:rsidRPr="007E2A65" w:rsidRDefault="00C067D9" w:rsidP="00C76C40">
      <w:proofErr w:type="spellStart"/>
      <w:r w:rsidRPr="007E2A65">
        <w:rPr>
          <w:b/>
        </w:rPr>
        <w:t>Krol</w:t>
      </w:r>
      <w:proofErr w:type="spellEnd"/>
      <w:r w:rsidRPr="007E2A65">
        <w:rPr>
          <w:b/>
        </w:rPr>
        <w:t xml:space="preserve"> </w:t>
      </w:r>
      <w:r w:rsidRPr="007E2A65">
        <w:t>review</w:t>
      </w:r>
      <w:r w:rsidR="00BE4F6D" w:rsidRPr="007E2A65">
        <w:t>ed</w:t>
      </w:r>
      <w:r w:rsidRPr="007E2A65">
        <w:t xml:space="preserve"> the contracting-out of passenger rail services in Poland.  As a transitional economy in the 1990s, the rail market faced rapidly falling demand. The industry responded by reducing the network by around one-third and cutting services. There were experiments with competitive tendering but the results were muted, due the short duration of the contracts </w:t>
      </w:r>
      <w:r w:rsidR="00BE4F6D" w:rsidRPr="007E2A65">
        <w:t xml:space="preserve">(initially a maximum of three </w:t>
      </w:r>
      <w:r w:rsidR="000F3C24" w:rsidRPr="007E2A65">
        <w:t>years but in practice often only one year</w:t>
      </w:r>
      <w:r w:rsidR="00BE4F6D" w:rsidRPr="007E2A65">
        <w:t xml:space="preserve">) </w:t>
      </w:r>
      <w:r w:rsidRPr="007E2A65">
        <w:t>and the lack of competition due to barrier</w:t>
      </w:r>
      <w:r w:rsidR="00BE4F6D" w:rsidRPr="007E2A65">
        <w:t>s</w:t>
      </w:r>
      <w:r w:rsidRPr="007E2A65">
        <w:t xml:space="preserve"> to entry (such as access to rolling stock) and the dominance of the state owned former monopoly. As a result, six regional companies have emerged </w:t>
      </w:r>
      <w:r w:rsidR="00BE4F6D" w:rsidRPr="007E2A65">
        <w:t>that appear to have given local authorities greater control</w:t>
      </w:r>
      <w:r w:rsidR="00C76C40">
        <w:t xml:space="preserve">. </w:t>
      </w:r>
      <w:r w:rsidR="00BE4F6D" w:rsidRPr="007E2A65">
        <w:t xml:space="preserve"> </w:t>
      </w:r>
      <w:r w:rsidR="00C76C40" w:rsidRPr="00C76C40">
        <w:t xml:space="preserve">Although </w:t>
      </w:r>
      <w:r w:rsidR="00C76C40">
        <w:t>the total subsidy paid</w:t>
      </w:r>
      <w:r w:rsidR="00C76C40" w:rsidRPr="00C76C40">
        <w:t xml:space="preserve"> by </w:t>
      </w:r>
      <w:r w:rsidR="00C76C40">
        <w:t xml:space="preserve">the </w:t>
      </w:r>
      <w:r w:rsidR="00C76C40" w:rsidRPr="00C76C40">
        <w:t>regions keeps increasing in Poland, it seems to be partly the effect of</w:t>
      </w:r>
      <w:r w:rsidR="00C76C40">
        <w:t xml:space="preserve"> the</w:t>
      </w:r>
      <w:r w:rsidR="00C76C40" w:rsidRPr="00C76C40">
        <w:t xml:space="preserve"> regions’ efforts to restore and develop public railway services after years of shrinkage. The entire growth in ridership observable recently in Poland can be attributed to </w:t>
      </w:r>
      <w:r w:rsidR="00C76C40">
        <w:t>the regions’</w:t>
      </w:r>
      <w:r w:rsidR="00C76C40" w:rsidRPr="00C76C40">
        <w:t xml:space="preserve"> activities</w:t>
      </w:r>
      <w:r w:rsidR="00C76C40">
        <w:t xml:space="preserve"> as they seemingly pursue social rather than commercial objectives</w:t>
      </w:r>
      <w:r w:rsidR="00C76C40" w:rsidRPr="00C76C40">
        <w:t>.</w:t>
      </w:r>
      <w:r w:rsidR="00BE4F6D" w:rsidRPr="007E2A65">
        <w:t xml:space="preserve"> </w:t>
      </w:r>
      <w:proofErr w:type="spellStart"/>
      <w:r w:rsidR="00BE4F6D" w:rsidRPr="007E2A65">
        <w:rPr>
          <w:b/>
        </w:rPr>
        <w:t>Dementiev</w:t>
      </w:r>
      <w:proofErr w:type="spellEnd"/>
      <w:r w:rsidR="00BE4F6D" w:rsidRPr="007E2A65">
        <w:rPr>
          <w:b/>
        </w:rPr>
        <w:t xml:space="preserve"> </w:t>
      </w:r>
      <w:r w:rsidR="00BE4F6D" w:rsidRPr="007E2A65">
        <w:t xml:space="preserve">reviewed the suburban railways in another transitional economy dominated by a stated owned former monopoly – Russia. </w:t>
      </w:r>
      <w:r w:rsidR="008F7F01" w:rsidRPr="007E2A65">
        <w:t xml:space="preserve"> Here suburban railways companies have been set up as </w:t>
      </w:r>
      <w:r w:rsidR="00731BA9" w:rsidRPr="007E2A65">
        <w:t xml:space="preserve">intermediate </w:t>
      </w:r>
      <w:r w:rsidR="008F7F01" w:rsidRPr="007E2A65">
        <w:t>partnerships between local authorities and the incumbent vertically integrated rail operator.  However, these partnerships seem incentivised to negotiate direct awards that do not fully compensate the incumbent, in essence by appropriating profits made elsewhere (e.g. from long-haul freight). Th</w:t>
      </w:r>
      <w:r w:rsidR="00B076DB">
        <w:t>ere was a discussion whether th</w:t>
      </w:r>
      <w:r w:rsidR="008F7F01" w:rsidRPr="007E2A65">
        <w:t xml:space="preserve">is </w:t>
      </w:r>
      <w:r w:rsidR="00B076DB">
        <w:t>can be</w:t>
      </w:r>
      <w:r w:rsidR="008F7F01" w:rsidRPr="007E2A65">
        <w:t xml:space="preserve"> seen as a form of pseudo-franchising, with the incumbent paying a </w:t>
      </w:r>
      <w:r w:rsidR="000F3C24" w:rsidRPr="007E2A65">
        <w:t xml:space="preserve">form of </w:t>
      </w:r>
      <w:r w:rsidR="008F7F01" w:rsidRPr="007E2A65">
        <w:t>premium to operate these services.</w:t>
      </w:r>
    </w:p>
    <w:p w14:paraId="3E0CB523" w14:textId="120721B2" w:rsidR="00731BA9" w:rsidRPr="007E2A65" w:rsidRDefault="00731BA9" w:rsidP="004A46E4">
      <w:r w:rsidRPr="007E2A65">
        <w:t xml:space="preserve">The juxtaposition of the experiences of Britain, Germany and Sweden with those of Poland and Russia provide some interesting insights. The reforms in the first group of countries seem to have been broadly successful, </w:t>
      </w:r>
      <w:r w:rsidR="004A46E4" w:rsidRPr="004A46E4">
        <w:t>although the substantial cost increases, particularly in infrastructure but even in train operation, were certainly not what was expected</w:t>
      </w:r>
      <w:r w:rsidR="004A46E4">
        <w:t>, particularly in Britain</w:t>
      </w:r>
      <w:r w:rsidR="004A46E4" w:rsidRPr="004A46E4">
        <w:t xml:space="preserve"> (Nash et al, 2017). </w:t>
      </w:r>
      <w:r w:rsidR="004A46E4">
        <w:t>T</w:t>
      </w:r>
      <w:r w:rsidRPr="007E2A65">
        <w:t>he results in the second group are more mixed. In part, this may be attributed to the differing degrees of institutional maturity but may also reflect the differing influence of transaction costs.</w:t>
      </w:r>
      <w:r w:rsidR="000F3C24" w:rsidRPr="007E2A65">
        <w:t xml:space="preserve"> This is confirmed by Table 6, which shows that of the six cases studies, four are positive (albeit one is an example of direct awards)</w:t>
      </w:r>
    </w:p>
    <w:p w14:paraId="6A935350" w14:textId="0B0CE706" w:rsidR="00737BD0" w:rsidRPr="007E2A65" w:rsidRDefault="00737BD0" w:rsidP="00E97904">
      <w:pPr>
        <w:rPr>
          <w:b/>
        </w:rPr>
      </w:pPr>
      <w:r w:rsidRPr="007E2A65">
        <w:rPr>
          <w:b/>
        </w:rPr>
        <w:t>Table 6:</w:t>
      </w:r>
      <w:r w:rsidR="008444F2" w:rsidRPr="007E2A65">
        <w:rPr>
          <w:b/>
        </w:rPr>
        <w:t xml:space="preserve"> Evidence from Rail Case Studies</w:t>
      </w:r>
    </w:p>
    <w:p w14:paraId="43C47C09" w14:textId="69FA9743" w:rsidR="00737BD0" w:rsidRPr="007E2A65" w:rsidRDefault="00C2009C" w:rsidP="00737BD0">
      <w:pPr>
        <w:ind w:left="567" w:hanging="567"/>
        <w:rPr>
          <w:b/>
        </w:rPr>
      </w:pPr>
      <w:r w:rsidRPr="007E2A65">
        <w:rPr>
          <w:b/>
          <w:noProof/>
          <w:lang w:eastAsia="en-GB"/>
        </w:rPr>
        <w:drawing>
          <wp:inline distT="0" distB="0" distL="0" distR="0" wp14:anchorId="49A33BA0" wp14:editId="33D5151E">
            <wp:extent cx="5731510" cy="308969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89691"/>
                    </a:xfrm>
                    <a:prstGeom prst="rect">
                      <a:avLst/>
                    </a:prstGeom>
                    <a:noFill/>
                    <a:ln>
                      <a:noFill/>
                    </a:ln>
                  </pic:spPr>
                </pic:pic>
              </a:graphicData>
            </a:graphic>
          </wp:inline>
        </w:drawing>
      </w:r>
    </w:p>
    <w:p w14:paraId="4D89C2A0" w14:textId="143F67DB" w:rsidR="00B475D9" w:rsidRPr="007E2A65" w:rsidRDefault="00B475D9" w:rsidP="00B475D9">
      <w:r w:rsidRPr="007E2A65">
        <w:t xml:space="preserve">Source: </w:t>
      </w:r>
      <w:r w:rsidR="0023016F">
        <w:t>B</w:t>
      </w:r>
      <w:r w:rsidR="0023016F" w:rsidRPr="007E2A65">
        <w:t xml:space="preserve">ased </w:t>
      </w:r>
      <w:r w:rsidRPr="007E2A65">
        <w:t xml:space="preserve">on workshop presentations by Cowie, </w:t>
      </w:r>
      <w:proofErr w:type="spellStart"/>
      <w:r w:rsidRPr="007E2A65">
        <w:t>Dementiev</w:t>
      </w:r>
      <w:proofErr w:type="spellEnd"/>
      <w:r w:rsidRPr="007E2A65">
        <w:t xml:space="preserve">, </w:t>
      </w:r>
      <w:proofErr w:type="spellStart"/>
      <w:r w:rsidRPr="007E2A65">
        <w:t>Engstrand</w:t>
      </w:r>
      <w:proofErr w:type="spellEnd"/>
      <w:r w:rsidRPr="007E2A65">
        <w:t xml:space="preserve">, </w:t>
      </w:r>
      <w:proofErr w:type="spellStart"/>
      <w:r w:rsidRPr="007E2A65">
        <w:t>Krol</w:t>
      </w:r>
      <w:proofErr w:type="spellEnd"/>
      <w:r w:rsidRPr="007E2A65">
        <w:t>, Link, Nash, Preston and Schaaf</w:t>
      </w:r>
      <w:r w:rsidR="00E07B8A">
        <w:t>f</w:t>
      </w:r>
      <w:r w:rsidRPr="007E2A65">
        <w:t>kamp</w:t>
      </w:r>
      <w:r w:rsidR="0023016F">
        <w:t>.</w:t>
      </w:r>
    </w:p>
    <w:p w14:paraId="755E841C" w14:textId="020260F8" w:rsidR="008444F2" w:rsidRPr="007E2A65" w:rsidRDefault="008444F2" w:rsidP="008444F2">
      <w:proofErr w:type="spellStart"/>
      <w:r w:rsidRPr="007E2A65">
        <w:rPr>
          <w:b/>
        </w:rPr>
        <w:t>Ringe</w:t>
      </w:r>
      <w:proofErr w:type="spellEnd"/>
      <w:r w:rsidRPr="007E2A65">
        <w:rPr>
          <w:b/>
        </w:rPr>
        <w:t xml:space="preserve"> and Schmitz </w:t>
      </w:r>
      <w:r w:rsidRPr="007E2A65">
        <w:t xml:space="preserve">present a case study of public transport organisation in the Frankfurt region, with clear divisions between the city </w:t>
      </w:r>
      <w:r w:rsidR="00E86367">
        <w:t xml:space="preserve">(Frankfurt) </w:t>
      </w:r>
      <w:r w:rsidRPr="007E2A65">
        <w:t xml:space="preserve">and </w:t>
      </w:r>
      <w:r w:rsidR="00E86367">
        <w:t xml:space="preserve">the </w:t>
      </w:r>
      <w:r w:rsidRPr="007E2A65">
        <w:t>region (Hesse) and between strategic</w:t>
      </w:r>
      <w:r w:rsidR="003A1560" w:rsidRPr="007E2A65">
        <w:t xml:space="preserve"> (</w:t>
      </w:r>
      <w:proofErr w:type="gramStart"/>
      <w:r w:rsidR="003A1560" w:rsidRPr="007E2A65">
        <w:t>policy</w:t>
      </w:r>
      <w:proofErr w:type="gramEnd"/>
      <w:r w:rsidR="003A1560" w:rsidRPr="007E2A65">
        <w:t>)</w:t>
      </w:r>
      <w:r w:rsidRPr="007E2A65">
        <w:t xml:space="preserve">, tactical </w:t>
      </w:r>
      <w:r w:rsidR="003A1560" w:rsidRPr="007E2A65">
        <w:t>(pla</w:t>
      </w:r>
      <w:r w:rsidR="00B475D9" w:rsidRPr="007E2A65">
        <w:t>nnin</w:t>
      </w:r>
      <w:r w:rsidR="003A1560" w:rsidRPr="007E2A65">
        <w:t xml:space="preserve">g) </w:t>
      </w:r>
      <w:r w:rsidRPr="007E2A65">
        <w:t xml:space="preserve">and operational functions (see also van de </w:t>
      </w:r>
      <w:proofErr w:type="spellStart"/>
      <w:r w:rsidRPr="007E2A65">
        <w:t>Velde</w:t>
      </w:r>
      <w:proofErr w:type="spellEnd"/>
      <w:r w:rsidRPr="007E2A65">
        <w:t>, 1999)</w:t>
      </w:r>
      <w:r w:rsidR="003816D1" w:rsidRPr="007E2A65">
        <w:t>. A key feature i</w:t>
      </w:r>
      <w:r w:rsidR="00B475D9" w:rsidRPr="007E2A65">
        <w:t>s</w:t>
      </w:r>
      <w:r w:rsidR="003816D1" w:rsidRPr="007E2A65">
        <w:t xml:space="preserve"> an intermediate</w:t>
      </w:r>
      <w:r w:rsidR="00B475D9" w:rsidRPr="007E2A65">
        <w:t xml:space="preserve">, </w:t>
      </w:r>
      <w:r w:rsidR="00E86367" w:rsidRPr="007E2A65">
        <w:t>third party</w:t>
      </w:r>
      <w:r w:rsidR="00B475D9" w:rsidRPr="007E2A65">
        <w:t>,</w:t>
      </w:r>
      <w:r w:rsidR="003816D1" w:rsidRPr="007E2A65">
        <w:t xml:space="preserve"> body responsible for transport management, </w:t>
      </w:r>
      <w:proofErr w:type="spellStart"/>
      <w:r w:rsidR="003816D1" w:rsidRPr="007E2A65">
        <w:t>traffi</w:t>
      </w:r>
      <w:r w:rsidR="003A1560" w:rsidRPr="007E2A65">
        <w:t>Q</w:t>
      </w:r>
      <w:proofErr w:type="spellEnd"/>
      <w:r w:rsidR="003A1560" w:rsidRPr="007E2A65">
        <w:t>, established in 2001</w:t>
      </w:r>
      <w:r w:rsidR="003816D1" w:rsidRPr="007E2A65">
        <w:t>. This body has been responsible for the competitive tendering of 50% of the bus networks and direct awards of the other 50</w:t>
      </w:r>
      <w:r w:rsidR="0023016F">
        <w:t xml:space="preserve"> percent</w:t>
      </w:r>
      <w:r w:rsidR="003816D1" w:rsidRPr="007E2A65">
        <w:t>, along with direct awards for tramways and metro</w:t>
      </w:r>
      <w:r w:rsidR="00B076DB">
        <w:rPr>
          <w:rStyle w:val="FootnoteReference"/>
        </w:rPr>
        <w:footnoteReference w:id="2"/>
      </w:r>
      <w:r w:rsidR="003816D1" w:rsidRPr="007E2A65">
        <w:t xml:space="preserve">. The result appear to be promising, with </w:t>
      </w:r>
      <w:r w:rsidR="003A1560" w:rsidRPr="007E2A65">
        <w:t xml:space="preserve">service innovations, </w:t>
      </w:r>
      <w:r w:rsidR="003816D1" w:rsidRPr="007E2A65">
        <w:t>rising customer satisfaction and declining costs – which have allowed reinvestment in the system.</w:t>
      </w:r>
      <w:r w:rsidRPr="007E2A65">
        <w:t xml:space="preserve"> </w:t>
      </w:r>
    </w:p>
    <w:p w14:paraId="6A44EF72" w14:textId="645011EE" w:rsidR="00B11890" w:rsidRPr="007E2A65" w:rsidRDefault="003A1560" w:rsidP="008444F2">
      <w:proofErr w:type="spellStart"/>
      <w:r w:rsidRPr="007E2A65">
        <w:rPr>
          <w:b/>
        </w:rPr>
        <w:t>Wijmenga</w:t>
      </w:r>
      <w:proofErr w:type="spellEnd"/>
      <w:r w:rsidRPr="007E2A65">
        <w:rPr>
          <w:b/>
        </w:rPr>
        <w:t xml:space="preserve"> et al. </w:t>
      </w:r>
      <w:r w:rsidRPr="007E2A65">
        <w:t>provide an empirical case study of competitive tendering of urban public transport in the Netherlands</w:t>
      </w:r>
      <w:r w:rsidR="007069A1" w:rsidRPr="007E2A65">
        <w:t xml:space="preserve"> through a benchmarking study of eight transport authorities. This finds that costs are substantially higher in Rotterdam and Amsterdam</w:t>
      </w:r>
      <w:r w:rsidRPr="007E2A65">
        <w:t>.</w:t>
      </w:r>
      <w:r w:rsidR="007069A1" w:rsidRPr="007E2A65">
        <w:t xml:space="preserve"> In part, this might be explained by the fact that one of the four concessions in Amsterdam is directly awarded but may also reflect different political priorities in the Netherlands’ two large</w:t>
      </w:r>
      <w:r w:rsidR="00B475D9" w:rsidRPr="007E2A65">
        <w:t>st</w:t>
      </w:r>
      <w:r w:rsidR="007069A1" w:rsidRPr="007E2A65">
        <w:t xml:space="preserve"> cities. This work was complemented by a more qualitative, interview-based review of public transport governance in the Netherlands by </w:t>
      </w:r>
      <w:r w:rsidR="007069A1" w:rsidRPr="007E2A65">
        <w:rPr>
          <w:b/>
        </w:rPr>
        <w:t>Veeneman</w:t>
      </w:r>
      <w:r w:rsidR="007069A1" w:rsidRPr="007E2A65">
        <w:t xml:space="preserve">. This noted trends of growing supply and efficiency and </w:t>
      </w:r>
      <w:r w:rsidR="006F4878">
        <w:t xml:space="preserve">overall </w:t>
      </w:r>
      <w:r w:rsidR="007069A1" w:rsidRPr="007E2A65">
        <w:t>stable demand (but with growth in the cities and decline elsewhere). Revealed prevalence indicat</w:t>
      </w:r>
      <w:r w:rsidR="00B475D9" w:rsidRPr="007E2A65">
        <w:t>ed</w:t>
      </w:r>
      <w:r w:rsidR="007069A1" w:rsidRPr="007E2A65">
        <w:t xml:space="preserve"> a focus of supply on high demand routes, </w:t>
      </w:r>
      <w:r w:rsidR="000853D8" w:rsidRPr="007E2A65">
        <w:t>the development of alternative</w:t>
      </w:r>
      <w:r w:rsidR="006F4878">
        <w:t>s</w:t>
      </w:r>
      <w:r w:rsidR="000853D8" w:rsidRPr="007E2A65">
        <w:t xml:space="preserve"> for the last mile (bike sharing, ride sharing etc.) and the need for flexibility particularly with respect to vehicle specification given the drive to cleaner energy technologies. The public transport market in the Netherlands</w:t>
      </w:r>
      <w:r w:rsidR="00935B12">
        <w:t>,</w:t>
      </w:r>
      <w:r w:rsidR="000853D8" w:rsidRPr="007E2A65">
        <w:t xml:space="preserve"> which was reformed by the introduction of competitive tendering from 2001</w:t>
      </w:r>
      <w:r w:rsidR="00935B12">
        <w:t>,</w:t>
      </w:r>
      <w:r w:rsidR="000853D8" w:rsidRPr="007E2A65">
        <w:t xml:space="preserve"> was seen as maturing. Fragmentation was being replaced by cooperation, rogue incentives were being rooted out, contradictory polices were being replaced by more integrated approaches and more flexible concessions were being developed by separating the responsibilities for system development from those of contract control.</w:t>
      </w:r>
      <w:r w:rsidR="00B11890" w:rsidRPr="007E2A65">
        <w:t xml:space="preserve"> It was believed that a new equilibrium was emerging in which hard competition had been replaced by soft competition.</w:t>
      </w:r>
    </w:p>
    <w:p w14:paraId="63AD7A19" w14:textId="542AB143" w:rsidR="003A1560" w:rsidRPr="007E2A65" w:rsidRDefault="00353632" w:rsidP="008444F2">
      <w:proofErr w:type="spellStart"/>
      <w:r w:rsidRPr="007E2A65">
        <w:rPr>
          <w:b/>
        </w:rPr>
        <w:t>Sepúlveda</w:t>
      </w:r>
      <w:proofErr w:type="spellEnd"/>
      <w:r w:rsidRPr="007E2A65">
        <w:rPr>
          <w:b/>
        </w:rPr>
        <w:t xml:space="preserve"> and </w:t>
      </w:r>
      <w:r w:rsidR="00B11890" w:rsidRPr="007E2A65">
        <w:rPr>
          <w:b/>
        </w:rPr>
        <w:t>Galilea</w:t>
      </w:r>
      <w:r w:rsidR="000853D8" w:rsidRPr="007E2A65">
        <w:t xml:space="preserve"> </w:t>
      </w:r>
      <w:r w:rsidRPr="007E2A65">
        <w:t>examine the role of contract incentives with respect to Santiago, Chile, where incentives have been based on passenger</w:t>
      </w:r>
      <w:r w:rsidR="006F4878">
        <w:t xml:space="preserve"> number</w:t>
      </w:r>
      <w:r w:rsidRPr="007E2A65">
        <w:t>s (2007 to 2010) and passenger</w:t>
      </w:r>
      <w:r w:rsidR="006F4878">
        <w:t xml:space="preserve"> number</w:t>
      </w:r>
      <w:r w:rsidRPr="007E2A65">
        <w:t>s and passenger k</w:t>
      </w:r>
      <w:r w:rsidR="0023016F">
        <w:t>ilometr</w:t>
      </w:r>
      <w:r w:rsidR="00935B12">
        <w:t>e</w:t>
      </w:r>
      <w:r w:rsidR="0023016F">
        <w:t>s</w:t>
      </w:r>
      <w:r w:rsidRPr="007E2A65">
        <w:t xml:space="preserve"> (2012 to 2018) and a bonus</w:t>
      </w:r>
      <w:r w:rsidR="0023016F">
        <w:t>-</w:t>
      </w:r>
      <w:r w:rsidRPr="007E2A65">
        <w:t xml:space="preserve">malus scheme based on quality of service is proposed for 2018. A microeconomic model </w:t>
      </w:r>
      <w:r w:rsidR="00935B12">
        <w:t>wa</w:t>
      </w:r>
      <w:r w:rsidRPr="007E2A65">
        <w:t>s d</w:t>
      </w:r>
      <w:r w:rsidR="00552B31" w:rsidRPr="007E2A65">
        <w:t xml:space="preserve">eveloped to determine the weights that should </w:t>
      </w:r>
      <w:r w:rsidR="00B475D9" w:rsidRPr="007E2A65">
        <w:t xml:space="preserve">be </w:t>
      </w:r>
      <w:r w:rsidR="00552B31" w:rsidRPr="007E2A65">
        <w:t xml:space="preserve">put on frequency of service and on passengers and it is shown that if these weights are optimised operators will behave in such a way as to deliver </w:t>
      </w:r>
      <w:r w:rsidR="00B475D9" w:rsidRPr="007E2A65">
        <w:t xml:space="preserve">results similar to that of a </w:t>
      </w:r>
      <w:r w:rsidR="00552B31" w:rsidRPr="007E2A65">
        <w:t>perfectly planned system.</w:t>
      </w:r>
    </w:p>
    <w:p w14:paraId="1CF18AA3" w14:textId="4A96F2AB" w:rsidR="00552B31" w:rsidRPr="007E2A65" w:rsidRDefault="00552B31" w:rsidP="001B78E3">
      <w:proofErr w:type="spellStart"/>
      <w:r w:rsidRPr="007E2A65">
        <w:rPr>
          <w:b/>
        </w:rPr>
        <w:t>Canitez</w:t>
      </w:r>
      <w:proofErr w:type="spellEnd"/>
      <w:r w:rsidRPr="007E2A65">
        <w:rPr>
          <w:b/>
        </w:rPr>
        <w:t xml:space="preserve"> and </w:t>
      </w:r>
      <w:proofErr w:type="spellStart"/>
      <w:r w:rsidRPr="007E2A65">
        <w:rPr>
          <w:b/>
        </w:rPr>
        <w:t>Celebi</w:t>
      </w:r>
      <w:proofErr w:type="spellEnd"/>
      <w:r w:rsidRPr="007E2A65">
        <w:rPr>
          <w:b/>
        </w:rPr>
        <w:t xml:space="preserve"> </w:t>
      </w:r>
      <w:r w:rsidRPr="007E2A65">
        <w:t>provide a case study of public transport in Istanbul, Turkey. They note the important roles of formal and informal institutions, of institutions of governance and of contractual arrangements</w:t>
      </w:r>
      <w:r w:rsidR="009B137F" w:rsidRPr="007E2A65">
        <w:t xml:space="preserve"> (after Williamson, 2000)</w:t>
      </w:r>
      <w:r w:rsidRPr="007E2A65">
        <w:t>. They also not</w:t>
      </w:r>
      <w:r w:rsidR="009B137F" w:rsidRPr="007E2A65">
        <w:t>e</w:t>
      </w:r>
      <w:r w:rsidRPr="007E2A65">
        <w:t xml:space="preserve"> how transaction costs may be related to asset specificity, uncertainty and the frequency of transactions. They categorise public transport organisation on the basis of institutional </w:t>
      </w:r>
      <w:r w:rsidR="002D4E30" w:rsidRPr="007E2A65">
        <w:t>maturity and transaction costs (see also Figure 4).</w:t>
      </w:r>
      <w:r w:rsidR="00F463F4">
        <w:t xml:space="preserve"> The assumption here (after Williamson, 1985) is that, at least for the bus industry (with low asset specificity), the governance costs of contractual market relationships </w:t>
      </w:r>
      <w:r w:rsidR="00E9298B">
        <w:t>are less than those based on internal bureaucratic procedures.</w:t>
      </w:r>
      <w:r w:rsidR="00F463F4">
        <w:t xml:space="preserve"> </w:t>
      </w:r>
      <w:r w:rsidR="00E9298B">
        <w:t xml:space="preserve"> Hence, the transaction costs of in-house production are assumed to be greater than </w:t>
      </w:r>
      <w:r w:rsidR="004E5F6A">
        <w:t xml:space="preserve">those of </w:t>
      </w:r>
      <w:r w:rsidR="00E9298B">
        <w:t xml:space="preserve">competitive tendering.  There is also an assumption here that ‘classic’ in-house production and competitive tendering are </w:t>
      </w:r>
      <w:r w:rsidR="004E5F6A">
        <w:t xml:space="preserve">associated with </w:t>
      </w:r>
      <w:r w:rsidR="00E9298B">
        <w:t xml:space="preserve">relatively immature institutions (or in any event do not require maturity), whilst more mixed regimes do require institutional maturity to be successful. </w:t>
      </w:r>
      <w:r w:rsidR="004E5F6A">
        <w:t>These assumptions concerning transaction costs and institutional maturity were not universally support</w:t>
      </w:r>
      <w:r w:rsidR="00025B12">
        <w:t>ed</w:t>
      </w:r>
      <w:r w:rsidR="004E5F6A">
        <w:t xml:space="preserve"> by workshop participants and are concepts that will need further refinement.</w:t>
      </w:r>
      <w:r w:rsidR="006D4D77">
        <w:t xml:space="preserve"> For example, t</w:t>
      </w:r>
      <w:r w:rsidR="006D4D77" w:rsidRPr="006D4D77">
        <w:t>aking the perspective of Switzerland</w:t>
      </w:r>
      <w:r w:rsidR="006D4D77">
        <w:t xml:space="preserve"> (a relative mature regime)</w:t>
      </w:r>
      <w:r w:rsidR="006D4D77" w:rsidRPr="006D4D77">
        <w:t xml:space="preserve">, </w:t>
      </w:r>
      <w:r w:rsidR="006D4D77">
        <w:t xml:space="preserve">it was </w:t>
      </w:r>
      <w:r w:rsidR="006D4D77" w:rsidRPr="006D4D77">
        <w:t>argue</w:t>
      </w:r>
      <w:r w:rsidR="001B78E3">
        <w:t>d</w:t>
      </w:r>
      <w:r w:rsidR="006D4D77" w:rsidRPr="006D4D77">
        <w:t xml:space="preserve"> that transaction costs in this “in-house” system are at a comparable level to those in competitively tendered networks. This is based on trusting partnerships between authorities and operators, </w:t>
      </w:r>
      <w:r w:rsidR="001B78E3">
        <w:t xml:space="preserve">a </w:t>
      </w:r>
      <w:r w:rsidR="006D4D77" w:rsidRPr="006D4D77">
        <w:t xml:space="preserve">high level of transparency and a reasonable level of organisational and regulatory complexity. </w:t>
      </w:r>
      <w:r w:rsidR="001B78E3">
        <w:t xml:space="preserve"> Furthermore</w:t>
      </w:r>
      <w:r w:rsidR="005451CE">
        <w:t>, Figure 4 seems to assume that transaction costs and institutional maturity are independent concepts but this is unlikely to be the case. There may be negative correlations between institutional maturity and transaction costs.</w:t>
      </w:r>
    </w:p>
    <w:p w14:paraId="72D19368" w14:textId="6DE76D97" w:rsidR="002D4E30" w:rsidRPr="007E2A65" w:rsidRDefault="002D4E30" w:rsidP="008444F2">
      <w:r w:rsidRPr="007E2A65">
        <w:rPr>
          <w:noProof/>
          <w:lang w:eastAsia="en-GB"/>
        </w:rPr>
        <w:drawing>
          <wp:inline distT="0" distB="0" distL="0" distR="0" wp14:anchorId="3D395069" wp14:editId="75FF81BC">
            <wp:extent cx="5731510" cy="192943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29434"/>
                    </a:xfrm>
                    <a:prstGeom prst="rect">
                      <a:avLst/>
                    </a:prstGeom>
                    <a:noFill/>
                    <a:ln>
                      <a:noFill/>
                    </a:ln>
                  </pic:spPr>
                </pic:pic>
              </a:graphicData>
            </a:graphic>
          </wp:inline>
        </w:drawing>
      </w:r>
    </w:p>
    <w:p w14:paraId="4CE5B21E" w14:textId="77777777" w:rsidR="00F27AB1" w:rsidRPr="007E2A65" w:rsidRDefault="00F27AB1" w:rsidP="00F27AB1">
      <w:pPr>
        <w:rPr>
          <w:b/>
        </w:rPr>
      </w:pPr>
      <w:r w:rsidRPr="007E2A65">
        <w:rPr>
          <w:b/>
        </w:rPr>
        <w:t>Figure 4: Governance Framework based on Institutional Maturity and Transaction Costs.</w:t>
      </w:r>
    </w:p>
    <w:p w14:paraId="465CB7FC" w14:textId="7C0619A4" w:rsidR="002D4E30" w:rsidRPr="007E2A65" w:rsidRDefault="002D4E30" w:rsidP="008444F2">
      <w:r w:rsidRPr="007E2A65">
        <w:t>In Istanbul, there is a mixture of direct awards (IETT - bottom right quadrant), largely free market operations (OHO – top left quadrant) and negotiated contracts (OAS = top right quadrant).</w:t>
      </w:r>
      <w:r w:rsidR="00F27AB1" w:rsidRPr="007E2A65">
        <w:t xml:space="preserve"> OAS is an interesting example of a hybrid model – in this case competitively tendered performance based concessions. Established in 2011, these involved procuring vehicles </w:t>
      </w:r>
      <w:r w:rsidR="00B475D9" w:rsidRPr="007E2A65">
        <w:t>and</w:t>
      </w:r>
      <w:r w:rsidR="00F27AB1" w:rsidRPr="007E2A65">
        <w:t xml:space="preserve"> drivers for particular areas and a </w:t>
      </w:r>
      <w:r w:rsidR="00211D72" w:rsidRPr="007E2A65">
        <w:t>revenue-pooling</w:t>
      </w:r>
      <w:r w:rsidR="00F27AB1" w:rsidRPr="007E2A65">
        <w:t xml:space="preserve"> model based </w:t>
      </w:r>
      <w:r w:rsidR="00B475D9" w:rsidRPr="007E2A65">
        <w:t xml:space="preserve">on </w:t>
      </w:r>
      <w:r w:rsidR="00F27AB1" w:rsidRPr="007E2A65">
        <w:t>revenue k</w:t>
      </w:r>
      <w:r w:rsidR="0023016F">
        <w:t>ilometr</w:t>
      </w:r>
      <w:r w:rsidR="004E5F6A">
        <w:t>e</w:t>
      </w:r>
      <w:r w:rsidR="0023016F">
        <w:t>s</w:t>
      </w:r>
      <w:r w:rsidR="00F27AB1" w:rsidRPr="007E2A65">
        <w:t xml:space="preserve"> (60</w:t>
      </w:r>
      <w:r w:rsidR="0023016F">
        <w:t xml:space="preserve"> percent</w:t>
      </w:r>
      <w:r w:rsidR="00F27AB1" w:rsidRPr="007E2A65">
        <w:t>), passengers (30</w:t>
      </w:r>
      <w:r w:rsidR="0023016F">
        <w:t xml:space="preserve"> percent</w:t>
      </w:r>
      <w:r w:rsidR="00F27AB1" w:rsidRPr="007E2A65">
        <w:t>) and performance</w:t>
      </w:r>
      <w:r w:rsidR="004E5F6A">
        <w:t xml:space="preserve"> in terms of customer satisfaction scores</w:t>
      </w:r>
      <w:r w:rsidR="004E5F6A" w:rsidRPr="007E2A65">
        <w:t xml:space="preserve"> </w:t>
      </w:r>
      <w:r w:rsidR="00F27AB1" w:rsidRPr="007E2A65">
        <w:t>(10</w:t>
      </w:r>
      <w:r w:rsidR="0023016F">
        <w:t xml:space="preserve"> percent</w:t>
      </w:r>
      <w:r w:rsidR="00F27AB1" w:rsidRPr="007E2A65">
        <w:t>). Although in theory this should be an example of competitive tendering, in reality the outcome has features of negotiated contracts. It was argued that the public transport market</w:t>
      </w:r>
      <w:r w:rsidR="004E5F6A">
        <w:t xml:space="preserve"> in Istanbul </w:t>
      </w:r>
      <w:r w:rsidR="00F27AB1" w:rsidRPr="007E2A65">
        <w:t xml:space="preserve"> is characterised by low institutional maturity and high transaction costs </w:t>
      </w:r>
      <w:r w:rsidR="002518B8">
        <w:t xml:space="preserve">for all organisation forms </w:t>
      </w:r>
      <w:r w:rsidR="00F27AB1" w:rsidRPr="007E2A65">
        <w:t>and that in-house operation might be the preferred model – and that seemed to be confirmed by some outcomes data, for example customer satisfaction scores.</w:t>
      </w:r>
      <w:r w:rsidR="004E5F6A">
        <w:t xml:space="preserve"> </w:t>
      </w:r>
    </w:p>
    <w:p w14:paraId="15D861C2" w14:textId="317FD0FD" w:rsidR="00737BD0" w:rsidRPr="007E2A65" w:rsidRDefault="00737BD0" w:rsidP="00737BD0">
      <w:pPr>
        <w:ind w:left="567" w:hanging="567"/>
        <w:rPr>
          <w:b/>
        </w:rPr>
      </w:pPr>
      <w:r w:rsidRPr="007E2A65">
        <w:rPr>
          <w:b/>
        </w:rPr>
        <w:t>Table 7:</w:t>
      </w:r>
      <w:r w:rsidR="00B475D9" w:rsidRPr="007E2A65">
        <w:rPr>
          <w:b/>
        </w:rPr>
        <w:t xml:space="preserve"> Evidence from Urban Public Transport Case Studies (Predominantly bus)</w:t>
      </w:r>
    </w:p>
    <w:p w14:paraId="116F794B" w14:textId="4A51B91B" w:rsidR="00737BD0" w:rsidRPr="007E2A65" w:rsidRDefault="00737BD0" w:rsidP="00737BD0">
      <w:pPr>
        <w:ind w:left="567" w:hanging="567"/>
        <w:rPr>
          <w:b/>
        </w:rPr>
      </w:pPr>
      <w:r w:rsidRPr="007E2A65">
        <w:rPr>
          <w:noProof/>
          <w:lang w:eastAsia="en-GB"/>
        </w:rPr>
        <w:drawing>
          <wp:inline distT="0" distB="0" distL="0" distR="0" wp14:anchorId="0DBC83C5" wp14:editId="065690BB">
            <wp:extent cx="5731510" cy="296073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60737"/>
                    </a:xfrm>
                    <a:prstGeom prst="rect">
                      <a:avLst/>
                    </a:prstGeom>
                    <a:noFill/>
                    <a:ln>
                      <a:noFill/>
                    </a:ln>
                  </pic:spPr>
                </pic:pic>
              </a:graphicData>
            </a:graphic>
          </wp:inline>
        </w:drawing>
      </w:r>
    </w:p>
    <w:p w14:paraId="26381D0D" w14:textId="77777777" w:rsidR="00E11986" w:rsidRPr="007E2A65" w:rsidRDefault="00E11986" w:rsidP="00737BD0">
      <w:pPr>
        <w:ind w:left="567" w:hanging="567"/>
      </w:pPr>
      <w:r w:rsidRPr="007E2A65">
        <w:t>3P = Third Party, A = Amsterdam, FM = Free Market, LA = Lost Angeles, R = Rotterdam.</w:t>
      </w:r>
    </w:p>
    <w:p w14:paraId="3C3722E4" w14:textId="1F2A1924" w:rsidR="00B475D9" w:rsidRPr="007E2A65" w:rsidRDefault="00E11986" w:rsidP="00E11986">
      <w:r w:rsidRPr="007E2A65">
        <w:t xml:space="preserve">Source: </w:t>
      </w:r>
      <w:r w:rsidR="0023016F">
        <w:t>B</w:t>
      </w:r>
      <w:r w:rsidRPr="007E2A65">
        <w:t xml:space="preserve">ased on workshop presentations by </w:t>
      </w:r>
      <w:proofErr w:type="spellStart"/>
      <w:r w:rsidRPr="007E2A65">
        <w:t>Bragdon</w:t>
      </w:r>
      <w:proofErr w:type="spellEnd"/>
      <w:r w:rsidRPr="007E2A65">
        <w:t xml:space="preserve">, </w:t>
      </w:r>
      <w:proofErr w:type="spellStart"/>
      <w:r w:rsidRPr="007E2A65">
        <w:t>Canitez</w:t>
      </w:r>
      <w:proofErr w:type="spellEnd"/>
      <w:r w:rsidRPr="007E2A65">
        <w:t xml:space="preserve">, </w:t>
      </w:r>
      <w:proofErr w:type="spellStart"/>
      <w:r w:rsidRPr="007E2A65">
        <w:t>Mizutani</w:t>
      </w:r>
      <w:proofErr w:type="spellEnd"/>
      <w:r w:rsidRPr="007E2A65">
        <w:t xml:space="preserve">, Saiki, Schmitz, Veeneman and </w:t>
      </w:r>
      <w:proofErr w:type="spellStart"/>
      <w:r w:rsidRPr="007E2A65">
        <w:t>Wijmenga</w:t>
      </w:r>
      <w:proofErr w:type="spellEnd"/>
      <w:r w:rsidRPr="007E2A65">
        <w:t>.</w:t>
      </w:r>
    </w:p>
    <w:p w14:paraId="5EC920D7" w14:textId="2CF0E881" w:rsidR="00E11986" w:rsidRPr="007E2A65" w:rsidRDefault="00E11986" w:rsidP="00E11986">
      <w:r w:rsidRPr="007E2A65">
        <w:t xml:space="preserve">Table </w:t>
      </w:r>
      <w:r w:rsidR="00886708">
        <w:t>7</w:t>
      </w:r>
      <w:r w:rsidRPr="007E2A65">
        <w:t xml:space="preserve"> indicates that contracting-out of urban bus systems has been largely a success, but the table is dominated by jurisdictions with relatively mature institutions. It is worth noting that in </w:t>
      </w:r>
      <w:r w:rsidR="00886708">
        <w:t xml:space="preserve">the </w:t>
      </w:r>
      <w:r w:rsidRPr="007E2A65">
        <w:t>least institutio</w:t>
      </w:r>
      <w:r w:rsidR="00211D72">
        <w:t>nally mature setting (Istanbul)</w:t>
      </w:r>
      <w:r w:rsidRPr="007E2A65">
        <w:t xml:space="preserve"> benefits appear to have stalled. </w:t>
      </w:r>
    </w:p>
    <w:p w14:paraId="5538D114" w14:textId="4FC34EE2" w:rsidR="00737BD0" w:rsidRPr="007E2A65" w:rsidRDefault="00737BD0" w:rsidP="00382F3B">
      <w:pPr>
        <w:pStyle w:val="ListParagraph"/>
        <w:numPr>
          <w:ilvl w:val="0"/>
          <w:numId w:val="8"/>
        </w:numPr>
        <w:tabs>
          <w:tab w:val="num" w:pos="567"/>
        </w:tabs>
        <w:ind w:left="567" w:hanging="567"/>
        <w:rPr>
          <w:b/>
        </w:rPr>
      </w:pPr>
      <w:r w:rsidRPr="007E2A65">
        <w:rPr>
          <w:b/>
        </w:rPr>
        <w:t>Key Themes and Takeaways</w:t>
      </w:r>
    </w:p>
    <w:p w14:paraId="661EEAFC" w14:textId="285F2270" w:rsidR="00737BD0" w:rsidRPr="007E2A65" w:rsidRDefault="00737BD0" w:rsidP="00737BD0">
      <w:pPr>
        <w:pStyle w:val="ListParagraph"/>
        <w:ind w:left="0"/>
        <w:rPr>
          <w:b/>
        </w:rPr>
      </w:pPr>
    </w:p>
    <w:p w14:paraId="78E4BACA" w14:textId="61666D62" w:rsidR="0009562B" w:rsidRDefault="002518B8" w:rsidP="005451CE">
      <w:pPr>
        <w:pStyle w:val="ListParagraph"/>
        <w:ind w:left="0"/>
      </w:pPr>
      <w:r>
        <w:t>A number of key t</w:t>
      </w:r>
      <w:r w:rsidR="00382F3B" w:rsidRPr="005451CE">
        <w:t>hemes</w:t>
      </w:r>
      <w:r>
        <w:t xml:space="preserve"> emerged during the discussions of contracting-out in the bus industry. Debates remain about the relative merits of c</w:t>
      </w:r>
      <w:r w:rsidR="00382F3B" w:rsidRPr="007E2A65">
        <w:t xml:space="preserve">ompetitive tendering </w:t>
      </w:r>
      <w:r>
        <w:t>compared to</w:t>
      </w:r>
      <w:r w:rsidR="00382F3B" w:rsidRPr="007E2A65">
        <w:t xml:space="preserve"> direct award</w:t>
      </w:r>
      <w:r>
        <w:t>. If competitive tendering is the chosen organisation</w:t>
      </w:r>
      <w:r w:rsidR="00025B12">
        <w:t>al</w:t>
      </w:r>
      <w:r>
        <w:t xml:space="preserve"> form</w:t>
      </w:r>
      <w:r w:rsidR="00025B12">
        <w:t>,</w:t>
      </w:r>
      <w:r>
        <w:t xml:space="preserve"> there are issues concerning the influence of the </w:t>
      </w:r>
      <w:r w:rsidR="00382F3B" w:rsidRPr="007E2A65">
        <w:t xml:space="preserve">number of bidders </w:t>
      </w:r>
      <w:r>
        <w:t xml:space="preserve">on the winning </w:t>
      </w:r>
      <w:r w:rsidR="00382F3B" w:rsidRPr="007E2A65">
        <w:t>tender price</w:t>
      </w:r>
      <w:r>
        <w:t xml:space="preserve"> and the role of c</w:t>
      </w:r>
      <w:r w:rsidR="00382F3B" w:rsidRPr="007E2A65">
        <w:t>ontract design and its parameters</w:t>
      </w:r>
      <w:r>
        <w:t>. Particular issues surround the use of i</w:t>
      </w:r>
      <w:r w:rsidR="00382F3B" w:rsidRPr="007E2A65">
        <w:t>ncentives</w:t>
      </w:r>
      <w:r>
        <w:t xml:space="preserve"> (for example to encourage service innovation)</w:t>
      </w:r>
      <w:r w:rsidR="00382F3B" w:rsidRPr="007E2A65">
        <w:t xml:space="preserve"> </w:t>
      </w:r>
      <w:r>
        <w:t>and whether the</w:t>
      </w:r>
      <w:r w:rsidR="00382F3B" w:rsidRPr="007E2A65">
        <w:t xml:space="preserve"> threat</w:t>
      </w:r>
      <w:r>
        <w:t xml:space="preserve"> of competitive tendering, on its own, is sufficient to ensure good performance. T</w:t>
      </w:r>
      <w:r w:rsidR="00382F3B" w:rsidRPr="007E2A65">
        <w:t xml:space="preserve">he </w:t>
      </w:r>
      <w:r w:rsidR="0009795B">
        <w:t xml:space="preserve">maturity of the </w:t>
      </w:r>
      <w:r w:rsidR="00025B12">
        <w:t>industry</w:t>
      </w:r>
      <w:r w:rsidR="0009795B">
        <w:t xml:space="preserve"> and the institutional</w:t>
      </w:r>
      <w:r w:rsidR="00025B12">
        <w:t xml:space="preserve"> s</w:t>
      </w:r>
      <w:r w:rsidR="00382F3B" w:rsidRPr="007E2A65">
        <w:t>takeholders</w:t>
      </w:r>
      <w:r w:rsidR="00025B12">
        <w:t xml:space="preserve"> involved</w:t>
      </w:r>
      <w:r w:rsidR="00382F3B" w:rsidRPr="007E2A65">
        <w:t xml:space="preserve"> and their readiness for tendering</w:t>
      </w:r>
      <w:r w:rsidR="0009795B">
        <w:t xml:space="preserve"> seem to be crucial factors, particularly in terms of t</w:t>
      </w:r>
      <w:r w:rsidR="00382F3B" w:rsidRPr="007E2A65">
        <w:t>ransition issues</w:t>
      </w:r>
      <w:r w:rsidR="0009795B">
        <w:t>.</w:t>
      </w:r>
    </w:p>
    <w:p w14:paraId="38ADFB61" w14:textId="77777777" w:rsidR="00690129" w:rsidRPr="007E2A65" w:rsidRDefault="00690129" w:rsidP="005451CE">
      <w:pPr>
        <w:pStyle w:val="ListParagraph"/>
        <w:ind w:left="0"/>
      </w:pPr>
    </w:p>
    <w:p w14:paraId="4E806E42" w14:textId="468488C2" w:rsidR="00237808" w:rsidRDefault="00D65F0A" w:rsidP="005451CE">
      <w:pPr>
        <w:pStyle w:val="ListParagraph"/>
        <w:ind w:left="0"/>
      </w:pPr>
      <w:r w:rsidRPr="005451CE">
        <w:t>From these themes</w:t>
      </w:r>
      <w:r w:rsidR="00690129">
        <w:t xml:space="preserve"> and the resultant workshop discussions</w:t>
      </w:r>
      <w:r w:rsidRPr="005451CE">
        <w:t>, a number of t</w:t>
      </w:r>
      <w:r w:rsidR="00382F3B" w:rsidRPr="005451CE">
        <w:t>akeaways</w:t>
      </w:r>
      <w:r w:rsidR="00690129">
        <w:t xml:space="preserve"> for the bus industry</w:t>
      </w:r>
      <w:r>
        <w:t xml:space="preserve"> emerged. There are important i</w:t>
      </w:r>
      <w:r w:rsidR="00382F3B" w:rsidRPr="007E2A65">
        <w:t>ndustrial constraints to lower costs and to drive better service outcomes (Australia)</w:t>
      </w:r>
      <w:r>
        <w:t xml:space="preserve">. </w:t>
      </w:r>
      <w:r w:rsidR="00382F3B" w:rsidRPr="007E2A65">
        <w:t xml:space="preserve">Authority intervention in asset procurement </w:t>
      </w:r>
      <w:r w:rsidR="00690129">
        <w:t xml:space="preserve">tends to </w:t>
      </w:r>
      <w:r w:rsidR="00382F3B" w:rsidRPr="007E2A65">
        <w:t>hinder innovation and increases operating costs (</w:t>
      </w:r>
      <w:r w:rsidR="00690129">
        <w:t>G</w:t>
      </w:r>
      <w:r w:rsidR="00382F3B" w:rsidRPr="007E2A65">
        <w:t>lobal)</w:t>
      </w:r>
      <w:r>
        <w:t>.  B</w:t>
      </w:r>
      <w:r w:rsidR="00382F3B" w:rsidRPr="007E2A65">
        <w:t>etter contract</w:t>
      </w:r>
      <w:r>
        <w:t>s</w:t>
      </w:r>
      <w:r w:rsidR="00382F3B" w:rsidRPr="007E2A65">
        <w:t xml:space="preserve"> </w:t>
      </w:r>
      <w:r w:rsidR="00690129">
        <w:t>can be</w:t>
      </w:r>
      <w:r>
        <w:t xml:space="preserve"> underpinned by analysis of </w:t>
      </w:r>
      <w:r w:rsidR="00382F3B" w:rsidRPr="007E2A65">
        <w:t>passenger demand</w:t>
      </w:r>
      <w:r>
        <w:t xml:space="preserve"> and risks</w:t>
      </w:r>
      <w:r w:rsidR="00690129">
        <w:t xml:space="preserve"> </w:t>
      </w:r>
      <w:r w:rsidR="00382F3B" w:rsidRPr="007E2A65">
        <w:t>(Chile)</w:t>
      </w:r>
      <w:r w:rsidR="00237808">
        <w:t xml:space="preserve">. </w:t>
      </w:r>
      <w:r w:rsidR="00382F3B" w:rsidRPr="007E2A65">
        <w:t>C</w:t>
      </w:r>
      <w:r w:rsidR="00237808">
        <w:t xml:space="preserve">ompetitive </w:t>
      </w:r>
      <w:r w:rsidR="00382F3B" w:rsidRPr="007E2A65">
        <w:t>T</w:t>
      </w:r>
      <w:r w:rsidR="00237808">
        <w:t xml:space="preserve">endering has proved to </w:t>
      </w:r>
      <w:r w:rsidR="00382F3B" w:rsidRPr="007E2A65">
        <w:t>be a powerful strategic tool to improve transit service</w:t>
      </w:r>
      <w:r w:rsidR="00237808">
        <w:t>s</w:t>
      </w:r>
      <w:r w:rsidR="00382F3B" w:rsidRPr="007E2A65">
        <w:t xml:space="preserve"> in </w:t>
      </w:r>
      <w:r w:rsidR="00237808">
        <w:t xml:space="preserve">the </w:t>
      </w:r>
      <w:r w:rsidR="00382F3B" w:rsidRPr="007E2A65">
        <w:t>U</w:t>
      </w:r>
      <w:r w:rsidR="00237808">
        <w:t xml:space="preserve">nited </w:t>
      </w:r>
      <w:r w:rsidR="00382F3B" w:rsidRPr="007E2A65">
        <w:t>S</w:t>
      </w:r>
      <w:r w:rsidR="00237808">
        <w:t>tates</w:t>
      </w:r>
      <w:r w:rsidR="00690129">
        <w:t xml:space="preserve">, although possibly in the context of immature institutions. </w:t>
      </w:r>
      <w:r w:rsidR="00237808">
        <w:t xml:space="preserve">. </w:t>
      </w:r>
      <w:r w:rsidR="00382F3B" w:rsidRPr="007E2A65">
        <w:t>PTAs</w:t>
      </w:r>
      <w:r w:rsidR="00237808">
        <w:t xml:space="preserve"> have tended to </w:t>
      </w:r>
      <w:r w:rsidR="00382F3B" w:rsidRPr="007E2A65">
        <w:t xml:space="preserve">neglect </w:t>
      </w:r>
      <w:r w:rsidR="00237808">
        <w:t xml:space="preserve">the </w:t>
      </w:r>
      <w:r w:rsidR="00382F3B" w:rsidRPr="007E2A65">
        <w:t>reaction of operators regarding contract cost and revenue risk factors brought into their contract designs in South Africa</w:t>
      </w:r>
      <w:r w:rsidR="00237808">
        <w:t xml:space="preserve">. </w:t>
      </w:r>
      <w:r w:rsidR="00382F3B" w:rsidRPr="007E2A65">
        <w:t>Experts’ opinions differ significantly on the prioritisation of KPIs and relevance of organisational features in P</w:t>
      </w:r>
      <w:r w:rsidR="00690129">
        <w:t xml:space="preserve">ublic </w:t>
      </w:r>
      <w:r w:rsidR="00382F3B" w:rsidRPr="007E2A65">
        <w:t>T</w:t>
      </w:r>
      <w:r w:rsidR="00690129">
        <w:t>ransport</w:t>
      </w:r>
      <w:r w:rsidR="00382F3B" w:rsidRPr="007E2A65">
        <w:t xml:space="preserve"> (</w:t>
      </w:r>
      <w:r w:rsidR="00690129">
        <w:t>G</w:t>
      </w:r>
      <w:r w:rsidR="00382F3B" w:rsidRPr="007E2A65">
        <w:t>lobal)</w:t>
      </w:r>
      <w:r w:rsidR="00237808">
        <w:t xml:space="preserve">.  </w:t>
      </w:r>
    </w:p>
    <w:p w14:paraId="6154FD46" w14:textId="77777777" w:rsidR="00237808" w:rsidRDefault="00237808" w:rsidP="005451CE">
      <w:pPr>
        <w:pStyle w:val="ListParagraph"/>
        <w:ind w:left="0"/>
      </w:pPr>
    </w:p>
    <w:p w14:paraId="7A464725" w14:textId="21951AFF" w:rsidR="00237808" w:rsidRPr="00237808" w:rsidRDefault="00237808" w:rsidP="005451CE">
      <w:pPr>
        <w:pStyle w:val="ListParagraph"/>
        <w:ind w:left="0"/>
      </w:pPr>
      <w:r>
        <w:t>Findings from Sweden included that s</w:t>
      </w:r>
      <w:r w:rsidR="00382F3B" w:rsidRPr="007E2A65">
        <w:t>uper</w:t>
      </w:r>
      <w:r w:rsidR="00690129">
        <w:t xml:space="preserve"> </w:t>
      </w:r>
      <w:r w:rsidR="00382F3B" w:rsidRPr="007E2A65">
        <w:t>incentives delivered cost decreases but only small patronage increases</w:t>
      </w:r>
      <w:r>
        <w:t>, the d</w:t>
      </w:r>
      <w:r w:rsidR="00382F3B" w:rsidRPr="007E2A65">
        <w:t xml:space="preserve">istance from </w:t>
      </w:r>
      <w:r>
        <w:t xml:space="preserve">the </w:t>
      </w:r>
      <w:r w:rsidR="00382F3B" w:rsidRPr="007E2A65">
        <w:t xml:space="preserve">depot matters </w:t>
      </w:r>
      <w:r>
        <w:t xml:space="preserve">in terms of the </w:t>
      </w:r>
      <w:r w:rsidR="00382F3B" w:rsidRPr="007E2A65">
        <w:t>likelihood to participate in a tender</w:t>
      </w:r>
      <w:r w:rsidR="00211D72">
        <w:t>,</w:t>
      </w:r>
      <w:r>
        <w:t xml:space="preserve"> and f</w:t>
      </w:r>
      <w:r w:rsidR="00382F3B" w:rsidRPr="007E2A65">
        <w:t xml:space="preserve">unctional and specific requirements in green public procurement result in </w:t>
      </w:r>
      <w:r>
        <w:t xml:space="preserve">the use of </w:t>
      </w:r>
      <w:r w:rsidR="00382F3B" w:rsidRPr="007E2A65">
        <w:t>different types of renewable fuels</w:t>
      </w:r>
      <w:r>
        <w:t>. However, s</w:t>
      </w:r>
      <w:r w:rsidRPr="00237808">
        <w:t xml:space="preserve">pecial bus requirements (e.g. </w:t>
      </w:r>
      <w:r>
        <w:t xml:space="preserve">concerning </w:t>
      </w:r>
      <w:r w:rsidRPr="00237808">
        <w:t>green</w:t>
      </w:r>
      <w:r>
        <w:t xml:space="preserve"> technology</w:t>
      </w:r>
      <w:r w:rsidRPr="00237808">
        <w:t xml:space="preserve">) drive up costs and reduce </w:t>
      </w:r>
      <w:r>
        <w:t xml:space="preserve">the </w:t>
      </w:r>
      <w:r w:rsidRPr="00237808">
        <w:t>number of bidders</w:t>
      </w:r>
      <w:r>
        <w:t xml:space="preserve">. </w:t>
      </w:r>
      <w:r w:rsidRPr="00237808">
        <w:t>P</w:t>
      </w:r>
      <w:r>
        <w:t xml:space="preserve">ublic </w:t>
      </w:r>
      <w:r w:rsidRPr="00237808">
        <w:t>Transport organisational structure should be able to adjust to the changing context/customer needs</w:t>
      </w:r>
      <w:r>
        <w:t xml:space="preserve">. </w:t>
      </w:r>
    </w:p>
    <w:p w14:paraId="4EA82CB1" w14:textId="40D0A919" w:rsidR="0009562B" w:rsidRPr="007E2A65" w:rsidRDefault="0009562B" w:rsidP="005451CE">
      <w:pPr>
        <w:pStyle w:val="ListParagraph"/>
        <w:ind w:left="0"/>
      </w:pPr>
    </w:p>
    <w:p w14:paraId="4AA37018" w14:textId="31F84132" w:rsidR="0009562B" w:rsidRPr="007E2A65" w:rsidRDefault="00382F3B" w:rsidP="005451CE">
      <w:pPr>
        <w:pStyle w:val="ListParagraph"/>
        <w:ind w:left="0"/>
      </w:pPr>
      <w:r w:rsidRPr="007E2A65">
        <w:t>C</w:t>
      </w:r>
      <w:r w:rsidR="00237808">
        <w:t>ompetitive tendering</w:t>
      </w:r>
      <w:r w:rsidRPr="007E2A65">
        <w:t xml:space="preserve"> </w:t>
      </w:r>
      <w:r w:rsidR="00237808">
        <w:t xml:space="preserve">can be </w:t>
      </w:r>
      <w:r w:rsidRPr="007E2A65">
        <w:t xml:space="preserve">used as a credible threat </w:t>
      </w:r>
      <w:r w:rsidR="00237808">
        <w:t xml:space="preserve">that </w:t>
      </w:r>
      <w:r w:rsidRPr="007E2A65">
        <w:t xml:space="preserve">lowers inefficiency and opens </w:t>
      </w:r>
      <w:r w:rsidR="000178A2">
        <w:t xml:space="preserve">up </w:t>
      </w:r>
      <w:r w:rsidRPr="007E2A65">
        <w:t>room for using different governance instruments in favour of overall welfare (Switzerland)</w:t>
      </w:r>
      <w:r w:rsidR="000178A2">
        <w:t xml:space="preserve">. </w:t>
      </w:r>
      <w:r w:rsidR="00690129">
        <w:t xml:space="preserve">The </w:t>
      </w:r>
      <w:r w:rsidRPr="007E2A65">
        <w:t>same efficiency result</w:t>
      </w:r>
      <w:r w:rsidR="00690129">
        <w:t>s</w:t>
      </w:r>
      <w:r w:rsidRPr="007E2A65">
        <w:t xml:space="preserve"> </w:t>
      </w:r>
      <w:r w:rsidR="00690129">
        <w:t>can be achieved with</w:t>
      </w:r>
      <w:r w:rsidR="000178A2">
        <w:t xml:space="preserve"> negotiated contracts </w:t>
      </w:r>
      <w:r w:rsidRPr="007E2A65">
        <w:t xml:space="preserve">under </w:t>
      </w:r>
      <w:r w:rsidR="000178A2">
        <w:t xml:space="preserve">the </w:t>
      </w:r>
      <w:r w:rsidRPr="007E2A65">
        <w:t xml:space="preserve">threat of </w:t>
      </w:r>
      <w:r w:rsidR="000178A2">
        <w:t>competitive tendering</w:t>
      </w:r>
      <w:r w:rsidRPr="007E2A65">
        <w:t xml:space="preserve"> in </w:t>
      </w:r>
      <w:r w:rsidR="000178A2">
        <w:t xml:space="preserve">a </w:t>
      </w:r>
      <w:r w:rsidRPr="007E2A65">
        <w:t>regional context (Spain)</w:t>
      </w:r>
      <w:r w:rsidR="000178A2">
        <w:t>.  Elsewhere, o</w:t>
      </w:r>
      <w:r w:rsidRPr="007E2A65">
        <w:t>rganisational models in Russia are evolving towards competitive tendering (from minibuses)</w:t>
      </w:r>
      <w:r w:rsidR="000178A2">
        <w:t xml:space="preserve"> whilst t</w:t>
      </w:r>
      <w:r w:rsidRPr="007E2A65">
        <w:t xml:space="preserve">endering can be used </w:t>
      </w:r>
      <w:r w:rsidR="000178A2">
        <w:t xml:space="preserve">in Zimbabwe to </w:t>
      </w:r>
      <w:r w:rsidRPr="007E2A65">
        <w:t>a</w:t>
      </w:r>
      <w:r w:rsidR="007E2A65">
        <w:t>d</w:t>
      </w:r>
      <w:r w:rsidRPr="007E2A65">
        <w:t>dress</w:t>
      </w:r>
      <w:r w:rsidR="000178A2">
        <w:t xml:space="preserve"> </w:t>
      </w:r>
      <w:r w:rsidRPr="007E2A65">
        <w:t>the urban transport challenges in a highly deregulated transport market</w:t>
      </w:r>
      <w:r w:rsidR="000178A2">
        <w:t>.</w:t>
      </w:r>
      <w:r w:rsidR="00690129">
        <w:t xml:space="preserve"> </w:t>
      </w:r>
      <w:r w:rsidR="000178A2">
        <w:t>In South Africa</w:t>
      </w:r>
      <w:r w:rsidR="00690129">
        <w:t>,</w:t>
      </w:r>
      <w:r w:rsidR="000178A2">
        <w:t xml:space="preserve"> there is a n</w:t>
      </w:r>
      <w:r w:rsidRPr="007E2A65">
        <w:t>eed for improved financial valuation of satisfaction of captive customer in contract cost-benefit analysis</w:t>
      </w:r>
      <w:r w:rsidR="00690129">
        <w:t xml:space="preserve">. Overall, there seems to be a preference for gradual evolution in the bus industry rather than radical revolution – a softly, softly approach rather than a big bang </w:t>
      </w:r>
      <w:r w:rsidR="00B1377A">
        <w:t>(</w:t>
      </w:r>
      <w:r w:rsidR="009E2C3E">
        <w:t xml:space="preserve">Button, 1998, </w:t>
      </w:r>
      <w:r w:rsidR="00B1377A">
        <w:t xml:space="preserve">Preston, </w:t>
      </w:r>
      <w:r w:rsidR="009E2C3E">
        <w:t>2001</w:t>
      </w:r>
      <w:r w:rsidR="00B1377A">
        <w:t>)</w:t>
      </w:r>
    </w:p>
    <w:p w14:paraId="1BCF044D" w14:textId="2099778E" w:rsidR="00382F3B" w:rsidRPr="007E2A65" w:rsidRDefault="00382F3B" w:rsidP="00737BD0">
      <w:pPr>
        <w:pStyle w:val="ListParagraph"/>
        <w:ind w:left="0"/>
        <w:rPr>
          <w:b/>
        </w:rPr>
      </w:pPr>
      <w:r w:rsidRPr="007E2A65">
        <w:rPr>
          <w:b/>
        </w:rPr>
        <w:t>Table 8: Lesson Learned</w:t>
      </w:r>
      <w:r w:rsidR="00E11986" w:rsidRPr="007E2A65">
        <w:rPr>
          <w:b/>
        </w:rPr>
        <w:t>: Railways and General Urban Public Transport.</w:t>
      </w:r>
      <w:r w:rsidRPr="007E2A65">
        <w:rPr>
          <w:noProof/>
          <w:lang w:eastAsia="en-GB"/>
        </w:rPr>
        <w:drawing>
          <wp:inline distT="0" distB="0" distL="0" distR="0" wp14:anchorId="5B14F9DD" wp14:editId="366F62CC">
            <wp:extent cx="5731510" cy="27260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6040"/>
                    </a:xfrm>
                    <a:prstGeom prst="rect">
                      <a:avLst/>
                    </a:prstGeom>
                    <a:noFill/>
                    <a:ln>
                      <a:noFill/>
                    </a:ln>
                  </pic:spPr>
                </pic:pic>
              </a:graphicData>
            </a:graphic>
          </wp:inline>
        </w:drawing>
      </w:r>
    </w:p>
    <w:p w14:paraId="2DC85A17" w14:textId="610DB7DF" w:rsidR="00382F3B" w:rsidRPr="007E2A65" w:rsidRDefault="00382F3B" w:rsidP="00737BD0">
      <w:pPr>
        <w:pStyle w:val="ListParagraph"/>
        <w:ind w:left="0"/>
        <w:rPr>
          <w:b/>
        </w:rPr>
      </w:pPr>
    </w:p>
    <w:p w14:paraId="6F2E9911" w14:textId="1BE9E366" w:rsidR="007C6225" w:rsidRDefault="009253C3" w:rsidP="00737BD0">
      <w:pPr>
        <w:pStyle w:val="ListParagraph"/>
        <w:ind w:left="0"/>
      </w:pPr>
      <w:r w:rsidRPr="007E2A65">
        <w:t>Some of the findings from the discussions of the contracting-out of rail and general urban public transport are summarised by Table 8. Competitive Tendering appears to be still growing (especially for rail) but pure forms are now rare –</w:t>
      </w:r>
      <w:r w:rsidR="009E2C3E">
        <w:t xml:space="preserve">Competitive Tendering </w:t>
      </w:r>
      <w:r w:rsidRPr="007E2A65">
        <w:t>is often done in combination with other measures. As the market matures, it has also become more international, whilst there is an increasing role for soft competition, such as the threat of competitive tendering, as in Switzerland</w:t>
      </w:r>
      <w:r w:rsidR="007C6225">
        <w:t xml:space="preserve"> (</w:t>
      </w:r>
      <w:r w:rsidR="009E2C3E">
        <w:t xml:space="preserve">see also </w:t>
      </w:r>
      <w:r w:rsidR="007C6225">
        <w:t xml:space="preserve">Figure </w:t>
      </w:r>
      <w:r w:rsidR="000178A2">
        <w:t>5</w:t>
      </w:r>
      <w:r w:rsidR="007C6225">
        <w:t>)</w:t>
      </w:r>
      <w:r w:rsidRPr="007E2A65">
        <w:t xml:space="preserve">. </w:t>
      </w:r>
    </w:p>
    <w:p w14:paraId="699564F0" w14:textId="77777777" w:rsidR="000178A2" w:rsidRDefault="000178A2" w:rsidP="00737BD0">
      <w:pPr>
        <w:pStyle w:val="ListParagraph"/>
        <w:ind w:left="0"/>
      </w:pPr>
    </w:p>
    <w:p w14:paraId="1728A298" w14:textId="086DD87A" w:rsidR="007C6225" w:rsidRDefault="0054263A" w:rsidP="00737BD0">
      <w:pPr>
        <w:pStyle w:val="ListParagraph"/>
        <w:ind w:left="0"/>
      </w:pPr>
      <w:r>
        <w:rPr>
          <w:noProof/>
          <w:lang w:eastAsia="en-GB"/>
        </w:rPr>
        <w:drawing>
          <wp:inline distT="0" distB="0" distL="0" distR="0" wp14:anchorId="0191D3C0" wp14:editId="0492A26D">
            <wp:extent cx="5730875" cy="2700655"/>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700655"/>
                    </a:xfrm>
                    <a:prstGeom prst="rect">
                      <a:avLst/>
                    </a:prstGeom>
                    <a:noFill/>
                  </pic:spPr>
                </pic:pic>
              </a:graphicData>
            </a:graphic>
          </wp:inline>
        </w:drawing>
      </w:r>
    </w:p>
    <w:p w14:paraId="270E2982" w14:textId="1DED2D1F" w:rsidR="007C6225" w:rsidRDefault="007C6225" w:rsidP="00737BD0">
      <w:pPr>
        <w:pStyle w:val="ListParagraph"/>
        <w:ind w:left="0"/>
      </w:pPr>
      <w:r w:rsidRPr="004D4E89">
        <w:rPr>
          <w:b/>
        </w:rPr>
        <w:t xml:space="preserve">Figure </w:t>
      </w:r>
      <w:r w:rsidR="000178A2" w:rsidRPr="004D4E89">
        <w:rPr>
          <w:b/>
        </w:rPr>
        <w:t>5</w:t>
      </w:r>
      <w:r w:rsidRPr="004D4E89">
        <w:rPr>
          <w:b/>
        </w:rPr>
        <w:t>: Tendering as a threat</w:t>
      </w:r>
      <w:r w:rsidR="00387E0F" w:rsidRPr="004D4E89">
        <w:rPr>
          <w:b/>
        </w:rPr>
        <w:t>.</w:t>
      </w:r>
      <w:r>
        <w:br/>
        <w:t xml:space="preserve">Source: Presentation by </w:t>
      </w:r>
      <w:proofErr w:type="spellStart"/>
      <w:r w:rsidRPr="007C6225">
        <w:t>Wegelin</w:t>
      </w:r>
      <w:proofErr w:type="spellEnd"/>
      <w:r>
        <w:t xml:space="preserve">. </w:t>
      </w:r>
    </w:p>
    <w:p w14:paraId="3BDF308D" w14:textId="77777777" w:rsidR="001B78E3" w:rsidRDefault="001B78E3" w:rsidP="00737BD0">
      <w:pPr>
        <w:pStyle w:val="ListParagraph"/>
        <w:ind w:left="0"/>
      </w:pPr>
    </w:p>
    <w:p w14:paraId="6653C58B" w14:textId="1B2D81F4" w:rsidR="009253C3" w:rsidRPr="007E2A65" w:rsidRDefault="009253C3" w:rsidP="00737BD0">
      <w:pPr>
        <w:pStyle w:val="ListParagraph"/>
        <w:ind w:left="0"/>
      </w:pPr>
      <w:r w:rsidRPr="007E2A65">
        <w:t>In terms of governance, the trend of regionalisation has been evident, especially for rail, whilst in urban public transport third parties</w:t>
      </w:r>
      <w:r w:rsidR="001B78E3">
        <w:t>, in both the public and private sector,</w:t>
      </w:r>
      <w:r w:rsidRPr="007E2A65">
        <w:t xml:space="preserve"> continue to emerge to provide specialist planning roles. Trusting relationships between operators and authorities are emerging, for example in the Netherlands.  The duration periods for contracts remain highly variable but the</w:t>
      </w:r>
      <w:r w:rsidR="008F0C53" w:rsidRPr="007E2A65">
        <w:t xml:space="preserve">y tend </w:t>
      </w:r>
      <w:r w:rsidRPr="007E2A65">
        <w:t>t</w:t>
      </w:r>
      <w:r w:rsidR="008F0C53" w:rsidRPr="007E2A65">
        <w:t>o</w:t>
      </w:r>
      <w:r w:rsidRPr="007E2A65">
        <w:t xml:space="preserve"> be longer for rail and commercial contracts and shorter where there are high risks. Contracts are increasingly being bundled and tendered at an area level. Route based contracts are </w:t>
      </w:r>
      <w:r w:rsidR="008F0C53" w:rsidRPr="007E2A65">
        <w:t>relatively rare. The discussions highlighted the importance of institutional maturity and transaction costs</w:t>
      </w:r>
      <w:r w:rsidR="000178A2">
        <w:t>, altho</w:t>
      </w:r>
      <w:r w:rsidR="00211D72">
        <w:t>ugh as already explained work is</w:t>
      </w:r>
      <w:r w:rsidR="000178A2">
        <w:t xml:space="preserve"> needed to elucidate </w:t>
      </w:r>
      <w:r w:rsidR="00211D72">
        <w:t xml:space="preserve">further </w:t>
      </w:r>
      <w:r w:rsidR="000178A2">
        <w:t>these concepts</w:t>
      </w:r>
      <w:r w:rsidR="008F0C53" w:rsidRPr="007E2A65">
        <w:t>. With respect to</w:t>
      </w:r>
      <w:r w:rsidR="000178A2">
        <w:t xml:space="preserve"> institutional maturity</w:t>
      </w:r>
      <w:r w:rsidR="008F0C53" w:rsidRPr="007E2A65">
        <w:t>, accountability, transparency and stability of both formal and informal structures were deemed important, whilst at the same time maintaining flexibility.</w:t>
      </w:r>
      <w:r w:rsidRPr="007E2A65">
        <w:t xml:space="preserve"> </w:t>
      </w:r>
      <w:r w:rsidR="008F0C53" w:rsidRPr="007E2A65">
        <w:t>With respect to transaction costs</w:t>
      </w:r>
      <w:r w:rsidR="000178A2">
        <w:t>, these</w:t>
      </w:r>
      <w:r w:rsidR="008F0C53" w:rsidRPr="007E2A65">
        <w:t xml:space="preserve"> could be particularly high where there is high asset specificity and large risks that are inappropriately allocated. This may particularly apply to railways</w:t>
      </w:r>
      <w:r w:rsidR="005A469E">
        <w:t xml:space="preserve"> and could be exacerbated by lack of institutional maturity</w:t>
      </w:r>
      <w:r w:rsidR="008F0C53" w:rsidRPr="007E2A65">
        <w:t>. Experimentation in th</w:t>
      </w:r>
      <w:r w:rsidR="005A469E">
        <w:t>e</w:t>
      </w:r>
      <w:r w:rsidR="008F0C53" w:rsidRPr="007E2A65">
        <w:t xml:space="preserve"> area </w:t>
      </w:r>
      <w:r w:rsidR="005A469E">
        <w:t xml:space="preserve">of incentives </w:t>
      </w:r>
      <w:r w:rsidR="008F0C53" w:rsidRPr="007E2A65">
        <w:t>continues but there remains a need for incentives to be fully aligned. For example, in rail</w:t>
      </w:r>
      <w:r w:rsidR="005A469E">
        <w:t>,</w:t>
      </w:r>
      <w:r w:rsidR="008F0C53" w:rsidRPr="007E2A65">
        <w:t xml:space="preserve"> track access charging regimes may encourage operators to increase outputs</w:t>
      </w:r>
      <w:r w:rsidR="00FA22AA" w:rsidRPr="007E2A65">
        <w:t xml:space="preserve"> but infrastructure authorities are not incentivised to increase capacity. In such circumstances, deterioration in punctuality and reliability might be expected and performance regimes designed to overcome this may have unintended consequences such as extending scheduled journey times.</w:t>
      </w:r>
    </w:p>
    <w:p w14:paraId="3BB57B0F" w14:textId="77777777" w:rsidR="00FA22AA" w:rsidRPr="007E2A65" w:rsidRDefault="00FA22AA" w:rsidP="00737BD0">
      <w:pPr>
        <w:pStyle w:val="ListParagraph"/>
        <w:ind w:left="0"/>
      </w:pPr>
    </w:p>
    <w:p w14:paraId="0F3C41F8" w14:textId="49F752FE" w:rsidR="00382F3B" w:rsidRPr="007E2A65" w:rsidRDefault="00382F3B" w:rsidP="00382F3B">
      <w:pPr>
        <w:pStyle w:val="ListParagraph"/>
        <w:numPr>
          <w:ilvl w:val="0"/>
          <w:numId w:val="8"/>
        </w:numPr>
        <w:ind w:left="567" w:hanging="567"/>
        <w:rPr>
          <w:b/>
        </w:rPr>
      </w:pPr>
      <w:r w:rsidRPr="007E2A65">
        <w:rPr>
          <w:b/>
        </w:rPr>
        <w:t>Policy Recommendations</w:t>
      </w:r>
    </w:p>
    <w:p w14:paraId="7F9087FA" w14:textId="46DBA17C" w:rsidR="00382F3B" w:rsidRPr="007E2A65" w:rsidRDefault="00696656" w:rsidP="00382F3B">
      <w:r>
        <w:t>We have to c</w:t>
      </w:r>
      <w:r w:rsidR="00382F3B" w:rsidRPr="007E2A65">
        <w:t xml:space="preserve">onsider the </w:t>
      </w:r>
      <w:r>
        <w:t xml:space="preserve">different </w:t>
      </w:r>
      <w:r w:rsidR="00382F3B" w:rsidRPr="007E2A65">
        <w:t>level</w:t>
      </w:r>
      <w:r>
        <w:t>s</w:t>
      </w:r>
      <w:r w:rsidR="00382F3B" w:rsidRPr="007E2A65">
        <w:t xml:space="preserve"> of decision</w:t>
      </w:r>
      <w:r w:rsidR="00211D72">
        <w:t>-</w:t>
      </w:r>
      <w:r w:rsidR="00382F3B" w:rsidRPr="007E2A65">
        <w:t>making (</w:t>
      </w:r>
      <w:r w:rsidR="009E2C3E">
        <w:t xml:space="preserve">supranational (such as the </w:t>
      </w:r>
      <w:r w:rsidR="00382F3B" w:rsidRPr="007E2A65">
        <w:t>E</w:t>
      </w:r>
      <w:r w:rsidR="009E2C3E">
        <w:t xml:space="preserve">uropean </w:t>
      </w:r>
      <w:r w:rsidR="00382F3B" w:rsidRPr="007E2A65">
        <w:t>U</w:t>
      </w:r>
      <w:r w:rsidR="009E2C3E">
        <w:t xml:space="preserve">nion or the </w:t>
      </w:r>
      <w:r w:rsidR="00382F3B" w:rsidRPr="007E2A65">
        <w:t>U</w:t>
      </w:r>
      <w:r w:rsidR="009E2C3E">
        <w:t xml:space="preserve">nited </w:t>
      </w:r>
      <w:r w:rsidR="00382F3B" w:rsidRPr="007E2A65">
        <w:t>N</w:t>
      </w:r>
      <w:r w:rsidR="009E2C3E">
        <w:t>ations)</w:t>
      </w:r>
      <w:r w:rsidR="00382F3B" w:rsidRPr="007E2A65">
        <w:t>, national, regional, municipal) and the</w:t>
      </w:r>
      <w:r w:rsidR="0023016F">
        <w:t>ir respective</w:t>
      </w:r>
      <w:r w:rsidR="00382F3B" w:rsidRPr="007E2A65">
        <w:t xml:space="preserve"> implications </w:t>
      </w:r>
      <w:r>
        <w:t>for public transport management and performance.</w:t>
      </w:r>
      <w:r w:rsidR="000928D5">
        <w:t xml:space="preserve"> </w:t>
      </w:r>
      <w:r>
        <w:t>Trust between agents is crucial for good performance</w:t>
      </w:r>
      <w:r w:rsidR="000928D5">
        <w:t xml:space="preserve">. </w:t>
      </w:r>
      <w:r w:rsidR="00706426">
        <w:t>M</w:t>
      </w:r>
      <w:r w:rsidR="00706426" w:rsidRPr="007E2A65">
        <w:t xml:space="preserve">eaningful </w:t>
      </w:r>
      <w:r w:rsidR="00382F3B" w:rsidRPr="007E2A65">
        <w:t>and measurable KPIs to evaluate the performance</w:t>
      </w:r>
      <w:r w:rsidR="00706426">
        <w:t xml:space="preserve"> may help to build trust between PTAs and operators.</w:t>
      </w:r>
      <w:r w:rsidR="000928D5">
        <w:t xml:space="preserve"> </w:t>
      </w:r>
      <w:r>
        <w:t>We need to a</w:t>
      </w:r>
      <w:r w:rsidR="00382F3B" w:rsidRPr="007E2A65">
        <w:t>cknowledge and quantify p</w:t>
      </w:r>
      <w:r w:rsidR="00876A80" w:rsidRPr="007E2A65">
        <w:t>rocurement and transition costs.</w:t>
      </w:r>
      <w:r>
        <w:t xml:space="preserve"> A prerequisite for quantification is </w:t>
      </w:r>
      <w:r w:rsidR="00382F3B" w:rsidRPr="007E2A65">
        <w:t>transparency on behalf of both PTAs and operators</w:t>
      </w:r>
      <w:r w:rsidR="00876A80" w:rsidRPr="007E2A65">
        <w:t>.</w:t>
      </w:r>
    </w:p>
    <w:p w14:paraId="6BC0C268" w14:textId="07FDC476" w:rsidR="00382F3B" w:rsidRPr="007E2A65" w:rsidRDefault="00382F3B" w:rsidP="00382F3B">
      <w:r w:rsidRPr="007E2A65">
        <w:t xml:space="preserve">PTAs must manage the contracts over </w:t>
      </w:r>
      <w:r w:rsidR="009E2C3E">
        <w:t>their</w:t>
      </w:r>
      <w:r w:rsidRPr="007E2A65">
        <w:t xml:space="preserve"> whole life, show endurance, properly use bonuses/penalties and show enough flexibility to change conditions along the way.</w:t>
      </w:r>
      <w:r w:rsidR="009E2C3E">
        <w:t xml:space="preserve"> An approach of j</w:t>
      </w:r>
      <w:r w:rsidRPr="007E2A65">
        <w:t xml:space="preserve">ust minimizing costs in tendering will exclude created </w:t>
      </w:r>
      <w:r w:rsidR="009E2C3E">
        <w:t xml:space="preserve">social </w:t>
      </w:r>
      <w:r w:rsidRPr="007E2A65">
        <w:t>value</w:t>
      </w:r>
      <w:r w:rsidR="00876A80" w:rsidRPr="007E2A65">
        <w:t>.</w:t>
      </w:r>
      <w:r w:rsidR="009E2C3E">
        <w:t xml:space="preserve"> A strategic view is needed which involves a s</w:t>
      </w:r>
      <w:r w:rsidRPr="007E2A65">
        <w:t>tep away from the microscope – the key factors are the business proposition, the nature of actors and the environment in which they should work and cooperate</w:t>
      </w:r>
      <w:r w:rsidR="00876A80" w:rsidRPr="007E2A65">
        <w:t>.</w:t>
      </w:r>
      <w:r w:rsidR="00976CD2">
        <w:t xml:space="preserve"> T</w:t>
      </w:r>
      <w:r w:rsidRPr="007E2A65">
        <w:t xml:space="preserve">he </w:t>
      </w:r>
      <w:r w:rsidR="00976CD2">
        <w:t xml:space="preserve">importance of the </w:t>
      </w:r>
      <w:r w:rsidRPr="007E2A65">
        <w:t xml:space="preserve">incremental process </w:t>
      </w:r>
      <w:r w:rsidR="00976CD2">
        <w:t xml:space="preserve">of Public Transport improvement </w:t>
      </w:r>
      <w:r w:rsidRPr="007E2A65">
        <w:t>and innovation</w:t>
      </w:r>
      <w:r w:rsidR="00976CD2">
        <w:t xml:space="preserve"> should be acknowledged</w:t>
      </w:r>
      <w:r w:rsidR="001F5CE9" w:rsidRPr="007E2A65">
        <w:t>.</w:t>
      </w:r>
    </w:p>
    <w:p w14:paraId="41039965" w14:textId="1AB78CF9" w:rsidR="00382F3B" w:rsidRPr="007E2A65" w:rsidRDefault="00382F3B" w:rsidP="00382F3B">
      <w:pPr>
        <w:pStyle w:val="ListParagraph"/>
        <w:numPr>
          <w:ilvl w:val="0"/>
          <w:numId w:val="8"/>
        </w:numPr>
        <w:ind w:left="567" w:hanging="567"/>
        <w:rPr>
          <w:b/>
        </w:rPr>
      </w:pPr>
      <w:r w:rsidRPr="007E2A65">
        <w:rPr>
          <w:b/>
        </w:rPr>
        <w:t xml:space="preserve">Research Recommendations and Implications for </w:t>
      </w:r>
      <w:proofErr w:type="spellStart"/>
      <w:r w:rsidRPr="007E2A65">
        <w:rPr>
          <w:b/>
        </w:rPr>
        <w:t>Thredbo</w:t>
      </w:r>
      <w:proofErr w:type="spellEnd"/>
      <w:r w:rsidRPr="007E2A65">
        <w:rPr>
          <w:b/>
        </w:rPr>
        <w:t xml:space="preserve"> 16</w:t>
      </w:r>
    </w:p>
    <w:p w14:paraId="13915FD1" w14:textId="6797F134" w:rsidR="00976CD2" w:rsidRDefault="00976CD2" w:rsidP="00382F3B">
      <w:r>
        <w:t xml:space="preserve">A number of research questions emerged from out workshop discussions that could be discussed at the next </w:t>
      </w:r>
      <w:proofErr w:type="spellStart"/>
      <w:r>
        <w:t>Thredbo</w:t>
      </w:r>
      <w:proofErr w:type="spellEnd"/>
      <w:r>
        <w:t xml:space="preserve"> conference.  These include:</w:t>
      </w:r>
    </w:p>
    <w:p w14:paraId="67308877" w14:textId="017AB354" w:rsidR="00382F3B" w:rsidRPr="007E2A65" w:rsidRDefault="00382F3B" w:rsidP="00382F3B">
      <w:r w:rsidRPr="007E2A65">
        <w:t>How can we advance</w:t>
      </w:r>
      <w:r w:rsidR="00976CD2">
        <w:t xml:space="preserve"> the</w:t>
      </w:r>
      <w:r w:rsidRPr="007E2A65">
        <w:t xml:space="preserve"> quantification of KPIs and impact? Can qualitative data complement</w:t>
      </w:r>
      <w:r w:rsidR="005A469E">
        <w:t xml:space="preserve"> this quantification</w:t>
      </w:r>
      <w:r w:rsidRPr="007E2A65">
        <w:t xml:space="preserve">? </w:t>
      </w:r>
    </w:p>
    <w:p w14:paraId="4BF0375B" w14:textId="5E7ADF45" w:rsidR="00382F3B" w:rsidRPr="007E2A65" w:rsidRDefault="00382F3B" w:rsidP="00382F3B">
      <w:r w:rsidRPr="007E2A65">
        <w:t xml:space="preserve">What can </w:t>
      </w:r>
      <w:r w:rsidR="00976CD2">
        <w:t xml:space="preserve">the </w:t>
      </w:r>
      <w:r w:rsidRPr="007E2A65">
        <w:t xml:space="preserve">150 </w:t>
      </w:r>
      <w:r w:rsidR="00804E90">
        <w:t>cities in the</w:t>
      </w:r>
      <w:r w:rsidR="0059272E">
        <w:t xml:space="preserve"> </w:t>
      </w:r>
      <w:r w:rsidR="00804E90">
        <w:t xml:space="preserve">world with </w:t>
      </w:r>
      <w:r w:rsidR="00976CD2">
        <w:t xml:space="preserve">one </w:t>
      </w:r>
      <w:r w:rsidRPr="007E2A65">
        <w:t>m</w:t>
      </w:r>
      <w:r w:rsidR="0059272E">
        <w:t>illion</w:t>
      </w:r>
      <w:r w:rsidR="00976CD2">
        <w:t xml:space="preserve"> plus</w:t>
      </w:r>
      <w:r w:rsidRPr="007E2A65">
        <w:t xml:space="preserve"> </w:t>
      </w:r>
      <w:r w:rsidR="00804E90">
        <w:t>inhabitants</w:t>
      </w:r>
      <w:r w:rsidRPr="007E2A65">
        <w:t xml:space="preserve"> (</w:t>
      </w:r>
      <w:r w:rsidR="00976CD2">
        <w:t xml:space="preserve">in </w:t>
      </w:r>
      <w:r w:rsidRPr="007E2A65">
        <w:t>China, India etc.</w:t>
      </w:r>
      <w:r w:rsidR="00876A80" w:rsidRPr="007E2A65">
        <w:t>)</w:t>
      </w:r>
      <w:r w:rsidR="00976CD2">
        <w:t xml:space="preserve"> </w:t>
      </w:r>
      <w:r w:rsidR="005A469E">
        <w:t xml:space="preserve">that </w:t>
      </w:r>
      <w:r w:rsidR="00804E90">
        <w:t xml:space="preserve">are probably </w:t>
      </w:r>
      <w:r w:rsidR="0059272E">
        <w:t>i</w:t>
      </w:r>
      <w:r w:rsidR="00804E90">
        <w:t>n the n</w:t>
      </w:r>
      <w:r w:rsidR="00876A80" w:rsidRPr="007E2A65">
        <w:t>ext wave of contracting</w:t>
      </w:r>
      <w:r w:rsidR="00804E90">
        <w:t xml:space="preserve"> with huge markets and huge potential</w:t>
      </w:r>
      <w:r w:rsidR="005A469E">
        <w:t xml:space="preserve"> learn from cities that have already undertaken contracting</w:t>
      </w:r>
      <w:r w:rsidR="00976CD2">
        <w:t>?</w:t>
      </w:r>
    </w:p>
    <w:p w14:paraId="618F59B1" w14:textId="7182CA26" w:rsidR="00382F3B" w:rsidRPr="007E2A65" w:rsidRDefault="005A469E" w:rsidP="00382F3B">
      <w:r>
        <w:t>How can we d</w:t>
      </w:r>
      <w:r w:rsidR="00382F3B" w:rsidRPr="007E2A65">
        <w:t xml:space="preserve">esign contracts for post award flexibility </w:t>
      </w:r>
      <w:r>
        <w:t>and what are the</w:t>
      </w:r>
      <w:r w:rsidR="00382F3B" w:rsidRPr="007E2A65">
        <w:t xml:space="preserve"> requirements and </w:t>
      </w:r>
      <w:r>
        <w:t xml:space="preserve">potential </w:t>
      </w:r>
      <w:r w:rsidR="00382F3B" w:rsidRPr="007E2A65">
        <w:t>benefits</w:t>
      </w:r>
      <w:r w:rsidR="0059272E">
        <w:t xml:space="preserve">? </w:t>
      </w:r>
      <w:r w:rsidR="00382F3B" w:rsidRPr="007E2A65">
        <w:t>Can standardising contracts improve performance?</w:t>
      </w:r>
    </w:p>
    <w:p w14:paraId="4B7715C2" w14:textId="22F76DF0" w:rsidR="00804E90" w:rsidRPr="00804E90" w:rsidRDefault="005A469E" w:rsidP="00804E90">
      <w:r>
        <w:t>How can the c</w:t>
      </w:r>
      <w:r w:rsidR="00382F3B" w:rsidRPr="007E2A65">
        <w:t>apabilit</w:t>
      </w:r>
      <w:r>
        <w:t>ies</w:t>
      </w:r>
      <w:r w:rsidR="00382F3B" w:rsidRPr="007E2A65">
        <w:t xml:space="preserve"> of PTAs in contract management</w:t>
      </w:r>
      <w:r>
        <w:t xml:space="preserve"> be improved? F</w:t>
      </w:r>
      <w:r w:rsidR="00804E90">
        <w:t>or example</w:t>
      </w:r>
      <w:r>
        <w:t xml:space="preserve">, </w:t>
      </w:r>
      <w:r w:rsidR="00211D72">
        <w:t>the evaluation</w:t>
      </w:r>
      <w:r w:rsidR="00804E90">
        <w:t xml:space="preserve"> of contracts is often neglected.</w:t>
      </w:r>
      <w:r w:rsidR="00804E90" w:rsidRPr="00804E90">
        <w:t xml:space="preserve"> </w:t>
      </w:r>
      <w:r w:rsidR="00804E90">
        <w:t xml:space="preserve">Can we get help from </w:t>
      </w:r>
      <w:r>
        <w:t>b</w:t>
      </w:r>
      <w:r w:rsidR="00804E90" w:rsidRPr="00804E90">
        <w:t xml:space="preserve">ig data in </w:t>
      </w:r>
      <w:r>
        <w:t xml:space="preserve">the </w:t>
      </w:r>
      <w:r w:rsidR="00804E90" w:rsidRPr="00804E90">
        <w:t>context of contract design</w:t>
      </w:r>
      <w:r w:rsidR="00804E90">
        <w:t xml:space="preserve">, </w:t>
      </w:r>
      <w:r w:rsidR="00804E90" w:rsidRPr="00804E90">
        <w:t>management</w:t>
      </w:r>
      <w:r w:rsidR="00804E90">
        <w:t xml:space="preserve"> and evaluation?</w:t>
      </w:r>
    </w:p>
    <w:p w14:paraId="5CA16E20" w14:textId="5C49AAA6" w:rsidR="00382F3B" w:rsidRPr="007E2A65" w:rsidRDefault="00382F3B" w:rsidP="00382F3B">
      <w:r w:rsidRPr="007E2A65">
        <w:t>What is driving tender participation/non-participation?</w:t>
      </w:r>
      <w:r w:rsidR="0059272E">
        <w:t xml:space="preserve"> How can PTAs increase the number of bids?</w:t>
      </w:r>
    </w:p>
    <w:p w14:paraId="380AABB9" w14:textId="0A5A4D54" w:rsidR="00382F3B" w:rsidRPr="007E2A65" w:rsidRDefault="00382F3B" w:rsidP="00382F3B">
      <w:r w:rsidRPr="007E2A65">
        <w:t>Foresight – what</w:t>
      </w:r>
      <w:r w:rsidR="00940E6E">
        <w:t xml:space="preserve"> is the</w:t>
      </w:r>
      <w:r w:rsidRPr="007E2A65">
        <w:t xml:space="preserve"> next phase in the cycle </w:t>
      </w:r>
      <w:r w:rsidR="0059272E">
        <w:t xml:space="preserve">of contract awards </w:t>
      </w:r>
      <w:r w:rsidRPr="007E2A65">
        <w:t>and what are the implications?</w:t>
      </w:r>
    </w:p>
    <w:p w14:paraId="196C7464" w14:textId="77777777" w:rsidR="00976CD2" w:rsidRDefault="00C2009C" w:rsidP="00382F3B">
      <w:r w:rsidRPr="007E2A65">
        <w:t xml:space="preserve">Further research is needed into institutional maturity and transaction costs. With respect to the former, distinctions needs to be made between formal </w:t>
      </w:r>
      <w:r w:rsidR="00E07B8A">
        <w:t xml:space="preserve">aspects </w:t>
      </w:r>
      <w:r w:rsidRPr="007E2A65">
        <w:t xml:space="preserve">(rules of the game, definition of property rights, enforceable regulations) and informal </w:t>
      </w:r>
      <w:r w:rsidR="00E07B8A">
        <w:t xml:space="preserve">aspects </w:t>
      </w:r>
      <w:r w:rsidRPr="007E2A65">
        <w:t>(high level trust, shared norms, professionalism, corporate cultures).  With respect to the latter, asset specificity</w:t>
      </w:r>
      <w:r w:rsidR="00380BC2" w:rsidRPr="007E2A65">
        <w:t>, engagement with end users (possibly through direct democracy) and uncertainty</w:t>
      </w:r>
      <w:r w:rsidR="00E07B8A">
        <w:t xml:space="preserve"> (</w:t>
      </w:r>
      <w:r w:rsidR="00380BC2" w:rsidRPr="007E2A65">
        <w:t xml:space="preserve">with respect to information) were seen as important.  </w:t>
      </w:r>
    </w:p>
    <w:p w14:paraId="4C97FA05" w14:textId="1529AE10" w:rsidR="00C2009C" w:rsidRPr="007E2A65" w:rsidRDefault="00380BC2" w:rsidP="00382F3B">
      <w:r w:rsidRPr="007E2A65">
        <w:t>The continuum of competition needs to be acknowledged including the impacts of yardstick competition, reputational effects and the threat of competition</w:t>
      </w:r>
      <w:r w:rsidR="00E07B8A">
        <w:t>, both in and for</w:t>
      </w:r>
      <w:r w:rsidRPr="007E2A65">
        <w:t xml:space="preserve"> </w:t>
      </w:r>
      <w:r w:rsidR="00E07B8A">
        <w:t xml:space="preserve">the market, </w:t>
      </w:r>
      <w:r w:rsidRPr="007E2A65">
        <w:t xml:space="preserve">as </w:t>
      </w:r>
      <w:r w:rsidR="00211D72" w:rsidRPr="007E2A65">
        <w:t>fall</w:t>
      </w:r>
      <w:r w:rsidR="00211D72">
        <w:t>-</w:t>
      </w:r>
      <w:r w:rsidR="00211D72" w:rsidRPr="007E2A65">
        <w:t>back</w:t>
      </w:r>
      <w:r w:rsidRPr="007E2A65">
        <w:t xml:space="preserve"> position</w:t>
      </w:r>
      <w:r w:rsidR="00E07B8A">
        <w:t>s</w:t>
      </w:r>
      <w:r w:rsidRPr="007E2A65">
        <w:t xml:space="preserve">. Hybrids such as co-opetition </w:t>
      </w:r>
      <w:r w:rsidR="00976CD2">
        <w:t xml:space="preserve">(cooperation within a competitive framework) </w:t>
      </w:r>
      <w:r w:rsidRPr="007E2A65">
        <w:t xml:space="preserve">were </w:t>
      </w:r>
      <w:r w:rsidR="00976CD2">
        <w:t>e</w:t>
      </w:r>
      <w:r w:rsidRPr="007E2A65">
        <w:t xml:space="preserve">merging in some jurisdictions and </w:t>
      </w:r>
      <w:r w:rsidR="00976CD2">
        <w:t xml:space="preserve">such </w:t>
      </w:r>
      <w:r w:rsidRPr="007E2A65">
        <w:t>soft competition is beginning to supplant hard competition. The challenge is to find research methods that can adequately analyse these qualitative factors and to develop conceptual frameworks that can explain unintended consequences such as the reliance of the rail contracting-out models in Sweden and Great Britain o</w:t>
      </w:r>
      <w:r w:rsidR="00E07B8A">
        <w:t>n</w:t>
      </w:r>
      <w:r w:rsidRPr="007E2A65">
        <w:t xml:space="preserve"> the involvement of foreign state owned railways.</w:t>
      </w:r>
      <w:r w:rsidR="00976CD2">
        <w:t xml:space="preserve"> The inter-relationships between institutional maturity and soft competition need to be further investigated</w:t>
      </w:r>
    </w:p>
    <w:p w14:paraId="3B1905A0" w14:textId="405B9645" w:rsidR="00876A80" w:rsidRPr="007E2A65" w:rsidRDefault="00B9393C" w:rsidP="00382F3B">
      <w:r w:rsidRPr="007E2A65">
        <w:t>These qualitative approaches need to be comple</w:t>
      </w:r>
      <w:r w:rsidR="00E07B8A">
        <w:t>men</w:t>
      </w:r>
      <w:r w:rsidRPr="007E2A65">
        <w:t>ted by quantitative analyses. In particular, there is a need for update meta-analyses of the impacts of contracting</w:t>
      </w:r>
      <w:r w:rsidR="007E2A65" w:rsidRPr="007E2A65">
        <w:t>-</w:t>
      </w:r>
      <w:r w:rsidRPr="007E2A65">
        <w:t>out in the bus and rail industr</w:t>
      </w:r>
      <w:r w:rsidR="00040E29" w:rsidRPr="007E2A65">
        <w:t>i</w:t>
      </w:r>
      <w:r w:rsidRPr="007E2A65">
        <w:t xml:space="preserve">es, building on previous studies such as </w:t>
      </w:r>
      <w:proofErr w:type="spellStart"/>
      <w:r w:rsidRPr="007E2A65">
        <w:t>Boitani</w:t>
      </w:r>
      <w:proofErr w:type="spellEnd"/>
      <w:r w:rsidRPr="007E2A65">
        <w:t xml:space="preserve"> et al. (2013)</w:t>
      </w:r>
      <w:r w:rsidR="00040E29" w:rsidRPr="007E2A65">
        <w:t xml:space="preserve">, </w:t>
      </w:r>
      <w:r w:rsidR="003C6C2E" w:rsidRPr="007E2A65">
        <w:t>Cro</w:t>
      </w:r>
      <w:r w:rsidR="003C6C2E">
        <w:t>issant</w:t>
      </w:r>
      <w:r w:rsidR="00E07B8A">
        <w:t xml:space="preserve"> et al.</w:t>
      </w:r>
      <w:r w:rsidR="00040E29" w:rsidRPr="007E2A65">
        <w:t xml:space="preserve"> (2012) and </w:t>
      </w:r>
      <w:proofErr w:type="spellStart"/>
      <w:r w:rsidR="00040E29" w:rsidRPr="007E2A65">
        <w:t>F</w:t>
      </w:r>
      <w:r w:rsidRPr="007E2A65">
        <w:t>aivre</w:t>
      </w:r>
      <w:proofErr w:type="spellEnd"/>
      <w:r w:rsidRPr="007E2A65">
        <w:t xml:space="preserve"> </w:t>
      </w:r>
      <w:proofErr w:type="spellStart"/>
      <w:r w:rsidRPr="007E2A65">
        <w:t>d’</w:t>
      </w:r>
      <w:r w:rsidR="00040E29" w:rsidRPr="007E2A65">
        <w:t>Arcier</w:t>
      </w:r>
      <w:proofErr w:type="spellEnd"/>
      <w:r w:rsidR="00040E29" w:rsidRPr="007E2A65">
        <w:t xml:space="preserve"> (2014). In addition, f</w:t>
      </w:r>
      <w:r w:rsidR="00876A80" w:rsidRPr="007E2A65">
        <w:t xml:space="preserve">uture discussions of contract specification need to consider the latest </w:t>
      </w:r>
      <w:r w:rsidR="00040E29" w:rsidRPr="007E2A65">
        <w:t xml:space="preserve">quantitative </w:t>
      </w:r>
      <w:r w:rsidR="00876A80" w:rsidRPr="007E2A65">
        <w:t>evidence on economies of scale and density, particularly when outputs are heterogeneous. This</w:t>
      </w:r>
      <w:r w:rsidR="00281D3D" w:rsidRPr="007E2A65">
        <w:t xml:space="preserve"> </w:t>
      </w:r>
      <w:r w:rsidR="00040E29" w:rsidRPr="007E2A65">
        <w:t>is especially</w:t>
      </w:r>
      <w:r w:rsidR="00281D3D" w:rsidRPr="007E2A65">
        <w:t xml:space="preserve"> t</w:t>
      </w:r>
      <w:r w:rsidR="00876A80" w:rsidRPr="007E2A65">
        <w:t>r</w:t>
      </w:r>
      <w:r w:rsidR="00281D3D" w:rsidRPr="007E2A65">
        <w:t>ue</w:t>
      </w:r>
      <w:r w:rsidR="00876A80" w:rsidRPr="007E2A65">
        <w:t xml:space="preserve"> for passenger rail services (</w:t>
      </w:r>
      <w:r w:rsidR="00281D3D" w:rsidRPr="007E2A65">
        <w:t xml:space="preserve">Wheat and Smith, 2015) but will also hold true for increasingly multi-modal urban public transport, particularly given developments in the sharing economy and concepts such as </w:t>
      </w:r>
      <w:proofErr w:type="spellStart"/>
      <w:r w:rsidR="00281D3D" w:rsidRPr="007E2A65">
        <w:t>MaaS</w:t>
      </w:r>
      <w:proofErr w:type="spellEnd"/>
      <w:r w:rsidR="00281D3D" w:rsidRPr="007E2A65">
        <w:t>.</w:t>
      </w:r>
      <w:r w:rsidR="00844164" w:rsidRPr="007E2A65">
        <w:t xml:space="preserve"> For rail there is also the issue of the benefits (or otherwise) of the vertical integration of infrastructure and rail services (</w:t>
      </w:r>
      <w:proofErr w:type="spellStart"/>
      <w:r w:rsidR="00844164" w:rsidRPr="007E2A65">
        <w:t>Mizutani</w:t>
      </w:r>
      <w:proofErr w:type="spellEnd"/>
      <w:r w:rsidR="00844164" w:rsidRPr="007E2A65">
        <w:t xml:space="preserve"> et al., 2015), which also applies to other fixed track public transport systems</w:t>
      </w:r>
      <w:r w:rsidRPr="007E2A65">
        <w:t xml:space="preserve"> (e.g. trams, trolleybuses, bus rapid transit) </w:t>
      </w:r>
    </w:p>
    <w:p w14:paraId="32993D69" w14:textId="3E9C2E91" w:rsidR="00C2009C" w:rsidRPr="007E2A65" w:rsidRDefault="00380BC2" w:rsidP="00380BC2">
      <w:pPr>
        <w:pStyle w:val="ListParagraph"/>
        <w:numPr>
          <w:ilvl w:val="0"/>
          <w:numId w:val="8"/>
        </w:numPr>
        <w:ind w:left="567" w:hanging="567"/>
        <w:rPr>
          <w:b/>
        </w:rPr>
      </w:pPr>
      <w:r w:rsidRPr="007E2A65">
        <w:rPr>
          <w:b/>
        </w:rPr>
        <w:t>Conclusions</w:t>
      </w:r>
    </w:p>
    <w:p w14:paraId="08B352C3" w14:textId="56985325" w:rsidR="00380BC2" w:rsidRPr="007E2A65" w:rsidRDefault="00380BC2" w:rsidP="00380BC2">
      <w:r w:rsidRPr="007E2A65">
        <w:t xml:space="preserve">Announcements of the death of </w:t>
      </w:r>
      <w:r w:rsidR="00183848">
        <w:t>C</w:t>
      </w:r>
      <w:r w:rsidRPr="007E2A65">
        <w:t xml:space="preserve">ompetitive </w:t>
      </w:r>
      <w:r w:rsidR="00183848">
        <w:t>T</w:t>
      </w:r>
      <w:r w:rsidRPr="007E2A65">
        <w:t xml:space="preserve">endering in public transport markets seem </w:t>
      </w:r>
      <w:r w:rsidR="00040E29" w:rsidRPr="007E2A65">
        <w:t>pre</w:t>
      </w:r>
      <w:r w:rsidRPr="007E2A65">
        <w:t xml:space="preserve">mature. </w:t>
      </w:r>
      <w:r w:rsidR="00876A80" w:rsidRPr="007E2A65">
        <w:t>Indeed</w:t>
      </w:r>
      <w:r w:rsidR="00040E29" w:rsidRPr="007E2A65">
        <w:t>,</w:t>
      </w:r>
      <w:r w:rsidR="00876A80" w:rsidRPr="007E2A65">
        <w:t xml:space="preserve"> plans for </w:t>
      </w:r>
      <w:r w:rsidR="00E07B8A">
        <w:t xml:space="preserve">more </w:t>
      </w:r>
      <w:r w:rsidR="00876A80" w:rsidRPr="007E2A65">
        <w:t xml:space="preserve">contracting-out of passenger railway services are well advanced in Finland and Norway, for example. </w:t>
      </w:r>
      <w:r w:rsidR="00382EDA" w:rsidRPr="007E2A65">
        <w:t>The franchising cycle does not yet seem to have completed 360 degrees.</w:t>
      </w:r>
      <w:r w:rsidR="00B9393C" w:rsidRPr="007E2A65">
        <w:t xml:space="preserve"> Contracting-out seems to have been successful in many of the case studies examined by this workshop, although there have been some failures, often related to a lack of institutional maturity</w:t>
      </w:r>
      <w:r w:rsidR="00183848">
        <w:t>, however defined</w:t>
      </w:r>
      <w:r w:rsidR="00B9393C" w:rsidRPr="007E2A65">
        <w:t xml:space="preserve">. </w:t>
      </w:r>
      <w:r w:rsidR="00040E29" w:rsidRPr="007E2A65">
        <w:t>This seems to be true for both bus and rail, although each mode has its own idiosyncrasies.</w:t>
      </w:r>
      <w:r w:rsidR="00C75211" w:rsidRPr="007E2A65">
        <w:t xml:space="preserve"> </w:t>
      </w:r>
    </w:p>
    <w:p w14:paraId="4BAA9EF6" w14:textId="77777777" w:rsidR="00C75211" w:rsidRPr="007E2A65" w:rsidRDefault="00C75211" w:rsidP="00380BC2">
      <w:r w:rsidRPr="007E2A65">
        <w:t>With respect the four objectives outlined in section 1, we have the following observations.</w:t>
      </w:r>
    </w:p>
    <w:p w14:paraId="1D82334A" w14:textId="6B703D93" w:rsidR="00C75211" w:rsidRPr="007E2A65" w:rsidRDefault="00C75211" w:rsidP="002518B8">
      <w:pPr>
        <w:pStyle w:val="ListParagraph"/>
        <w:numPr>
          <w:ilvl w:val="0"/>
          <w:numId w:val="9"/>
        </w:numPr>
        <w:ind w:left="567" w:hanging="567"/>
      </w:pPr>
      <w:r w:rsidRPr="007E2A65">
        <w:t>Critical success factors vary with context, but are reliant on good organisation of the strategic, tactical and operation</w:t>
      </w:r>
      <w:r w:rsidR="00183848">
        <w:t>al</w:t>
      </w:r>
      <w:r w:rsidRPr="007E2A65">
        <w:t xml:space="preserve"> functions of public transport. For the purposes of this workshop, the focus has been on a </w:t>
      </w:r>
      <w:r w:rsidR="007E2A65" w:rsidRPr="007E2A65">
        <w:t>well-designed</w:t>
      </w:r>
      <w:r w:rsidRPr="007E2A65">
        <w:t xml:space="preserve"> contracting-out process that covers not just contract specification but also issues concerning procurement (both initial award and renewal/extension) and contract management, as well as paying due heed to the nature of the public transport environment. </w:t>
      </w:r>
      <w:r w:rsidR="00DF7A48" w:rsidRPr="007E2A65">
        <w:t xml:space="preserve">Similarly, </w:t>
      </w:r>
      <w:r w:rsidR="005451CE">
        <w:t xml:space="preserve">KPIs </w:t>
      </w:r>
      <w:r w:rsidR="00DF7A48" w:rsidRPr="007E2A65">
        <w:t>are context specific, albeit with some evidence of increasing use of customer satisfaction scores</w:t>
      </w:r>
      <w:r w:rsidR="00E07B8A">
        <w:t xml:space="preserve"> and the use by academics of economic welfare based measures</w:t>
      </w:r>
      <w:r w:rsidR="00DF7A48" w:rsidRPr="007E2A65">
        <w:t>.</w:t>
      </w:r>
    </w:p>
    <w:p w14:paraId="40F80932" w14:textId="4FA49962" w:rsidR="00DF7A48" w:rsidRPr="007E2A65" w:rsidRDefault="00DF7A48" w:rsidP="00E07B8A">
      <w:pPr>
        <w:pStyle w:val="ListParagraph"/>
        <w:numPr>
          <w:ilvl w:val="0"/>
          <w:numId w:val="9"/>
        </w:numPr>
        <w:ind w:left="567" w:hanging="567"/>
      </w:pPr>
      <w:r w:rsidRPr="007E2A65">
        <w:t>There need to be good relationship</w:t>
      </w:r>
      <w:r w:rsidR="00E07B8A">
        <w:t>s</w:t>
      </w:r>
      <w:r w:rsidRPr="007E2A65">
        <w:t xml:space="preserve"> between authorities and operators, both formally and informally. These relationships can be facilitated by third parties and regulatory bodies. However, the stakeholder </w:t>
      </w:r>
      <w:r w:rsidR="00886708">
        <w:t xml:space="preserve">chain </w:t>
      </w:r>
      <w:r w:rsidRPr="007E2A65">
        <w:t>should be extended to directly involve politicians, citizens/taxpayers and public transport users</w:t>
      </w:r>
      <w:r w:rsidR="00886708">
        <w:t xml:space="preserve"> and there is some evidence of this happening in more mature settings</w:t>
      </w:r>
      <w:r w:rsidRPr="007E2A65">
        <w:t xml:space="preserve">. </w:t>
      </w:r>
    </w:p>
    <w:p w14:paraId="4C5F2649" w14:textId="578C23F6" w:rsidR="00DF7A48" w:rsidRPr="007E2A65" w:rsidRDefault="00DF7A48" w:rsidP="00E07B8A">
      <w:pPr>
        <w:pStyle w:val="ListParagraph"/>
        <w:numPr>
          <w:ilvl w:val="0"/>
          <w:numId w:val="9"/>
        </w:numPr>
        <w:ind w:left="567" w:hanging="567"/>
      </w:pPr>
      <w:r w:rsidRPr="007E2A65">
        <w:t>There is an emerging evidence base on what works in terms of contracting-out of public transport services and in what circumstances. There is less evidence on for whom and why. There is still work to be done for this evidence base to be systematically analysed</w:t>
      </w:r>
      <w:r w:rsidR="00183848">
        <w:t>, possibly using realist evaluation approaches (after Pawson, 2002)</w:t>
      </w:r>
      <w:r w:rsidRPr="007E2A65">
        <w:t>.</w:t>
      </w:r>
    </w:p>
    <w:p w14:paraId="3E1039CF" w14:textId="20DD244A" w:rsidR="00DF7A48" w:rsidRPr="007E2A65" w:rsidRDefault="001F5CE9" w:rsidP="00E07B8A">
      <w:pPr>
        <w:pStyle w:val="ListParagraph"/>
        <w:numPr>
          <w:ilvl w:val="0"/>
          <w:numId w:val="9"/>
        </w:numPr>
        <w:ind w:left="567" w:hanging="567"/>
      </w:pPr>
      <w:r w:rsidRPr="007E2A65">
        <w:t xml:space="preserve">Hybrid and mixed regimes continue to emerge, with variants with respect to </w:t>
      </w:r>
      <w:r w:rsidR="00886708">
        <w:t>aspects</w:t>
      </w:r>
      <w:r w:rsidR="005451CE">
        <w:t xml:space="preserve"> of</w:t>
      </w:r>
      <w:r w:rsidR="00886708">
        <w:t xml:space="preserve"> </w:t>
      </w:r>
      <w:r w:rsidRPr="007E2A65">
        <w:t xml:space="preserve">contract award, specification and enforcement and </w:t>
      </w:r>
      <w:r w:rsidR="00886708">
        <w:t xml:space="preserve">various </w:t>
      </w:r>
      <w:r w:rsidRPr="007E2A65">
        <w:t>experiments</w:t>
      </w:r>
      <w:r w:rsidR="00886708">
        <w:t xml:space="preserve"> (intended or otherwise)</w:t>
      </w:r>
      <w:r w:rsidRPr="007E2A65">
        <w:t xml:space="preserve"> with a multiplicity of </w:t>
      </w:r>
      <w:r w:rsidR="00886708">
        <w:t xml:space="preserve">competition </w:t>
      </w:r>
      <w:r w:rsidRPr="007E2A65">
        <w:t>regimes both actual and potential.</w:t>
      </w:r>
    </w:p>
    <w:p w14:paraId="04A5007A" w14:textId="2CBA99B2" w:rsidR="001F5CE9" w:rsidRPr="007E2A65" w:rsidRDefault="001F5CE9" w:rsidP="001F5CE9">
      <w:r w:rsidRPr="007E2A65">
        <w:t xml:space="preserve">Given the above, we confidently predict that the contracts theme will continue to flourish at future </w:t>
      </w:r>
      <w:proofErr w:type="spellStart"/>
      <w:r w:rsidRPr="007E2A65">
        <w:t>Thredbo</w:t>
      </w:r>
      <w:proofErr w:type="spellEnd"/>
      <w:r w:rsidRPr="007E2A65">
        <w:t xml:space="preserve"> conferences. There will be an increasing role for concepts such as institutional maturity, soft competition and transaction cost economics. For academics, there will be an important role in facilitating organisational learning </w:t>
      </w:r>
      <w:r w:rsidR="00886708">
        <w:t xml:space="preserve">and in developing </w:t>
      </w:r>
      <w:r w:rsidRPr="007E2A65">
        <w:t>the skills base.</w:t>
      </w:r>
      <w:r w:rsidR="0023016F" w:rsidRPr="007E2A65" w:rsidDel="0023016F">
        <w:t xml:space="preserve"> </w:t>
      </w:r>
    </w:p>
    <w:p w14:paraId="44AA85F4" w14:textId="082A049A" w:rsidR="001F5CE9" w:rsidRPr="007E2A65" w:rsidRDefault="001F5CE9" w:rsidP="001F5CE9"/>
    <w:p w14:paraId="61631C1B" w14:textId="0FF4E7DA" w:rsidR="00F213F0" w:rsidRPr="007E2A65" w:rsidRDefault="00F213F0">
      <w:pPr>
        <w:rPr>
          <w:b/>
        </w:rPr>
      </w:pPr>
      <w:r w:rsidRPr="007E2A65">
        <w:rPr>
          <w:b/>
        </w:rPr>
        <w:t>References</w:t>
      </w:r>
      <w:r w:rsidR="0044279E" w:rsidRPr="007E2A65">
        <w:rPr>
          <w:b/>
        </w:rPr>
        <w:t xml:space="preserve"> (from </w:t>
      </w:r>
      <w:proofErr w:type="spellStart"/>
      <w:r w:rsidR="0044279E" w:rsidRPr="007E2A65">
        <w:rPr>
          <w:b/>
        </w:rPr>
        <w:t>Thredbo</w:t>
      </w:r>
      <w:proofErr w:type="spellEnd"/>
      <w:r w:rsidR="0044279E" w:rsidRPr="007E2A65">
        <w:rPr>
          <w:b/>
        </w:rPr>
        <w:t xml:space="preserve"> 15)</w:t>
      </w:r>
    </w:p>
    <w:p w14:paraId="2D8EF967" w14:textId="3178376E" w:rsidR="0050248B" w:rsidRPr="007E2A65" w:rsidRDefault="0050248B">
      <w:proofErr w:type="spellStart"/>
      <w:r w:rsidRPr="007E2A65">
        <w:t>Aarhaug</w:t>
      </w:r>
      <w:proofErr w:type="spellEnd"/>
      <w:r w:rsidRPr="007E2A65">
        <w:t xml:space="preserve">, J., </w:t>
      </w:r>
      <w:proofErr w:type="spellStart"/>
      <w:r w:rsidRPr="007E2A65">
        <w:t>Fearnley</w:t>
      </w:r>
      <w:proofErr w:type="spellEnd"/>
      <w:r w:rsidRPr="007E2A65">
        <w:t xml:space="preserve">, N., </w:t>
      </w:r>
      <w:proofErr w:type="spellStart"/>
      <w:r w:rsidRPr="007E2A65">
        <w:t>Gregersen</w:t>
      </w:r>
      <w:proofErr w:type="spellEnd"/>
      <w:r w:rsidRPr="007E2A65">
        <w:t xml:space="preserve">, F.A. and </w:t>
      </w:r>
      <w:proofErr w:type="spellStart"/>
      <w:r w:rsidRPr="007E2A65">
        <w:t>Norseng</w:t>
      </w:r>
      <w:proofErr w:type="spellEnd"/>
      <w:r w:rsidRPr="007E2A65">
        <w:t>, R.B. Looking back at 20 years of competitive tendering in the Norwegian bus industry – explaining cost increases and reduced competition.</w:t>
      </w:r>
    </w:p>
    <w:p w14:paraId="6BF33FB7" w14:textId="76B134D7" w:rsidR="000C3698" w:rsidRPr="007E2A65" w:rsidRDefault="000C3698">
      <w:proofErr w:type="spellStart"/>
      <w:r w:rsidRPr="007E2A65">
        <w:t>Aldenius</w:t>
      </w:r>
      <w:proofErr w:type="spellEnd"/>
      <w:r w:rsidRPr="007E2A65">
        <w:t>, M. Introducing renewable fuel in public bus transport – challenges and opportunities</w:t>
      </w:r>
      <w:r w:rsidR="002A67C6">
        <w:t>.</w:t>
      </w:r>
    </w:p>
    <w:p w14:paraId="70512544" w14:textId="1403F3EB" w:rsidR="00465189" w:rsidRPr="007E2A65" w:rsidRDefault="00465189">
      <w:proofErr w:type="spellStart"/>
      <w:r w:rsidRPr="007E2A65">
        <w:t>Canıtez</w:t>
      </w:r>
      <w:proofErr w:type="spellEnd"/>
      <w:r w:rsidRPr="007E2A65">
        <w:t xml:space="preserve">, F. and </w:t>
      </w:r>
      <w:proofErr w:type="spellStart"/>
      <w:r w:rsidRPr="007E2A65">
        <w:t>Celebi</w:t>
      </w:r>
      <w:proofErr w:type="spellEnd"/>
      <w:r w:rsidRPr="007E2A65">
        <w:t>, D. Transaction cost economics of authority operator relations in public transport: the case of Istanbul as a hybrid regime</w:t>
      </w:r>
      <w:r w:rsidR="002A67C6">
        <w:t>.</w:t>
      </w:r>
    </w:p>
    <w:p w14:paraId="7F480564" w14:textId="211A9647" w:rsidR="005605AC" w:rsidRPr="007E2A65" w:rsidRDefault="005605AC">
      <w:r w:rsidRPr="007E2A65">
        <w:t>Cowie, J. Contract re-award and consumer sovereignty, the case of British rail privatisation</w:t>
      </w:r>
      <w:r w:rsidR="002A67C6">
        <w:t>.</w:t>
      </w:r>
    </w:p>
    <w:p w14:paraId="0A564C46" w14:textId="683DACC9" w:rsidR="00465189" w:rsidRPr="007E2A65" w:rsidRDefault="00465189">
      <w:proofErr w:type="spellStart"/>
      <w:r w:rsidRPr="007E2A65">
        <w:t>Dementiev</w:t>
      </w:r>
      <w:proofErr w:type="spellEnd"/>
      <w:r w:rsidRPr="007E2A65">
        <w:t>, A. Contracting-out public transport services to asymmetric partnerships</w:t>
      </w:r>
      <w:r w:rsidR="002A67C6">
        <w:t>.</w:t>
      </w:r>
    </w:p>
    <w:p w14:paraId="2CB15605" w14:textId="1E7421B4" w:rsidR="00121202" w:rsidRPr="007E2A65" w:rsidRDefault="00121202">
      <w:proofErr w:type="spellStart"/>
      <w:r w:rsidRPr="007E2A65">
        <w:t>Fabianski</w:t>
      </w:r>
      <w:proofErr w:type="spellEnd"/>
      <w:r w:rsidRPr="007E2A65">
        <w:t>, C. Governing for Quality and Performance: a Standpoint for Enhanced Bus Services</w:t>
      </w:r>
      <w:r w:rsidR="002A67C6">
        <w:t>.</w:t>
      </w:r>
    </w:p>
    <w:p w14:paraId="323A353D" w14:textId="601BCB0D" w:rsidR="00F213F0" w:rsidRPr="007E2A65" w:rsidRDefault="00F213F0">
      <w:proofErr w:type="spellStart"/>
      <w:r w:rsidRPr="007E2A65">
        <w:t>Hensher</w:t>
      </w:r>
      <w:proofErr w:type="spellEnd"/>
      <w:r w:rsidRPr="007E2A65">
        <w:t xml:space="preserve">, D., Bray, D, and Wong, Y. 30 Years of </w:t>
      </w:r>
      <w:proofErr w:type="spellStart"/>
      <w:r w:rsidRPr="007E2A65">
        <w:t>Thredbo</w:t>
      </w:r>
      <w:proofErr w:type="spellEnd"/>
      <w:r w:rsidRPr="007E2A65">
        <w:t xml:space="preserve"> Conferences – Themes, Achievements and Impact.</w:t>
      </w:r>
    </w:p>
    <w:p w14:paraId="3FA43F43" w14:textId="3B7BFBB5" w:rsidR="00784965" w:rsidRPr="007E2A65" w:rsidRDefault="00784965">
      <w:r w:rsidRPr="007E2A65">
        <w:t xml:space="preserve">Hirschhorn, F., van de </w:t>
      </w:r>
      <w:proofErr w:type="spellStart"/>
      <w:r w:rsidRPr="007E2A65">
        <w:t>Velde</w:t>
      </w:r>
      <w:proofErr w:type="spellEnd"/>
      <w:r w:rsidRPr="007E2A65">
        <w:t>, D. and Veeneman, W. Identifying core organisational elements and performance indicators in public transport: a worldwide Delphi survey</w:t>
      </w:r>
      <w:r w:rsidR="002A67C6">
        <w:t>.</w:t>
      </w:r>
    </w:p>
    <w:p w14:paraId="07DAF1EE" w14:textId="6B551E65" w:rsidR="005605AC" w:rsidRPr="007E2A65" w:rsidRDefault="005605AC">
      <w:proofErr w:type="spellStart"/>
      <w:r w:rsidRPr="007E2A65">
        <w:t>Krol</w:t>
      </w:r>
      <w:proofErr w:type="spellEnd"/>
      <w:r w:rsidRPr="007E2A65">
        <w:t>, M. When competitive tendering seems too risky. Evidence from regional railways in Poland</w:t>
      </w:r>
      <w:r w:rsidR="002A67C6">
        <w:t>.</w:t>
      </w:r>
    </w:p>
    <w:p w14:paraId="7DA4148A" w14:textId="230E0150" w:rsidR="0050248B" w:rsidRPr="007E2A65" w:rsidRDefault="0050248B">
      <w:proofErr w:type="spellStart"/>
      <w:r w:rsidRPr="007E2A65">
        <w:t>Lidestam</w:t>
      </w:r>
      <w:proofErr w:type="spellEnd"/>
      <w:r w:rsidRPr="007E2A65">
        <w:t xml:space="preserve">, H., </w:t>
      </w:r>
      <w:proofErr w:type="spellStart"/>
      <w:r w:rsidRPr="007E2A65">
        <w:t>Camén</w:t>
      </w:r>
      <w:proofErr w:type="spellEnd"/>
      <w:r w:rsidRPr="007E2A65">
        <w:t xml:space="preserve">, C. and </w:t>
      </w:r>
      <w:proofErr w:type="spellStart"/>
      <w:r w:rsidRPr="007E2A65">
        <w:t>Lidestam</w:t>
      </w:r>
      <w:proofErr w:type="spellEnd"/>
      <w:r w:rsidRPr="007E2A65">
        <w:t>, B. Evaluation of costs drivers within public bus transports in Sweden</w:t>
      </w:r>
      <w:r w:rsidR="002A67C6">
        <w:t>.</w:t>
      </w:r>
    </w:p>
    <w:p w14:paraId="1844E57C" w14:textId="215DB5A3" w:rsidR="000227A6" w:rsidRPr="007E2A65" w:rsidRDefault="000227A6">
      <w:r w:rsidRPr="007E2A65">
        <w:t>Link, H. Franchising regional rail passenger services in Germany – new evidence on the efficiency in using subsidies</w:t>
      </w:r>
      <w:r w:rsidR="002A67C6">
        <w:t>.</w:t>
      </w:r>
    </w:p>
    <w:p w14:paraId="33B0CD23" w14:textId="478A57F9" w:rsidR="00195918" w:rsidRPr="007E2A65" w:rsidRDefault="00195918" w:rsidP="00195918">
      <w:proofErr w:type="spellStart"/>
      <w:r w:rsidRPr="007E2A65">
        <w:t>Lotshaw</w:t>
      </w:r>
      <w:proofErr w:type="spellEnd"/>
      <w:r w:rsidRPr="007E2A65">
        <w:t xml:space="preserve">, S., Lewis, P., </w:t>
      </w:r>
      <w:proofErr w:type="spellStart"/>
      <w:r w:rsidRPr="007E2A65">
        <w:t>Bragdon</w:t>
      </w:r>
      <w:proofErr w:type="spellEnd"/>
      <w:r w:rsidRPr="007E2A65">
        <w:t xml:space="preserve">, D. and </w:t>
      </w:r>
      <w:proofErr w:type="spellStart"/>
      <w:r w:rsidRPr="007E2A65">
        <w:t>Accuardi</w:t>
      </w:r>
      <w:proofErr w:type="spellEnd"/>
      <w:r w:rsidRPr="007E2A65">
        <w:t>, Z. Competitive tendering to improve transit service quality: comparative case studies in Europe and North America</w:t>
      </w:r>
      <w:r w:rsidR="002A67C6">
        <w:t>.</w:t>
      </w:r>
    </w:p>
    <w:p w14:paraId="30D7010D" w14:textId="13B3E77E" w:rsidR="0050248B" w:rsidRPr="007E2A65" w:rsidRDefault="0050248B" w:rsidP="00195918">
      <w:r w:rsidRPr="007E2A65">
        <w:t>MacDonald, I.</w:t>
      </w:r>
      <w:r w:rsidR="00121202" w:rsidRPr="007E2A65">
        <w:t xml:space="preserve"> Public Transport – An essential service?</w:t>
      </w:r>
    </w:p>
    <w:p w14:paraId="77C4985F" w14:textId="0F7CF331" w:rsidR="000C3698" w:rsidRPr="007E2A65" w:rsidRDefault="000C3698" w:rsidP="00195918">
      <w:proofErr w:type="spellStart"/>
      <w:r w:rsidRPr="007E2A65">
        <w:t>Mbara</w:t>
      </w:r>
      <w:proofErr w:type="spellEnd"/>
      <w:r w:rsidRPr="007E2A65">
        <w:t xml:space="preserve">, T. and </w:t>
      </w:r>
      <w:proofErr w:type="spellStart"/>
      <w:r w:rsidRPr="007E2A65">
        <w:t>Dumba</w:t>
      </w:r>
      <w:proofErr w:type="spellEnd"/>
      <w:r w:rsidRPr="007E2A65">
        <w:t>, S. An analysis on institutional preparedness to bus route tendering in the context of a fragmented liberalized market: Case Study of Harare, Zimbabwe</w:t>
      </w:r>
      <w:r w:rsidR="002A67C6">
        <w:t>.</w:t>
      </w:r>
    </w:p>
    <w:p w14:paraId="0D4A3DED" w14:textId="40B233E0" w:rsidR="00121202" w:rsidRPr="007E2A65" w:rsidRDefault="00121202" w:rsidP="00121202">
      <w:r w:rsidRPr="007E2A65">
        <w:t xml:space="preserve">Merkert, R., Mulley, C. and Hakim, </w:t>
      </w:r>
      <w:proofErr w:type="spellStart"/>
      <w:r w:rsidRPr="007E2A65">
        <w:t>Md</w:t>
      </w:r>
      <w:proofErr w:type="spellEnd"/>
      <w:r w:rsidRPr="007E2A65">
        <w:t xml:space="preserve"> M. Trade-offs between transaction cost, operation cost and innovation in the context of procurement and asset specificity – An example from the BRT bus industry</w:t>
      </w:r>
      <w:r w:rsidR="002A67C6">
        <w:t>.</w:t>
      </w:r>
    </w:p>
    <w:p w14:paraId="21E2F3F8" w14:textId="14DEC181" w:rsidR="005E2BE1" w:rsidRPr="007E2A65" w:rsidRDefault="005E2BE1" w:rsidP="00121202">
      <w:proofErr w:type="spellStart"/>
      <w:r w:rsidRPr="007E2A65">
        <w:t>Mokonyama</w:t>
      </w:r>
      <w:proofErr w:type="spellEnd"/>
      <w:r w:rsidRPr="007E2A65">
        <w:t>, M. and Venter, C. Financial implications and marginal benefits of specifying service quality in public transport service contracts with a large captive user base</w:t>
      </w:r>
      <w:r w:rsidR="002A67C6">
        <w:t>.</w:t>
      </w:r>
    </w:p>
    <w:p w14:paraId="54103783" w14:textId="500CC497" w:rsidR="000227A6" w:rsidRPr="007E2A65" w:rsidRDefault="000227A6" w:rsidP="00121202">
      <w:r w:rsidRPr="007E2A65">
        <w:t xml:space="preserve">Nash, C., Crozet, Y., Link, H., Nilsson, J.-E. </w:t>
      </w:r>
      <w:proofErr w:type="gramStart"/>
      <w:r w:rsidRPr="007E2A65">
        <w:t>and</w:t>
      </w:r>
      <w:proofErr w:type="gramEnd"/>
      <w:r w:rsidRPr="007E2A65">
        <w:t xml:space="preserve"> Smith, A. Liberalisation of rail passenger services: lessons from European experience</w:t>
      </w:r>
      <w:r w:rsidR="002A67C6">
        <w:t>.</w:t>
      </w:r>
    </w:p>
    <w:p w14:paraId="5D515A4F" w14:textId="2C4E39D1" w:rsidR="000227A6" w:rsidRPr="007E2A65" w:rsidRDefault="000227A6" w:rsidP="00121202">
      <w:r w:rsidRPr="007E2A65">
        <w:t xml:space="preserve">Olsen, S. J., </w:t>
      </w:r>
      <w:proofErr w:type="spellStart"/>
      <w:r w:rsidRPr="007E2A65">
        <w:t>Fearnley</w:t>
      </w:r>
      <w:proofErr w:type="spellEnd"/>
      <w:r w:rsidRPr="007E2A65">
        <w:t xml:space="preserve">, N., </w:t>
      </w:r>
      <w:proofErr w:type="spellStart"/>
      <w:r w:rsidRPr="007E2A65">
        <w:t>Halse</w:t>
      </w:r>
      <w:proofErr w:type="spellEnd"/>
      <w:r w:rsidRPr="007E2A65">
        <w:t xml:space="preserve">, A. and </w:t>
      </w:r>
      <w:proofErr w:type="spellStart"/>
      <w:r w:rsidRPr="007E2A65">
        <w:t>Rødseth</w:t>
      </w:r>
      <w:proofErr w:type="spellEnd"/>
      <w:r w:rsidRPr="007E2A65">
        <w:t>, K. L. The Norwegian railway reform: industry cost structure and its implications for optimal contracting, incentives, and organization</w:t>
      </w:r>
      <w:r w:rsidR="002A67C6">
        <w:t>.</w:t>
      </w:r>
    </w:p>
    <w:p w14:paraId="1D8793BC" w14:textId="3056837A" w:rsidR="005605AC" w:rsidRPr="007E2A65" w:rsidRDefault="005605AC" w:rsidP="00121202">
      <w:r w:rsidRPr="007E2A65">
        <w:t>Preston, J. The wheels keep on turning. Is the end of rail franchising in Britain in sight?</w:t>
      </w:r>
    </w:p>
    <w:p w14:paraId="67E088CE" w14:textId="541BF588" w:rsidR="0050248B" w:rsidRDefault="0050248B" w:rsidP="00195918">
      <w:r w:rsidRPr="007E2A65">
        <w:t>Pyddoke, R. and Lindgren, H. Outcomes from new contracts with “strong” incentives for increasing patronage</w:t>
      </w:r>
      <w:r w:rsidR="002A67C6">
        <w:t>.</w:t>
      </w:r>
    </w:p>
    <w:p w14:paraId="375E8E57" w14:textId="338C32A6" w:rsidR="00DB6380" w:rsidRPr="00581EA2" w:rsidRDefault="00DB6380" w:rsidP="00195918">
      <w:r>
        <w:t xml:space="preserve">Rees, R. (1985) </w:t>
      </w:r>
      <w:proofErr w:type="gramStart"/>
      <w:r>
        <w:t>The</w:t>
      </w:r>
      <w:proofErr w:type="gramEnd"/>
      <w:r>
        <w:t xml:space="preserve"> Theory of Principal and Agent. Part I. </w:t>
      </w:r>
      <w:r>
        <w:rPr>
          <w:i/>
        </w:rPr>
        <w:t>Bulletin of Economic Research</w:t>
      </w:r>
      <w:r w:rsidR="00581EA2">
        <w:rPr>
          <w:i/>
        </w:rPr>
        <w:t xml:space="preserve">. </w:t>
      </w:r>
      <w:r w:rsidR="00581EA2" w:rsidRPr="006C5735">
        <w:t>35, 1, 3-26.</w:t>
      </w:r>
    </w:p>
    <w:p w14:paraId="14E82039" w14:textId="7B66F1FE" w:rsidR="005605AC" w:rsidRPr="007E2A65" w:rsidRDefault="005605AC" w:rsidP="00195918">
      <w:proofErr w:type="spellStart"/>
      <w:r w:rsidRPr="007E2A65">
        <w:t>Ringe</w:t>
      </w:r>
      <w:proofErr w:type="spellEnd"/>
      <w:r w:rsidRPr="007E2A65">
        <w:t>, T. and Schmitz, W. “The Frankfurt Way” – innovative institutional arrangements for public transport planning and management</w:t>
      </w:r>
      <w:r w:rsidR="002A67C6">
        <w:t>.</w:t>
      </w:r>
    </w:p>
    <w:p w14:paraId="7122CE15" w14:textId="353FEE9B" w:rsidR="005E2BE1" w:rsidRPr="007E2A65" w:rsidRDefault="005E2BE1">
      <w:proofErr w:type="spellStart"/>
      <w:r w:rsidRPr="007E2A65">
        <w:t>Rosell</w:t>
      </w:r>
      <w:proofErr w:type="spellEnd"/>
      <w:r w:rsidRPr="007E2A65">
        <w:t>, J. Urban bus contractual regimes in small- and medium-sized municipalities: competitive tendering or negotiation?</w:t>
      </w:r>
    </w:p>
    <w:p w14:paraId="70B183C7" w14:textId="6CFA96D8" w:rsidR="005605AC" w:rsidRPr="007E2A65" w:rsidRDefault="005605AC">
      <w:proofErr w:type="spellStart"/>
      <w:r w:rsidRPr="007E2A65">
        <w:t>Ryzhkov</w:t>
      </w:r>
      <w:proofErr w:type="spellEnd"/>
      <w:r w:rsidRPr="007E2A65">
        <w:t>, A. Local public transport in Russia: regulation, ownership and competition</w:t>
      </w:r>
      <w:r w:rsidR="002A67C6">
        <w:t>.</w:t>
      </w:r>
    </w:p>
    <w:p w14:paraId="22A94663" w14:textId="3150347E" w:rsidR="005E2BE1" w:rsidRPr="007E2A65" w:rsidRDefault="005E2BE1">
      <w:r w:rsidRPr="007E2A65">
        <w:t xml:space="preserve">San Goh, P. and Alison, S. </w:t>
      </w:r>
      <w:r w:rsidR="000C3698" w:rsidRPr="007E2A65">
        <w:t>Singapore's experience with transition to Bus Contracting Model</w:t>
      </w:r>
      <w:r w:rsidR="002A67C6">
        <w:t>.</w:t>
      </w:r>
    </w:p>
    <w:p w14:paraId="68022B50" w14:textId="6C287E86" w:rsidR="00195918" w:rsidRPr="007E2A65" w:rsidRDefault="00784965">
      <w:r w:rsidRPr="007E2A65">
        <w:t>Schaaffkamp, C. Do direct awards lead to a better public transport?</w:t>
      </w:r>
    </w:p>
    <w:p w14:paraId="688ACF6A" w14:textId="2C2F655C" w:rsidR="005605AC" w:rsidRPr="007E2A65" w:rsidRDefault="005605AC">
      <w:proofErr w:type="spellStart"/>
      <w:r w:rsidRPr="007E2A65">
        <w:t>Sepúlveda</w:t>
      </w:r>
      <w:proofErr w:type="spellEnd"/>
      <w:r w:rsidRPr="007E2A65">
        <w:t>, J. P. and Galilea, P. How do different payment schemes affect public transport concessions and social welfare? A microeconomic model</w:t>
      </w:r>
      <w:r w:rsidR="002A67C6">
        <w:t>.</w:t>
      </w:r>
    </w:p>
    <w:p w14:paraId="7AC60804" w14:textId="32CAE13B" w:rsidR="00121202" w:rsidRPr="007E2A65" w:rsidRDefault="00121202">
      <w:proofErr w:type="spellStart"/>
      <w:r w:rsidRPr="007E2A65">
        <w:t>Tamblay</w:t>
      </w:r>
      <w:proofErr w:type="spellEnd"/>
      <w:r w:rsidRPr="007E2A65">
        <w:t xml:space="preserve">, S., </w:t>
      </w:r>
      <w:proofErr w:type="spellStart"/>
      <w:r w:rsidRPr="007E2A65">
        <w:t>Dragicevic</w:t>
      </w:r>
      <w:proofErr w:type="spellEnd"/>
      <w:r w:rsidRPr="007E2A65">
        <w:t xml:space="preserve">, M., </w:t>
      </w:r>
      <w:proofErr w:type="spellStart"/>
      <w:r w:rsidRPr="007E2A65">
        <w:t>Gschwender</w:t>
      </w:r>
      <w:proofErr w:type="spellEnd"/>
      <w:r w:rsidRPr="007E2A65">
        <w:t xml:space="preserve">, A. and Munoz, J.C. Urban bus contracts risks, an analysis based on </w:t>
      </w:r>
      <w:proofErr w:type="spellStart"/>
      <w:r w:rsidRPr="007E2A65">
        <w:t>Transantiago’s</w:t>
      </w:r>
      <w:proofErr w:type="spellEnd"/>
      <w:r w:rsidRPr="007E2A65">
        <w:t xml:space="preserve"> latest and upcoming reforms</w:t>
      </w:r>
      <w:r w:rsidR="002A67C6">
        <w:t>.</w:t>
      </w:r>
    </w:p>
    <w:p w14:paraId="3AA6C783" w14:textId="507EFD5E" w:rsidR="005605AC" w:rsidRPr="007E2A65" w:rsidRDefault="005605AC">
      <w:r w:rsidRPr="007E2A65">
        <w:t xml:space="preserve">Veeneman, W. Developments in public transport governance in the Netherlands; </w:t>
      </w:r>
      <w:proofErr w:type="gramStart"/>
      <w:r w:rsidRPr="007E2A65">
        <w:t>even more recent developments</w:t>
      </w:r>
      <w:proofErr w:type="gramEnd"/>
      <w:r w:rsidR="002A67C6">
        <w:t>.</w:t>
      </w:r>
    </w:p>
    <w:p w14:paraId="1441A998" w14:textId="426FA7A3" w:rsidR="0050248B" w:rsidRPr="007E2A65" w:rsidRDefault="0050248B">
      <w:proofErr w:type="spellStart"/>
      <w:r w:rsidRPr="007E2A65">
        <w:t>Vigren</w:t>
      </w:r>
      <w:proofErr w:type="spellEnd"/>
      <w:r w:rsidRPr="007E2A65">
        <w:t xml:space="preserve">, A. How Many Want to Drive the Bus? </w:t>
      </w:r>
      <w:proofErr w:type="spellStart"/>
      <w:r w:rsidRPr="007E2A65">
        <w:t>Analyzing</w:t>
      </w:r>
      <w:proofErr w:type="spellEnd"/>
      <w:r w:rsidRPr="007E2A65">
        <w:t xml:space="preserve"> number of bids in public transport bus tenders</w:t>
      </w:r>
      <w:r w:rsidR="002A67C6">
        <w:t>.</w:t>
      </w:r>
    </w:p>
    <w:p w14:paraId="16C20146" w14:textId="381CC2F3" w:rsidR="00121202" w:rsidRPr="007E2A65" w:rsidRDefault="00121202">
      <w:r w:rsidRPr="007E2A65">
        <w:t>Walters, J. The potential cost implications of public transport contract risks: The views of bus operators in South Africa</w:t>
      </w:r>
      <w:r w:rsidR="002A67C6">
        <w:t>.</w:t>
      </w:r>
    </w:p>
    <w:p w14:paraId="7695BF8E" w14:textId="7F749FA0" w:rsidR="00121202" w:rsidRPr="007E2A65" w:rsidRDefault="00121202">
      <w:proofErr w:type="spellStart"/>
      <w:r w:rsidRPr="007E2A65">
        <w:t>Wegelin</w:t>
      </w:r>
      <w:proofErr w:type="spellEnd"/>
      <w:r w:rsidRPr="007E2A65">
        <w:t>, P. Is the mere threat enough? An empirical analysis about competitive tendering as a threat and cost efficiency in public bus transportation</w:t>
      </w:r>
      <w:r w:rsidR="002A67C6">
        <w:t>.</w:t>
      </w:r>
    </w:p>
    <w:p w14:paraId="3598E418" w14:textId="47BED816" w:rsidR="005605AC" w:rsidRPr="007E2A65" w:rsidRDefault="005605AC">
      <w:proofErr w:type="spellStart"/>
      <w:r w:rsidRPr="007E2A65">
        <w:t>Wijmenga</w:t>
      </w:r>
      <w:proofErr w:type="spellEnd"/>
      <w:r w:rsidRPr="007E2A65">
        <w:t>, N., Veeneman, W. and Hirschhorn, F. Benchmarking the costs of urban public transport in the Netherlands</w:t>
      </w:r>
      <w:r w:rsidR="002A67C6">
        <w:t>.</w:t>
      </w:r>
    </w:p>
    <w:p w14:paraId="3204758B" w14:textId="0926B02E" w:rsidR="0044279E" w:rsidRPr="007E2A65" w:rsidRDefault="0044279E">
      <w:pPr>
        <w:rPr>
          <w:b/>
        </w:rPr>
      </w:pPr>
      <w:r w:rsidRPr="007E2A65">
        <w:rPr>
          <w:b/>
        </w:rPr>
        <w:t>References (Other)</w:t>
      </w:r>
    </w:p>
    <w:p w14:paraId="0F35D504" w14:textId="73A66E2C" w:rsidR="00C3057B" w:rsidRPr="007E2A65" w:rsidRDefault="00C3057B" w:rsidP="0044279E">
      <w:proofErr w:type="spellStart"/>
      <w:r w:rsidRPr="007E2A65">
        <w:t>Alexandersson</w:t>
      </w:r>
      <w:proofErr w:type="spellEnd"/>
      <w:r w:rsidRPr="007E2A65">
        <w:t xml:space="preserve">, G. (2009) Rail Privatization and Competitive Tendering in Europe. </w:t>
      </w:r>
      <w:r w:rsidRPr="007E2A65">
        <w:rPr>
          <w:i/>
        </w:rPr>
        <w:t>Built Environment</w:t>
      </w:r>
      <w:r w:rsidRPr="007E2A65">
        <w:t>, 16, 43-58.</w:t>
      </w:r>
    </w:p>
    <w:p w14:paraId="52DD9514" w14:textId="5C8053D4" w:rsidR="00B9393C" w:rsidRDefault="00586C92" w:rsidP="0044279E">
      <w:proofErr w:type="spellStart"/>
      <w:r w:rsidRPr="007E2A65">
        <w:t>Boitani</w:t>
      </w:r>
      <w:proofErr w:type="spellEnd"/>
      <w:r w:rsidRPr="007E2A65">
        <w:t xml:space="preserve">, A., </w:t>
      </w:r>
      <w:proofErr w:type="spellStart"/>
      <w:r w:rsidRPr="007E2A65">
        <w:t>Nicolini</w:t>
      </w:r>
      <w:proofErr w:type="spellEnd"/>
      <w:r w:rsidRPr="007E2A65">
        <w:t xml:space="preserve">, M. and Scapa, C. (2013) </w:t>
      </w:r>
      <w:r w:rsidR="00B9393C" w:rsidRPr="007E2A65">
        <w:t xml:space="preserve">Do competition and ownership matter? Evidence from local public transport in Europe. </w:t>
      </w:r>
      <w:r w:rsidR="00B9393C" w:rsidRPr="007E2A65">
        <w:rPr>
          <w:i/>
        </w:rPr>
        <w:t xml:space="preserve">Applied Economics, </w:t>
      </w:r>
      <w:r w:rsidRPr="007E2A65">
        <w:t>1419-1434.</w:t>
      </w:r>
    </w:p>
    <w:p w14:paraId="421CDDC2" w14:textId="1BF5B42F" w:rsidR="00B1377A" w:rsidRDefault="00B1377A" w:rsidP="002F4B01">
      <w:pPr>
        <w:autoSpaceDE w:val="0"/>
        <w:autoSpaceDN w:val="0"/>
        <w:adjustRightInd w:val="0"/>
        <w:spacing w:after="0" w:line="240" w:lineRule="auto"/>
        <w:rPr>
          <w:rFonts w:cstheme="minorHAnsi"/>
        </w:rPr>
      </w:pPr>
      <w:r w:rsidRPr="004D4E89">
        <w:rPr>
          <w:rFonts w:cstheme="minorHAnsi"/>
        </w:rPr>
        <w:t>Button, K (1998) The Good, the Bad and the Forgettable – or Lessons the US can learn</w:t>
      </w:r>
      <w:r w:rsidR="002F4B01">
        <w:rPr>
          <w:rFonts w:cstheme="minorHAnsi"/>
        </w:rPr>
        <w:t xml:space="preserve"> </w:t>
      </w:r>
      <w:r w:rsidRPr="004D4E89">
        <w:rPr>
          <w:rFonts w:cstheme="minorHAnsi"/>
        </w:rPr>
        <w:t xml:space="preserve">from European Transport Policy. </w:t>
      </w:r>
      <w:r w:rsidRPr="004D4E89">
        <w:rPr>
          <w:rFonts w:cstheme="minorHAnsi"/>
          <w:i/>
        </w:rPr>
        <w:t>Journal of Transport Geography</w:t>
      </w:r>
      <w:r w:rsidRPr="004D4E89">
        <w:rPr>
          <w:rFonts w:cstheme="minorHAnsi"/>
        </w:rPr>
        <w:t>, 6, 4, 285-294.</w:t>
      </w:r>
    </w:p>
    <w:p w14:paraId="3C0E210D" w14:textId="77777777" w:rsidR="002F4B01" w:rsidRPr="00B1377A" w:rsidRDefault="002F4B01" w:rsidP="002F4B01">
      <w:pPr>
        <w:autoSpaceDE w:val="0"/>
        <w:autoSpaceDN w:val="0"/>
        <w:adjustRightInd w:val="0"/>
        <w:spacing w:after="0" w:line="240" w:lineRule="auto"/>
        <w:rPr>
          <w:rFonts w:cstheme="minorHAnsi"/>
        </w:rPr>
      </w:pPr>
    </w:p>
    <w:p w14:paraId="2164135C" w14:textId="7DCDF264" w:rsidR="00586C92" w:rsidRPr="007E2A65" w:rsidRDefault="00586C92" w:rsidP="0044279E">
      <w:r w:rsidRPr="007E2A65">
        <w:t xml:space="preserve">Croissant, Y., Roy, W. and Canton, J. (2012) Reducing urban public transport costs by tendering lots: a panel data estimation. </w:t>
      </w:r>
      <w:r w:rsidRPr="007E2A65">
        <w:rPr>
          <w:i/>
        </w:rPr>
        <w:t xml:space="preserve">Applied Economics, </w:t>
      </w:r>
      <w:r w:rsidRPr="007E2A65">
        <w:t>3711-3722.</w:t>
      </w:r>
    </w:p>
    <w:p w14:paraId="51314FC6" w14:textId="178C2A00" w:rsidR="00621A6A" w:rsidRDefault="00621A6A" w:rsidP="000F3C24">
      <w:r w:rsidRPr="005451CE">
        <w:t>Currie G</w:t>
      </w:r>
      <w:r>
        <w:t>.</w:t>
      </w:r>
      <w:r w:rsidRPr="005451CE">
        <w:t xml:space="preserve"> and Merkert R</w:t>
      </w:r>
      <w:r>
        <w:t xml:space="preserve">. (2016) Workshop 1 report: Innovations in Service Delivery and Performance Management, </w:t>
      </w:r>
      <w:r w:rsidRPr="005451CE">
        <w:t>Research in Transportation Economics</w:t>
      </w:r>
      <w:r>
        <w:t>, 59, 7-10.</w:t>
      </w:r>
    </w:p>
    <w:p w14:paraId="54A69CB2" w14:textId="215BFB6E" w:rsidR="000F3C24" w:rsidRPr="007E2A65" w:rsidRDefault="000F3C24" w:rsidP="000F3C24">
      <w:proofErr w:type="spellStart"/>
      <w:r w:rsidRPr="007E2A65">
        <w:t>Faivre</w:t>
      </w:r>
      <w:proofErr w:type="spellEnd"/>
      <w:r w:rsidRPr="007E2A65">
        <w:t xml:space="preserve"> </w:t>
      </w:r>
      <w:proofErr w:type="spellStart"/>
      <w:r w:rsidRPr="007E2A65">
        <w:t>d’Arcier</w:t>
      </w:r>
      <w:proofErr w:type="spellEnd"/>
      <w:r w:rsidRPr="007E2A65">
        <w:t xml:space="preserve">, B. (2014). Measuring the performance of urban public transport in relation to public policy objectives. </w:t>
      </w:r>
      <w:r w:rsidRPr="007E2A65">
        <w:rPr>
          <w:i/>
          <w:iCs/>
        </w:rPr>
        <w:t>Research in Transportation Economics</w:t>
      </w:r>
      <w:r w:rsidRPr="007E2A65">
        <w:t xml:space="preserve">, </w:t>
      </w:r>
      <w:r w:rsidRPr="007E2A65">
        <w:rPr>
          <w:i/>
          <w:iCs/>
        </w:rPr>
        <w:t>48</w:t>
      </w:r>
      <w:r w:rsidRPr="007E2A65">
        <w:t>, 67–76.</w:t>
      </w:r>
    </w:p>
    <w:p w14:paraId="5B1A3976" w14:textId="73A6EFD1" w:rsidR="000E4DCA" w:rsidRPr="007E2A65" w:rsidRDefault="000E4DCA" w:rsidP="000E4DCA">
      <w:r w:rsidRPr="007E2A65">
        <w:t xml:space="preserve">Galbraith, J. K. (1967). </w:t>
      </w:r>
      <w:r w:rsidRPr="007E2A65">
        <w:rPr>
          <w:i/>
          <w:iCs/>
        </w:rPr>
        <w:t>The New Industrial State</w:t>
      </w:r>
      <w:r w:rsidRPr="007E2A65">
        <w:t>. Princeton University Press</w:t>
      </w:r>
      <w:r w:rsidR="009841D3" w:rsidRPr="007E2A65">
        <w:t>, Princeton, NJ.</w:t>
      </w:r>
      <w:r w:rsidRPr="007E2A65">
        <w:t xml:space="preserve"> (2007 Edition).</w:t>
      </w:r>
    </w:p>
    <w:p w14:paraId="6127FFE8" w14:textId="77777777" w:rsidR="00892965" w:rsidRPr="007E2A65" w:rsidRDefault="00892965" w:rsidP="00892965">
      <w:proofErr w:type="spellStart"/>
      <w:r w:rsidRPr="007E2A65">
        <w:t>Gwilliam</w:t>
      </w:r>
      <w:proofErr w:type="spellEnd"/>
      <w:r w:rsidRPr="007E2A65">
        <w:t xml:space="preserve">, K.M (2008) Bus transport. Is there a regulatory cycle? </w:t>
      </w:r>
      <w:r w:rsidRPr="007E2A65">
        <w:rPr>
          <w:i/>
        </w:rPr>
        <w:t>Transportation Research A</w:t>
      </w:r>
      <w:r w:rsidRPr="007E2A65">
        <w:t>, 42, 9, 1183-1194.</w:t>
      </w:r>
    </w:p>
    <w:p w14:paraId="2C418232" w14:textId="4AB6DA32" w:rsidR="0044279E" w:rsidRPr="007E2A65" w:rsidRDefault="0044279E" w:rsidP="0044279E">
      <w:proofErr w:type="spellStart"/>
      <w:r w:rsidRPr="007E2A65">
        <w:t>Hensher</w:t>
      </w:r>
      <w:proofErr w:type="spellEnd"/>
      <w:r w:rsidRPr="007E2A65">
        <w:t xml:space="preserve">, D. and Wallis, I. (2005) Competitive Tendering as a Contracting Mechanism for Subsidising Transport: The Bus Experience. </w:t>
      </w:r>
      <w:r w:rsidRPr="007E2A65">
        <w:rPr>
          <w:i/>
        </w:rPr>
        <w:t xml:space="preserve">Journal of </w:t>
      </w:r>
      <w:r w:rsidR="00C3057B" w:rsidRPr="007E2A65">
        <w:rPr>
          <w:i/>
        </w:rPr>
        <w:t xml:space="preserve">Transport Economics and Policy, </w:t>
      </w:r>
      <w:r w:rsidR="00C3057B" w:rsidRPr="007E2A65">
        <w:t>28, 295-322.</w:t>
      </w:r>
    </w:p>
    <w:p w14:paraId="63DD7CAA" w14:textId="47505395" w:rsidR="003A7757" w:rsidRDefault="003A7757" w:rsidP="003A7757">
      <w:proofErr w:type="spellStart"/>
      <w:r w:rsidRPr="007E2A65">
        <w:t>Hensher</w:t>
      </w:r>
      <w:proofErr w:type="spellEnd"/>
      <w:r w:rsidRPr="007E2A65">
        <w:t xml:space="preserve">, D. (2007) </w:t>
      </w:r>
      <w:r w:rsidR="00AC41C6" w:rsidRPr="007E2A65">
        <w:t xml:space="preserve">Delivering Value for Money to Government through Efficient and Effective Public Transit Service Continuity: Some Thoughts. </w:t>
      </w:r>
      <w:r w:rsidRPr="007E2A65">
        <w:rPr>
          <w:i/>
        </w:rPr>
        <w:t>Transport Reviews.</w:t>
      </w:r>
      <w:r w:rsidRPr="007E2A65">
        <w:t xml:space="preserve"> 27, 4, 4</w:t>
      </w:r>
      <w:r w:rsidR="00AC41C6" w:rsidRPr="007E2A65">
        <w:t>11</w:t>
      </w:r>
      <w:r w:rsidRPr="007E2A65">
        <w:t>-42</w:t>
      </w:r>
      <w:r w:rsidR="00AC41C6" w:rsidRPr="007E2A65">
        <w:t>0</w:t>
      </w:r>
      <w:r w:rsidRPr="007E2A65">
        <w:t>.</w:t>
      </w:r>
    </w:p>
    <w:p w14:paraId="6FA366A6" w14:textId="3CFCEBBB" w:rsidR="00380290" w:rsidRPr="007E2A65" w:rsidRDefault="00380290" w:rsidP="00380290">
      <w:r>
        <w:t xml:space="preserve">Hidalgo, D. and Gutiérrez, L. </w:t>
      </w:r>
      <w:r w:rsidR="00025B12">
        <w:t>(</w:t>
      </w:r>
      <w:r>
        <w:t>2013) BRT and BHLS around the world: Explosive growth, large positive impa</w:t>
      </w:r>
      <w:r w:rsidR="00025B12">
        <w:t xml:space="preserve">cts and many issues outstanding. </w:t>
      </w:r>
      <w:r w:rsidRPr="004D4E89">
        <w:rPr>
          <w:i/>
        </w:rPr>
        <w:t>Research in Transportation Economics,</w:t>
      </w:r>
      <w:r w:rsidR="00025B12">
        <w:t xml:space="preserve"> 3</w:t>
      </w:r>
      <w:r>
        <w:t>9, 1,</w:t>
      </w:r>
      <w:r w:rsidR="00025B12">
        <w:t xml:space="preserve"> </w:t>
      </w:r>
      <w:r>
        <w:t>8-13</w:t>
      </w:r>
      <w:r w:rsidR="00025B12">
        <w:t>.</w:t>
      </w:r>
    </w:p>
    <w:p w14:paraId="76614AC3" w14:textId="67FB6EF9" w:rsidR="003B7264" w:rsidRPr="007E2A65" w:rsidRDefault="003B7264" w:rsidP="003B7264">
      <w:r w:rsidRPr="007E2A65">
        <w:t xml:space="preserve">Merkert, R., Smith, A. and Nash, C. (2012) The Measurement of Transaction Costs — Evidence from European Railways. </w:t>
      </w:r>
      <w:r w:rsidRPr="007E2A65">
        <w:rPr>
          <w:i/>
        </w:rPr>
        <w:t xml:space="preserve">Journal of Transport Economics and Policy. </w:t>
      </w:r>
      <w:r w:rsidRPr="007E2A65">
        <w:t>46, 3, 349-365.</w:t>
      </w:r>
    </w:p>
    <w:p w14:paraId="72E5CC8F" w14:textId="3A2B18FD" w:rsidR="00844164" w:rsidRPr="007E2A65" w:rsidRDefault="00844164" w:rsidP="00844164">
      <w:proofErr w:type="spellStart"/>
      <w:r w:rsidRPr="007E2A65">
        <w:t>Mizutani</w:t>
      </w:r>
      <w:proofErr w:type="spellEnd"/>
      <w:r w:rsidRPr="007E2A65">
        <w:t xml:space="preserve">, F, Smith, A.S.J., Nash, C.A. and </w:t>
      </w:r>
      <w:proofErr w:type="spellStart"/>
      <w:r w:rsidRPr="007E2A65">
        <w:t>Uranishi</w:t>
      </w:r>
      <w:proofErr w:type="spellEnd"/>
      <w:r w:rsidRPr="007E2A65">
        <w:t xml:space="preserve">, S (2015). Comparing the Costs of Vertical Separation, Integration, and Intermediate Organisational Structures in European and East Asian Railways, </w:t>
      </w:r>
      <w:r w:rsidRPr="007E2A65">
        <w:rPr>
          <w:i/>
          <w:iCs/>
        </w:rPr>
        <w:t>Journal of Transport Economics and Policy</w:t>
      </w:r>
      <w:r w:rsidRPr="007E2A65">
        <w:t>, 49, 3, 496-515.</w:t>
      </w:r>
    </w:p>
    <w:p w14:paraId="4A9F699B" w14:textId="010A35F3" w:rsidR="00892965" w:rsidRDefault="00892965" w:rsidP="00892965">
      <w:r w:rsidRPr="007E2A65">
        <w:t xml:space="preserve">Needham, R. (1983) </w:t>
      </w:r>
      <w:proofErr w:type="gramStart"/>
      <w:r w:rsidRPr="007E2A65">
        <w:rPr>
          <w:i/>
        </w:rPr>
        <w:t>The</w:t>
      </w:r>
      <w:proofErr w:type="gramEnd"/>
      <w:r w:rsidRPr="007E2A65">
        <w:rPr>
          <w:i/>
        </w:rPr>
        <w:t xml:space="preserve"> Economics and Politics of Regulation: A Behavioural Approach</w:t>
      </w:r>
      <w:r w:rsidRPr="007E2A65">
        <w:t>.  Little, Brown and Company, Boston.</w:t>
      </w:r>
    </w:p>
    <w:p w14:paraId="7FC46D49" w14:textId="621ECF65" w:rsidR="00183848" w:rsidRPr="007E2A65" w:rsidRDefault="00183848" w:rsidP="00892965">
      <w:r w:rsidRPr="00183848">
        <w:t xml:space="preserve">Pawson, R. (2002) Evidence-based Policy: The Promise of ‘Realist Synthesis’. </w:t>
      </w:r>
      <w:r w:rsidRPr="00183848">
        <w:rPr>
          <w:i/>
        </w:rPr>
        <w:t>Evaluation,</w:t>
      </w:r>
      <w:r w:rsidRPr="00183848">
        <w:t xml:space="preserve"> 8, 3, 340-358.</w:t>
      </w:r>
    </w:p>
    <w:p w14:paraId="653A2DE8" w14:textId="57AF7ECE" w:rsidR="00EC1508" w:rsidRDefault="00EC1508" w:rsidP="0044279E">
      <w:r w:rsidRPr="007E2A65">
        <w:t xml:space="preserve">Preston, J. and Shaw, A. (2000) Tendering and Competition in Public Transport. </w:t>
      </w:r>
      <w:r w:rsidRPr="007E2A65">
        <w:rPr>
          <w:i/>
        </w:rPr>
        <w:t>Transport Reviews</w:t>
      </w:r>
      <w:r w:rsidRPr="007E2A65">
        <w:t>, 20, 3, 323-329</w:t>
      </w:r>
      <w:r w:rsidR="002A67C6">
        <w:t>.</w:t>
      </w:r>
    </w:p>
    <w:p w14:paraId="5CA79BC0" w14:textId="77777777" w:rsidR="002F4B01" w:rsidRDefault="009E2C3E" w:rsidP="00C3057B">
      <w:r>
        <w:t xml:space="preserve">Preston, J. (2001) </w:t>
      </w:r>
      <w:r w:rsidRPr="009E2C3E">
        <w:t xml:space="preserve">Regulation Policy in Land Passenger Transportation in Europe. </w:t>
      </w:r>
      <w:r w:rsidRPr="009E2C3E">
        <w:rPr>
          <w:i/>
        </w:rPr>
        <w:t>International Conference on Competition and Ownership in Land Passenger Transport</w:t>
      </w:r>
      <w:r w:rsidRPr="009E2C3E">
        <w:t xml:space="preserve">, </w:t>
      </w:r>
      <w:proofErr w:type="spellStart"/>
      <w:r w:rsidRPr="009E2C3E">
        <w:t>Molde</w:t>
      </w:r>
      <w:proofErr w:type="spellEnd"/>
      <w:r w:rsidRPr="009E2C3E">
        <w:t>.</w:t>
      </w:r>
    </w:p>
    <w:p w14:paraId="1065D6A2" w14:textId="0C601238" w:rsidR="00C3057B" w:rsidRPr="007E2A65" w:rsidRDefault="00C3057B" w:rsidP="00C3057B">
      <w:r w:rsidRPr="007E2A65">
        <w:rPr>
          <w:iCs/>
        </w:rPr>
        <w:t xml:space="preserve">Preston, J. (2005) </w:t>
      </w:r>
      <w:r w:rsidRPr="007E2A65">
        <w:rPr>
          <w:i/>
          <w:iCs/>
        </w:rPr>
        <w:t xml:space="preserve">Tendering of Services. </w:t>
      </w:r>
      <w:r w:rsidRPr="007E2A65">
        <w:t xml:space="preserve">In Button, K. and </w:t>
      </w:r>
      <w:proofErr w:type="spellStart"/>
      <w:r w:rsidRPr="007E2A65">
        <w:t>Hensher</w:t>
      </w:r>
      <w:proofErr w:type="spellEnd"/>
      <w:r w:rsidRPr="007E2A65">
        <w:t>, D. (</w:t>
      </w:r>
      <w:proofErr w:type="spellStart"/>
      <w:r w:rsidRPr="007E2A65">
        <w:t>Eds</w:t>
      </w:r>
      <w:proofErr w:type="spellEnd"/>
      <w:r w:rsidRPr="007E2A65">
        <w:t xml:space="preserve">) </w:t>
      </w:r>
      <w:r w:rsidRPr="007E2A65">
        <w:rPr>
          <w:i/>
          <w:iCs/>
        </w:rPr>
        <w:t xml:space="preserve">Handbook of Transport Strategy, Policy and Institutions. </w:t>
      </w:r>
      <w:r w:rsidRPr="007E2A65">
        <w:t>Elsevier, Oxford. 65-82.</w:t>
      </w:r>
    </w:p>
    <w:p w14:paraId="61111618" w14:textId="7733FE17" w:rsidR="00892965" w:rsidRPr="007E2A65" w:rsidRDefault="00892965" w:rsidP="00C3057B">
      <w:r w:rsidRPr="007E2A65">
        <w:t xml:space="preserve">Preston, J. (2017) </w:t>
      </w:r>
      <w:proofErr w:type="gramStart"/>
      <w:r w:rsidRPr="007E2A65">
        <w:t>The</w:t>
      </w:r>
      <w:proofErr w:type="gramEnd"/>
      <w:r w:rsidRPr="007E2A65">
        <w:t xml:space="preserve"> impact of regulatory reform on public transport markets. In Cowie, J. and </w:t>
      </w:r>
      <w:proofErr w:type="spellStart"/>
      <w:r w:rsidRPr="007E2A65">
        <w:t>Ison</w:t>
      </w:r>
      <w:proofErr w:type="spellEnd"/>
      <w:r w:rsidRPr="007E2A65">
        <w:t>, S. (</w:t>
      </w:r>
      <w:proofErr w:type="spellStart"/>
      <w:r w:rsidRPr="007E2A65">
        <w:t>Eds</w:t>
      </w:r>
      <w:proofErr w:type="spellEnd"/>
      <w:r w:rsidRPr="007E2A65">
        <w:t xml:space="preserve">).  </w:t>
      </w:r>
      <w:r w:rsidRPr="007E2A65">
        <w:rPr>
          <w:i/>
        </w:rPr>
        <w:t>Handbook of Transport Economics.</w:t>
      </w:r>
      <w:r w:rsidRPr="007E2A65">
        <w:t xml:space="preserve"> Routledge.</w:t>
      </w:r>
    </w:p>
    <w:p w14:paraId="3F7471E7" w14:textId="5D8F5BDD" w:rsidR="00DB098F" w:rsidRPr="007E2A65" w:rsidRDefault="00DB098F" w:rsidP="00C3057B">
      <w:r w:rsidRPr="007E2A65">
        <w:t xml:space="preserve">Waterson, M. (1988) </w:t>
      </w:r>
      <w:r w:rsidRPr="007E2A65">
        <w:rPr>
          <w:i/>
        </w:rPr>
        <w:t xml:space="preserve">Regulation of the Frim and Natural Monopoly. </w:t>
      </w:r>
      <w:r w:rsidRPr="007E2A65">
        <w:t>Basil Blackwell, Oxford.</w:t>
      </w:r>
    </w:p>
    <w:p w14:paraId="5FC409AC" w14:textId="0B3B284B" w:rsidR="00195918" w:rsidRPr="007E2A65" w:rsidRDefault="00195918" w:rsidP="00C3057B">
      <w:r w:rsidRPr="007E2A65">
        <w:t>Veeneman, W. and Smith, A. (2016) Workshop 2 Report: Effective Institutional Design, Regu</w:t>
      </w:r>
      <w:r w:rsidR="00606390" w:rsidRPr="007E2A65">
        <w:t xml:space="preserve">latory Frameworks and Contracts. </w:t>
      </w:r>
      <w:r w:rsidR="00606390" w:rsidRPr="007E2A65">
        <w:rPr>
          <w:i/>
        </w:rPr>
        <w:t xml:space="preserve">Research in Transportation Economics, </w:t>
      </w:r>
      <w:r w:rsidR="00606390" w:rsidRPr="007E2A65">
        <w:t>59, 60-64.</w:t>
      </w:r>
    </w:p>
    <w:p w14:paraId="77858D53" w14:textId="1AE254CF" w:rsidR="008444F2" w:rsidRPr="007E2A65" w:rsidRDefault="00A4732E" w:rsidP="00C3057B">
      <w:proofErr w:type="gramStart"/>
      <w:r w:rsidRPr="007E2A65">
        <w:t>van</w:t>
      </w:r>
      <w:proofErr w:type="gramEnd"/>
      <w:r w:rsidR="008444F2" w:rsidRPr="007E2A65">
        <w:t xml:space="preserve"> </w:t>
      </w:r>
      <w:r w:rsidRPr="007E2A65">
        <w:t>de</w:t>
      </w:r>
      <w:r w:rsidR="008444F2" w:rsidRPr="007E2A65">
        <w:t xml:space="preserve"> </w:t>
      </w:r>
      <w:proofErr w:type="spellStart"/>
      <w:r w:rsidR="008444F2" w:rsidRPr="007E2A65">
        <w:t>V</w:t>
      </w:r>
      <w:r w:rsidRPr="007E2A65">
        <w:t>elde</w:t>
      </w:r>
      <w:proofErr w:type="spellEnd"/>
      <w:r w:rsidR="008444F2" w:rsidRPr="007E2A65">
        <w:t>, D. (1999). O</w:t>
      </w:r>
      <w:r w:rsidRPr="007E2A65">
        <w:t>rganisational Forms</w:t>
      </w:r>
      <w:r w:rsidR="008444F2" w:rsidRPr="007E2A65">
        <w:t xml:space="preserve"> </w:t>
      </w:r>
      <w:r w:rsidRPr="007E2A65">
        <w:t>and</w:t>
      </w:r>
      <w:r w:rsidR="008444F2" w:rsidRPr="007E2A65">
        <w:t xml:space="preserve"> E</w:t>
      </w:r>
      <w:r w:rsidRPr="007E2A65">
        <w:t>ntrepreneurship</w:t>
      </w:r>
      <w:r w:rsidR="008444F2" w:rsidRPr="007E2A65">
        <w:t xml:space="preserve"> </w:t>
      </w:r>
      <w:r w:rsidRPr="007E2A65">
        <w:t>in</w:t>
      </w:r>
      <w:r w:rsidR="008444F2" w:rsidRPr="007E2A65">
        <w:t xml:space="preserve"> P</w:t>
      </w:r>
      <w:r w:rsidRPr="007E2A65">
        <w:t>ublic</w:t>
      </w:r>
      <w:r w:rsidR="008444F2" w:rsidRPr="007E2A65">
        <w:t xml:space="preserve"> T</w:t>
      </w:r>
      <w:r w:rsidRPr="007E2A65">
        <w:t>ransport</w:t>
      </w:r>
      <w:r w:rsidR="008444F2" w:rsidRPr="007E2A65">
        <w:t>. P</w:t>
      </w:r>
      <w:r w:rsidRPr="007E2A65">
        <w:t>art</w:t>
      </w:r>
      <w:r w:rsidR="008444F2" w:rsidRPr="007E2A65">
        <w:t xml:space="preserve"> 1: C</w:t>
      </w:r>
      <w:r w:rsidRPr="007E2A65">
        <w:t xml:space="preserve">lassifying </w:t>
      </w:r>
      <w:r w:rsidR="008444F2" w:rsidRPr="007E2A65">
        <w:t>O</w:t>
      </w:r>
      <w:r w:rsidRPr="007E2A65">
        <w:t>r</w:t>
      </w:r>
      <w:r w:rsidR="00E07B8A">
        <w:t>g</w:t>
      </w:r>
      <w:r w:rsidRPr="007E2A65">
        <w:t>anisational</w:t>
      </w:r>
      <w:r w:rsidR="008444F2" w:rsidRPr="007E2A65">
        <w:t xml:space="preserve"> F</w:t>
      </w:r>
      <w:r w:rsidRPr="007E2A65">
        <w:t>orms</w:t>
      </w:r>
      <w:r w:rsidR="008444F2" w:rsidRPr="007E2A65">
        <w:t xml:space="preserve">. </w:t>
      </w:r>
      <w:r w:rsidR="008444F2" w:rsidRPr="007E2A65">
        <w:rPr>
          <w:i/>
        </w:rPr>
        <w:t>Transport Policy</w:t>
      </w:r>
      <w:r w:rsidR="008444F2" w:rsidRPr="007E2A65">
        <w:t xml:space="preserve">, </w:t>
      </w:r>
      <w:r w:rsidRPr="007E2A65">
        <w:t>6</w:t>
      </w:r>
      <w:r w:rsidR="008444F2" w:rsidRPr="007E2A65">
        <w:t>, 3, 147-157.</w:t>
      </w:r>
    </w:p>
    <w:p w14:paraId="7775EDB0" w14:textId="40C53E5A" w:rsidR="000E4DCA" w:rsidRPr="007E2A65" w:rsidRDefault="000E4DCA" w:rsidP="000E4DCA">
      <w:r w:rsidRPr="007E2A65">
        <w:t xml:space="preserve">Von Mises, L., (1949). </w:t>
      </w:r>
      <w:r w:rsidRPr="007E2A65">
        <w:rPr>
          <w:i/>
          <w:iCs/>
        </w:rPr>
        <w:t>Human Action: a treatise on Economics</w:t>
      </w:r>
      <w:r w:rsidR="009841D3" w:rsidRPr="007E2A65">
        <w:rPr>
          <w:i/>
          <w:iCs/>
        </w:rPr>
        <w:t xml:space="preserve"> </w:t>
      </w:r>
      <w:r w:rsidRPr="007E2A65">
        <w:t>Liberty Fund Incorporated</w:t>
      </w:r>
      <w:r w:rsidR="009841D3" w:rsidRPr="007E2A65">
        <w:t>, Indianapolis.</w:t>
      </w:r>
      <w:r w:rsidRPr="007E2A65">
        <w:t xml:space="preserve"> (2007 reprint).</w:t>
      </w:r>
    </w:p>
    <w:p w14:paraId="6D40AF6F" w14:textId="6C7E85B5" w:rsidR="00281D3D" w:rsidRDefault="00281D3D" w:rsidP="00281D3D">
      <w:pPr>
        <w:rPr>
          <w:iCs/>
        </w:rPr>
      </w:pPr>
      <w:r w:rsidRPr="007E2A65">
        <w:t xml:space="preserve">Wheat, P. E. and Smith A.S.J. (2015) Do the usual results of railway returns to scale and density hold in the case of heterogeneity in outputs? A hedonic cost function approach. </w:t>
      </w:r>
      <w:r w:rsidRPr="007E2A65">
        <w:rPr>
          <w:i/>
          <w:iCs/>
        </w:rPr>
        <w:t>Journal of</w:t>
      </w:r>
      <w:r w:rsidR="004E7219" w:rsidRPr="007E2A65">
        <w:rPr>
          <w:i/>
          <w:iCs/>
        </w:rPr>
        <w:t xml:space="preserve"> Transport Economics and Policy, </w:t>
      </w:r>
      <w:r w:rsidR="004E7219" w:rsidRPr="007E2A65">
        <w:rPr>
          <w:iCs/>
        </w:rPr>
        <w:t>49, 1, 35-47.</w:t>
      </w:r>
    </w:p>
    <w:p w14:paraId="2EDE04E3" w14:textId="41AFE731" w:rsidR="00E9298B" w:rsidRPr="00E9298B" w:rsidRDefault="00E9298B" w:rsidP="00E9298B">
      <w:pPr>
        <w:rPr>
          <w:iCs/>
        </w:rPr>
      </w:pPr>
      <w:r w:rsidRPr="00E9298B">
        <w:rPr>
          <w:iCs/>
        </w:rPr>
        <w:t xml:space="preserve">Williamson, O. (1985) </w:t>
      </w:r>
      <w:proofErr w:type="gramStart"/>
      <w:r w:rsidRPr="005451CE">
        <w:rPr>
          <w:i/>
          <w:iCs/>
        </w:rPr>
        <w:t>The</w:t>
      </w:r>
      <w:proofErr w:type="gramEnd"/>
      <w:r w:rsidRPr="005451CE">
        <w:rPr>
          <w:i/>
          <w:iCs/>
        </w:rPr>
        <w:t xml:space="preserve"> Economic Institutions of Capitalism</w:t>
      </w:r>
      <w:r w:rsidRPr="00E9298B">
        <w:rPr>
          <w:iCs/>
        </w:rPr>
        <w:t>.  The Free Press, New York.</w:t>
      </w:r>
    </w:p>
    <w:p w14:paraId="53F2DDE1" w14:textId="159017F4" w:rsidR="00F27AB1" w:rsidRPr="007E2A65" w:rsidRDefault="00F27AB1" w:rsidP="00F27AB1">
      <w:r w:rsidRPr="007E2A65">
        <w:rPr>
          <w:iCs/>
        </w:rPr>
        <w:t>Williamson, O. E. (2000)</w:t>
      </w:r>
      <w:r w:rsidRPr="007E2A65">
        <w:rPr>
          <w:i/>
          <w:iCs/>
        </w:rPr>
        <w:t xml:space="preserve">. </w:t>
      </w:r>
      <w:r w:rsidRPr="007E2A65">
        <w:rPr>
          <w:iCs/>
        </w:rPr>
        <w:t xml:space="preserve">The New Institutional Economics: Taking stock, looking ahead. </w:t>
      </w:r>
      <w:r w:rsidRPr="007E2A65">
        <w:rPr>
          <w:i/>
          <w:iCs/>
        </w:rPr>
        <w:t xml:space="preserve">Journal of Economic Perspectives. </w:t>
      </w:r>
      <w:r w:rsidRPr="007E2A65">
        <w:rPr>
          <w:iCs/>
        </w:rPr>
        <w:t>38, 3, 595-613.</w:t>
      </w:r>
    </w:p>
    <w:p w14:paraId="61444320" w14:textId="18558064" w:rsidR="00F27AB1" w:rsidRPr="007E2A65" w:rsidRDefault="009B137F" w:rsidP="000E4DCA">
      <w:pPr>
        <w:rPr>
          <w:b/>
        </w:rPr>
      </w:pPr>
      <w:r w:rsidRPr="007E2A65">
        <w:rPr>
          <w:b/>
        </w:rPr>
        <w:t>Participants</w:t>
      </w:r>
    </w:p>
    <w:p w14:paraId="1DAFDC3D" w14:textId="1FE41F69" w:rsidR="00CD53B6" w:rsidRPr="007E2A65" w:rsidRDefault="00CD53B6" w:rsidP="00CD53B6">
      <w:pPr>
        <w:rPr>
          <w:b/>
        </w:rPr>
      </w:pPr>
      <w:r w:rsidRPr="007E2A65">
        <w:rPr>
          <w:b/>
        </w:rPr>
        <w:t>Workshop 2A.</w:t>
      </w:r>
    </w:p>
    <w:p w14:paraId="1A910A54" w14:textId="0AAFD899" w:rsidR="003A42F5" w:rsidRDefault="000953C1" w:rsidP="003A42F5">
      <w:r>
        <w:t xml:space="preserve">Zak </w:t>
      </w:r>
      <w:proofErr w:type="spellStart"/>
      <w:r>
        <w:t>Accuardi</w:t>
      </w:r>
      <w:proofErr w:type="spellEnd"/>
      <w:r>
        <w:t xml:space="preserve"> (USA), </w:t>
      </w:r>
      <w:proofErr w:type="spellStart"/>
      <w:r w:rsidR="00042E1B">
        <w:t>Malin</w:t>
      </w:r>
      <w:proofErr w:type="spellEnd"/>
      <w:r w:rsidR="00042E1B">
        <w:t xml:space="preserve"> </w:t>
      </w:r>
      <w:proofErr w:type="spellStart"/>
      <w:r w:rsidR="00042E1B">
        <w:t>Aldenius</w:t>
      </w:r>
      <w:proofErr w:type="spellEnd"/>
      <w:r w:rsidR="00042E1B">
        <w:t xml:space="preserve"> (Sweden), </w:t>
      </w:r>
      <w:proofErr w:type="spellStart"/>
      <w:r w:rsidR="00042E1B">
        <w:t>Yasaman</w:t>
      </w:r>
      <w:proofErr w:type="spellEnd"/>
      <w:r w:rsidR="00042E1B">
        <w:t xml:space="preserve"> </w:t>
      </w:r>
      <w:proofErr w:type="spellStart"/>
      <w:r w:rsidR="00042E1B">
        <w:t>Asadi</w:t>
      </w:r>
      <w:proofErr w:type="spellEnd"/>
      <w:r w:rsidR="00042E1B">
        <w:t xml:space="preserve"> (Iran), Keith Boyer (Australia), David Bray (Australia), Carolina </w:t>
      </w:r>
      <w:proofErr w:type="spellStart"/>
      <w:r w:rsidR="00042E1B">
        <w:t>Camen</w:t>
      </w:r>
      <w:proofErr w:type="spellEnd"/>
      <w:r w:rsidR="00042E1B">
        <w:t xml:space="preserve"> (Sweden), Jorge Diaz (UK), Marina </w:t>
      </w:r>
      <w:proofErr w:type="spellStart"/>
      <w:r w:rsidR="00042E1B">
        <w:t>Dragicevic</w:t>
      </w:r>
      <w:proofErr w:type="spellEnd"/>
      <w:r w:rsidR="00042E1B">
        <w:t xml:space="preserve"> (Chile)</w:t>
      </w:r>
      <w:r>
        <w:t xml:space="preserve">, Peter Dwyer (Australia), Caroline </w:t>
      </w:r>
      <w:proofErr w:type="spellStart"/>
      <w:r>
        <w:t>Fabianski</w:t>
      </w:r>
      <w:proofErr w:type="spellEnd"/>
      <w:r>
        <w:t xml:space="preserve"> (Belgium), Clint </w:t>
      </w:r>
      <w:proofErr w:type="spellStart"/>
      <w:r>
        <w:t>Feuerherdt</w:t>
      </w:r>
      <w:proofErr w:type="spellEnd"/>
      <w:r>
        <w:t xml:space="preserve"> (Australia), Brendan Finn (Ireland), Frederik A. </w:t>
      </w:r>
      <w:proofErr w:type="spellStart"/>
      <w:r>
        <w:t>Gregersen</w:t>
      </w:r>
      <w:proofErr w:type="spellEnd"/>
      <w:r>
        <w:t xml:space="preserve"> (Norway), Fabian Hirschhorn (Netherlands), Barry Kidd (New Zealand), Helene </w:t>
      </w:r>
      <w:proofErr w:type="spellStart"/>
      <w:r>
        <w:t>Lidestam</w:t>
      </w:r>
      <w:proofErr w:type="spellEnd"/>
      <w:r>
        <w:t xml:space="preserve"> (Sweden), Ian MacDonald (Australia), </w:t>
      </w:r>
      <w:proofErr w:type="spellStart"/>
      <w:r>
        <w:t>Tatenda</w:t>
      </w:r>
      <w:proofErr w:type="spellEnd"/>
      <w:r>
        <w:t xml:space="preserve"> </w:t>
      </w:r>
      <w:proofErr w:type="spellStart"/>
      <w:r>
        <w:t>Mbara</w:t>
      </w:r>
      <w:proofErr w:type="spellEnd"/>
      <w:r>
        <w:t xml:space="preserve"> (South Africa), </w:t>
      </w:r>
      <w:r w:rsidR="003A42F5">
        <w:t xml:space="preserve">Maria Melkersson (Sweden), Rico Merkert (Australia), </w:t>
      </w:r>
      <w:r>
        <w:t xml:space="preserve">Francois Meyer (South Africa), </w:t>
      </w:r>
      <w:proofErr w:type="spellStart"/>
      <w:r>
        <w:t>Mathetha</w:t>
      </w:r>
      <w:proofErr w:type="spellEnd"/>
      <w:r>
        <w:t xml:space="preserve"> </w:t>
      </w:r>
      <w:proofErr w:type="spellStart"/>
      <w:r>
        <w:t>Mokonyama</w:t>
      </w:r>
      <w:proofErr w:type="spellEnd"/>
      <w:r>
        <w:t xml:space="preserve"> (South Africa), Jeff </w:t>
      </w:r>
      <w:proofErr w:type="spellStart"/>
      <w:r>
        <w:t>Ngcobo</w:t>
      </w:r>
      <w:proofErr w:type="spellEnd"/>
      <w:r>
        <w:t xml:space="preserve"> (South Africa), Ragnar </w:t>
      </w:r>
      <w:proofErr w:type="spellStart"/>
      <w:r>
        <w:t>Norbaeck</w:t>
      </w:r>
      <w:proofErr w:type="spellEnd"/>
      <w:r>
        <w:t xml:space="preserve"> (Sweden), Goh </w:t>
      </w:r>
      <w:proofErr w:type="spellStart"/>
      <w:r>
        <w:t>Puay</w:t>
      </w:r>
      <w:proofErr w:type="spellEnd"/>
      <w:r>
        <w:t xml:space="preserve"> San (Singapore), Roger Pyddoke (Sweden), Jordi </w:t>
      </w:r>
      <w:proofErr w:type="spellStart"/>
      <w:r>
        <w:t>Rosell</w:t>
      </w:r>
      <w:proofErr w:type="spellEnd"/>
      <w:r>
        <w:t xml:space="preserve"> (Spain), Stephen Rowe (Australia), Alexander </w:t>
      </w:r>
      <w:proofErr w:type="spellStart"/>
      <w:r>
        <w:t>Ryzhkov</w:t>
      </w:r>
      <w:proofErr w:type="spellEnd"/>
      <w:r>
        <w:t xml:space="preserve"> (Russia), Alison </w:t>
      </w:r>
      <w:proofErr w:type="spellStart"/>
      <w:r>
        <w:t>Swee</w:t>
      </w:r>
      <w:proofErr w:type="spellEnd"/>
      <w:r>
        <w:t xml:space="preserve"> (Singapore), </w:t>
      </w:r>
      <w:proofErr w:type="spellStart"/>
      <w:r>
        <w:t>Jonne</w:t>
      </w:r>
      <w:proofErr w:type="spellEnd"/>
      <w:r>
        <w:t xml:space="preserve"> Virtanen (Finland), </w:t>
      </w:r>
      <w:proofErr w:type="spellStart"/>
      <w:r>
        <w:t>Kjetil</w:t>
      </w:r>
      <w:proofErr w:type="spellEnd"/>
      <w:r>
        <w:t xml:space="preserve"> </w:t>
      </w:r>
      <w:proofErr w:type="spellStart"/>
      <w:r>
        <w:t>Vrenne</w:t>
      </w:r>
      <w:proofErr w:type="spellEnd"/>
      <w:r>
        <w:t xml:space="preserve"> (Norway), Ian Wall</w:t>
      </w:r>
      <w:r w:rsidR="00023AD5">
        <w:t>is</w:t>
      </w:r>
      <w:r>
        <w:t xml:space="preserve"> (New Zealand), Jackie Walters (South Africa), Philipp </w:t>
      </w:r>
      <w:proofErr w:type="spellStart"/>
      <w:r>
        <w:t>Wegelin</w:t>
      </w:r>
      <w:proofErr w:type="spellEnd"/>
      <w:r>
        <w:t xml:space="preserve"> (Switzerland), </w:t>
      </w:r>
      <w:r w:rsidR="003A42F5" w:rsidRPr="007E2A65">
        <w:t>(3</w:t>
      </w:r>
      <w:r w:rsidR="003A42F5">
        <w:t>5</w:t>
      </w:r>
      <w:r w:rsidR="003A42F5" w:rsidRPr="007E2A65">
        <w:t xml:space="preserve"> participants, 16 countries)</w:t>
      </w:r>
    </w:p>
    <w:p w14:paraId="298ED742" w14:textId="33A34D9B" w:rsidR="009B137F" w:rsidRPr="007E2A65" w:rsidRDefault="009B137F" w:rsidP="000E4DCA">
      <w:pPr>
        <w:rPr>
          <w:b/>
        </w:rPr>
      </w:pPr>
      <w:r w:rsidRPr="007E2A65">
        <w:rPr>
          <w:b/>
        </w:rPr>
        <w:t>Workshop 2B.</w:t>
      </w:r>
    </w:p>
    <w:p w14:paraId="6F29DB6B" w14:textId="2BD95642" w:rsidR="003A42F5" w:rsidRDefault="009B137F" w:rsidP="003A42F5">
      <w:proofErr w:type="spellStart"/>
      <w:r w:rsidRPr="007E2A65">
        <w:t>Tero</w:t>
      </w:r>
      <w:proofErr w:type="spellEnd"/>
      <w:r w:rsidRPr="007E2A65">
        <w:t xml:space="preserve"> </w:t>
      </w:r>
      <w:proofErr w:type="spellStart"/>
      <w:r w:rsidRPr="007E2A65">
        <w:t>Anttila</w:t>
      </w:r>
      <w:proofErr w:type="spellEnd"/>
      <w:r w:rsidRPr="007E2A65">
        <w:t xml:space="preserve"> (Finland), David </w:t>
      </w:r>
      <w:proofErr w:type="spellStart"/>
      <w:r w:rsidRPr="007E2A65">
        <w:t>Bragdon</w:t>
      </w:r>
      <w:proofErr w:type="spellEnd"/>
      <w:r w:rsidRPr="007E2A65">
        <w:t xml:space="preserve"> (US), </w:t>
      </w:r>
      <w:proofErr w:type="spellStart"/>
      <w:r w:rsidRPr="007E2A65">
        <w:t>Fatih</w:t>
      </w:r>
      <w:proofErr w:type="spellEnd"/>
      <w:r w:rsidRPr="007E2A65">
        <w:t xml:space="preserve"> </w:t>
      </w:r>
      <w:proofErr w:type="spellStart"/>
      <w:r w:rsidRPr="007E2A65">
        <w:t>Canitez</w:t>
      </w:r>
      <w:proofErr w:type="spellEnd"/>
      <w:r w:rsidRPr="007E2A65">
        <w:t xml:space="preserve"> (Turkey), Jonathan Cowie (UK), Andrei </w:t>
      </w:r>
      <w:proofErr w:type="spellStart"/>
      <w:r w:rsidRPr="007E2A65">
        <w:t>Dementiev</w:t>
      </w:r>
      <w:proofErr w:type="spellEnd"/>
      <w:r w:rsidRPr="007E2A65">
        <w:t xml:space="preserve"> (Russia), </w:t>
      </w:r>
      <w:proofErr w:type="spellStart"/>
      <w:r w:rsidRPr="007E2A65">
        <w:t>Gustaf</w:t>
      </w:r>
      <w:proofErr w:type="spellEnd"/>
      <w:r w:rsidRPr="007E2A65">
        <w:t xml:space="preserve"> </w:t>
      </w:r>
      <w:proofErr w:type="spellStart"/>
      <w:r w:rsidRPr="007E2A65">
        <w:t>Engstrand</w:t>
      </w:r>
      <w:proofErr w:type="spellEnd"/>
      <w:r w:rsidRPr="007E2A65">
        <w:t xml:space="preserve"> (Sweden), Marcin </w:t>
      </w:r>
      <w:proofErr w:type="spellStart"/>
      <w:r w:rsidRPr="007E2A65">
        <w:t>Krol</w:t>
      </w:r>
      <w:proofErr w:type="spellEnd"/>
      <w:r w:rsidRPr="007E2A65">
        <w:t xml:space="preserve"> (Poland), Heike Link (Germany), Jun </w:t>
      </w:r>
      <w:proofErr w:type="spellStart"/>
      <w:r w:rsidRPr="007E2A65">
        <w:t>Mizutani</w:t>
      </w:r>
      <w:proofErr w:type="spellEnd"/>
      <w:r w:rsidRPr="007E2A65">
        <w:t xml:space="preserve"> (Japan), Chris Nash (UK), John Preston (UK), Hiroki Sakai (Japan), Christoph Schaaffkamp (Germany), Winfried Schmitz (Germany), </w:t>
      </w:r>
      <w:proofErr w:type="spellStart"/>
      <w:r w:rsidRPr="007E2A65">
        <w:t>Niek</w:t>
      </w:r>
      <w:proofErr w:type="spellEnd"/>
      <w:r w:rsidRPr="007E2A65">
        <w:t xml:space="preserve"> </w:t>
      </w:r>
      <w:proofErr w:type="spellStart"/>
      <w:r w:rsidRPr="007E2A65">
        <w:t>Wijmenga</w:t>
      </w:r>
      <w:proofErr w:type="spellEnd"/>
      <w:r w:rsidRPr="007E2A65">
        <w:t xml:space="preserve"> (the Netherlands).</w:t>
      </w:r>
      <w:r w:rsidR="00CD53B6" w:rsidRPr="007E2A65">
        <w:t>(15 participants, 9</w:t>
      </w:r>
      <w:r w:rsidR="00886708">
        <w:t xml:space="preserve"> c</w:t>
      </w:r>
      <w:r w:rsidR="00CD53B6" w:rsidRPr="007E2A65">
        <w:t>ountries)</w:t>
      </w:r>
      <w:r w:rsidR="00886708">
        <w:t>.</w:t>
      </w:r>
    </w:p>
    <w:p w14:paraId="562EC1D2" w14:textId="3CC953D1" w:rsidR="003E575C" w:rsidRDefault="003E575C" w:rsidP="003A42F5">
      <w:pPr>
        <w:rPr>
          <w:b/>
          <w:bCs/>
        </w:rPr>
      </w:pPr>
      <w:r>
        <w:rPr>
          <w:b/>
          <w:bCs/>
        </w:rPr>
        <w:t>Acknowledgements</w:t>
      </w:r>
    </w:p>
    <w:p w14:paraId="5ACE70C6" w14:textId="234C9FF4" w:rsidR="003E575C" w:rsidRPr="003E575C" w:rsidRDefault="003E575C" w:rsidP="0054263A">
      <w:r>
        <w:t xml:space="preserve">We are particularly grateful for the comments on an earlier draft by </w:t>
      </w:r>
      <w:r w:rsidR="00C12F75">
        <w:t xml:space="preserve">Caroline </w:t>
      </w:r>
      <w:proofErr w:type="spellStart"/>
      <w:r w:rsidR="00C12F75">
        <w:t>Fabianski</w:t>
      </w:r>
      <w:proofErr w:type="spellEnd"/>
      <w:r w:rsidR="00C12F75">
        <w:t xml:space="preserve">, </w:t>
      </w:r>
      <w:r w:rsidR="00FA6D72">
        <w:t xml:space="preserve">Fabio Hirschhorn, </w:t>
      </w:r>
      <w:r w:rsidR="00C76C40" w:rsidRPr="00C76C40">
        <w:t xml:space="preserve">Marcin </w:t>
      </w:r>
      <w:proofErr w:type="spellStart"/>
      <w:r w:rsidR="00C76C40" w:rsidRPr="00C76C40">
        <w:t>Krol</w:t>
      </w:r>
      <w:proofErr w:type="spellEnd"/>
      <w:r w:rsidR="00C76C40">
        <w:t xml:space="preserve">, </w:t>
      </w:r>
      <w:r w:rsidR="00C12F75">
        <w:t xml:space="preserve">Chris Nash, </w:t>
      </w:r>
      <w:r>
        <w:t xml:space="preserve">Roger </w:t>
      </w:r>
      <w:r w:rsidRPr="003E575C">
        <w:t>Pyddoke</w:t>
      </w:r>
      <w:r>
        <w:t>,</w:t>
      </w:r>
      <w:r w:rsidR="001B78E3">
        <w:t xml:space="preserve"> </w:t>
      </w:r>
      <w:r w:rsidR="001B78E3" w:rsidRPr="001B78E3">
        <w:t>Christoph Schaaffkamp</w:t>
      </w:r>
      <w:r w:rsidR="0054263A">
        <w:t xml:space="preserve"> and </w:t>
      </w:r>
      <w:r w:rsidR="0054263A" w:rsidRPr="0054263A">
        <w:t xml:space="preserve">Philipp </w:t>
      </w:r>
      <w:proofErr w:type="spellStart"/>
      <w:r w:rsidR="0054263A" w:rsidRPr="0054263A">
        <w:t>Wegelin</w:t>
      </w:r>
      <w:proofErr w:type="spellEnd"/>
      <w:r w:rsidR="0054263A">
        <w:t>. Any remaining mistakes are, of course, our own.</w:t>
      </w:r>
    </w:p>
    <w:sectPr w:rsidR="003E575C" w:rsidRPr="003E575C">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BE770" w14:textId="77777777" w:rsidR="00C76C40" w:rsidRDefault="00C76C40" w:rsidP="004B49CB">
      <w:pPr>
        <w:spacing w:after="0" w:line="240" w:lineRule="auto"/>
      </w:pPr>
      <w:r>
        <w:separator/>
      </w:r>
    </w:p>
  </w:endnote>
  <w:endnote w:type="continuationSeparator" w:id="0">
    <w:p w14:paraId="7550D2C2" w14:textId="77777777" w:rsidR="00C76C40" w:rsidRDefault="00C76C40" w:rsidP="004B4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19974"/>
      <w:docPartObj>
        <w:docPartGallery w:val="Page Numbers (Bottom of Page)"/>
        <w:docPartUnique/>
      </w:docPartObj>
    </w:sdtPr>
    <w:sdtEndPr>
      <w:rPr>
        <w:noProof/>
      </w:rPr>
    </w:sdtEndPr>
    <w:sdtContent>
      <w:p w14:paraId="4AED6DBD" w14:textId="40580B8B" w:rsidR="00C76C40" w:rsidRDefault="00C76C40">
        <w:pPr>
          <w:pStyle w:val="Footer"/>
          <w:jc w:val="center"/>
        </w:pPr>
        <w:r>
          <w:fldChar w:fldCharType="begin"/>
        </w:r>
        <w:r>
          <w:instrText xml:space="preserve"> PAGE   \* MERGEFORMAT </w:instrText>
        </w:r>
        <w:r>
          <w:fldChar w:fldCharType="separate"/>
        </w:r>
        <w:r w:rsidR="003D39B6">
          <w:rPr>
            <w:noProof/>
          </w:rPr>
          <w:t>1</w:t>
        </w:r>
        <w:r>
          <w:rPr>
            <w:noProof/>
          </w:rPr>
          <w:fldChar w:fldCharType="end"/>
        </w:r>
      </w:p>
    </w:sdtContent>
  </w:sdt>
  <w:p w14:paraId="4F1CAAFE" w14:textId="77777777" w:rsidR="00C76C40" w:rsidRDefault="00C76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D2E91" w14:textId="77777777" w:rsidR="00C76C40" w:rsidRDefault="00C76C40" w:rsidP="004B49CB">
      <w:pPr>
        <w:spacing w:after="0" w:line="240" w:lineRule="auto"/>
      </w:pPr>
      <w:r>
        <w:separator/>
      </w:r>
    </w:p>
  </w:footnote>
  <w:footnote w:type="continuationSeparator" w:id="0">
    <w:p w14:paraId="48D4EC9F" w14:textId="77777777" w:rsidR="00C76C40" w:rsidRDefault="00C76C40" w:rsidP="004B49CB">
      <w:pPr>
        <w:spacing w:after="0" w:line="240" w:lineRule="auto"/>
      </w:pPr>
      <w:r>
        <w:continuationSeparator/>
      </w:r>
    </w:p>
  </w:footnote>
  <w:footnote w:id="1">
    <w:p w14:paraId="45EE2C97" w14:textId="33659EEB" w:rsidR="00C76C40" w:rsidRDefault="00C76C40">
      <w:pPr>
        <w:pStyle w:val="FootnoteText"/>
      </w:pPr>
      <w:r>
        <w:rPr>
          <w:rStyle w:val="FootnoteReference"/>
        </w:rPr>
        <w:footnoteRef/>
      </w:r>
      <w:r>
        <w:t xml:space="preserve"> Some 96 experts were engaged in round 1, 48 completed round 2.</w:t>
      </w:r>
    </w:p>
  </w:footnote>
  <w:footnote w:id="2">
    <w:p w14:paraId="0398FEC7" w14:textId="049622D9" w:rsidR="00C76C40" w:rsidRPr="005451CE" w:rsidRDefault="00C76C40">
      <w:pPr>
        <w:pStyle w:val="FootnoteText"/>
        <w:rPr>
          <w:lang w:val="en-US"/>
        </w:rPr>
      </w:pPr>
      <w:r>
        <w:rPr>
          <w:rStyle w:val="FootnoteReference"/>
        </w:rPr>
        <w:footnoteRef/>
      </w:r>
      <w:r>
        <w:t xml:space="preserve"> </w:t>
      </w:r>
      <w:r w:rsidRPr="00CA0E9E">
        <w:rPr>
          <w:lang w:val="en-US"/>
        </w:rPr>
        <w:t>Regional rail including ligh</w:t>
      </w:r>
      <w:r>
        <w:rPr>
          <w:lang w:val="en-US"/>
        </w:rPr>
        <w:t>t</w:t>
      </w:r>
      <w:r w:rsidRPr="005451CE">
        <w:rPr>
          <w:lang w:val="en-US"/>
        </w:rPr>
        <w:t xml:space="preserve"> rail schemes (S-</w:t>
      </w:r>
      <w:proofErr w:type="spellStart"/>
      <w:r w:rsidRPr="005451CE">
        <w:rPr>
          <w:lang w:val="en-US"/>
        </w:rPr>
        <w:t>Bahn</w:t>
      </w:r>
      <w:proofErr w:type="spellEnd"/>
      <w:r w:rsidRPr="005451CE">
        <w:rPr>
          <w:lang w:val="en-US"/>
        </w:rPr>
        <w:t xml:space="preserve">) is under responsibility of another PTA, the </w:t>
      </w:r>
      <w:proofErr w:type="spellStart"/>
      <w:r>
        <w:rPr>
          <w:lang w:val="en-US"/>
        </w:rPr>
        <w:t>Rhein</w:t>
      </w:r>
      <w:proofErr w:type="spellEnd"/>
      <w:r>
        <w:rPr>
          <w:lang w:val="en-US"/>
        </w:rPr>
        <w:t>-Main-</w:t>
      </w:r>
      <w:proofErr w:type="spellStart"/>
      <w:r>
        <w:rPr>
          <w:lang w:val="en-US"/>
        </w:rPr>
        <w:t>Verkehrsverbund</w:t>
      </w:r>
      <w:proofErr w:type="spellEnd"/>
      <w:r>
        <w:rPr>
          <w:lang w:val="en-US"/>
        </w:rPr>
        <w:t xml:space="preserve"> (</w:t>
      </w:r>
      <w:r w:rsidRPr="005451CE">
        <w:rPr>
          <w:lang w:val="en-US"/>
        </w:rPr>
        <w:t>RMV</w:t>
      </w:r>
      <w:r>
        <w:rPr>
          <w:lang w:val="en-US"/>
        </w:rPr>
        <w:t>)</w:t>
      </w:r>
      <w:r w:rsidRPr="005451CE">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3475"/>
    <w:multiLevelType w:val="hybridMultilevel"/>
    <w:tmpl w:val="69A080B2"/>
    <w:lvl w:ilvl="0" w:tplc="B950C65C">
      <w:start w:val="1"/>
      <w:numFmt w:val="bullet"/>
      <w:lvlText w:val="•"/>
      <w:lvlJc w:val="left"/>
      <w:pPr>
        <w:tabs>
          <w:tab w:val="num" w:pos="720"/>
        </w:tabs>
        <w:ind w:left="720" w:hanging="360"/>
      </w:pPr>
      <w:rPr>
        <w:rFonts w:ascii="Arial" w:hAnsi="Arial" w:hint="default"/>
      </w:rPr>
    </w:lvl>
    <w:lvl w:ilvl="1" w:tplc="63DEDB3C" w:tentative="1">
      <w:start w:val="1"/>
      <w:numFmt w:val="bullet"/>
      <w:lvlText w:val="•"/>
      <w:lvlJc w:val="left"/>
      <w:pPr>
        <w:tabs>
          <w:tab w:val="num" w:pos="1440"/>
        </w:tabs>
        <w:ind w:left="1440" w:hanging="360"/>
      </w:pPr>
      <w:rPr>
        <w:rFonts w:ascii="Arial" w:hAnsi="Arial" w:hint="default"/>
      </w:rPr>
    </w:lvl>
    <w:lvl w:ilvl="2" w:tplc="21DC581E" w:tentative="1">
      <w:start w:val="1"/>
      <w:numFmt w:val="bullet"/>
      <w:lvlText w:val="•"/>
      <w:lvlJc w:val="left"/>
      <w:pPr>
        <w:tabs>
          <w:tab w:val="num" w:pos="2160"/>
        </w:tabs>
        <w:ind w:left="2160" w:hanging="360"/>
      </w:pPr>
      <w:rPr>
        <w:rFonts w:ascii="Arial" w:hAnsi="Arial" w:hint="default"/>
      </w:rPr>
    </w:lvl>
    <w:lvl w:ilvl="3" w:tplc="0CF6BCE2" w:tentative="1">
      <w:start w:val="1"/>
      <w:numFmt w:val="bullet"/>
      <w:lvlText w:val="•"/>
      <w:lvlJc w:val="left"/>
      <w:pPr>
        <w:tabs>
          <w:tab w:val="num" w:pos="2880"/>
        </w:tabs>
        <w:ind w:left="2880" w:hanging="360"/>
      </w:pPr>
      <w:rPr>
        <w:rFonts w:ascii="Arial" w:hAnsi="Arial" w:hint="default"/>
      </w:rPr>
    </w:lvl>
    <w:lvl w:ilvl="4" w:tplc="B4444456" w:tentative="1">
      <w:start w:val="1"/>
      <w:numFmt w:val="bullet"/>
      <w:lvlText w:val="•"/>
      <w:lvlJc w:val="left"/>
      <w:pPr>
        <w:tabs>
          <w:tab w:val="num" w:pos="3600"/>
        </w:tabs>
        <w:ind w:left="3600" w:hanging="360"/>
      </w:pPr>
      <w:rPr>
        <w:rFonts w:ascii="Arial" w:hAnsi="Arial" w:hint="default"/>
      </w:rPr>
    </w:lvl>
    <w:lvl w:ilvl="5" w:tplc="F71803D6" w:tentative="1">
      <w:start w:val="1"/>
      <w:numFmt w:val="bullet"/>
      <w:lvlText w:val="•"/>
      <w:lvlJc w:val="left"/>
      <w:pPr>
        <w:tabs>
          <w:tab w:val="num" w:pos="4320"/>
        </w:tabs>
        <w:ind w:left="4320" w:hanging="360"/>
      </w:pPr>
      <w:rPr>
        <w:rFonts w:ascii="Arial" w:hAnsi="Arial" w:hint="default"/>
      </w:rPr>
    </w:lvl>
    <w:lvl w:ilvl="6" w:tplc="73DE7EC2" w:tentative="1">
      <w:start w:val="1"/>
      <w:numFmt w:val="bullet"/>
      <w:lvlText w:val="•"/>
      <w:lvlJc w:val="left"/>
      <w:pPr>
        <w:tabs>
          <w:tab w:val="num" w:pos="5040"/>
        </w:tabs>
        <w:ind w:left="5040" w:hanging="360"/>
      </w:pPr>
      <w:rPr>
        <w:rFonts w:ascii="Arial" w:hAnsi="Arial" w:hint="default"/>
      </w:rPr>
    </w:lvl>
    <w:lvl w:ilvl="7" w:tplc="75268D2E" w:tentative="1">
      <w:start w:val="1"/>
      <w:numFmt w:val="bullet"/>
      <w:lvlText w:val="•"/>
      <w:lvlJc w:val="left"/>
      <w:pPr>
        <w:tabs>
          <w:tab w:val="num" w:pos="5760"/>
        </w:tabs>
        <w:ind w:left="5760" w:hanging="360"/>
      </w:pPr>
      <w:rPr>
        <w:rFonts w:ascii="Arial" w:hAnsi="Arial" w:hint="default"/>
      </w:rPr>
    </w:lvl>
    <w:lvl w:ilvl="8" w:tplc="B9CAEB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0D5DBC"/>
    <w:multiLevelType w:val="hybridMultilevel"/>
    <w:tmpl w:val="00B69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B56CF6"/>
    <w:multiLevelType w:val="hybridMultilevel"/>
    <w:tmpl w:val="91BC41AA"/>
    <w:lvl w:ilvl="0" w:tplc="0809000F">
      <w:start w:val="4"/>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653E6"/>
    <w:multiLevelType w:val="hybridMultilevel"/>
    <w:tmpl w:val="E5883F90"/>
    <w:lvl w:ilvl="0" w:tplc="F5EAC7D2">
      <w:start w:val="1"/>
      <w:numFmt w:val="decimal"/>
      <w:lvlText w:val="%1."/>
      <w:lvlJc w:val="left"/>
      <w:pPr>
        <w:tabs>
          <w:tab w:val="num" w:pos="720"/>
        </w:tabs>
        <w:ind w:left="720" w:hanging="360"/>
      </w:pPr>
    </w:lvl>
    <w:lvl w:ilvl="1" w:tplc="6CB84236" w:tentative="1">
      <w:start w:val="1"/>
      <w:numFmt w:val="decimal"/>
      <w:lvlText w:val="%2."/>
      <w:lvlJc w:val="left"/>
      <w:pPr>
        <w:tabs>
          <w:tab w:val="num" w:pos="1440"/>
        </w:tabs>
        <w:ind w:left="1440" w:hanging="360"/>
      </w:pPr>
    </w:lvl>
    <w:lvl w:ilvl="2" w:tplc="751E5962" w:tentative="1">
      <w:start w:val="1"/>
      <w:numFmt w:val="decimal"/>
      <w:lvlText w:val="%3."/>
      <w:lvlJc w:val="left"/>
      <w:pPr>
        <w:tabs>
          <w:tab w:val="num" w:pos="2160"/>
        </w:tabs>
        <w:ind w:left="2160" w:hanging="360"/>
      </w:pPr>
    </w:lvl>
    <w:lvl w:ilvl="3" w:tplc="9F0C2158" w:tentative="1">
      <w:start w:val="1"/>
      <w:numFmt w:val="decimal"/>
      <w:lvlText w:val="%4."/>
      <w:lvlJc w:val="left"/>
      <w:pPr>
        <w:tabs>
          <w:tab w:val="num" w:pos="2880"/>
        </w:tabs>
        <w:ind w:left="2880" w:hanging="360"/>
      </w:pPr>
    </w:lvl>
    <w:lvl w:ilvl="4" w:tplc="A5320A7C" w:tentative="1">
      <w:start w:val="1"/>
      <w:numFmt w:val="decimal"/>
      <w:lvlText w:val="%5."/>
      <w:lvlJc w:val="left"/>
      <w:pPr>
        <w:tabs>
          <w:tab w:val="num" w:pos="3600"/>
        </w:tabs>
        <w:ind w:left="3600" w:hanging="360"/>
      </w:pPr>
    </w:lvl>
    <w:lvl w:ilvl="5" w:tplc="8136543C" w:tentative="1">
      <w:start w:val="1"/>
      <w:numFmt w:val="decimal"/>
      <w:lvlText w:val="%6."/>
      <w:lvlJc w:val="left"/>
      <w:pPr>
        <w:tabs>
          <w:tab w:val="num" w:pos="4320"/>
        </w:tabs>
        <w:ind w:left="4320" w:hanging="360"/>
      </w:pPr>
    </w:lvl>
    <w:lvl w:ilvl="6" w:tplc="F706410C" w:tentative="1">
      <w:start w:val="1"/>
      <w:numFmt w:val="decimal"/>
      <w:lvlText w:val="%7."/>
      <w:lvlJc w:val="left"/>
      <w:pPr>
        <w:tabs>
          <w:tab w:val="num" w:pos="5040"/>
        </w:tabs>
        <w:ind w:left="5040" w:hanging="360"/>
      </w:pPr>
    </w:lvl>
    <w:lvl w:ilvl="7" w:tplc="C152F910" w:tentative="1">
      <w:start w:val="1"/>
      <w:numFmt w:val="decimal"/>
      <w:lvlText w:val="%8."/>
      <w:lvlJc w:val="left"/>
      <w:pPr>
        <w:tabs>
          <w:tab w:val="num" w:pos="5760"/>
        </w:tabs>
        <w:ind w:left="5760" w:hanging="360"/>
      </w:pPr>
    </w:lvl>
    <w:lvl w:ilvl="8" w:tplc="636EFC96" w:tentative="1">
      <w:start w:val="1"/>
      <w:numFmt w:val="decimal"/>
      <w:lvlText w:val="%9."/>
      <w:lvlJc w:val="left"/>
      <w:pPr>
        <w:tabs>
          <w:tab w:val="num" w:pos="6480"/>
        </w:tabs>
        <w:ind w:left="6480" w:hanging="360"/>
      </w:pPr>
    </w:lvl>
  </w:abstractNum>
  <w:abstractNum w:abstractNumId="4" w15:restartNumberingAfterBreak="0">
    <w:nsid w:val="289F1E68"/>
    <w:multiLevelType w:val="hybridMultilevel"/>
    <w:tmpl w:val="6F662DE0"/>
    <w:lvl w:ilvl="0" w:tplc="3F287694">
      <w:start w:val="1"/>
      <w:numFmt w:val="bullet"/>
      <w:lvlText w:val="•"/>
      <w:lvlJc w:val="left"/>
      <w:pPr>
        <w:tabs>
          <w:tab w:val="num" w:pos="720"/>
        </w:tabs>
        <w:ind w:left="720" w:hanging="360"/>
      </w:pPr>
      <w:rPr>
        <w:rFonts w:ascii="Arial" w:hAnsi="Arial" w:hint="default"/>
      </w:rPr>
    </w:lvl>
    <w:lvl w:ilvl="1" w:tplc="714E2EDC" w:tentative="1">
      <w:start w:val="1"/>
      <w:numFmt w:val="bullet"/>
      <w:lvlText w:val="•"/>
      <w:lvlJc w:val="left"/>
      <w:pPr>
        <w:tabs>
          <w:tab w:val="num" w:pos="1440"/>
        </w:tabs>
        <w:ind w:left="1440" w:hanging="360"/>
      </w:pPr>
      <w:rPr>
        <w:rFonts w:ascii="Arial" w:hAnsi="Arial" w:hint="default"/>
      </w:rPr>
    </w:lvl>
    <w:lvl w:ilvl="2" w:tplc="29A40516" w:tentative="1">
      <w:start w:val="1"/>
      <w:numFmt w:val="bullet"/>
      <w:lvlText w:val="•"/>
      <w:lvlJc w:val="left"/>
      <w:pPr>
        <w:tabs>
          <w:tab w:val="num" w:pos="2160"/>
        </w:tabs>
        <w:ind w:left="2160" w:hanging="360"/>
      </w:pPr>
      <w:rPr>
        <w:rFonts w:ascii="Arial" w:hAnsi="Arial" w:hint="default"/>
      </w:rPr>
    </w:lvl>
    <w:lvl w:ilvl="3" w:tplc="9BF472FE" w:tentative="1">
      <w:start w:val="1"/>
      <w:numFmt w:val="bullet"/>
      <w:lvlText w:val="•"/>
      <w:lvlJc w:val="left"/>
      <w:pPr>
        <w:tabs>
          <w:tab w:val="num" w:pos="2880"/>
        </w:tabs>
        <w:ind w:left="2880" w:hanging="360"/>
      </w:pPr>
      <w:rPr>
        <w:rFonts w:ascii="Arial" w:hAnsi="Arial" w:hint="default"/>
      </w:rPr>
    </w:lvl>
    <w:lvl w:ilvl="4" w:tplc="10DE7518" w:tentative="1">
      <w:start w:val="1"/>
      <w:numFmt w:val="bullet"/>
      <w:lvlText w:val="•"/>
      <w:lvlJc w:val="left"/>
      <w:pPr>
        <w:tabs>
          <w:tab w:val="num" w:pos="3600"/>
        </w:tabs>
        <w:ind w:left="3600" w:hanging="360"/>
      </w:pPr>
      <w:rPr>
        <w:rFonts w:ascii="Arial" w:hAnsi="Arial" w:hint="default"/>
      </w:rPr>
    </w:lvl>
    <w:lvl w:ilvl="5" w:tplc="81145DF0" w:tentative="1">
      <w:start w:val="1"/>
      <w:numFmt w:val="bullet"/>
      <w:lvlText w:val="•"/>
      <w:lvlJc w:val="left"/>
      <w:pPr>
        <w:tabs>
          <w:tab w:val="num" w:pos="4320"/>
        </w:tabs>
        <w:ind w:left="4320" w:hanging="360"/>
      </w:pPr>
      <w:rPr>
        <w:rFonts w:ascii="Arial" w:hAnsi="Arial" w:hint="default"/>
      </w:rPr>
    </w:lvl>
    <w:lvl w:ilvl="6" w:tplc="43F43F58" w:tentative="1">
      <w:start w:val="1"/>
      <w:numFmt w:val="bullet"/>
      <w:lvlText w:val="•"/>
      <w:lvlJc w:val="left"/>
      <w:pPr>
        <w:tabs>
          <w:tab w:val="num" w:pos="5040"/>
        </w:tabs>
        <w:ind w:left="5040" w:hanging="360"/>
      </w:pPr>
      <w:rPr>
        <w:rFonts w:ascii="Arial" w:hAnsi="Arial" w:hint="default"/>
      </w:rPr>
    </w:lvl>
    <w:lvl w:ilvl="7" w:tplc="94D2D46C" w:tentative="1">
      <w:start w:val="1"/>
      <w:numFmt w:val="bullet"/>
      <w:lvlText w:val="•"/>
      <w:lvlJc w:val="left"/>
      <w:pPr>
        <w:tabs>
          <w:tab w:val="num" w:pos="5760"/>
        </w:tabs>
        <w:ind w:left="5760" w:hanging="360"/>
      </w:pPr>
      <w:rPr>
        <w:rFonts w:ascii="Arial" w:hAnsi="Arial" w:hint="default"/>
      </w:rPr>
    </w:lvl>
    <w:lvl w:ilvl="8" w:tplc="C2166B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772C55"/>
    <w:multiLevelType w:val="hybridMultilevel"/>
    <w:tmpl w:val="D672668C"/>
    <w:lvl w:ilvl="0" w:tplc="5E6A5BA8">
      <w:start w:val="1"/>
      <w:numFmt w:val="decimal"/>
      <w:lvlText w:val="%1."/>
      <w:lvlJc w:val="left"/>
      <w:pPr>
        <w:tabs>
          <w:tab w:val="num" w:pos="720"/>
        </w:tabs>
        <w:ind w:left="720" w:hanging="360"/>
      </w:pPr>
    </w:lvl>
    <w:lvl w:ilvl="1" w:tplc="A0545BB4" w:tentative="1">
      <w:start w:val="1"/>
      <w:numFmt w:val="decimal"/>
      <w:lvlText w:val="%2."/>
      <w:lvlJc w:val="left"/>
      <w:pPr>
        <w:tabs>
          <w:tab w:val="num" w:pos="1440"/>
        </w:tabs>
        <w:ind w:left="1440" w:hanging="360"/>
      </w:pPr>
    </w:lvl>
    <w:lvl w:ilvl="2" w:tplc="68F609E4" w:tentative="1">
      <w:start w:val="1"/>
      <w:numFmt w:val="decimal"/>
      <w:lvlText w:val="%3."/>
      <w:lvlJc w:val="left"/>
      <w:pPr>
        <w:tabs>
          <w:tab w:val="num" w:pos="2160"/>
        </w:tabs>
        <w:ind w:left="2160" w:hanging="360"/>
      </w:pPr>
    </w:lvl>
    <w:lvl w:ilvl="3" w:tplc="AA60BCAE" w:tentative="1">
      <w:start w:val="1"/>
      <w:numFmt w:val="decimal"/>
      <w:lvlText w:val="%4."/>
      <w:lvlJc w:val="left"/>
      <w:pPr>
        <w:tabs>
          <w:tab w:val="num" w:pos="2880"/>
        </w:tabs>
        <w:ind w:left="2880" w:hanging="360"/>
      </w:pPr>
    </w:lvl>
    <w:lvl w:ilvl="4" w:tplc="E7AA27DA" w:tentative="1">
      <w:start w:val="1"/>
      <w:numFmt w:val="decimal"/>
      <w:lvlText w:val="%5."/>
      <w:lvlJc w:val="left"/>
      <w:pPr>
        <w:tabs>
          <w:tab w:val="num" w:pos="3600"/>
        </w:tabs>
        <w:ind w:left="3600" w:hanging="360"/>
      </w:pPr>
    </w:lvl>
    <w:lvl w:ilvl="5" w:tplc="1D86EBD2" w:tentative="1">
      <w:start w:val="1"/>
      <w:numFmt w:val="decimal"/>
      <w:lvlText w:val="%6."/>
      <w:lvlJc w:val="left"/>
      <w:pPr>
        <w:tabs>
          <w:tab w:val="num" w:pos="4320"/>
        </w:tabs>
        <w:ind w:left="4320" w:hanging="360"/>
      </w:pPr>
    </w:lvl>
    <w:lvl w:ilvl="6" w:tplc="6D76D92E" w:tentative="1">
      <w:start w:val="1"/>
      <w:numFmt w:val="decimal"/>
      <w:lvlText w:val="%7."/>
      <w:lvlJc w:val="left"/>
      <w:pPr>
        <w:tabs>
          <w:tab w:val="num" w:pos="5040"/>
        </w:tabs>
        <w:ind w:left="5040" w:hanging="360"/>
      </w:pPr>
    </w:lvl>
    <w:lvl w:ilvl="7" w:tplc="75D270D2" w:tentative="1">
      <w:start w:val="1"/>
      <w:numFmt w:val="decimal"/>
      <w:lvlText w:val="%8."/>
      <w:lvlJc w:val="left"/>
      <w:pPr>
        <w:tabs>
          <w:tab w:val="num" w:pos="5760"/>
        </w:tabs>
        <w:ind w:left="5760" w:hanging="360"/>
      </w:pPr>
    </w:lvl>
    <w:lvl w:ilvl="8" w:tplc="AC805ECA" w:tentative="1">
      <w:start w:val="1"/>
      <w:numFmt w:val="decimal"/>
      <w:lvlText w:val="%9."/>
      <w:lvlJc w:val="left"/>
      <w:pPr>
        <w:tabs>
          <w:tab w:val="num" w:pos="6480"/>
        </w:tabs>
        <w:ind w:left="6480" w:hanging="360"/>
      </w:pPr>
    </w:lvl>
  </w:abstractNum>
  <w:abstractNum w:abstractNumId="6" w15:restartNumberingAfterBreak="0">
    <w:nsid w:val="31827695"/>
    <w:multiLevelType w:val="hybridMultilevel"/>
    <w:tmpl w:val="FAA0801C"/>
    <w:lvl w:ilvl="0" w:tplc="0EF89EDC">
      <w:start w:val="1"/>
      <w:numFmt w:val="decimal"/>
      <w:lvlText w:val="%1."/>
      <w:lvlJc w:val="left"/>
      <w:pPr>
        <w:tabs>
          <w:tab w:val="num" w:pos="720"/>
        </w:tabs>
        <w:ind w:left="720" w:hanging="360"/>
      </w:pPr>
    </w:lvl>
    <w:lvl w:ilvl="1" w:tplc="E7E288F6" w:tentative="1">
      <w:start w:val="1"/>
      <w:numFmt w:val="decimal"/>
      <w:lvlText w:val="%2."/>
      <w:lvlJc w:val="left"/>
      <w:pPr>
        <w:tabs>
          <w:tab w:val="num" w:pos="1440"/>
        </w:tabs>
        <w:ind w:left="1440" w:hanging="360"/>
      </w:pPr>
    </w:lvl>
    <w:lvl w:ilvl="2" w:tplc="AFA4D69A" w:tentative="1">
      <w:start w:val="1"/>
      <w:numFmt w:val="decimal"/>
      <w:lvlText w:val="%3."/>
      <w:lvlJc w:val="left"/>
      <w:pPr>
        <w:tabs>
          <w:tab w:val="num" w:pos="2160"/>
        </w:tabs>
        <w:ind w:left="2160" w:hanging="360"/>
      </w:pPr>
    </w:lvl>
    <w:lvl w:ilvl="3" w:tplc="62107596" w:tentative="1">
      <w:start w:val="1"/>
      <w:numFmt w:val="decimal"/>
      <w:lvlText w:val="%4."/>
      <w:lvlJc w:val="left"/>
      <w:pPr>
        <w:tabs>
          <w:tab w:val="num" w:pos="2880"/>
        </w:tabs>
        <w:ind w:left="2880" w:hanging="360"/>
      </w:pPr>
    </w:lvl>
    <w:lvl w:ilvl="4" w:tplc="58EE07D4" w:tentative="1">
      <w:start w:val="1"/>
      <w:numFmt w:val="decimal"/>
      <w:lvlText w:val="%5."/>
      <w:lvlJc w:val="left"/>
      <w:pPr>
        <w:tabs>
          <w:tab w:val="num" w:pos="3600"/>
        </w:tabs>
        <w:ind w:left="3600" w:hanging="360"/>
      </w:pPr>
    </w:lvl>
    <w:lvl w:ilvl="5" w:tplc="AF665828" w:tentative="1">
      <w:start w:val="1"/>
      <w:numFmt w:val="decimal"/>
      <w:lvlText w:val="%6."/>
      <w:lvlJc w:val="left"/>
      <w:pPr>
        <w:tabs>
          <w:tab w:val="num" w:pos="4320"/>
        </w:tabs>
        <w:ind w:left="4320" w:hanging="360"/>
      </w:pPr>
    </w:lvl>
    <w:lvl w:ilvl="6" w:tplc="79A41BB2" w:tentative="1">
      <w:start w:val="1"/>
      <w:numFmt w:val="decimal"/>
      <w:lvlText w:val="%7."/>
      <w:lvlJc w:val="left"/>
      <w:pPr>
        <w:tabs>
          <w:tab w:val="num" w:pos="5040"/>
        </w:tabs>
        <w:ind w:left="5040" w:hanging="360"/>
      </w:pPr>
    </w:lvl>
    <w:lvl w:ilvl="7" w:tplc="C5ACFDF2" w:tentative="1">
      <w:start w:val="1"/>
      <w:numFmt w:val="decimal"/>
      <w:lvlText w:val="%8."/>
      <w:lvlJc w:val="left"/>
      <w:pPr>
        <w:tabs>
          <w:tab w:val="num" w:pos="5760"/>
        </w:tabs>
        <w:ind w:left="5760" w:hanging="360"/>
      </w:pPr>
    </w:lvl>
    <w:lvl w:ilvl="8" w:tplc="F2C8A7C2" w:tentative="1">
      <w:start w:val="1"/>
      <w:numFmt w:val="decimal"/>
      <w:lvlText w:val="%9."/>
      <w:lvlJc w:val="left"/>
      <w:pPr>
        <w:tabs>
          <w:tab w:val="num" w:pos="6480"/>
        </w:tabs>
        <w:ind w:left="6480" w:hanging="360"/>
      </w:pPr>
    </w:lvl>
  </w:abstractNum>
  <w:abstractNum w:abstractNumId="7" w15:restartNumberingAfterBreak="0">
    <w:nsid w:val="3769714F"/>
    <w:multiLevelType w:val="hybridMultilevel"/>
    <w:tmpl w:val="AD481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720067"/>
    <w:multiLevelType w:val="hybridMultilevel"/>
    <w:tmpl w:val="5D782E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ACF3CB4"/>
    <w:multiLevelType w:val="hybridMultilevel"/>
    <w:tmpl w:val="FFA4D4B2"/>
    <w:lvl w:ilvl="0" w:tplc="282C721E">
      <w:start w:val="1"/>
      <w:numFmt w:val="bullet"/>
      <w:lvlText w:val="•"/>
      <w:lvlJc w:val="left"/>
      <w:pPr>
        <w:tabs>
          <w:tab w:val="num" w:pos="720"/>
        </w:tabs>
        <w:ind w:left="720" w:hanging="360"/>
      </w:pPr>
      <w:rPr>
        <w:rFonts w:ascii="Arial" w:hAnsi="Arial" w:hint="default"/>
      </w:rPr>
    </w:lvl>
    <w:lvl w:ilvl="1" w:tplc="67D6EAB2" w:tentative="1">
      <w:start w:val="1"/>
      <w:numFmt w:val="bullet"/>
      <w:lvlText w:val="•"/>
      <w:lvlJc w:val="left"/>
      <w:pPr>
        <w:tabs>
          <w:tab w:val="num" w:pos="1440"/>
        </w:tabs>
        <w:ind w:left="1440" w:hanging="360"/>
      </w:pPr>
      <w:rPr>
        <w:rFonts w:ascii="Arial" w:hAnsi="Arial" w:hint="default"/>
      </w:rPr>
    </w:lvl>
    <w:lvl w:ilvl="2" w:tplc="6380A808" w:tentative="1">
      <w:start w:val="1"/>
      <w:numFmt w:val="bullet"/>
      <w:lvlText w:val="•"/>
      <w:lvlJc w:val="left"/>
      <w:pPr>
        <w:tabs>
          <w:tab w:val="num" w:pos="2160"/>
        </w:tabs>
        <w:ind w:left="2160" w:hanging="360"/>
      </w:pPr>
      <w:rPr>
        <w:rFonts w:ascii="Arial" w:hAnsi="Arial" w:hint="default"/>
      </w:rPr>
    </w:lvl>
    <w:lvl w:ilvl="3" w:tplc="D4901826" w:tentative="1">
      <w:start w:val="1"/>
      <w:numFmt w:val="bullet"/>
      <w:lvlText w:val="•"/>
      <w:lvlJc w:val="left"/>
      <w:pPr>
        <w:tabs>
          <w:tab w:val="num" w:pos="2880"/>
        </w:tabs>
        <w:ind w:left="2880" w:hanging="360"/>
      </w:pPr>
      <w:rPr>
        <w:rFonts w:ascii="Arial" w:hAnsi="Arial" w:hint="default"/>
      </w:rPr>
    </w:lvl>
    <w:lvl w:ilvl="4" w:tplc="B0D8D432" w:tentative="1">
      <w:start w:val="1"/>
      <w:numFmt w:val="bullet"/>
      <w:lvlText w:val="•"/>
      <w:lvlJc w:val="left"/>
      <w:pPr>
        <w:tabs>
          <w:tab w:val="num" w:pos="3600"/>
        </w:tabs>
        <w:ind w:left="3600" w:hanging="360"/>
      </w:pPr>
      <w:rPr>
        <w:rFonts w:ascii="Arial" w:hAnsi="Arial" w:hint="default"/>
      </w:rPr>
    </w:lvl>
    <w:lvl w:ilvl="5" w:tplc="174C251A" w:tentative="1">
      <w:start w:val="1"/>
      <w:numFmt w:val="bullet"/>
      <w:lvlText w:val="•"/>
      <w:lvlJc w:val="left"/>
      <w:pPr>
        <w:tabs>
          <w:tab w:val="num" w:pos="4320"/>
        </w:tabs>
        <w:ind w:left="4320" w:hanging="360"/>
      </w:pPr>
      <w:rPr>
        <w:rFonts w:ascii="Arial" w:hAnsi="Arial" w:hint="default"/>
      </w:rPr>
    </w:lvl>
    <w:lvl w:ilvl="6" w:tplc="BDD052BE" w:tentative="1">
      <w:start w:val="1"/>
      <w:numFmt w:val="bullet"/>
      <w:lvlText w:val="•"/>
      <w:lvlJc w:val="left"/>
      <w:pPr>
        <w:tabs>
          <w:tab w:val="num" w:pos="5040"/>
        </w:tabs>
        <w:ind w:left="5040" w:hanging="360"/>
      </w:pPr>
      <w:rPr>
        <w:rFonts w:ascii="Arial" w:hAnsi="Arial" w:hint="default"/>
      </w:rPr>
    </w:lvl>
    <w:lvl w:ilvl="7" w:tplc="B1E2C52C" w:tentative="1">
      <w:start w:val="1"/>
      <w:numFmt w:val="bullet"/>
      <w:lvlText w:val="•"/>
      <w:lvlJc w:val="left"/>
      <w:pPr>
        <w:tabs>
          <w:tab w:val="num" w:pos="5760"/>
        </w:tabs>
        <w:ind w:left="5760" w:hanging="360"/>
      </w:pPr>
      <w:rPr>
        <w:rFonts w:ascii="Arial" w:hAnsi="Arial" w:hint="default"/>
      </w:rPr>
    </w:lvl>
    <w:lvl w:ilvl="8" w:tplc="DC5A21E4"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6"/>
  </w:num>
  <w:num w:numId="4">
    <w:abstractNumId w:val="3"/>
  </w:num>
  <w:num w:numId="5">
    <w:abstractNumId w:val="9"/>
  </w:num>
  <w:num w:numId="6">
    <w:abstractNumId w:val="0"/>
  </w:num>
  <w:num w:numId="7">
    <w:abstractNumId w:val="4"/>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186"/>
    <w:rsid w:val="000120EB"/>
    <w:rsid w:val="000128F1"/>
    <w:rsid w:val="00016664"/>
    <w:rsid w:val="000178A2"/>
    <w:rsid w:val="000227A6"/>
    <w:rsid w:val="00023AD5"/>
    <w:rsid w:val="00025B12"/>
    <w:rsid w:val="00040E29"/>
    <w:rsid w:val="00042E1B"/>
    <w:rsid w:val="00075C1C"/>
    <w:rsid w:val="000853D8"/>
    <w:rsid w:val="00090DFD"/>
    <w:rsid w:val="000928D5"/>
    <w:rsid w:val="000953C1"/>
    <w:rsid w:val="0009562B"/>
    <w:rsid w:val="0009795B"/>
    <w:rsid w:val="000B0D89"/>
    <w:rsid w:val="000C3698"/>
    <w:rsid w:val="000D11A2"/>
    <w:rsid w:val="000E4DCA"/>
    <w:rsid w:val="000F3C24"/>
    <w:rsid w:val="00114DFC"/>
    <w:rsid w:val="00121202"/>
    <w:rsid w:val="00183848"/>
    <w:rsid w:val="00184330"/>
    <w:rsid w:val="001939DA"/>
    <w:rsid w:val="00195918"/>
    <w:rsid w:val="001B686E"/>
    <w:rsid w:val="001B78E3"/>
    <w:rsid w:val="001D6954"/>
    <w:rsid w:val="001F5CE9"/>
    <w:rsid w:val="00211D72"/>
    <w:rsid w:val="0023016F"/>
    <w:rsid w:val="00237808"/>
    <w:rsid w:val="002518B8"/>
    <w:rsid w:val="00281D3D"/>
    <w:rsid w:val="00290DCA"/>
    <w:rsid w:val="002A1672"/>
    <w:rsid w:val="002A2A23"/>
    <w:rsid w:val="002A67C6"/>
    <w:rsid w:val="002D4E30"/>
    <w:rsid w:val="002F4B01"/>
    <w:rsid w:val="002F62B0"/>
    <w:rsid w:val="00353632"/>
    <w:rsid w:val="00380290"/>
    <w:rsid w:val="00380BC2"/>
    <w:rsid w:val="003816D1"/>
    <w:rsid w:val="00382EDA"/>
    <w:rsid w:val="00382F3B"/>
    <w:rsid w:val="00387E0F"/>
    <w:rsid w:val="003A0ED1"/>
    <w:rsid w:val="003A1560"/>
    <w:rsid w:val="003A42F5"/>
    <w:rsid w:val="003A7757"/>
    <w:rsid w:val="003B7238"/>
    <w:rsid w:val="003B7264"/>
    <w:rsid w:val="003C6C2E"/>
    <w:rsid w:val="003D39B6"/>
    <w:rsid w:val="003E575C"/>
    <w:rsid w:val="00422565"/>
    <w:rsid w:val="0044279E"/>
    <w:rsid w:val="00455BEE"/>
    <w:rsid w:val="00465189"/>
    <w:rsid w:val="004A46E4"/>
    <w:rsid w:val="004B49CB"/>
    <w:rsid w:val="004D0970"/>
    <w:rsid w:val="004D4E89"/>
    <w:rsid w:val="004E5F6A"/>
    <w:rsid w:val="004E7219"/>
    <w:rsid w:val="0050248B"/>
    <w:rsid w:val="00514830"/>
    <w:rsid w:val="0054263A"/>
    <w:rsid w:val="00542F22"/>
    <w:rsid w:val="005451CE"/>
    <w:rsid w:val="00552B31"/>
    <w:rsid w:val="005605AC"/>
    <w:rsid w:val="00572031"/>
    <w:rsid w:val="0057643C"/>
    <w:rsid w:val="00581EA2"/>
    <w:rsid w:val="0058345A"/>
    <w:rsid w:val="00586C92"/>
    <w:rsid w:val="00586F7A"/>
    <w:rsid w:val="0059272E"/>
    <w:rsid w:val="005A469E"/>
    <w:rsid w:val="005E2BE1"/>
    <w:rsid w:val="00606390"/>
    <w:rsid w:val="0061302B"/>
    <w:rsid w:val="00621A6A"/>
    <w:rsid w:val="00690129"/>
    <w:rsid w:val="00696656"/>
    <w:rsid w:val="006A66D1"/>
    <w:rsid w:val="006B09EA"/>
    <w:rsid w:val="006B0B0C"/>
    <w:rsid w:val="006C5735"/>
    <w:rsid w:val="006D3521"/>
    <w:rsid w:val="006D4D77"/>
    <w:rsid w:val="006E19E5"/>
    <w:rsid w:val="006F4878"/>
    <w:rsid w:val="00706426"/>
    <w:rsid w:val="007069A1"/>
    <w:rsid w:val="00731BA9"/>
    <w:rsid w:val="00737BD0"/>
    <w:rsid w:val="0076588C"/>
    <w:rsid w:val="00773798"/>
    <w:rsid w:val="007758AF"/>
    <w:rsid w:val="00784965"/>
    <w:rsid w:val="007C6225"/>
    <w:rsid w:val="007E2A65"/>
    <w:rsid w:val="007E6F90"/>
    <w:rsid w:val="007E7B7C"/>
    <w:rsid w:val="007F5712"/>
    <w:rsid w:val="00804E90"/>
    <w:rsid w:val="00844164"/>
    <w:rsid w:val="008444F2"/>
    <w:rsid w:val="00850E34"/>
    <w:rsid w:val="00864EFD"/>
    <w:rsid w:val="00876A80"/>
    <w:rsid w:val="00886708"/>
    <w:rsid w:val="00892965"/>
    <w:rsid w:val="008D252C"/>
    <w:rsid w:val="008F0C53"/>
    <w:rsid w:val="008F7F01"/>
    <w:rsid w:val="009253C3"/>
    <w:rsid w:val="00935B12"/>
    <w:rsid w:val="00940E6E"/>
    <w:rsid w:val="00947267"/>
    <w:rsid w:val="00963E42"/>
    <w:rsid w:val="00976CD2"/>
    <w:rsid w:val="009841D3"/>
    <w:rsid w:val="00997079"/>
    <w:rsid w:val="009B137F"/>
    <w:rsid w:val="009D3135"/>
    <w:rsid w:val="009E2432"/>
    <w:rsid w:val="009E2C3E"/>
    <w:rsid w:val="009F297E"/>
    <w:rsid w:val="00A06E72"/>
    <w:rsid w:val="00A4732E"/>
    <w:rsid w:val="00AC41C6"/>
    <w:rsid w:val="00AE28E7"/>
    <w:rsid w:val="00B076DB"/>
    <w:rsid w:val="00B11890"/>
    <w:rsid w:val="00B1377A"/>
    <w:rsid w:val="00B1496A"/>
    <w:rsid w:val="00B475D9"/>
    <w:rsid w:val="00B5337E"/>
    <w:rsid w:val="00B739A7"/>
    <w:rsid w:val="00B80BD1"/>
    <w:rsid w:val="00B82805"/>
    <w:rsid w:val="00B82C2C"/>
    <w:rsid w:val="00B9393C"/>
    <w:rsid w:val="00BA454C"/>
    <w:rsid w:val="00BB6DA8"/>
    <w:rsid w:val="00BE2D26"/>
    <w:rsid w:val="00BE4F6D"/>
    <w:rsid w:val="00BE6AC8"/>
    <w:rsid w:val="00C03E1B"/>
    <w:rsid w:val="00C067D9"/>
    <w:rsid w:val="00C12F75"/>
    <w:rsid w:val="00C2009C"/>
    <w:rsid w:val="00C3057B"/>
    <w:rsid w:val="00C53945"/>
    <w:rsid w:val="00C75211"/>
    <w:rsid w:val="00C76C40"/>
    <w:rsid w:val="00C83F51"/>
    <w:rsid w:val="00CA0E9E"/>
    <w:rsid w:val="00CA283A"/>
    <w:rsid w:val="00CC0A2B"/>
    <w:rsid w:val="00CD53B6"/>
    <w:rsid w:val="00CE4B55"/>
    <w:rsid w:val="00CF106C"/>
    <w:rsid w:val="00D61B7C"/>
    <w:rsid w:val="00D65F0A"/>
    <w:rsid w:val="00D8387B"/>
    <w:rsid w:val="00DB098F"/>
    <w:rsid w:val="00DB6380"/>
    <w:rsid w:val="00DD70BB"/>
    <w:rsid w:val="00DE15D1"/>
    <w:rsid w:val="00DF7A48"/>
    <w:rsid w:val="00E07B8A"/>
    <w:rsid w:val="00E11986"/>
    <w:rsid w:val="00E132BD"/>
    <w:rsid w:val="00E51D58"/>
    <w:rsid w:val="00E57E0F"/>
    <w:rsid w:val="00E84448"/>
    <w:rsid w:val="00E86367"/>
    <w:rsid w:val="00E9298B"/>
    <w:rsid w:val="00E95817"/>
    <w:rsid w:val="00E97904"/>
    <w:rsid w:val="00EB6235"/>
    <w:rsid w:val="00EC1508"/>
    <w:rsid w:val="00F213F0"/>
    <w:rsid w:val="00F27AB1"/>
    <w:rsid w:val="00F463F4"/>
    <w:rsid w:val="00FA22AA"/>
    <w:rsid w:val="00FA6D72"/>
    <w:rsid w:val="00FB5186"/>
    <w:rsid w:val="00FD1C83"/>
    <w:rsid w:val="00FE3D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6720A"/>
  <w15:docId w15:val="{DB4147C4-6C18-444F-B437-2D9E47E3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C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518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2432"/>
    <w:rPr>
      <w:sz w:val="16"/>
      <w:szCs w:val="16"/>
    </w:rPr>
  </w:style>
  <w:style w:type="paragraph" w:styleId="CommentText">
    <w:name w:val="annotation text"/>
    <w:basedOn w:val="Normal"/>
    <w:link w:val="CommentTextChar"/>
    <w:uiPriority w:val="99"/>
    <w:semiHidden/>
    <w:unhideWhenUsed/>
    <w:rsid w:val="009E2432"/>
    <w:pPr>
      <w:spacing w:line="240" w:lineRule="auto"/>
    </w:pPr>
    <w:rPr>
      <w:sz w:val="20"/>
      <w:szCs w:val="20"/>
    </w:rPr>
  </w:style>
  <w:style w:type="character" w:customStyle="1" w:styleId="CommentTextChar">
    <w:name w:val="Comment Text Char"/>
    <w:basedOn w:val="DefaultParagraphFont"/>
    <w:link w:val="CommentText"/>
    <w:uiPriority w:val="99"/>
    <w:semiHidden/>
    <w:rsid w:val="009E2432"/>
    <w:rPr>
      <w:sz w:val="20"/>
      <w:szCs w:val="20"/>
    </w:rPr>
  </w:style>
  <w:style w:type="paragraph" w:styleId="CommentSubject">
    <w:name w:val="annotation subject"/>
    <w:basedOn w:val="CommentText"/>
    <w:next w:val="CommentText"/>
    <w:link w:val="CommentSubjectChar"/>
    <w:uiPriority w:val="99"/>
    <w:semiHidden/>
    <w:unhideWhenUsed/>
    <w:rsid w:val="009E2432"/>
    <w:rPr>
      <w:b/>
      <w:bCs/>
    </w:rPr>
  </w:style>
  <w:style w:type="character" w:customStyle="1" w:styleId="CommentSubjectChar">
    <w:name w:val="Comment Subject Char"/>
    <w:basedOn w:val="CommentTextChar"/>
    <w:link w:val="CommentSubject"/>
    <w:uiPriority w:val="99"/>
    <w:semiHidden/>
    <w:rsid w:val="009E2432"/>
    <w:rPr>
      <w:b/>
      <w:bCs/>
      <w:sz w:val="20"/>
      <w:szCs w:val="20"/>
    </w:rPr>
  </w:style>
  <w:style w:type="paragraph" w:styleId="BalloonText">
    <w:name w:val="Balloon Text"/>
    <w:basedOn w:val="Normal"/>
    <w:link w:val="BalloonTextChar"/>
    <w:uiPriority w:val="99"/>
    <w:semiHidden/>
    <w:unhideWhenUsed/>
    <w:rsid w:val="009E2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432"/>
    <w:rPr>
      <w:rFonts w:ascii="Segoe UI" w:hAnsi="Segoe UI" w:cs="Segoe UI"/>
      <w:sz w:val="18"/>
      <w:szCs w:val="18"/>
    </w:rPr>
  </w:style>
  <w:style w:type="paragraph" w:styleId="ListParagraph">
    <w:name w:val="List Paragraph"/>
    <w:basedOn w:val="Normal"/>
    <w:uiPriority w:val="34"/>
    <w:qFormat/>
    <w:rsid w:val="00DD70BB"/>
    <w:pPr>
      <w:ind w:left="720"/>
      <w:contextualSpacing/>
    </w:pPr>
  </w:style>
  <w:style w:type="paragraph" w:styleId="Header">
    <w:name w:val="header"/>
    <w:basedOn w:val="Normal"/>
    <w:link w:val="HeaderChar"/>
    <w:uiPriority w:val="99"/>
    <w:unhideWhenUsed/>
    <w:rsid w:val="004B4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9CB"/>
  </w:style>
  <w:style w:type="paragraph" w:styleId="Footer">
    <w:name w:val="footer"/>
    <w:basedOn w:val="Normal"/>
    <w:link w:val="FooterChar"/>
    <w:uiPriority w:val="99"/>
    <w:unhideWhenUsed/>
    <w:rsid w:val="004B4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9CB"/>
  </w:style>
  <w:style w:type="paragraph" w:styleId="FootnoteText">
    <w:name w:val="footnote text"/>
    <w:basedOn w:val="Normal"/>
    <w:link w:val="FootnoteTextChar"/>
    <w:uiPriority w:val="99"/>
    <w:semiHidden/>
    <w:unhideWhenUsed/>
    <w:rsid w:val="000F3C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3C24"/>
    <w:rPr>
      <w:sz w:val="20"/>
      <w:szCs w:val="20"/>
    </w:rPr>
  </w:style>
  <w:style w:type="character" w:styleId="FootnoteReference">
    <w:name w:val="footnote reference"/>
    <w:basedOn w:val="DefaultParagraphFont"/>
    <w:uiPriority w:val="99"/>
    <w:semiHidden/>
    <w:unhideWhenUsed/>
    <w:rsid w:val="000F3C24"/>
    <w:rPr>
      <w:vertAlign w:val="superscript"/>
    </w:rPr>
  </w:style>
  <w:style w:type="character" w:styleId="Strong">
    <w:name w:val="Strong"/>
    <w:basedOn w:val="DefaultParagraphFont"/>
    <w:uiPriority w:val="22"/>
    <w:qFormat/>
    <w:rsid w:val="00621A6A"/>
    <w:rPr>
      <w:b/>
      <w:bCs/>
    </w:rPr>
  </w:style>
  <w:style w:type="character" w:styleId="HTMLCite">
    <w:name w:val="HTML Cite"/>
    <w:basedOn w:val="DefaultParagraphFont"/>
    <w:uiPriority w:val="99"/>
    <w:semiHidden/>
    <w:unhideWhenUsed/>
    <w:rsid w:val="00621A6A"/>
    <w:rPr>
      <w:i/>
      <w:iCs/>
    </w:rPr>
  </w:style>
  <w:style w:type="paragraph" w:customStyle="1" w:styleId="Default">
    <w:name w:val="Default"/>
    <w:rsid w:val="00422565"/>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5978">
      <w:bodyDiv w:val="1"/>
      <w:marLeft w:val="0"/>
      <w:marRight w:val="0"/>
      <w:marTop w:val="0"/>
      <w:marBottom w:val="0"/>
      <w:divBdr>
        <w:top w:val="none" w:sz="0" w:space="0" w:color="auto"/>
        <w:left w:val="none" w:sz="0" w:space="0" w:color="auto"/>
        <w:bottom w:val="none" w:sz="0" w:space="0" w:color="auto"/>
        <w:right w:val="none" w:sz="0" w:space="0" w:color="auto"/>
      </w:divBdr>
    </w:div>
    <w:div w:id="444083849">
      <w:bodyDiv w:val="1"/>
      <w:marLeft w:val="0"/>
      <w:marRight w:val="0"/>
      <w:marTop w:val="0"/>
      <w:marBottom w:val="0"/>
      <w:divBdr>
        <w:top w:val="none" w:sz="0" w:space="0" w:color="auto"/>
        <w:left w:val="none" w:sz="0" w:space="0" w:color="auto"/>
        <w:bottom w:val="none" w:sz="0" w:space="0" w:color="auto"/>
        <w:right w:val="none" w:sz="0" w:space="0" w:color="auto"/>
      </w:divBdr>
    </w:div>
    <w:div w:id="525483502">
      <w:bodyDiv w:val="1"/>
      <w:marLeft w:val="0"/>
      <w:marRight w:val="0"/>
      <w:marTop w:val="0"/>
      <w:marBottom w:val="0"/>
      <w:divBdr>
        <w:top w:val="none" w:sz="0" w:space="0" w:color="auto"/>
        <w:left w:val="none" w:sz="0" w:space="0" w:color="auto"/>
        <w:bottom w:val="none" w:sz="0" w:space="0" w:color="auto"/>
        <w:right w:val="none" w:sz="0" w:space="0" w:color="auto"/>
      </w:divBdr>
    </w:div>
    <w:div w:id="965501089">
      <w:bodyDiv w:val="1"/>
      <w:marLeft w:val="0"/>
      <w:marRight w:val="0"/>
      <w:marTop w:val="0"/>
      <w:marBottom w:val="0"/>
      <w:divBdr>
        <w:top w:val="none" w:sz="0" w:space="0" w:color="auto"/>
        <w:left w:val="none" w:sz="0" w:space="0" w:color="auto"/>
        <w:bottom w:val="none" w:sz="0" w:space="0" w:color="auto"/>
        <w:right w:val="none" w:sz="0" w:space="0" w:color="auto"/>
      </w:divBdr>
      <w:divsChild>
        <w:div w:id="1903903369">
          <w:marLeft w:val="360"/>
          <w:marRight w:val="0"/>
          <w:marTop w:val="200"/>
          <w:marBottom w:val="0"/>
          <w:divBdr>
            <w:top w:val="none" w:sz="0" w:space="0" w:color="auto"/>
            <w:left w:val="none" w:sz="0" w:space="0" w:color="auto"/>
            <w:bottom w:val="none" w:sz="0" w:space="0" w:color="auto"/>
            <w:right w:val="none" w:sz="0" w:space="0" w:color="auto"/>
          </w:divBdr>
        </w:div>
        <w:div w:id="772241021">
          <w:marLeft w:val="360"/>
          <w:marRight w:val="0"/>
          <w:marTop w:val="200"/>
          <w:marBottom w:val="0"/>
          <w:divBdr>
            <w:top w:val="none" w:sz="0" w:space="0" w:color="auto"/>
            <w:left w:val="none" w:sz="0" w:space="0" w:color="auto"/>
            <w:bottom w:val="none" w:sz="0" w:space="0" w:color="auto"/>
            <w:right w:val="none" w:sz="0" w:space="0" w:color="auto"/>
          </w:divBdr>
        </w:div>
        <w:div w:id="442119925">
          <w:marLeft w:val="360"/>
          <w:marRight w:val="0"/>
          <w:marTop w:val="200"/>
          <w:marBottom w:val="0"/>
          <w:divBdr>
            <w:top w:val="none" w:sz="0" w:space="0" w:color="auto"/>
            <w:left w:val="none" w:sz="0" w:space="0" w:color="auto"/>
            <w:bottom w:val="none" w:sz="0" w:space="0" w:color="auto"/>
            <w:right w:val="none" w:sz="0" w:space="0" w:color="auto"/>
          </w:divBdr>
        </w:div>
        <w:div w:id="613827325">
          <w:marLeft w:val="360"/>
          <w:marRight w:val="0"/>
          <w:marTop w:val="200"/>
          <w:marBottom w:val="0"/>
          <w:divBdr>
            <w:top w:val="none" w:sz="0" w:space="0" w:color="auto"/>
            <w:left w:val="none" w:sz="0" w:space="0" w:color="auto"/>
            <w:bottom w:val="none" w:sz="0" w:space="0" w:color="auto"/>
            <w:right w:val="none" w:sz="0" w:space="0" w:color="auto"/>
          </w:divBdr>
        </w:div>
        <w:div w:id="352652210">
          <w:marLeft w:val="360"/>
          <w:marRight w:val="0"/>
          <w:marTop w:val="200"/>
          <w:marBottom w:val="0"/>
          <w:divBdr>
            <w:top w:val="none" w:sz="0" w:space="0" w:color="auto"/>
            <w:left w:val="none" w:sz="0" w:space="0" w:color="auto"/>
            <w:bottom w:val="none" w:sz="0" w:space="0" w:color="auto"/>
            <w:right w:val="none" w:sz="0" w:space="0" w:color="auto"/>
          </w:divBdr>
        </w:div>
        <w:div w:id="857691986">
          <w:marLeft w:val="360"/>
          <w:marRight w:val="0"/>
          <w:marTop w:val="200"/>
          <w:marBottom w:val="0"/>
          <w:divBdr>
            <w:top w:val="none" w:sz="0" w:space="0" w:color="auto"/>
            <w:left w:val="none" w:sz="0" w:space="0" w:color="auto"/>
            <w:bottom w:val="none" w:sz="0" w:space="0" w:color="auto"/>
            <w:right w:val="none" w:sz="0" w:space="0" w:color="auto"/>
          </w:divBdr>
        </w:div>
        <w:div w:id="827864533">
          <w:marLeft w:val="360"/>
          <w:marRight w:val="0"/>
          <w:marTop w:val="200"/>
          <w:marBottom w:val="0"/>
          <w:divBdr>
            <w:top w:val="none" w:sz="0" w:space="0" w:color="auto"/>
            <w:left w:val="none" w:sz="0" w:space="0" w:color="auto"/>
            <w:bottom w:val="none" w:sz="0" w:space="0" w:color="auto"/>
            <w:right w:val="none" w:sz="0" w:space="0" w:color="auto"/>
          </w:divBdr>
        </w:div>
      </w:divsChild>
    </w:div>
    <w:div w:id="1041437603">
      <w:bodyDiv w:val="1"/>
      <w:marLeft w:val="0"/>
      <w:marRight w:val="0"/>
      <w:marTop w:val="0"/>
      <w:marBottom w:val="0"/>
      <w:divBdr>
        <w:top w:val="none" w:sz="0" w:space="0" w:color="auto"/>
        <w:left w:val="none" w:sz="0" w:space="0" w:color="auto"/>
        <w:bottom w:val="none" w:sz="0" w:space="0" w:color="auto"/>
        <w:right w:val="none" w:sz="0" w:space="0" w:color="auto"/>
      </w:divBdr>
    </w:div>
    <w:div w:id="1053429452">
      <w:bodyDiv w:val="1"/>
      <w:marLeft w:val="0"/>
      <w:marRight w:val="0"/>
      <w:marTop w:val="0"/>
      <w:marBottom w:val="0"/>
      <w:divBdr>
        <w:top w:val="none" w:sz="0" w:space="0" w:color="auto"/>
        <w:left w:val="none" w:sz="0" w:space="0" w:color="auto"/>
        <w:bottom w:val="none" w:sz="0" w:space="0" w:color="auto"/>
        <w:right w:val="none" w:sz="0" w:space="0" w:color="auto"/>
      </w:divBdr>
    </w:div>
    <w:div w:id="1073233600">
      <w:bodyDiv w:val="1"/>
      <w:marLeft w:val="0"/>
      <w:marRight w:val="0"/>
      <w:marTop w:val="0"/>
      <w:marBottom w:val="0"/>
      <w:divBdr>
        <w:top w:val="none" w:sz="0" w:space="0" w:color="auto"/>
        <w:left w:val="none" w:sz="0" w:space="0" w:color="auto"/>
        <w:bottom w:val="none" w:sz="0" w:space="0" w:color="auto"/>
        <w:right w:val="none" w:sz="0" w:space="0" w:color="auto"/>
      </w:divBdr>
    </w:div>
    <w:div w:id="1104880468">
      <w:bodyDiv w:val="1"/>
      <w:marLeft w:val="0"/>
      <w:marRight w:val="0"/>
      <w:marTop w:val="0"/>
      <w:marBottom w:val="0"/>
      <w:divBdr>
        <w:top w:val="none" w:sz="0" w:space="0" w:color="auto"/>
        <w:left w:val="none" w:sz="0" w:space="0" w:color="auto"/>
        <w:bottom w:val="none" w:sz="0" w:space="0" w:color="auto"/>
        <w:right w:val="none" w:sz="0" w:space="0" w:color="auto"/>
      </w:divBdr>
    </w:div>
    <w:div w:id="1133719351">
      <w:bodyDiv w:val="1"/>
      <w:marLeft w:val="0"/>
      <w:marRight w:val="0"/>
      <w:marTop w:val="0"/>
      <w:marBottom w:val="0"/>
      <w:divBdr>
        <w:top w:val="none" w:sz="0" w:space="0" w:color="auto"/>
        <w:left w:val="none" w:sz="0" w:space="0" w:color="auto"/>
        <w:bottom w:val="none" w:sz="0" w:space="0" w:color="auto"/>
        <w:right w:val="none" w:sz="0" w:space="0" w:color="auto"/>
      </w:divBdr>
      <w:divsChild>
        <w:div w:id="1133984280">
          <w:marLeft w:val="0"/>
          <w:marRight w:val="0"/>
          <w:marTop w:val="0"/>
          <w:marBottom w:val="0"/>
          <w:divBdr>
            <w:top w:val="none" w:sz="0" w:space="0" w:color="auto"/>
            <w:left w:val="none" w:sz="0" w:space="0" w:color="auto"/>
            <w:bottom w:val="none" w:sz="0" w:space="0" w:color="auto"/>
            <w:right w:val="none" w:sz="0" w:space="0" w:color="auto"/>
          </w:divBdr>
        </w:div>
      </w:divsChild>
    </w:div>
    <w:div w:id="1133861967">
      <w:bodyDiv w:val="1"/>
      <w:marLeft w:val="0"/>
      <w:marRight w:val="0"/>
      <w:marTop w:val="0"/>
      <w:marBottom w:val="0"/>
      <w:divBdr>
        <w:top w:val="none" w:sz="0" w:space="0" w:color="auto"/>
        <w:left w:val="none" w:sz="0" w:space="0" w:color="auto"/>
        <w:bottom w:val="none" w:sz="0" w:space="0" w:color="auto"/>
        <w:right w:val="none" w:sz="0" w:space="0" w:color="auto"/>
      </w:divBdr>
    </w:div>
    <w:div w:id="1242956952">
      <w:bodyDiv w:val="1"/>
      <w:marLeft w:val="0"/>
      <w:marRight w:val="0"/>
      <w:marTop w:val="0"/>
      <w:marBottom w:val="0"/>
      <w:divBdr>
        <w:top w:val="none" w:sz="0" w:space="0" w:color="auto"/>
        <w:left w:val="none" w:sz="0" w:space="0" w:color="auto"/>
        <w:bottom w:val="none" w:sz="0" w:space="0" w:color="auto"/>
        <w:right w:val="none" w:sz="0" w:space="0" w:color="auto"/>
      </w:divBdr>
      <w:divsChild>
        <w:div w:id="1664550043">
          <w:marLeft w:val="360"/>
          <w:marRight w:val="0"/>
          <w:marTop w:val="200"/>
          <w:marBottom w:val="0"/>
          <w:divBdr>
            <w:top w:val="none" w:sz="0" w:space="0" w:color="auto"/>
            <w:left w:val="none" w:sz="0" w:space="0" w:color="auto"/>
            <w:bottom w:val="none" w:sz="0" w:space="0" w:color="auto"/>
            <w:right w:val="none" w:sz="0" w:space="0" w:color="auto"/>
          </w:divBdr>
        </w:div>
        <w:div w:id="223878849">
          <w:marLeft w:val="360"/>
          <w:marRight w:val="0"/>
          <w:marTop w:val="200"/>
          <w:marBottom w:val="0"/>
          <w:divBdr>
            <w:top w:val="none" w:sz="0" w:space="0" w:color="auto"/>
            <w:left w:val="none" w:sz="0" w:space="0" w:color="auto"/>
            <w:bottom w:val="none" w:sz="0" w:space="0" w:color="auto"/>
            <w:right w:val="none" w:sz="0" w:space="0" w:color="auto"/>
          </w:divBdr>
        </w:div>
        <w:div w:id="1480998261">
          <w:marLeft w:val="360"/>
          <w:marRight w:val="0"/>
          <w:marTop w:val="200"/>
          <w:marBottom w:val="0"/>
          <w:divBdr>
            <w:top w:val="none" w:sz="0" w:space="0" w:color="auto"/>
            <w:left w:val="none" w:sz="0" w:space="0" w:color="auto"/>
            <w:bottom w:val="none" w:sz="0" w:space="0" w:color="auto"/>
            <w:right w:val="none" w:sz="0" w:space="0" w:color="auto"/>
          </w:divBdr>
        </w:div>
        <w:div w:id="1183780616">
          <w:marLeft w:val="360"/>
          <w:marRight w:val="0"/>
          <w:marTop w:val="200"/>
          <w:marBottom w:val="0"/>
          <w:divBdr>
            <w:top w:val="none" w:sz="0" w:space="0" w:color="auto"/>
            <w:left w:val="none" w:sz="0" w:space="0" w:color="auto"/>
            <w:bottom w:val="none" w:sz="0" w:space="0" w:color="auto"/>
            <w:right w:val="none" w:sz="0" w:space="0" w:color="auto"/>
          </w:divBdr>
        </w:div>
        <w:div w:id="1827816806">
          <w:marLeft w:val="360"/>
          <w:marRight w:val="0"/>
          <w:marTop w:val="200"/>
          <w:marBottom w:val="0"/>
          <w:divBdr>
            <w:top w:val="none" w:sz="0" w:space="0" w:color="auto"/>
            <w:left w:val="none" w:sz="0" w:space="0" w:color="auto"/>
            <w:bottom w:val="none" w:sz="0" w:space="0" w:color="auto"/>
            <w:right w:val="none" w:sz="0" w:space="0" w:color="auto"/>
          </w:divBdr>
        </w:div>
        <w:div w:id="1829058137">
          <w:marLeft w:val="360"/>
          <w:marRight w:val="0"/>
          <w:marTop w:val="200"/>
          <w:marBottom w:val="0"/>
          <w:divBdr>
            <w:top w:val="none" w:sz="0" w:space="0" w:color="auto"/>
            <w:left w:val="none" w:sz="0" w:space="0" w:color="auto"/>
            <w:bottom w:val="none" w:sz="0" w:space="0" w:color="auto"/>
            <w:right w:val="none" w:sz="0" w:space="0" w:color="auto"/>
          </w:divBdr>
        </w:div>
        <w:div w:id="111435861">
          <w:marLeft w:val="360"/>
          <w:marRight w:val="0"/>
          <w:marTop w:val="200"/>
          <w:marBottom w:val="0"/>
          <w:divBdr>
            <w:top w:val="none" w:sz="0" w:space="0" w:color="auto"/>
            <w:left w:val="none" w:sz="0" w:space="0" w:color="auto"/>
            <w:bottom w:val="none" w:sz="0" w:space="0" w:color="auto"/>
            <w:right w:val="none" w:sz="0" w:space="0" w:color="auto"/>
          </w:divBdr>
        </w:div>
      </w:divsChild>
    </w:div>
    <w:div w:id="1467701046">
      <w:bodyDiv w:val="1"/>
      <w:marLeft w:val="0"/>
      <w:marRight w:val="0"/>
      <w:marTop w:val="0"/>
      <w:marBottom w:val="0"/>
      <w:divBdr>
        <w:top w:val="none" w:sz="0" w:space="0" w:color="auto"/>
        <w:left w:val="none" w:sz="0" w:space="0" w:color="auto"/>
        <w:bottom w:val="none" w:sz="0" w:space="0" w:color="auto"/>
        <w:right w:val="none" w:sz="0" w:space="0" w:color="auto"/>
      </w:divBdr>
    </w:div>
    <w:div w:id="1469712348">
      <w:bodyDiv w:val="1"/>
      <w:marLeft w:val="0"/>
      <w:marRight w:val="0"/>
      <w:marTop w:val="0"/>
      <w:marBottom w:val="0"/>
      <w:divBdr>
        <w:top w:val="none" w:sz="0" w:space="0" w:color="auto"/>
        <w:left w:val="none" w:sz="0" w:space="0" w:color="auto"/>
        <w:bottom w:val="none" w:sz="0" w:space="0" w:color="auto"/>
        <w:right w:val="none" w:sz="0" w:space="0" w:color="auto"/>
      </w:divBdr>
      <w:divsChild>
        <w:div w:id="1441798503">
          <w:marLeft w:val="1411"/>
          <w:marRight w:val="0"/>
          <w:marTop w:val="134"/>
          <w:marBottom w:val="0"/>
          <w:divBdr>
            <w:top w:val="none" w:sz="0" w:space="0" w:color="auto"/>
            <w:left w:val="none" w:sz="0" w:space="0" w:color="auto"/>
            <w:bottom w:val="none" w:sz="0" w:space="0" w:color="auto"/>
            <w:right w:val="none" w:sz="0" w:space="0" w:color="auto"/>
          </w:divBdr>
        </w:div>
        <w:div w:id="1844082165">
          <w:marLeft w:val="1411"/>
          <w:marRight w:val="0"/>
          <w:marTop w:val="134"/>
          <w:marBottom w:val="0"/>
          <w:divBdr>
            <w:top w:val="none" w:sz="0" w:space="0" w:color="auto"/>
            <w:left w:val="none" w:sz="0" w:space="0" w:color="auto"/>
            <w:bottom w:val="none" w:sz="0" w:space="0" w:color="auto"/>
            <w:right w:val="none" w:sz="0" w:space="0" w:color="auto"/>
          </w:divBdr>
        </w:div>
        <w:div w:id="1632785296">
          <w:marLeft w:val="1411"/>
          <w:marRight w:val="0"/>
          <w:marTop w:val="134"/>
          <w:marBottom w:val="0"/>
          <w:divBdr>
            <w:top w:val="none" w:sz="0" w:space="0" w:color="auto"/>
            <w:left w:val="none" w:sz="0" w:space="0" w:color="auto"/>
            <w:bottom w:val="none" w:sz="0" w:space="0" w:color="auto"/>
            <w:right w:val="none" w:sz="0" w:space="0" w:color="auto"/>
          </w:divBdr>
        </w:div>
      </w:divsChild>
    </w:div>
    <w:div w:id="1626227908">
      <w:bodyDiv w:val="1"/>
      <w:marLeft w:val="0"/>
      <w:marRight w:val="0"/>
      <w:marTop w:val="0"/>
      <w:marBottom w:val="0"/>
      <w:divBdr>
        <w:top w:val="none" w:sz="0" w:space="0" w:color="auto"/>
        <w:left w:val="none" w:sz="0" w:space="0" w:color="auto"/>
        <w:bottom w:val="none" w:sz="0" w:space="0" w:color="auto"/>
        <w:right w:val="none" w:sz="0" w:space="0" w:color="auto"/>
      </w:divBdr>
      <w:divsChild>
        <w:div w:id="1226989425">
          <w:marLeft w:val="1123"/>
          <w:marRight w:val="0"/>
          <w:marTop w:val="134"/>
          <w:marBottom w:val="0"/>
          <w:divBdr>
            <w:top w:val="none" w:sz="0" w:space="0" w:color="auto"/>
            <w:left w:val="none" w:sz="0" w:space="0" w:color="auto"/>
            <w:bottom w:val="none" w:sz="0" w:space="0" w:color="auto"/>
            <w:right w:val="none" w:sz="0" w:space="0" w:color="auto"/>
          </w:divBdr>
        </w:div>
        <w:div w:id="697318779">
          <w:marLeft w:val="1123"/>
          <w:marRight w:val="0"/>
          <w:marTop w:val="134"/>
          <w:marBottom w:val="0"/>
          <w:divBdr>
            <w:top w:val="none" w:sz="0" w:space="0" w:color="auto"/>
            <w:left w:val="none" w:sz="0" w:space="0" w:color="auto"/>
            <w:bottom w:val="none" w:sz="0" w:space="0" w:color="auto"/>
            <w:right w:val="none" w:sz="0" w:space="0" w:color="auto"/>
          </w:divBdr>
        </w:div>
        <w:div w:id="1609386867">
          <w:marLeft w:val="1123"/>
          <w:marRight w:val="0"/>
          <w:marTop w:val="134"/>
          <w:marBottom w:val="0"/>
          <w:divBdr>
            <w:top w:val="none" w:sz="0" w:space="0" w:color="auto"/>
            <w:left w:val="none" w:sz="0" w:space="0" w:color="auto"/>
            <w:bottom w:val="none" w:sz="0" w:space="0" w:color="auto"/>
            <w:right w:val="none" w:sz="0" w:space="0" w:color="auto"/>
          </w:divBdr>
        </w:div>
        <w:div w:id="1677684589">
          <w:marLeft w:val="1123"/>
          <w:marRight w:val="0"/>
          <w:marTop w:val="134"/>
          <w:marBottom w:val="0"/>
          <w:divBdr>
            <w:top w:val="none" w:sz="0" w:space="0" w:color="auto"/>
            <w:left w:val="none" w:sz="0" w:space="0" w:color="auto"/>
            <w:bottom w:val="none" w:sz="0" w:space="0" w:color="auto"/>
            <w:right w:val="none" w:sz="0" w:space="0" w:color="auto"/>
          </w:divBdr>
        </w:div>
      </w:divsChild>
    </w:div>
    <w:div w:id="1736705018">
      <w:bodyDiv w:val="1"/>
      <w:marLeft w:val="0"/>
      <w:marRight w:val="0"/>
      <w:marTop w:val="0"/>
      <w:marBottom w:val="0"/>
      <w:divBdr>
        <w:top w:val="none" w:sz="0" w:space="0" w:color="auto"/>
        <w:left w:val="none" w:sz="0" w:space="0" w:color="auto"/>
        <w:bottom w:val="none" w:sz="0" w:space="0" w:color="auto"/>
        <w:right w:val="none" w:sz="0" w:space="0" w:color="auto"/>
      </w:divBdr>
      <w:divsChild>
        <w:div w:id="1794863521">
          <w:marLeft w:val="360"/>
          <w:marRight w:val="0"/>
          <w:marTop w:val="200"/>
          <w:marBottom w:val="0"/>
          <w:divBdr>
            <w:top w:val="none" w:sz="0" w:space="0" w:color="auto"/>
            <w:left w:val="none" w:sz="0" w:space="0" w:color="auto"/>
            <w:bottom w:val="none" w:sz="0" w:space="0" w:color="auto"/>
            <w:right w:val="none" w:sz="0" w:space="0" w:color="auto"/>
          </w:divBdr>
        </w:div>
        <w:div w:id="1396583755">
          <w:marLeft w:val="360"/>
          <w:marRight w:val="0"/>
          <w:marTop w:val="200"/>
          <w:marBottom w:val="0"/>
          <w:divBdr>
            <w:top w:val="none" w:sz="0" w:space="0" w:color="auto"/>
            <w:left w:val="none" w:sz="0" w:space="0" w:color="auto"/>
            <w:bottom w:val="none" w:sz="0" w:space="0" w:color="auto"/>
            <w:right w:val="none" w:sz="0" w:space="0" w:color="auto"/>
          </w:divBdr>
        </w:div>
        <w:div w:id="1274896033">
          <w:marLeft w:val="360"/>
          <w:marRight w:val="0"/>
          <w:marTop w:val="200"/>
          <w:marBottom w:val="0"/>
          <w:divBdr>
            <w:top w:val="none" w:sz="0" w:space="0" w:color="auto"/>
            <w:left w:val="none" w:sz="0" w:space="0" w:color="auto"/>
            <w:bottom w:val="none" w:sz="0" w:space="0" w:color="auto"/>
            <w:right w:val="none" w:sz="0" w:space="0" w:color="auto"/>
          </w:divBdr>
        </w:div>
        <w:div w:id="71508811">
          <w:marLeft w:val="360"/>
          <w:marRight w:val="0"/>
          <w:marTop w:val="200"/>
          <w:marBottom w:val="0"/>
          <w:divBdr>
            <w:top w:val="none" w:sz="0" w:space="0" w:color="auto"/>
            <w:left w:val="none" w:sz="0" w:space="0" w:color="auto"/>
            <w:bottom w:val="none" w:sz="0" w:space="0" w:color="auto"/>
            <w:right w:val="none" w:sz="0" w:space="0" w:color="auto"/>
          </w:divBdr>
        </w:div>
        <w:div w:id="1341662942">
          <w:marLeft w:val="360"/>
          <w:marRight w:val="0"/>
          <w:marTop w:val="200"/>
          <w:marBottom w:val="0"/>
          <w:divBdr>
            <w:top w:val="none" w:sz="0" w:space="0" w:color="auto"/>
            <w:left w:val="none" w:sz="0" w:space="0" w:color="auto"/>
            <w:bottom w:val="none" w:sz="0" w:space="0" w:color="auto"/>
            <w:right w:val="none" w:sz="0" w:space="0" w:color="auto"/>
          </w:divBdr>
        </w:div>
        <w:div w:id="1745683709">
          <w:marLeft w:val="360"/>
          <w:marRight w:val="0"/>
          <w:marTop w:val="200"/>
          <w:marBottom w:val="0"/>
          <w:divBdr>
            <w:top w:val="none" w:sz="0" w:space="0" w:color="auto"/>
            <w:left w:val="none" w:sz="0" w:space="0" w:color="auto"/>
            <w:bottom w:val="none" w:sz="0" w:space="0" w:color="auto"/>
            <w:right w:val="none" w:sz="0" w:space="0" w:color="auto"/>
          </w:divBdr>
        </w:div>
        <w:div w:id="724764582">
          <w:marLeft w:val="360"/>
          <w:marRight w:val="0"/>
          <w:marTop w:val="200"/>
          <w:marBottom w:val="0"/>
          <w:divBdr>
            <w:top w:val="none" w:sz="0" w:space="0" w:color="auto"/>
            <w:left w:val="none" w:sz="0" w:space="0" w:color="auto"/>
            <w:bottom w:val="none" w:sz="0" w:space="0" w:color="auto"/>
            <w:right w:val="none" w:sz="0" w:space="0" w:color="auto"/>
          </w:divBdr>
        </w:div>
        <w:div w:id="2079211271">
          <w:marLeft w:val="360"/>
          <w:marRight w:val="0"/>
          <w:marTop w:val="200"/>
          <w:marBottom w:val="0"/>
          <w:divBdr>
            <w:top w:val="none" w:sz="0" w:space="0" w:color="auto"/>
            <w:left w:val="none" w:sz="0" w:space="0" w:color="auto"/>
            <w:bottom w:val="none" w:sz="0" w:space="0" w:color="auto"/>
            <w:right w:val="none" w:sz="0" w:space="0" w:color="auto"/>
          </w:divBdr>
        </w:div>
        <w:div w:id="712072691">
          <w:marLeft w:val="360"/>
          <w:marRight w:val="0"/>
          <w:marTop w:val="200"/>
          <w:marBottom w:val="0"/>
          <w:divBdr>
            <w:top w:val="none" w:sz="0" w:space="0" w:color="auto"/>
            <w:left w:val="none" w:sz="0" w:space="0" w:color="auto"/>
            <w:bottom w:val="none" w:sz="0" w:space="0" w:color="auto"/>
            <w:right w:val="none" w:sz="0" w:space="0" w:color="auto"/>
          </w:divBdr>
        </w:div>
      </w:divsChild>
    </w:div>
    <w:div w:id="1777868038">
      <w:bodyDiv w:val="1"/>
      <w:marLeft w:val="0"/>
      <w:marRight w:val="0"/>
      <w:marTop w:val="0"/>
      <w:marBottom w:val="0"/>
      <w:divBdr>
        <w:top w:val="none" w:sz="0" w:space="0" w:color="auto"/>
        <w:left w:val="none" w:sz="0" w:space="0" w:color="auto"/>
        <w:bottom w:val="none" w:sz="0" w:space="0" w:color="auto"/>
        <w:right w:val="none" w:sz="0" w:space="0" w:color="auto"/>
      </w:divBdr>
      <w:divsChild>
        <w:div w:id="699429585">
          <w:marLeft w:val="720"/>
          <w:marRight w:val="0"/>
          <w:marTop w:val="115"/>
          <w:marBottom w:val="0"/>
          <w:divBdr>
            <w:top w:val="none" w:sz="0" w:space="0" w:color="auto"/>
            <w:left w:val="none" w:sz="0" w:space="0" w:color="auto"/>
            <w:bottom w:val="none" w:sz="0" w:space="0" w:color="auto"/>
            <w:right w:val="none" w:sz="0" w:space="0" w:color="auto"/>
          </w:divBdr>
        </w:div>
        <w:div w:id="1938295495">
          <w:marLeft w:val="720"/>
          <w:marRight w:val="0"/>
          <w:marTop w:val="115"/>
          <w:marBottom w:val="0"/>
          <w:divBdr>
            <w:top w:val="none" w:sz="0" w:space="0" w:color="auto"/>
            <w:left w:val="none" w:sz="0" w:space="0" w:color="auto"/>
            <w:bottom w:val="none" w:sz="0" w:space="0" w:color="auto"/>
            <w:right w:val="none" w:sz="0" w:space="0" w:color="auto"/>
          </w:divBdr>
        </w:div>
        <w:div w:id="628362871">
          <w:marLeft w:val="720"/>
          <w:marRight w:val="0"/>
          <w:marTop w:val="115"/>
          <w:marBottom w:val="0"/>
          <w:divBdr>
            <w:top w:val="none" w:sz="0" w:space="0" w:color="auto"/>
            <w:left w:val="none" w:sz="0" w:space="0" w:color="auto"/>
            <w:bottom w:val="none" w:sz="0" w:space="0" w:color="auto"/>
            <w:right w:val="none" w:sz="0" w:space="0" w:color="auto"/>
          </w:divBdr>
        </w:div>
        <w:div w:id="1552417872">
          <w:marLeft w:val="720"/>
          <w:marRight w:val="0"/>
          <w:marTop w:val="115"/>
          <w:marBottom w:val="0"/>
          <w:divBdr>
            <w:top w:val="none" w:sz="0" w:space="0" w:color="auto"/>
            <w:left w:val="none" w:sz="0" w:space="0" w:color="auto"/>
            <w:bottom w:val="none" w:sz="0" w:space="0" w:color="auto"/>
            <w:right w:val="none" w:sz="0" w:space="0" w:color="auto"/>
          </w:divBdr>
        </w:div>
      </w:divsChild>
    </w:div>
    <w:div w:id="199032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52B17-4600-4DAB-A474-833143F2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21</Pages>
  <Words>8407</Words>
  <Characters>47925</Characters>
  <Application>Microsoft Office Word</Application>
  <DocSecurity>0</DocSecurity>
  <Lines>399</Lines>
  <Paragraphs>112</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University Of Southampton</Company>
  <LinksUpToDate>false</LinksUpToDate>
  <CharactersWithSpaces>56220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J.M.</dc:creator>
  <cp:lastModifiedBy>Preston J.M.</cp:lastModifiedBy>
  <cp:revision>3</cp:revision>
  <dcterms:created xsi:type="dcterms:W3CDTF">2018-07-10T08:20:00Z</dcterms:created>
  <dcterms:modified xsi:type="dcterms:W3CDTF">2018-07-10T09:00:00Z</dcterms:modified>
</cp:coreProperties>
</file>