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041D" w14:textId="112F86E8" w:rsidR="003E7200" w:rsidRPr="003E7200" w:rsidRDefault="003E7200" w:rsidP="00F373CB">
      <w:pPr>
        <w:pStyle w:val="Heading1"/>
        <w:rPr>
          <w:b w:val="0"/>
          <w:u w:val="none"/>
        </w:rPr>
      </w:pPr>
      <w:bookmarkStart w:id="0" w:name="_GoBack"/>
      <w:bookmarkEnd w:id="0"/>
      <w:r w:rsidRPr="003E7200">
        <w:rPr>
          <w:b w:val="0"/>
          <w:u w:val="none"/>
        </w:rPr>
        <w:t xml:space="preserve">To cite this article: Roger Tyers (2018): Nudging the jetset to offset: voluntary carbon offsetting and the limits to nudging, </w:t>
      </w:r>
      <w:r w:rsidRPr="003E7200">
        <w:rPr>
          <w:b w:val="0"/>
          <w:i/>
          <w:u w:val="none"/>
        </w:rPr>
        <w:t>Journal of Sustainable Tourism</w:t>
      </w:r>
      <w:r w:rsidRPr="003E7200">
        <w:rPr>
          <w:b w:val="0"/>
          <w:u w:val="none"/>
        </w:rPr>
        <w:t>, DOI: 10.1080/09669582.2018.1494737</w:t>
      </w:r>
    </w:p>
    <w:p w14:paraId="02DE0BD5" w14:textId="659FC2E7" w:rsidR="000324FE" w:rsidRPr="000324FE" w:rsidRDefault="00993E5B" w:rsidP="00F373CB">
      <w:pPr>
        <w:pStyle w:val="Heading1"/>
      </w:pPr>
      <w:r>
        <w:t>Nudging the jetset to offset: Voluntary carbon offsett</w:t>
      </w:r>
      <w:r w:rsidR="00C73FB3">
        <w:t xml:space="preserve">ing and the limits to nudging. </w:t>
      </w:r>
    </w:p>
    <w:p w14:paraId="6523DB69" w14:textId="77777777" w:rsidR="009D58CF" w:rsidRDefault="009D58CF" w:rsidP="009D58CF">
      <w:pPr>
        <w:pStyle w:val="Heading1"/>
      </w:pPr>
      <w:r w:rsidRPr="009D58CF">
        <w:t>Abstract</w:t>
      </w:r>
    </w:p>
    <w:p w14:paraId="29AFE8FB" w14:textId="701DEAD9" w:rsidR="009B2E25" w:rsidRDefault="0033115A" w:rsidP="0055265C">
      <w:r w:rsidRPr="0033115A">
        <w:t xml:space="preserve">‘Nudge’-style interventions have </w:t>
      </w:r>
      <w:r>
        <w:t xml:space="preserve">often </w:t>
      </w:r>
      <w:r w:rsidRPr="0033115A">
        <w:t xml:space="preserve">been successful in terms of changing behaviour, particularly </w:t>
      </w:r>
      <w:r w:rsidR="009911A9">
        <w:t>for</w:t>
      </w:r>
      <w:r w:rsidR="009911A9" w:rsidRPr="0033115A">
        <w:t xml:space="preserve"> </w:t>
      </w:r>
      <w:r w:rsidR="0092244B">
        <w:t>behaviours which are pro-self.</w:t>
      </w:r>
      <w:r w:rsidRPr="0033115A">
        <w:t xml:space="preserve"> Less research has been conducted into </w:t>
      </w:r>
      <w:r w:rsidR="008F5D35">
        <w:t xml:space="preserve">encouraging </w:t>
      </w:r>
      <w:r w:rsidR="00E9609A">
        <w:t xml:space="preserve">solely </w:t>
      </w:r>
      <w:r w:rsidRPr="0033115A">
        <w:t>pro-social behaviours</w:t>
      </w:r>
      <w:r w:rsidR="007917A6">
        <w:t xml:space="preserve"> with nudges</w:t>
      </w:r>
      <w:r w:rsidRPr="0033115A">
        <w:t xml:space="preserve">. This paper examines the application of nudges to promote one pro-social behaviour: voluntary carbon offsetting for air travel. Testing nudges through randomised controlled trials and evaluating them using focus groups, nudges were found to be ineffective in promoting offsetting. Two explanations are proposed, addressing specific design problems of the nudges tested which can in theory be overcome, and then more substantive barriers which cannot. </w:t>
      </w:r>
      <w:r w:rsidR="006628D9">
        <w:t xml:space="preserve">This paper presents empirical evidence that </w:t>
      </w:r>
      <w:r w:rsidRPr="0033115A">
        <w:t>nudges are unlikely to be effective when the target</w:t>
      </w:r>
      <w:r w:rsidR="00E9609A">
        <w:t xml:space="preserve"> behaviour is not perceived as </w:t>
      </w:r>
      <w:r w:rsidRPr="0033115A">
        <w:t xml:space="preserve">common, is not visible, and </w:t>
      </w:r>
      <w:r w:rsidR="009911A9">
        <w:t xml:space="preserve">has </w:t>
      </w:r>
      <w:r w:rsidR="007917A6">
        <w:t>negative connotations</w:t>
      </w:r>
      <w:r w:rsidRPr="0033115A">
        <w:t xml:space="preserve"> </w:t>
      </w:r>
      <w:r w:rsidR="00E9609A">
        <w:t xml:space="preserve">e.g. </w:t>
      </w:r>
      <w:r w:rsidR="009911A9">
        <w:t xml:space="preserve">as carbon offsetting is often associated </w:t>
      </w:r>
      <w:r w:rsidR="007917A6">
        <w:t xml:space="preserve">with other </w:t>
      </w:r>
      <w:r w:rsidR="00E9609A">
        <w:t>add-on extras</w:t>
      </w:r>
      <w:r w:rsidRPr="0033115A">
        <w:t xml:space="preserve"> for flights. Proposing a typology of</w:t>
      </w:r>
      <w:r w:rsidR="009911A9">
        <w:t xml:space="preserve"> </w:t>
      </w:r>
      <w:r w:rsidR="007917A6">
        <w:t>automatic</w:t>
      </w:r>
      <w:r w:rsidR="009911A9">
        <w:t xml:space="preserve">/reflexive </w:t>
      </w:r>
      <w:r w:rsidR="007917A6">
        <w:t>sy</w:t>
      </w:r>
      <w:r w:rsidR="007917A6" w:rsidRPr="007917A6">
        <w:t>stem</w:t>
      </w:r>
      <w:r w:rsidR="007917A6">
        <w:t>s</w:t>
      </w:r>
      <w:r w:rsidR="007917A6" w:rsidRPr="007917A6">
        <w:t xml:space="preserve"> of thinking</w:t>
      </w:r>
      <w:r w:rsidRPr="0033115A">
        <w:t xml:space="preserve">, </w:t>
      </w:r>
      <w:r w:rsidR="007917A6">
        <w:t xml:space="preserve">and </w:t>
      </w:r>
      <w:r w:rsidRPr="0033115A">
        <w:t>pro</w:t>
      </w:r>
      <w:r w:rsidR="0092244B">
        <w:t>-</w:t>
      </w:r>
      <w:r w:rsidRPr="0033115A">
        <w:t>self/</w:t>
      </w:r>
      <w:r w:rsidR="00E9609A">
        <w:t>-</w:t>
      </w:r>
      <w:r w:rsidRPr="0033115A">
        <w:t xml:space="preserve">social </w:t>
      </w:r>
      <w:r w:rsidR="007917A6">
        <w:t>target behaviours</w:t>
      </w:r>
      <w:r w:rsidRPr="0033115A">
        <w:t>, the paper offers a conceptual contribution regardi</w:t>
      </w:r>
      <w:r w:rsidR="00E9609A">
        <w:t xml:space="preserve">ng the </w:t>
      </w:r>
      <w:r w:rsidRPr="0033115A">
        <w:t xml:space="preserve">limits of effective nudging. Identifying </w:t>
      </w:r>
      <w:r w:rsidR="009911A9">
        <w:t xml:space="preserve">behaviours beyond these limits </w:t>
      </w:r>
      <w:r w:rsidR="0055265C">
        <w:t xml:space="preserve">means that in such cases </w:t>
      </w:r>
      <w:r w:rsidRPr="0033115A">
        <w:t>there is a need for</w:t>
      </w:r>
      <w:r w:rsidR="0092244B">
        <w:t xml:space="preserve"> industry-level</w:t>
      </w:r>
      <w:r w:rsidRPr="0033115A">
        <w:t xml:space="preserve"> ‘budges’ – or ‘behavioural</w:t>
      </w:r>
      <w:r w:rsidR="0055265C">
        <w:t xml:space="preserve"> economic-informed regulation’, instead of individualised nudges. In regards t</w:t>
      </w:r>
      <w:r w:rsidR="0055265C" w:rsidRPr="0033115A">
        <w:t xml:space="preserve">o the expanding </w:t>
      </w:r>
      <w:r w:rsidR="0055265C">
        <w:t xml:space="preserve">and carbon-intensive </w:t>
      </w:r>
      <w:r w:rsidR="0055265C" w:rsidRPr="0033115A">
        <w:t>aviation industry</w:t>
      </w:r>
      <w:r w:rsidR="0055265C">
        <w:t>, it is argued that</w:t>
      </w:r>
      <w:r w:rsidR="0055265C" w:rsidRPr="0033115A">
        <w:t xml:space="preserve"> </w:t>
      </w:r>
      <w:r w:rsidR="0055265C">
        <w:t>such a need is particularly acute</w:t>
      </w:r>
      <w:r w:rsidRPr="0033115A">
        <w:t>.</w:t>
      </w:r>
    </w:p>
    <w:p w14:paraId="29011C69" w14:textId="77777777" w:rsidR="00004D77" w:rsidRDefault="00004D77" w:rsidP="00004D77">
      <w:pPr>
        <w:pStyle w:val="Heading1"/>
      </w:pPr>
      <w:r>
        <w:t>Keywords</w:t>
      </w:r>
    </w:p>
    <w:p w14:paraId="7A21025C" w14:textId="07BEA0EC" w:rsidR="008D04F4" w:rsidRDefault="00004D77" w:rsidP="00004D77">
      <w:r>
        <w:t>Nudge;</w:t>
      </w:r>
      <w:r w:rsidRPr="00004D77">
        <w:t xml:space="preserve"> Carbon offsetting</w:t>
      </w:r>
      <w:r>
        <w:t>;</w:t>
      </w:r>
      <w:r w:rsidRPr="00004D77">
        <w:t xml:space="preserve"> A</w:t>
      </w:r>
      <w:r>
        <w:t>ir travel; Behavioural economics; B</w:t>
      </w:r>
      <w:r w:rsidRPr="00004D77">
        <w:t xml:space="preserve">ehavioural </w:t>
      </w:r>
      <w:r>
        <w:t>insights</w:t>
      </w:r>
      <w:r w:rsidR="008D04F4">
        <w:br w:type="page"/>
      </w:r>
    </w:p>
    <w:p w14:paraId="5F648EF0" w14:textId="77777777" w:rsidR="003020A3" w:rsidRDefault="003020A3" w:rsidP="003020A3">
      <w:pPr>
        <w:pStyle w:val="Heading1"/>
      </w:pPr>
      <w:r w:rsidRPr="003020A3">
        <w:lastRenderedPageBreak/>
        <w:t>Introduction</w:t>
      </w:r>
    </w:p>
    <w:p w14:paraId="4EB87640" w14:textId="0DAC6634" w:rsidR="00274D6E" w:rsidRDefault="00ED24BB">
      <w:r>
        <w:t xml:space="preserve">In recent years, ‘Nudge’-style interventions have been </w:t>
      </w:r>
      <w:r w:rsidR="00B23454">
        <w:t xml:space="preserve">tested and </w:t>
      </w:r>
      <w:r>
        <w:t xml:space="preserve">applied </w:t>
      </w:r>
      <w:r w:rsidR="00667AA9">
        <w:t>in</w:t>
      </w:r>
      <w:r>
        <w:t xml:space="preserve"> </w:t>
      </w:r>
      <w:r w:rsidR="00667AA9">
        <w:t>an increasing number of</w:t>
      </w:r>
      <w:r>
        <w:t xml:space="preserve"> </w:t>
      </w:r>
      <w:r w:rsidR="00667AA9">
        <w:t xml:space="preserve">countries and </w:t>
      </w:r>
      <w:r>
        <w:t xml:space="preserve">policy areas </w:t>
      </w:r>
      <w:r w:rsidR="007A5ED0">
        <w:fldChar w:fldCharType="begin" w:fldLock="1"/>
      </w:r>
      <w:r w:rsidR="00CB0271">
        <w:instrText>ADDIN CSL_CITATION { "citationItems" : [ { "id" : "ITEM-1", "itemData" : { "DOI" : "10.2760/903938", "ISBN" : "9789279547256", "author" : [ { "dropping-particle" : "", "family" : "Louren\u00e7o", "given" : "Joana Sousa", "non-dropping-particle" : "", "parse-names" : false, "suffix" : "" }, { "dropping-particle" : "", "family" : "Ciriolo", "given" : "Emanuele", "non-dropping-particle" : "", "parse-names" : false, "suffix" : "" }, { "dropping-particle" : "", "family" : "Rafael Almeida", "given" : "Sara", "non-dropping-particle" : "", "parse-names" : false, "suffix" : "" }, { "dropping-particle" : "", "family" : "Troussard", "given" : "Xavier", "non-dropping-particle" : "", "parse-names" : false, "suffix" : "" } ], "id" : "ITEM-1", "issued" : { "date-parts" : [ [ "2016" ] ] }, "title" : "Behavioural Insights Applied to Policy. European Report 2016.", "type" : "report" }, "uris" : [ "http://www.mendeley.com/documents/?uuid=2ad369f2-2aab-445b-b39a-08d53aed1042" ] }, { "id" : "ITEM-2", "itemData" : { "abstract" : "This report is the first of its kind. It provides a global overview of the emerging influence of the behavioural sciences (and nudging practices) on the design and implementation of public policy. While previous research (see Ly and Soman 2013) has reported on the influence of the behavioural sciences (such as behavioural economics, behavioural psychology, and neuroscience) on the activities of governments in different places around the world, none has provided a systematic global survey. Reflecting on public policy initiatives in 196 countries, the report considers where nudge-type policies have developed and the particular forms they have taken. This report was developed as part of a Economic and Social Research Council (UK) (ESRC) project entitled Negotiating Neuroliberalism: Changing Behaviours, Values and Beliefs. It was funded as part of the ESRC\u2019s Transforming Social Science programme.", "author" : [ { "dropping-particle" : "", "family" : "Whitehead", "given" : "Mark", "non-dropping-particle" : "", "parse-names" : false, "suffix" : "" }, { "dropping-particle" : "", "family" : "Jones", "given" : "Rhys", "non-dropping-particle" : "", "parse-names" : false, "suffix" : "" }, { "dropping-particle" : "", "family" : "Howell", "given" : "Rachel", "non-dropping-particle" : "", "parse-names" : false, "suffix" : "" }, { "dropping-particle" : "", "family" : "Lilley", "given" : "Rachel", "non-dropping-particle" : "", "parse-names" : false, "suffix" : "" }, { "dropping-particle" : "", "family" : "Pykett", "given" : "Jessica", "non-dropping-particle" : "", "parse-names" : false, "suffix" : "" } ], "id" : "ITEM-2", "issued" : { "date-parts" : [ [ "2014" ] ] }, "title" : "Nudging all over the World", "type" : "report" }, "uris" : [ "http://www.mendeley.com/documents/?uuid=e94e0545-c1ed-4bab-9254-ce717fedbd0b" ] } ], "mendeley" : { "formattedCitation" : "(Louren\u00e7o et al. 2016; Whitehead et al. 2014)", "plainTextFormattedCitation" : "(Louren\u00e7o et al. 2016; Whitehead et al. 2014)", "previouslyFormattedCitation" : "(Louren\u00e7o et al. 2016; Whitehead et al. 2014)" }, "properties" : {  }, "schema" : "https://github.com/citation-style-language/schema/raw/master/csl-citation.json" }</w:instrText>
      </w:r>
      <w:r w:rsidR="007A5ED0">
        <w:fldChar w:fldCharType="separate"/>
      </w:r>
      <w:r w:rsidR="00667AA9" w:rsidRPr="00667AA9">
        <w:rPr>
          <w:noProof/>
        </w:rPr>
        <w:t>(Lourenço et al. 2016; Whitehead et al. 2014)</w:t>
      </w:r>
      <w:r w:rsidR="007A5ED0">
        <w:fldChar w:fldCharType="end"/>
      </w:r>
      <w:r>
        <w:t xml:space="preserve">. </w:t>
      </w:r>
      <w:r w:rsidR="00593FE3">
        <w:t>P</w:t>
      </w:r>
      <w:r w:rsidR="00112B5A">
        <w:t>olicy-makers</w:t>
      </w:r>
      <w:r w:rsidR="00593FE3">
        <w:t xml:space="preserve"> use nudges</w:t>
      </w:r>
      <w:r w:rsidR="00112B5A">
        <w:t xml:space="preserve"> to encourage citizens to adopt </w:t>
      </w:r>
      <w:r w:rsidR="002749FE">
        <w:t>‘</w:t>
      </w:r>
      <w:r w:rsidR="00112B5A">
        <w:t>desirable</w:t>
      </w:r>
      <w:r w:rsidR="002749FE">
        <w:t>’</w:t>
      </w:r>
      <w:r w:rsidR="00112B5A">
        <w:t xml:space="preserve"> behavioural outcomes whi</w:t>
      </w:r>
      <w:r w:rsidR="002749FE">
        <w:t xml:space="preserve">le </w:t>
      </w:r>
      <w:r w:rsidR="00F539A6">
        <w:t xml:space="preserve">still </w:t>
      </w:r>
      <w:r w:rsidR="00112B5A">
        <w:t xml:space="preserve">allowing the citizen to avoid the desired outcome </w:t>
      </w:r>
      <w:r w:rsidR="001B3898">
        <w:t>easily</w:t>
      </w:r>
      <w:r w:rsidR="00112B5A">
        <w:t xml:space="preserve"> </w:t>
      </w:r>
      <w:r w:rsidR="00112B5A">
        <w:fldChar w:fldCharType="begin" w:fldLock="1"/>
      </w:r>
      <w:r w:rsidR="00CB0271">
        <w:instrText>ADDIN CSL_CITATION { "citationItems" : [ { "id" : "ITEM-1", "itemData" : { "author" : [ { "dropping-particle" : "", "family" : "Sunstein", "given" : "Cass", "non-dropping-particle" : "", "parse-names" : false, "suffix" : "" }, { "dropping-particle" : "", "family" : "Thaler", "given" : "Richard H", "non-dropping-particle" : "", "parse-names" : false, "suffix" : "" } ], "id" : "ITEM-1", "issued" : { "date-parts" : [ [ "2008" ] ] }, "publisher" : "Yale University Press", "publisher-place" : "New Haven, Conn.", "title" : "Nudge: Improving Decisions about Health, Wealth and Happiness", "type" : "book" }, "uris" : [ "http://www.mendeley.com/documents/?uuid=09e8fb39-418e-47e2-8a76-0e8543ef5af6" ] } ], "mendeley" : { "formattedCitation" : "(Sunstein &amp; Thaler 2008)", "manualFormatting" : "(Sunstein &amp; Thaler 2008, 6)", "plainTextFormattedCitation" : "(Sunstein &amp; Thaler 2008)", "previouslyFormattedCitation" : "(Sunstein &amp; Thaler 2008)" }, "properties" : {  }, "schema" : "https://github.com/citation-style-language/schema/raw/master/csl-citation.json" }</w:instrText>
      </w:r>
      <w:r w:rsidR="00112B5A">
        <w:fldChar w:fldCharType="separate"/>
      </w:r>
      <w:r w:rsidR="00112B5A" w:rsidRPr="00112B5A">
        <w:rPr>
          <w:noProof/>
        </w:rPr>
        <w:t>(Sunstein &amp; Thaler 2008</w:t>
      </w:r>
      <w:r w:rsidR="00112B5A">
        <w:rPr>
          <w:noProof/>
        </w:rPr>
        <w:t>, 6</w:t>
      </w:r>
      <w:r w:rsidR="00112B5A" w:rsidRPr="00112B5A">
        <w:rPr>
          <w:noProof/>
        </w:rPr>
        <w:t>)</w:t>
      </w:r>
      <w:r w:rsidR="00112B5A">
        <w:fldChar w:fldCharType="end"/>
      </w:r>
      <w:r w:rsidR="00112B5A">
        <w:t xml:space="preserve">. </w:t>
      </w:r>
      <w:r w:rsidR="008C0CFB">
        <w:t>N</w:t>
      </w:r>
      <w:r w:rsidR="001C0FDF">
        <w:t>udges</w:t>
      </w:r>
      <w:r w:rsidR="00112B5A">
        <w:t xml:space="preserve"> usually do not involve changes in the law, banning particular outcomes or applying fines or penalties to them</w:t>
      </w:r>
      <w:r w:rsidR="002749FE">
        <w:t>,</w:t>
      </w:r>
      <w:r w:rsidR="00E9609A">
        <w:t xml:space="preserve"> and so are also </w:t>
      </w:r>
      <w:r w:rsidR="00043087">
        <w:t xml:space="preserve">inexpensive </w:t>
      </w:r>
      <w:r w:rsidR="00E9609A">
        <w:t xml:space="preserve">to implement </w:t>
      </w:r>
      <w:r w:rsidR="00112B5A">
        <w:t xml:space="preserve">– both financially and politically </w:t>
      </w:r>
      <w:r w:rsidR="00112B5A">
        <w:fldChar w:fldCharType="begin" w:fldLock="1"/>
      </w:r>
      <w:r w:rsidR="00CB0271">
        <w:instrText>ADDIN CSL_CITATION { "citationItems" : [ { "id" : "ITEM-1", "itemData" : { "DOI" : "10.1017/S0047279413000299", "ISSN" : "0047-2794", "author" : [ { "dropping-particle" : "", "family" : "Oliver", "given" : "Adam", "non-dropping-particle" : "", "parse-names" : false, "suffix" : "" } ], "container-title" : "Journal of Social Policy", "id" : "ITEM-1", "issue" : "04", "issued" : { "date-parts" : [ [ "2013", "7", "8" ] ] }, "page" : "685-700", "title" : "From Nudging to Budging: Using Behavioural Economics to Inform Public Sector Policy", "type" : "article-journal", "volume" : "42" }, "uris" : [ "http://www.mendeley.com/documents/?uuid=3e6f7509-0ccd-4cb9-acde-362a6a1bb908" ] } ], "mendeley" : { "formattedCitation" : "(Oliver 2013)", "manualFormatting" : "(Oliver 2013, 688)", "plainTextFormattedCitation" : "(Oliver 2013)", "previouslyFormattedCitation" : "(Oliver 2013)" }, "properties" : {  }, "schema" : "https://github.com/citation-style-language/schema/raw/master/csl-citation.json" }</w:instrText>
      </w:r>
      <w:r w:rsidR="00112B5A">
        <w:fldChar w:fldCharType="separate"/>
      </w:r>
      <w:r w:rsidR="00112B5A" w:rsidRPr="00112B5A">
        <w:rPr>
          <w:noProof/>
        </w:rPr>
        <w:t>(Oliver 2013</w:t>
      </w:r>
      <w:r w:rsidR="002749FE">
        <w:rPr>
          <w:noProof/>
        </w:rPr>
        <w:t>, 688</w:t>
      </w:r>
      <w:r w:rsidR="00112B5A" w:rsidRPr="00112B5A">
        <w:rPr>
          <w:noProof/>
        </w:rPr>
        <w:t>)</w:t>
      </w:r>
      <w:r w:rsidR="00112B5A">
        <w:fldChar w:fldCharType="end"/>
      </w:r>
      <w:r w:rsidR="00112B5A">
        <w:t xml:space="preserve">. </w:t>
      </w:r>
      <w:r>
        <w:t xml:space="preserve">Often </w:t>
      </w:r>
      <w:r w:rsidR="00AD5A22">
        <w:t>nudges</w:t>
      </w:r>
      <w:r w:rsidR="00DB35C7">
        <w:t xml:space="preserve"> </w:t>
      </w:r>
      <w:r>
        <w:t>have been successful in changing behaviour</w:t>
      </w:r>
      <w:r w:rsidR="001C0FDF">
        <w:t>. Here</w:t>
      </w:r>
      <w:r w:rsidR="00593FE3">
        <w:t>,</w:t>
      </w:r>
      <w:r w:rsidR="001C0FDF">
        <w:t xml:space="preserve"> </w:t>
      </w:r>
      <w:r w:rsidR="00A7410A">
        <w:t xml:space="preserve">it is argued </w:t>
      </w:r>
      <w:r w:rsidR="00DB35C7">
        <w:t xml:space="preserve">that </w:t>
      </w:r>
      <w:r w:rsidR="00667AA9">
        <w:t>successful cases are often</w:t>
      </w:r>
      <w:r>
        <w:t xml:space="preserve"> </w:t>
      </w:r>
      <w:r w:rsidR="008C0CFB">
        <w:t>due to</w:t>
      </w:r>
      <w:r>
        <w:t xml:space="preserve"> the </w:t>
      </w:r>
      <w:r w:rsidR="00593FE3">
        <w:t xml:space="preserve">alignment of </w:t>
      </w:r>
      <w:r w:rsidRPr="00B5539D">
        <w:t>citizen-consumer</w:t>
      </w:r>
      <w:r w:rsidR="0008123A">
        <w:t xml:space="preserve"> (pro-self </w:t>
      </w:r>
      <w:r w:rsidR="00667AA9">
        <w:t>behaviours</w:t>
      </w:r>
      <w:r w:rsidR="0008123A">
        <w:t>)</w:t>
      </w:r>
      <w:r w:rsidR="00F539A6">
        <w:t xml:space="preserve"> and</w:t>
      </w:r>
      <w:r w:rsidRPr="00B5539D">
        <w:t xml:space="preserve"> environment/society</w:t>
      </w:r>
      <w:r w:rsidR="0008123A">
        <w:t xml:space="preserve"> (pro-social </w:t>
      </w:r>
      <w:r w:rsidR="00667AA9">
        <w:t>behaviours</w:t>
      </w:r>
      <w:r w:rsidR="0008123A">
        <w:t>)</w:t>
      </w:r>
      <w:r>
        <w:t xml:space="preserve"> </w:t>
      </w:r>
      <w:r w:rsidR="00593FE3">
        <w:t xml:space="preserve">interests. </w:t>
      </w:r>
      <w:r>
        <w:t xml:space="preserve">Less research has been conducted into using nudges for </w:t>
      </w:r>
      <w:r w:rsidR="00667AA9">
        <w:t>pro-social</w:t>
      </w:r>
      <w:r w:rsidR="00D14A25">
        <w:t xml:space="preserve"> – and </w:t>
      </w:r>
      <w:r w:rsidR="00667AA9">
        <w:t>specifically pro</w:t>
      </w:r>
      <w:r>
        <w:t>-environmental behaviours</w:t>
      </w:r>
      <w:r w:rsidR="00F539A6">
        <w:t xml:space="preserve"> </w:t>
      </w:r>
      <w:r w:rsidR="00D14A25">
        <w:t xml:space="preserve">– where </w:t>
      </w:r>
      <w:r w:rsidR="001C0FDF">
        <w:t xml:space="preserve">‘desirable’ </w:t>
      </w:r>
      <w:r w:rsidR="00077B93">
        <w:t xml:space="preserve">outcomes benefit the state (in achieving carbon </w:t>
      </w:r>
      <w:r w:rsidR="001D3A8B">
        <w:t xml:space="preserve">reduction </w:t>
      </w:r>
      <w:r w:rsidR="00077B93">
        <w:t xml:space="preserve">targets, for example) or society (by </w:t>
      </w:r>
      <w:r w:rsidR="001B3898">
        <w:t xml:space="preserve">reducing </w:t>
      </w:r>
      <w:r w:rsidR="00077B93">
        <w:t>pollution)</w:t>
      </w:r>
      <w:r w:rsidR="001C0FDF">
        <w:t xml:space="preserve">, </w:t>
      </w:r>
      <w:r w:rsidR="00E9609A">
        <w:t>yet</w:t>
      </w:r>
      <w:r w:rsidR="001C0FDF">
        <w:t xml:space="preserve"> the individual citizen sees little immediate tangible benefit, and indeed may feel they are losing out in terms of convenience</w:t>
      </w:r>
      <w:r w:rsidR="00EC1DD5">
        <w:t xml:space="preserve"> or</w:t>
      </w:r>
      <w:r w:rsidR="00667AA9">
        <w:t xml:space="preserve"> monetary</w:t>
      </w:r>
      <w:r w:rsidR="001B3898">
        <w:t xml:space="preserve"> cost</w:t>
      </w:r>
      <w:r w:rsidR="00667AA9">
        <w:t xml:space="preserve"> loss</w:t>
      </w:r>
      <w:r>
        <w:t xml:space="preserve">. </w:t>
      </w:r>
      <w:r w:rsidR="005E43E8">
        <w:t xml:space="preserve">This paper </w:t>
      </w:r>
      <w:r w:rsidR="008319B5">
        <w:t xml:space="preserve">investigates the </w:t>
      </w:r>
      <w:r w:rsidR="008319B5" w:rsidRPr="00617F29">
        <w:rPr>
          <w:rFonts w:cs="Times New Roman"/>
          <w:iCs/>
          <w:lang w:eastAsia="ko-KR"/>
        </w:rPr>
        <w:t xml:space="preserve">potential </w:t>
      </w:r>
      <w:r w:rsidR="008319B5">
        <w:t>for applying</w:t>
      </w:r>
      <w:r>
        <w:t xml:space="preserve"> nudges to one </w:t>
      </w:r>
      <w:r w:rsidR="008925F1">
        <w:t xml:space="preserve">such </w:t>
      </w:r>
      <w:r>
        <w:t>pro-environmental behaviour: voluntary c</w:t>
      </w:r>
      <w:r w:rsidR="0045036E">
        <w:t>arbon offsetting for air travel</w:t>
      </w:r>
      <w:r w:rsidR="00F539A6">
        <w:rPr>
          <w:rFonts w:cs="Times New Roman"/>
          <w:i/>
          <w:lang w:eastAsia="ko-KR"/>
        </w:rPr>
        <w:t>.</w:t>
      </w:r>
      <w:r w:rsidR="00617F29">
        <w:rPr>
          <w:rFonts w:cs="Times New Roman"/>
          <w:lang w:eastAsia="ko-KR"/>
        </w:rPr>
        <w:t xml:space="preserve"> </w:t>
      </w:r>
      <w:r w:rsidR="00AD538B">
        <w:rPr>
          <w:rFonts w:cs="Times New Roman"/>
          <w:lang w:eastAsia="ko-KR"/>
        </w:rPr>
        <w:t>Motivating</w:t>
      </w:r>
      <w:r w:rsidR="00617F29">
        <w:rPr>
          <w:rFonts w:cs="Times New Roman"/>
          <w:lang w:eastAsia="ko-KR"/>
        </w:rPr>
        <w:t xml:space="preserve"> this research is the context of aviation’s </w:t>
      </w:r>
      <w:r w:rsidR="007979F7">
        <w:rPr>
          <w:rFonts w:cs="Times New Roman"/>
          <w:lang w:eastAsia="ko-KR"/>
        </w:rPr>
        <w:t xml:space="preserve">substantial and </w:t>
      </w:r>
      <w:r w:rsidR="00617F29">
        <w:rPr>
          <w:rFonts w:cs="Times New Roman"/>
          <w:lang w:eastAsia="ko-KR"/>
        </w:rPr>
        <w:t xml:space="preserve">rising contribution to greenhouse gas </w:t>
      </w:r>
      <w:r w:rsidR="003E6989">
        <w:rPr>
          <w:rFonts w:cs="Times New Roman"/>
          <w:lang w:eastAsia="ko-KR"/>
        </w:rPr>
        <w:t>emissions</w:t>
      </w:r>
      <w:r w:rsidR="009C5ABE">
        <w:rPr>
          <w:rFonts w:cs="Times New Roman"/>
          <w:lang w:eastAsia="ko-KR"/>
        </w:rPr>
        <w:t xml:space="preserve"> and climate change.</w:t>
      </w:r>
      <w:r w:rsidR="003E6989">
        <w:rPr>
          <w:rFonts w:cs="Times New Roman"/>
          <w:lang w:eastAsia="ko-KR"/>
        </w:rPr>
        <w:t xml:space="preserve"> </w:t>
      </w:r>
      <w:r w:rsidR="009C5ABE">
        <w:rPr>
          <w:rFonts w:cs="Times New Roman"/>
          <w:lang w:eastAsia="ko-KR"/>
        </w:rPr>
        <w:t xml:space="preserve">Given the long-standing challenges in </w:t>
      </w:r>
      <w:r w:rsidR="00617F29">
        <w:rPr>
          <w:rFonts w:cs="Times New Roman"/>
          <w:lang w:eastAsia="ko-KR"/>
        </w:rPr>
        <w:t>regulating th</w:t>
      </w:r>
      <w:r w:rsidR="009C5ABE">
        <w:rPr>
          <w:rFonts w:cs="Times New Roman"/>
          <w:lang w:eastAsia="ko-KR"/>
        </w:rPr>
        <w:t>is complex, global</w:t>
      </w:r>
      <w:r w:rsidR="003471FA">
        <w:rPr>
          <w:rFonts w:cs="Times New Roman"/>
          <w:lang w:eastAsia="ko-KR"/>
        </w:rPr>
        <w:t xml:space="preserve"> </w:t>
      </w:r>
      <w:r w:rsidR="00617F29">
        <w:rPr>
          <w:rFonts w:cs="Times New Roman"/>
          <w:lang w:eastAsia="ko-KR"/>
        </w:rPr>
        <w:t>industry</w:t>
      </w:r>
      <w:r w:rsidR="00CB0271">
        <w:rPr>
          <w:rFonts w:cs="Times New Roman"/>
          <w:lang w:eastAsia="ko-KR"/>
        </w:rPr>
        <w:t xml:space="preserve"> </w:t>
      </w:r>
      <w:r w:rsidR="00CB0271">
        <w:rPr>
          <w:rFonts w:cs="Times New Roman"/>
          <w:lang w:eastAsia="ko-KR"/>
        </w:rPr>
        <w:fldChar w:fldCharType="begin" w:fldLock="1"/>
      </w:r>
      <w:r w:rsidR="00FB6E5E">
        <w:rPr>
          <w:rFonts w:cs="Times New Roman"/>
          <w:lang w:eastAsia="ko-KR"/>
        </w:rPr>
        <w:instrText>ADDIN CSL_CITATION { "citationItems" : [ { "id" : "ITEM-1", "itemData" : { "DOI" : "10.1016/j.atmosenv.2014.06.042", "ISSN" : "13522310", "author" : [ { "dropping-particle" : "", "family" : "Grote", "given" : "Matt", "non-dropping-particle" : "", "parse-names" : false, "suffix" : "" }, { "dropping-particle" : "", "family" : "Williams", "given" : "Ian", "non-dropping-particle" : "", "parse-names" : false, "suffix" : "" }, { "dropping-particle" : "", "family" : "Preston", "given" : "John", "non-dropping-particle" : "", "parse-names" : false, "suffix" : "" } ], "container-title" : "Atmospheric Environment", "id" : "ITEM-1", "issued" : { "date-parts" : [ [ "2014", "10" ] ] }, "page" : "214-224", "publisher" : "Elsevier Ltd", "title" : "Direct carbon dioxide emissions from civil aircraft", "type" : "article-journal", "volume" : "95" }, "uris" : [ "http://www.mendeley.com/documents/?uuid=83abdb7b-4108-4964-9313-d37584238a04" ] } ], "mendeley" : { "formattedCitation" : "(Grote et al. 2014)", "manualFormatting" : "(see Grote et al. 2014)", "plainTextFormattedCitation" : "(Grote et al. 2014)", "previouslyFormattedCitation" : "(Grote et al. 2014)" }, "properties" : {  }, "schema" : "https://github.com/citation-style-language/schema/raw/master/csl-citation.json" }</w:instrText>
      </w:r>
      <w:r w:rsidR="00CB0271">
        <w:rPr>
          <w:rFonts w:cs="Times New Roman"/>
          <w:lang w:eastAsia="ko-KR"/>
        </w:rPr>
        <w:fldChar w:fldCharType="separate"/>
      </w:r>
      <w:r w:rsidR="00CB0271" w:rsidRPr="00CB0271">
        <w:rPr>
          <w:rFonts w:cs="Times New Roman"/>
          <w:noProof/>
          <w:lang w:eastAsia="ko-KR"/>
        </w:rPr>
        <w:t>(</w:t>
      </w:r>
      <w:r w:rsidR="00FB6E5E">
        <w:rPr>
          <w:rFonts w:cs="Times New Roman"/>
          <w:noProof/>
          <w:lang w:eastAsia="ko-KR"/>
        </w:rPr>
        <w:t xml:space="preserve">see </w:t>
      </w:r>
      <w:r w:rsidR="00CB0271" w:rsidRPr="00CB0271">
        <w:rPr>
          <w:rFonts w:cs="Times New Roman"/>
          <w:noProof/>
          <w:lang w:eastAsia="ko-KR"/>
        </w:rPr>
        <w:t>Grote et al. 2014)</w:t>
      </w:r>
      <w:r w:rsidR="00CB0271">
        <w:rPr>
          <w:rFonts w:cs="Times New Roman"/>
          <w:lang w:eastAsia="ko-KR"/>
        </w:rPr>
        <w:fldChar w:fldCharType="end"/>
      </w:r>
      <w:r w:rsidR="003E6989">
        <w:rPr>
          <w:rFonts w:cs="Times New Roman"/>
          <w:lang w:eastAsia="ko-KR"/>
        </w:rPr>
        <w:t xml:space="preserve">, </w:t>
      </w:r>
      <w:r w:rsidR="009C5ABE">
        <w:rPr>
          <w:rFonts w:cs="Times New Roman"/>
          <w:lang w:eastAsia="ko-KR"/>
        </w:rPr>
        <w:t xml:space="preserve">it is posited that </w:t>
      </w:r>
      <w:r w:rsidR="003E6989">
        <w:rPr>
          <w:rFonts w:cs="Times New Roman"/>
          <w:lang w:eastAsia="ko-KR"/>
        </w:rPr>
        <w:t xml:space="preserve">voluntary carbon offsets may </w:t>
      </w:r>
      <w:r w:rsidR="009C5ABE">
        <w:rPr>
          <w:rFonts w:cs="Times New Roman"/>
          <w:lang w:eastAsia="ko-KR"/>
        </w:rPr>
        <w:t>have a role to play in mitigating emissions, and furthermore that nudges might be used to encourage the take-up of offsets</w:t>
      </w:r>
      <w:r w:rsidR="003E6989">
        <w:rPr>
          <w:rFonts w:cs="Times New Roman"/>
          <w:lang w:eastAsia="ko-KR"/>
        </w:rPr>
        <w:t>.</w:t>
      </w:r>
      <w:r w:rsidR="00617F29">
        <w:rPr>
          <w:rFonts w:cs="Times New Roman"/>
          <w:lang w:eastAsia="ko-KR"/>
        </w:rPr>
        <w:t xml:space="preserve"> </w:t>
      </w:r>
      <w:r w:rsidR="00274D6E">
        <w:rPr>
          <w:rFonts w:cs="Times New Roman"/>
          <w:lang w:eastAsia="ko-KR"/>
        </w:rPr>
        <w:t xml:space="preserve">The primary research question is therefore: </w:t>
      </w:r>
      <w:r w:rsidR="00274D6E" w:rsidRPr="005D4DE2">
        <w:rPr>
          <w:rFonts w:cs="Times New Roman"/>
          <w:iCs/>
          <w:lang w:eastAsia="ko-KR"/>
        </w:rPr>
        <w:t>What are the potential and limitations of nudging in encouraging carbon offsetting for flying?</w:t>
      </w:r>
      <w:r w:rsidR="00274D6E">
        <w:rPr>
          <w:rFonts w:cs="Times New Roman"/>
          <w:lang w:eastAsia="ko-KR"/>
        </w:rPr>
        <w:t xml:space="preserve"> </w:t>
      </w:r>
    </w:p>
    <w:p w14:paraId="319CCCC1" w14:textId="1BBAA057" w:rsidR="0008123A" w:rsidRDefault="00ED24BB" w:rsidP="005504D0">
      <w:pPr>
        <w:rPr>
          <w:lang w:eastAsia="zh-TW"/>
        </w:rPr>
      </w:pPr>
      <w:r>
        <w:t xml:space="preserve">Testing nudges through randomised controlled trials </w:t>
      </w:r>
      <w:r w:rsidR="004E7890">
        <w:t xml:space="preserve">(RCTs) </w:t>
      </w:r>
      <w:r>
        <w:t xml:space="preserve">and evaluating them through focus groups, nudges were </w:t>
      </w:r>
      <w:r w:rsidR="00F539A6">
        <w:t>found to</w:t>
      </w:r>
      <w:r w:rsidR="00F539A6" w:rsidRPr="009512C3">
        <w:t xml:space="preserve"> be </w:t>
      </w:r>
      <w:r w:rsidR="008C0CFB" w:rsidRPr="009512C3">
        <w:t>ineffective</w:t>
      </w:r>
      <w:r w:rsidRPr="009512C3">
        <w:t xml:space="preserve"> in promoting this target behaviour. </w:t>
      </w:r>
      <w:r w:rsidR="00E4505C" w:rsidRPr="009512C3">
        <w:t>Explanations are proposed</w:t>
      </w:r>
      <w:r w:rsidR="00A1334E" w:rsidRPr="006152F2">
        <w:t xml:space="preserve">, addressing </w:t>
      </w:r>
      <w:r w:rsidR="00E4505C" w:rsidRPr="006152F2">
        <w:t xml:space="preserve">firstly </w:t>
      </w:r>
      <w:r w:rsidR="0008123A" w:rsidRPr="006152F2">
        <w:t xml:space="preserve">the specific </w:t>
      </w:r>
      <w:r w:rsidR="0008123A" w:rsidRPr="00356AF0">
        <w:t>design</w:t>
      </w:r>
      <w:r w:rsidR="0008123A" w:rsidRPr="009512C3">
        <w:t xml:space="preserve"> </w:t>
      </w:r>
      <w:r w:rsidR="00667AA9" w:rsidRPr="009512C3">
        <w:t>problems</w:t>
      </w:r>
      <w:r w:rsidR="0008123A" w:rsidRPr="009512C3">
        <w:t xml:space="preserve"> of the nudges</w:t>
      </w:r>
      <w:r w:rsidR="00667AA9" w:rsidRPr="009512C3">
        <w:t xml:space="preserve"> tested</w:t>
      </w:r>
      <w:r w:rsidR="00E4505C" w:rsidRPr="006152F2">
        <w:t xml:space="preserve"> (which can, in theory</w:t>
      </w:r>
      <w:r w:rsidR="009D4194" w:rsidRPr="006152F2">
        <w:t>,</w:t>
      </w:r>
      <w:r w:rsidR="00E4505C" w:rsidRPr="006152F2">
        <w:t xml:space="preserve"> be overcome)</w:t>
      </w:r>
      <w:r w:rsidR="00667AA9" w:rsidRPr="006152F2">
        <w:t>,</w:t>
      </w:r>
      <w:r w:rsidR="0008123A" w:rsidRPr="006152F2">
        <w:t xml:space="preserve"> and the</w:t>
      </w:r>
      <w:r w:rsidR="0071628E" w:rsidRPr="006152F2">
        <w:t>n</w:t>
      </w:r>
      <w:r w:rsidR="0008123A" w:rsidRPr="006152F2">
        <w:t xml:space="preserve"> more </w:t>
      </w:r>
      <w:r w:rsidR="0008123A" w:rsidRPr="00356AF0">
        <w:t>substantive</w:t>
      </w:r>
      <w:r w:rsidR="0008123A" w:rsidRPr="009512C3">
        <w:t xml:space="preserve"> barriers to this target behaviour</w:t>
      </w:r>
      <w:r w:rsidR="00E4505C" w:rsidRPr="009512C3">
        <w:t xml:space="preserve"> (which cannot)</w:t>
      </w:r>
      <w:r w:rsidR="0008123A" w:rsidRPr="009512C3">
        <w:t xml:space="preserve">. </w:t>
      </w:r>
      <w:r w:rsidR="003C4BBD" w:rsidRPr="009512C3">
        <w:rPr>
          <w:lang w:eastAsia="zh-TW"/>
        </w:rPr>
        <w:t xml:space="preserve">This is the empirical contribution of the paper. </w:t>
      </w:r>
      <w:r w:rsidR="005504D0">
        <w:rPr>
          <w:lang w:eastAsia="zh-TW"/>
        </w:rPr>
        <w:t xml:space="preserve">The paper also offers a conceptual contribution to literature regarding the </w:t>
      </w:r>
      <w:r w:rsidR="005504D0">
        <w:t>conditions under which nudging may or may not be effective,</w:t>
      </w:r>
      <w:r w:rsidR="005504D0">
        <w:rPr>
          <w:lang w:eastAsia="zh-TW"/>
        </w:rPr>
        <w:t xml:space="preserve"> presenting</w:t>
      </w:r>
      <w:r w:rsidR="001E283E">
        <w:rPr>
          <w:lang w:eastAsia="zh-TW"/>
        </w:rPr>
        <w:t xml:space="preserve"> a typology of </w:t>
      </w:r>
      <w:r w:rsidR="005E5C7B">
        <w:rPr>
          <w:lang w:eastAsia="zh-TW"/>
        </w:rPr>
        <w:t xml:space="preserve">pro-self/-social, and </w:t>
      </w:r>
      <w:r w:rsidR="007917A6">
        <w:t>‘automatic’ system 1/</w:t>
      </w:r>
      <w:r w:rsidR="00126E1A">
        <w:t>‘</w:t>
      </w:r>
      <w:r w:rsidR="007917A6">
        <w:t>reflexive’ system 2</w:t>
      </w:r>
      <w:r w:rsidR="005E5C7B">
        <w:rPr>
          <w:lang w:eastAsia="zh-TW"/>
        </w:rPr>
        <w:t xml:space="preserve"> nudges</w:t>
      </w:r>
      <w:r w:rsidR="007B4F42">
        <w:t>.</w:t>
      </w:r>
      <w:r w:rsidR="00FB6E5E">
        <w:t xml:space="preserve"> The paper concludes by arguing </w:t>
      </w:r>
      <w:r w:rsidR="006528D3">
        <w:t>that when nudges are demonstrated to be i</w:t>
      </w:r>
      <w:r w:rsidR="005E43E8">
        <w:t>nsufficient, this</w:t>
      </w:r>
      <w:r w:rsidR="006528D3">
        <w:t xml:space="preserve"> suggests the</w:t>
      </w:r>
      <w:r w:rsidR="007B4F42">
        <w:t xml:space="preserve"> need for what </w:t>
      </w:r>
      <w:r w:rsidR="007B4F42" w:rsidRPr="00086563">
        <w:t>Oliver</w:t>
      </w:r>
      <w:r w:rsidR="00EC3D99" w:rsidRPr="00086563">
        <w:t xml:space="preserve"> (</w:t>
      </w:r>
      <w:r w:rsidR="001B3898" w:rsidRPr="00086563">
        <w:t>2013</w:t>
      </w:r>
      <w:r w:rsidR="00EC3D99" w:rsidRPr="00086563">
        <w:t>)</w:t>
      </w:r>
      <w:r w:rsidR="007B4F42" w:rsidRPr="00086563">
        <w:t xml:space="preserve"> calls </w:t>
      </w:r>
      <w:r w:rsidR="0008123A" w:rsidRPr="00086563">
        <w:t>‘</w:t>
      </w:r>
      <w:r w:rsidR="0008123A">
        <w:t>budges’ or ‘behavioural economic-informed regulation</w:t>
      </w:r>
      <w:r w:rsidR="009D4194">
        <w:t>’</w:t>
      </w:r>
      <w:r w:rsidR="006528D3">
        <w:t xml:space="preserve">. </w:t>
      </w:r>
      <w:r w:rsidR="00EE6ED6" w:rsidRPr="009512C3">
        <w:rPr>
          <w:lang w:eastAsia="zh-TW"/>
        </w:rPr>
        <w:t>T</w:t>
      </w:r>
      <w:r w:rsidR="00EE6ED6" w:rsidRPr="009512C3">
        <w:t xml:space="preserve">he findings suggest that for aviation emissions, as has happened in other areas of environmental policy </w:t>
      </w:r>
      <w:r w:rsidR="00EE6ED6" w:rsidRPr="009512C3">
        <w:fldChar w:fldCharType="begin" w:fldLock="1"/>
      </w:r>
      <w:r w:rsidR="00EE6ED6" w:rsidRPr="009512C3">
        <w:instrText>ADDIN CSL_CITATION { "citationItems" : [ { "id" : "ITEM-1", "itemData" : { "DOI" : "10.1080/1523908X.2017.1304209", "ISSN" : "15227200", "author" : [ { "dropping-particle" : "", "family" : "Moyle", "given" : "B D", "non-dropping-particle" : "", "parse-names" : false, "suffix" : "" }, { "dropping-particle" : "", "family" : "Bec", "given" : "A", "non-dropping-particle" : "", "parse-names" : false, "suffix" : "" }, { "dropping-particle" : "", "family" : "Moyle", "given" : "C.-L.", "non-dropping-particle" : "", "parse-names" : false, "suffix" : "" } ], "container-title" : "Journal of Environmental Policy and Planning", "id" : "ITEM-1", "issue" : "1", "issued" : { "date-parts" : [ [ "2017" ] ] }, "page" : "1-14", "publisher" : "Taylor &amp; Francis", "title" : "A responsibility\u2013accountability framework for private sector use of a World Heritage Area", "type" : "article-journal", "volume" : "20" }, "uris" : [ "http://www.mendeley.com/documents/?uuid=ce29d625-6fdb-4485-b771-45452809a959" ] }, { "id" : "ITEM-2", "itemData" : { "DOI" : "10.2139/ssrn.1995521", "ISSN" : "1556-5068", "abstract" : "This paper traces the progressive shift at the international level from purely voluntary approaches (corporate social responsibility or CSR) towards accountability mechanisms to ensure the environmentally sound conduct of private entities. It examines whether the most recent international discussion on human rights and corporate accountability have adequately considered environmental protection concerns. It then concentrates on the growing number of international oversight mechanisms that provide a readily-available and impartial avenue for addressing complaints against private companies for their negative environmental impacts. The paper concludes that certain key standards elaborated within the framework of the Convention on Biological Diversity, in particular environmental-cultural impact assessments and benefit-sharing, are increasingly referred to in the decisions of different international corporate accountability mechanisms to ensure both the protection of the environment and of human rights.", "author" : [ { "dropping-particle" : "", "family" : "Morgera", "given" : "Elisa", "non-dropping-particle" : "", "parse-names" : false, "suffix" : "" } ], "container-title" : "Edinburgh School of Law Research Paper Series", "id" : "ITEM-2", "issued" : { "date-parts" : [ [ "2012" ] ] }, "title" : "From Corporate Social Responsibility to Accountability Mechanisms: The Role of the Convention on Biological Diversity", "type" : "article-journal", "volume" : "06" }, "uris" : [ "http://www.mendeley.com/documents/?uuid=55f3529c-1935-486e-bdad-1d0ad7f65a36" ] } ], "mendeley" : { "formattedCitation" : "(Moyle et al. 2017; Morgera 2012)", "plainTextFormattedCitation" : "(Moyle et al. 2017; Morgera 2012)", "previouslyFormattedCitation" : "(Moyle et al. 2017; Morgera 2012)" }, "properties" : {  }, "schema" : "https://github.com/citation-style-language/schema/raw/master/csl-citation.json" }</w:instrText>
      </w:r>
      <w:r w:rsidR="00EE6ED6" w:rsidRPr="009512C3">
        <w:fldChar w:fldCharType="separate"/>
      </w:r>
      <w:r w:rsidR="00EE6ED6" w:rsidRPr="009512C3">
        <w:rPr>
          <w:noProof/>
        </w:rPr>
        <w:t>(Moyle et al. 2017; Morgera 2012)</w:t>
      </w:r>
      <w:r w:rsidR="00EE6ED6" w:rsidRPr="009512C3">
        <w:fldChar w:fldCharType="end"/>
      </w:r>
      <w:r w:rsidR="00EE6ED6">
        <w:t xml:space="preserve">, it is necessary to move away from individual responsibility on a voluntary basis, towards corporate accountability mechanisms, such as </w:t>
      </w:r>
      <w:r w:rsidR="00D46854">
        <w:t>the pro-social budge of an aviation carbon tax.</w:t>
      </w:r>
    </w:p>
    <w:p w14:paraId="5463E32F" w14:textId="77777777" w:rsidR="00274D6E" w:rsidRDefault="00274D6E" w:rsidP="00274D6E">
      <w:pPr>
        <w:pStyle w:val="Heading2"/>
      </w:pPr>
      <w:r>
        <w:t>Air travel and the environment</w:t>
      </w:r>
    </w:p>
    <w:p w14:paraId="170F76D1" w14:textId="46C78649" w:rsidR="00274D6E" w:rsidRDefault="00274D6E" w:rsidP="004B472D">
      <w:pPr>
        <w:rPr>
          <w:lang w:eastAsia="ko-KR"/>
        </w:rPr>
      </w:pPr>
      <w:r>
        <w:t xml:space="preserve">Air travel is a significant and growing contributor to greenhouse gas emissions. On an individual level </w:t>
      </w:r>
      <w:r w:rsidR="007844AC" w:rsidRPr="00FD1C29">
        <w:t>Gössling</w:t>
      </w:r>
      <w:r>
        <w:t xml:space="preserve"> and Upham argue that “there is no other human activity pushing individual emission levels as fast and as high as air travel” </w:t>
      </w:r>
      <w:r>
        <w:fldChar w:fldCharType="begin" w:fldLock="1"/>
      </w:r>
      <w:r w:rsidR="00CB0271">
        <w:instrText>ADDIN CSL_CITATION { "citationItems" : [ { "id" : "ITEM-1", "itemData" : { "DOI" : "10.4324/9781849770774", "ISBN" : "9781844076192", "editor" : [ { "dropping-particle" : "", "family" : "G\u00f6ssling", "given" : "Stefan", "non-dropping-particle" : "", "parse-names" : false, "suffix" : "" }, { "dropping-particle" : "", "family" : "Upham", "given" : "Paul", "non-dropping-particle" : "", "parse-names" : false, "suffix" : "" } ], "id" : "ITEM-1", "issued" : { "date-parts" : [ [ "2008" ] ] }, "number-of-pages" : "409", "publisher-place" : "London", "title" : "Climate Change and Aviation", "type" : "book" }, "uris" : [ "http://www.mendeley.com/documents/?uuid=1cb306b5-cbde-4b56-8ee3-3ba684cfc45d" ] } ], "mendeley" : { "formattedCitation" : "(G\u00f6ssling &amp; Upham 2008)", "manualFormatting" : "(2008, 5)", "plainTextFormattedCitation" : "(G\u00f6ssling &amp; Upham 2008)", "previouslyFormattedCitation" : "(G\u00f6ssling &amp; Upham 2008)" }, "properties" : {  }, "schema" : "https://github.com/citation-style-language/schema/raw/master/csl-citation.json" }</w:instrText>
      </w:r>
      <w:r>
        <w:fldChar w:fldCharType="separate"/>
      </w:r>
      <w:r>
        <w:rPr>
          <w:noProof/>
        </w:rPr>
        <w:t>(2008, 5)</w:t>
      </w:r>
      <w:r>
        <w:fldChar w:fldCharType="end"/>
      </w:r>
      <w:r>
        <w:t xml:space="preserve">. At the global level, </w:t>
      </w:r>
      <w:r>
        <w:rPr>
          <w:lang w:eastAsia="ko-KR"/>
        </w:rPr>
        <w:t xml:space="preserve">the aviation industry currently contributes around 2.5% of total global CO2 emissions, </w:t>
      </w:r>
      <w:r w:rsidR="004B472D">
        <w:rPr>
          <w:lang w:eastAsia="ko-KR"/>
        </w:rPr>
        <w:t>with</w:t>
      </w:r>
      <w:r>
        <w:rPr>
          <w:lang w:eastAsia="ko-KR"/>
        </w:rPr>
        <w:t xml:space="preserve"> emissions</w:t>
      </w:r>
      <w:r w:rsidR="004B472D">
        <w:rPr>
          <w:lang w:eastAsia="ko-KR"/>
        </w:rPr>
        <w:t xml:space="preserve"> projected</w:t>
      </w:r>
      <w:r>
        <w:rPr>
          <w:lang w:eastAsia="ko-KR"/>
        </w:rPr>
        <w:t xml:space="preserve"> to multiply by a factor of between 2 and 4 by 2050 </w:t>
      </w:r>
      <w:r>
        <w:rPr>
          <w:lang w:eastAsia="ko-KR"/>
        </w:rPr>
        <w:fldChar w:fldCharType="begin" w:fldLock="1"/>
      </w:r>
      <w:r w:rsidR="00CB0271">
        <w:rPr>
          <w:lang w:eastAsia="ko-KR"/>
        </w:rPr>
        <w:instrText>ADDIN CSL_CITATION { "citationItems" : [ { "id" : "ITEM-1", "itemData" : { "author" : [ { "dropping-particle" : "", "family" : "ICAO", "given" : "", "non-dropping-particle" : "", "parse-names" : false, "suffix" : "" } ], "id" : "ITEM-1", "issued" : { "date-parts" : [ [ "2016" ] ] }, "number-of-pages" : "250", "publisher-place" : "Montreal", "title" : "On Board: A Sustainable Future - 2016 Environmental Report", "type" : "report" }, "uris" : [ "http://www.mendeley.com/documents/?uuid=32528bcc-5faa-4582-a929-bfa980b8855f" ] } ], "mendeley" : { "formattedCitation" : "(ICAO 2016)", "plainTextFormattedCitation" : "(ICAO 2016)", "previouslyFormattedCitation" : "(ICAO 2016)" }, "properties" : {  }, "schema" : "https://github.com/citation-style-language/schema/raw/master/csl-citation.json" }</w:instrText>
      </w:r>
      <w:r>
        <w:rPr>
          <w:lang w:eastAsia="ko-KR"/>
        </w:rPr>
        <w:fldChar w:fldCharType="separate"/>
      </w:r>
      <w:r w:rsidR="00086563" w:rsidRPr="00086563">
        <w:rPr>
          <w:noProof/>
          <w:lang w:eastAsia="ko-KR"/>
        </w:rPr>
        <w:t>(ICAO 2016)</w:t>
      </w:r>
      <w:r>
        <w:rPr>
          <w:lang w:eastAsia="ko-KR"/>
        </w:rPr>
        <w:fldChar w:fldCharType="end"/>
      </w:r>
      <w:r>
        <w:rPr>
          <w:lang w:eastAsia="ko-KR"/>
        </w:rPr>
        <w:t xml:space="preserve">, with 2013 passenger numbers doubling by 2033 </w:t>
      </w:r>
      <w:r>
        <w:rPr>
          <w:lang w:eastAsia="ko-KR"/>
        </w:rPr>
        <w:fldChar w:fldCharType="begin" w:fldLock="1"/>
      </w:r>
      <w:r w:rsidR="00CB0271">
        <w:rPr>
          <w:lang w:eastAsia="ko-KR"/>
        </w:rPr>
        <w:instrText>ADDIN CSL_CITATION { "citationItems" : [ { "id" : "ITEM-1", "itemData" : { "URL" : "http://www.boeing.com/commercial/market/long-term-market/", "accessed" : { "date-parts" : [ [ "2015", "4", "9" ] ] }, "author" : [ { "dropping-particle" : "", "family" : "Boeing", "given" : "", "non-dropping-particle" : "", "parse-names" : false, "suffix" : "" } ], "id" : "ITEM-1", "issued" : { "date-parts" : [ [ "2014" ] ] }, "title" : "Boeing: Long Term Market", "type" : "webpage" }, "uris" : [ "http://www.mendeley.com/documents/?uuid=4998b458-f271-4007-be4c-c67d50eae539" ] } ], "mendeley" : { "formattedCitation" : "(Boeing 2014)", "plainTextFormattedCitation" : "(Boeing 2014)", "previouslyFormattedCitation" : "(Boeing 2014)" }, "properties" : {  }, "schema" : "https://github.com/citation-style-language/schema/raw/master/csl-citation.json" }</w:instrText>
      </w:r>
      <w:r>
        <w:rPr>
          <w:lang w:eastAsia="ko-KR"/>
        </w:rPr>
        <w:fldChar w:fldCharType="separate"/>
      </w:r>
      <w:r w:rsidRPr="001833E9">
        <w:rPr>
          <w:noProof/>
          <w:lang w:eastAsia="ko-KR"/>
        </w:rPr>
        <w:t>(Boeing 2014)</w:t>
      </w:r>
      <w:r>
        <w:rPr>
          <w:lang w:eastAsia="ko-KR"/>
        </w:rPr>
        <w:fldChar w:fldCharType="end"/>
      </w:r>
      <w:r>
        <w:rPr>
          <w:lang w:eastAsia="ko-KR"/>
        </w:rPr>
        <w:t xml:space="preserve">. Technological improvements and regulatory mechanisms to alleviate rapidly growing aviation emissions </w:t>
      </w:r>
      <w:r>
        <w:rPr>
          <w:shd w:val="clear" w:color="auto" w:fill="FFFFFF"/>
          <w:lang w:eastAsia="ko-KR"/>
        </w:rPr>
        <w:t xml:space="preserve">are not currently forthcoming </w:t>
      </w:r>
      <w:r>
        <w:rPr>
          <w:shd w:val="clear" w:color="auto" w:fill="FFFFFF"/>
          <w:lang w:eastAsia="ko-KR"/>
        </w:rPr>
        <w:fldChar w:fldCharType="begin" w:fldLock="1"/>
      </w:r>
      <w:r w:rsidR="00CB0271">
        <w:rPr>
          <w:shd w:val="clear" w:color="auto" w:fill="FFFFFF"/>
          <w:lang w:eastAsia="ko-KR"/>
        </w:rPr>
        <w:instrText>ADDIN CSL_CITATION { "citationItems" : [ { "id" : "ITEM-1", "itemData" : { "DOI" : "10.1016/j.atmosenv.2014.06.042", "ISSN" : "13522310", "author" : [ { "dropping-particle" : "", "family" : "Grote", "given" : "Matt", "non-dropping-particle" : "", "parse-names" : false, "suffix" : "" }, { "dropping-particle" : "", "family" : "Williams", "given" : "Ian", "non-dropping-particle" : "", "parse-names" : false, "suffix" : "" }, { "dropping-particle" : "", "family" : "Preston", "given" : "John", "non-dropping-particle" : "", "parse-names" : false, "suffix" : "" } ], "container-title" : "Atmospheric Environment", "id" : "ITEM-1", "issued" : { "date-parts" : [ [ "2014", "10" ] ] }, "page" : "214-224", "publisher" : "Elsevier Ltd", "title" : "Direct carbon dioxide emissions from civil aircraft", "type" : "article-journal", "volume" : "95" }, "uris" : [ "http://www.mendeley.com/documents/?uuid=83abdb7b-4108-4964-9313-d37584238a04" ] } ], "mendeley" : { "formattedCitation" : "(Grote et al. 2014)", "plainTextFormattedCitation" : "(Grote et al. 2014)", "previouslyFormattedCitation" : "(Grote et al. 2014)" }, "properties" : {  }, "schema" : "https://github.com/citation-style-language/schema/raw/master/csl-citation.json" }</w:instrText>
      </w:r>
      <w:r>
        <w:rPr>
          <w:shd w:val="clear" w:color="auto" w:fill="FFFFFF"/>
          <w:lang w:eastAsia="ko-KR"/>
        </w:rPr>
        <w:fldChar w:fldCharType="separate"/>
      </w:r>
      <w:r w:rsidRPr="004D24B3">
        <w:rPr>
          <w:noProof/>
          <w:shd w:val="clear" w:color="auto" w:fill="FFFFFF"/>
          <w:lang w:eastAsia="ko-KR"/>
        </w:rPr>
        <w:t>(Grote et al. 2014)</w:t>
      </w:r>
      <w:r>
        <w:rPr>
          <w:shd w:val="clear" w:color="auto" w:fill="FFFFFF"/>
          <w:lang w:eastAsia="ko-KR"/>
        </w:rPr>
        <w:fldChar w:fldCharType="end"/>
      </w:r>
      <w:r>
        <w:rPr>
          <w:shd w:val="clear" w:color="auto" w:fill="FFFFFF"/>
          <w:lang w:eastAsia="ko-KR"/>
        </w:rPr>
        <w:t xml:space="preserve">. In this context, carbon offsetting is a potential mechanism for environmentally concerned passengers to voluntarily </w:t>
      </w:r>
      <w:r w:rsidRPr="00852299">
        <w:rPr>
          <w:lang w:eastAsia="ko-KR"/>
        </w:rPr>
        <w:t xml:space="preserve">“take matters into their own hands” </w:t>
      </w:r>
      <w:r w:rsidRPr="00852299">
        <w:rPr>
          <w:lang w:eastAsia="ko-KR"/>
        </w:rPr>
        <w:fldChar w:fldCharType="begin" w:fldLock="1"/>
      </w:r>
      <w:r w:rsidR="00CB0271">
        <w:rPr>
          <w:lang w:eastAsia="ko-KR"/>
        </w:rPr>
        <w:instrText>ADDIN CSL_CITATION { "citationItems" : [ { "id" : "ITEM-1", "itemData" : { "URL" : "http://www.ssireview.org/articles/entry/offsetting_green_guilt", "accessed" : { "date-parts" : [ [ "2015", "1", "20" ] ] }, "author" : [ { "dropping-particle" : "", "family" : "Kotchen", "given" : "Matthew", "non-dropping-particle" : "", "parse-names" : false, "suffix" : "" } ], "container-title" : "Stanford Social Innovation Review", "id" : "ITEM-1", "issued" : { "date-parts" : [ [ "2009" ] ] }, "title" : "Offsetting Green Guilt", "type" : "webpage" }, "uris" : [ "http://www.mendeley.com/documents/?uuid=7f23f96a-5d76-4332-8237-c8eef8fa743a" ] } ], "mendeley" : { "formattedCitation" : "(Kotchen 2009)", "manualFormatting" : "(Kotchen 2009, 31)", "plainTextFormattedCitation" : "(Kotchen 2009)", "previouslyFormattedCitation" : "(Kotchen 2009)" }, "properties" : {  }, "schema" : "https://github.com/citation-style-language/schema/raw/master/csl-citation.json" }</w:instrText>
      </w:r>
      <w:r w:rsidRPr="00852299">
        <w:rPr>
          <w:lang w:eastAsia="ko-KR"/>
        </w:rPr>
        <w:fldChar w:fldCharType="separate"/>
      </w:r>
      <w:r w:rsidRPr="00D371EF">
        <w:rPr>
          <w:noProof/>
          <w:lang w:eastAsia="ko-KR"/>
        </w:rPr>
        <w:t>(Kotchen 2009</w:t>
      </w:r>
      <w:r>
        <w:rPr>
          <w:noProof/>
          <w:lang w:eastAsia="ko-KR"/>
        </w:rPr>
        <w:t>, 31</w:t>
      </w:r>
      <w:r w:rsidRPr="00D371EF">
        <w:rPr>
          <w:noProof/>
          <w:lang w:eastAsia="ko-KR"/>
        </w:rPr>
        <w:t>)</w:t>
      </w:r>
      <w:r w:rsidRPr="00852299">
        <w:rPr>
          <w:lang w:eastAsia="ko-KR"/>
        </w:rPr>
        <w:fldChar w:fldCharType="end"/>
      </w:r>
      <w:r>
        <w:rPr>
          <w:lang w:eastAsia="ko-KR"/>
        </w:rPr>
        <w:t>.</w:t>
      </w:r>
    </w:p>
    <w:p w14:paraId="474DE340" w14:textId="235BFCD1" w:rsidR="00274D6E" w:rsidRDefault="00274D6E" w:rsidP="009512C3">
      <w:pPr>
        <w:rPr>
          <w:rFonts w:cs="Times New Roman"/>
          <w:lang w:eastAsia="ko-KR"/>
        </w:rPr>
      </w:pPr>
      <w:r w:rsidRPr="00852299">
        <w:rPr>
          <w:rFonts w:cs="Arial"/>
          <w:shd w:val="clear" w:color="auto" w:fill="FFFFFF"/>
        </w:rPr>
        <w:t>A</w:t>
      </w:r>
      <w:r w:rsidRPr="00852299">
        <w:rPr>
          <w:rStyle w:val="apple-converted-space"/>
          <w:rFonts w:cs="Arial"/>
          <w:shd w:val="clear" w:color="auto" w:fill="FFFFFF"/>
        </w:rPr>
        <w:t> </w:t>
      </w:r>
      <w:r>
        <w:rPr>
          <w:rFonts w:cs="Arial"/>
          <w:bCs/>
          <w:shd w:val="clear" w:color="auto" w:fill="FFFFFF"/>
        </w:rPr>
        <w:t xml:space="preserve">carbon </w:t>
      </w:r>
      <w:r w:rsidRPr="00852299">
        <w:rPr>
          <w:rFonts w:cs="Arial"/>
          <w:bCs/>
          <w:shd w:val="clear" w:color="auto" w:fill="FFFFFF"/>
        </w:rPr>
        <w:t>offset</w:t>
      </w:r>
      <w:r w:rsidRPr="00852299">
        <w:rPr>
          <w:rStyle w:val="apple-converted-space"/>
          <w:rFonts w:cs="Arial"/>
          <w:shd w:val="clear" w:color="auto" w:fill="FFFFFF"/>
        </w:rPr>
        <w:t> </w:t>
      </w:r>
      <w:r w:rsidRPr="00852299">
        <w:rPr>
          <w:rFonts w:cs="Arial"/>
          <w:shd w:val="clear" w:color="auto" w:fill="FFFFFF"/>
        </w:rPr>
        <w:t>is a</w:t>
      </w:r>
      <w:r w:rsidR="004B472D">
        <w:rPr>
          <w:rFonts w:cs="Arial"/>
          <w:shd w:val="clear" w:color="auto" w:fill="FFFFFF"/>
        </w:rPr>
        <w:t xml:space="preserve"> </w:t>
      </w:r>
      <w:r>
        <w:rPr>
          <w:rFonts w:cs="Arial"/>
          <w:shd w:val="clear" w:color="auto" w:fill="FFFFFF"/>
        </w:rPr>
        <w:t xml:space="preserve">quantified </w:t>
      </w:r>
      <w:r w:rsidRPr="00852299">
        <w:rPr>
          <w:rFonts w:cs="Arial"/>
          <w:shd w:val="clear" w:color="auto" w:fill="FFFFFF"/>
        </w:rPr>
        <w:t>reduction in emissions of greenhouse gases</w:t>
      </w:r>
      <w:r w:rsidRPr="00852299">
        <w:rPr>
          <w:rStyle w:val="apple-converted-space"/>
          <w:rFonts w:cs="Arial"/>
          <w:shd w:val="clear" w:color="auto" w:fill="FFFFFF"/>
        </w:rPr>
        <w:t> </w:t>
      </w:r>
      <w:r w:rsidRPr="00852299">
        <w:rPr>
          <w:rFonts w:cs="Arial"/>
          <w:shd w:val="clear" w:color="auto" w:fill="FFFFFF"/>
        </w:rPr>
        <w:t>made in order to compensate for</w:t>
      </w:r>
      <w:r>
        <w:rPr>
          <w:rFonts w:cs="Arial"/>
          <w:shd w:val="clear" w:color="auto" w:fill="FFFFFF"/>
        </w:rPr>
        <w:t xml:space="preserve"> – to offset –</w:t>
      </w:r>
      <w:r w:rsidRPr="00852299">
        <w:rPr>
          <w:rFonts w:cs="Arial"/>
          <w:shd w:val="clear" w:color="auto" w:fill="FFFFFF"/>
        </w:rPr>
        <w:t xml:space="preserve"> an emission made elsewhere. </w:t>
      </w:r>
      <w:r>
        <w:rPr>
          <w:rFonts w:cs="Arial"/>
          <w:shd w:val="clear" w:color="auto" w:fill="FFFFFF"/>
        </w:rPr>
        <w:t xml:space="preserve">Offsets can be made in compliance markets </w:t>
      </w:r>
      <w:r>
        <w:rPr>
          <w:rFonts w:cs="Arial"/>
          <w:shd w:val="clear" w:color="auto" w:fill="FFFFFF"/>
        </w:rPr>
        <w:lastRenderedPageBreak/>
        <w:t xml:space="preserve">by states and industrial actors under the </w:t>
      </w:r>
      <w:r w:rsidRPr="0070256E">
        <w:rPr>
          <w:rFonts w:cs="Arial"/>
          <w:shd w:val="clear" w:color="auto" w:fill="FFFFFF"/>
        </w:rPr>
        <w:t>UNFCCC’s Clean Development Mechanism (CDM)</w:t>
      </w:r>
      <w:r>
        <w:rPr>
          <w:rFonts w:cs="Arial"/>
          <w:shd w:val="clear" w:color="auto" w:fill="FFFFFF"/>
        </w:rPr>
        <w:t xml:space="preserve">, or in the voluntary market by corporate or individual customers. The focus of this paper is on the latter </w:t>
      </w:r>
      <w:r w:rsidR="00EC3D99">
        <w:rPr>
          <w:rFonts w:cs="Arial"/>
          <w:shd w:val="clear" w:color="auto" w:fill="FFFFFF"/>
        </w:rPr>
        <w:t>–</w:t>
      </w:r>
      <w:r>
        <w:rPr>
          <w:rFonts w:cs="Arial"/>
          <w:shd w:val="clear" w:color="auto" w:fill="FFFFFF"/>
        </w:rPr>
        <w:t xml:space="preserve"> individual voluntary carbon offsets (VCOs). </w:t>
      </w:r>
      <w:r>
        <w:rPr>
          <w:rFonts w:cs="Times New Roman"/>
          <w:lang w:eastAsia="ko-KR"/>
        </w:rPr>
        <w:t>Despite a lack of reliable information, seem</w:t>
      </w:r>
      <w:r w:rsidR="00043087">
        <w:rPr>
          <w:rFonts w:cs="Times New Roman"/>
          <w:lang w:eastAsia="ko-KR"/>
        </w:rPr>
        <w:t>s</w:t>
      </w:r>
      <w:r>
        <w:rPr>
          <w:rFonts w:cs="Times New Roman"/>
          <w:lang w:eastAsia="ko-KR"/>
        </w:rPr>
        <w:t xml:space="preserve"> that there is a small take-up of voluntary offsets, with an estimated 2% of air passengers choosing to buy VCOs for their flights </w:t>
      </w:r>
      <w:r>
        <w:rPr>
          <w:rFonts w:cs="Times New Roman"/>
          <w:lang w:eastAsia="ko-KR"/>
        </w:rPr>
        <w:fldChar w:fldCharType="begin" w:fldLock="1"/>
      </w:r>
      <w:r w:rsidR="00CB0271">
        <w:rPr>
          <w:rFonts w:cs="Times New Roman"/>
          <w:lang w:eastAsia="ko-KR"/>
        </w:rPr>
        <w:instrText>ADDIN CSL_CITATION { "citationItems" : [ { "id" : "ITEM-1", "itemData" : { "author" : [ { "dropping-particle" : "", "family" : "House of Commons", "given" : "", "non-dropping-particle" : "", "parse-names" : false, "suffix" : "" } ], "id" : "ITEM-1", "issue" : "July", "issued" : { "date-parts" : [ [ "2007" ] ] }, "title" : "The Voluntary Carbon Offset Market", "type" : "report" }, "uris" : [ "http://www.mendeley.com/documents/?uuid=ba59cb4b-7b15-487d-b48d-c8431203b243" ] }, { "id" : "ITEM-2", "itemData" : { "DOI" : "10.1007/s10584-008-9414-0", "ISBN" : "0165-0009", "abstract" : "Several economic reviews demonstrate the substantial costs related to climate change and consequently call for early action. These reviews, however, have been limited to measuring 'objective' risks and expected material damage related to climate change. The 'subjective' perceived risk of climate change and society's willingness to pay (WTP) to avoid these risks are expected to provide an important additional motivation for direct action. We investigate whether and why air travel passengers-an increasingly important source of greenhouse gas emissions-are supportive of measures that increase the cost of their travel based on the polluter pays principle and compensate the damage caused by their flight. Compared to the results of the few previous studies that have elicited WTP estimates for climate policy more generally, our results appear to be at the lower end of the scale, while a comparison to estimates of the social cost of carbon shows that the average WTP estimate in this study is close to the estimated marginal damage cost. Although significant differences are found between travellers from Europe, North America, Asia and the rest of the world, we show that there exists a substantial demand for climate change mitigation action. The positive risk premium over and above the expected property damage cost assessments should be accounted for more explicitly in economic reviews as it will add to the burden of proof of direct action. Measurements of passenger WTP will help policy makers to design effective financial instruments aimed at discouraging climate-unfriendly travel activities as well as to generate funds for the measures directed at climate change mitigation and adaptation. Based on stated WTP by travellers to offset their greenhouse gas emissions, funds in the order of magnitude of (sic)23 billion could be generated annually to finance climate change mitigation activities.", "author" : [ { "dropping-particle" : "", "family" : "Brouwer", "given" : "R", "non-dropping-particle" : "", "parse-names" : false, "suffix" : "" }, { "dropping-particle" : "", "family" : "Brander", "given" : "L", "non-dropping-particle" : "", "parse-names" : false, "suffix" : "" }, { "dropping-particle" : "", "family" : "Beukering", "given" : "P", "non-dropping-particle" : "Van", "parse-names" : false, "suffix" : "" } ], "container-title" : "Climatic Change", "id" : "ITEM-2", "issue" : "3", "issued" : { "date-parts" : [ [ "2008" ] ] }, "note" : "Times Cited: 31\n0\n32", "page" : "299-313", "title" : "\"A convenient truth\": air travel passengers' willingness to pay to offset their CO(2) emissions", "type" : "article-journal", "volume" : "90" }, "uris" : [ "http://www.mendeley.com/documents/?uuid=4c0469cc-23a2-4a1a-904b-e0755aa0aadb" ] }, { "id" : "ITEM-3", "itemData" : { "DOI" : "10.1080/13683500802220687", "ISSN" : "1368-3500", "author" : [ { "dropping-particle" : "", "family" : "G\u00f6ssling", "given" : "Stefan", "non-dropping-particle" : "", "parse-names" : false, "suffix" : "" }, { "dropping-particle" : "", "family" : "Haglund", "given" : "Louise", "non-dropping-particle" : "", "parse-names" : false, "suffix" : "" }, { "dropping-particle" : "", "family" : "Kallgren", "given" : "Helena", "non-dropping-particle" : "", "parse-names" : false, "suffix" : "" }, { "dropping-particle" : "", "family" : "Revahl", "given" : "Milla", "non-dropping-particle" : "", "parse-names" : false, "suffix" : "" }, { "dropping-particle" : "", "family" : "Hultman", "given" : "Johan", "non-dropping-particle" : "", "parse-names" : false, "suffix" : "" } ], "container-title" : "Current Issues in Tourism", "id" : "ITEM-3", "issue" : "1", "issued" : { "date-parts" : [ [ "2009", "1" ] ] }, "page" : "1-19", "title" : "Swedish air travellers and voluntary carbon offsets: towards the co-creation of environmental value?", "type" : "article-journal", "volume" : "12" }, "uris" : [ "http://www.mendeley.com/documents/?uuid=5ec245bf-32fd-4224-b6b0-348862bcd2a1" ] } ], "mendeley" : { "formattedCitation" : "(House of Commons 2007; Brouwer et al. 2008; G\u00f6ssling et al. 2009)", "plainTextFormattedCitation" : "(House of Commons 2007; Brouwer et al. 2008; G\u00f6ssling et al. 2009)", "previouslyFormattedCitation" : "(House of Commons 2007; Brouwer et al. 2008; G\u00f6ssling et al. 2009)" }, "properties" : {  }, "schema" : "https://github.com/citation-style-language/schema/raw/master/csl-citation.json" }</w:instrText>
      </w:r>
      <w:r>
        <w:rPr>
          <w:rFonts w:cs="Times New Roman"/>
          <w:lang w:eastAsia="ko-KR"/>
        </w:rPr>
        <w:fldChar w:fldCharType="separate"/>
      </w:r>
      <w:r w:rsidRPr="00D371EF">
        <w:rPr>
          <w:rFonts w:cs="Times New Roman"/>
          <w:noProof/>
          <w:lang w:eastAsia="ko-KR"/>
        </w:rPr>
        <w:t>(House of Commons 2007; Brouwer et al. 2008; Gössling et al. 2009)</w:t>
      </w:r>
      <w:r>
        <w:rPr>
          <w:rFonts w:cs="Times New Roman"/>
          <w:lang w:eastAsia="ko-KR"/>
        </w:rPr>
        <w:fldChar w:fldCharType="end"/>
      </w:r>
      <w:r>
        <w:rPr>
          <w:rFonts w:cs="Times New Roman"/>
          <w:lang w:eastAsia="ko-KR"/>
        </w:rPr>
        <w:t xml:space="preserve">. Some studies have detected that once the concept of carbon offsetting is explained to travellers, they express a relatively high willingness to pay (WTP), often higher than the actual market price for VCOs </w:t>
      </w:r>
      <w:r>
        <w:rPr>
          <w:rFonts w:cs="Times New Roman"/>
          <w:lang w:eastAsia="ko-KR"/>
        </w:rPr>
        <w:fldChar w:fldCharType="begin" w:fldLock="1"/>
      </w:r>
      <w:r w:rsidR="00CB0271">
        <w:rPr>
          <w:rFonts w:cs="Times New Roman"/>
          <w:lang w:eastAsia="ko-KR"/>
        </w:rPr>
        <w:instrText>ADDIN CSL_CITATION { "citationItems" : [ { "id" : "ITEM-1", "itemData" : { "DOI" : "10.1007/s10584-008-9414-0", "ISBN" : "0165-0009", "abstract" : "Several economic reviews demonstrate the substantial costs related to climate change and consequently call for early action. These reviews, however, have been limited to measuring 'objective' risks and expected material damage related to climate change. The 'subjective' perceived risk of climate change and society's willingness to pay (WTP) to avoid these risks are expected to provide an important additional motivation for direct action. We investigate whether and why air travel passengers-an increasingly important source of greenhouse gas emissions-are supportive of measures that increase the cost of their travel based on the polluter pays principle and compensate the damage caused by their flight. Compared to the results of the few previous studies that have elicited WTP estimates for climate policy more generally, our results appear to be at the lower end of the scale, while a comparison to estimates of the social cost of carbon shows that the average WTP estimate in this study is close to the estimated marginal damage cost. Although significant differences are found between travellers from Europe, North America, Asia and the rest of the world, we show that there exists a substantial demand for climate change mitigation action. The positive risk premium over and above the expected property damage cost assessments should be accounted for more explicitly in economic reviews as it will add to the burden of proof of direct action. Measurements of passenger WTP will help policy makers to design effective financial instruments aimed at discouraging climate-unfriendly travel activities as well as to generate funds for the measures directed at climate change mitigation and adaptation. Based on stated WTP by travellers to offset their greenhouse gas emissions, funds in the order of magnitude of (sic)23 billion could be generated annually to finance climate change mitigation activities.", "author" : [ { "dropping-particle" : "", "family" : "Brouwer", "given" : "R", "non-dropping-particle" : "", "parse-names" : false, "suffix" : "" }, { "dropping-particle" : "", "family" : "Brander", "given" : "L", "non-dropping-particle" : "", "parse-names" : false, "suffix" : "" }, { "dropping-particle" : "", "family" : "Beukering", "given" : "P", "non-dropping-particle" : "Van", "parse-names" : false, "suffix" : "" } ], "container-title" : "Climatic Change", "id" : "ITEM-1", "issue" : "3", "issued" : { "date-parts" : [ [ "2008" ] ] }, "note" : "Times Cited: 31\n0\n32", "page" : "299-313", "title" : "\"A convenient truth\": air travel passengers' willingness to pay to offset their CO(2) emissions", "type" : "article-journal", "volume" : "90" }, "uris" : [ "http://www.mendeley.com/documents/?uuid=4c0469cc-23a2-4a1a-904b-e0755aa0aadb" ] }, { "id" : "ITEM-2", "itemData" : { "author" : [ { "dropping-particle" : "", "family" : "MacKerron", "given" : "George J", "non-dropping-particle" : "", "parse-names" : false, "suffix" : "" }, { "dropping-particle" : "", "family" : "Egerton", "given" : "Catrin", "non-dropping-particle" : "", "parse-names" : false, "suffix" : "" }, { "dropping-particle" : "", "family" : "Gaskell", "given" : "Christopher", "non-dropping-particle" : "", "parse-names" : false, "suffix" : "" }, { "dropping-particle" : "", "family" : "Parpia", "given" : "Aimie", "non-dropping-particle" : "", "parse-names" : false, "suffix" : "" }, { "dropping-particle" : "", "family" : "Mouratoa", "given" : "Susana", "non-dropping-particle" : "", "parse-names" : false, "suffix" : "" } ], "container-title" : "Energy Policy", "id" : "ITEM-2", "issued" : { "date-parts" : [ [ "2009" ] ] }, "page" : "1372\u20131381", "title" : "Willingness to pay for carbon offset certification and co-benefits among (high-)flying young adults in the UK", "type" : "article-journal", "volume" : "37" }, "uris" : [ "http://www.mendeley.com/documents/?uuid=3dc8dc79-bee0-4eaf-97e9-9087b3252cda" ] }, { "id" : "ITEM-3", "itemData" : { "DOI" : "10.1016/j.trd.2011.10.002", "ISSN" : "13619209", "author" : [ { "dropping-particle" : "", "family" : "Lu", "given" : "Jin-Long", "non-dropping-particle" : "", "parse-names" : false, "suffix" : "" }, { "dropping-particle" : "", "family" : "Shon", "given" : "Zhang Yi", "non-dropping-particle" : "", "parse-names" : false, "suffix" : "" } ], "container-title" : "Transportation Research Part D: Transport and Environment", "id" : "ITEM-3", "issue" : "2", "issued" : { "date-parts" : [ [ "2012", "3" ] ] }, "page" : "124-128", "publisher" : "Elsevier Ltd", "title" : "Exploring airline passengers\u2019 willingness to pay for carbon offsets", "type" : "article-journal", "volume" : "17" }, "uris" : [ "http://www.mendeley.com/documents/?uuid=f92d1acb-ff7e-498a-9602-dee97a2cc000" ] } ], "mendeley" : { "formattedCitation" : "(Brouwer et al. 2008; MacKerron et al. 2009; Lu &amp; Shon 2012)", "plainTextFormattedCitation" : "(Brouwer et al. 2008; MacKerron et al. 2009; Lu &amp; Shon 2012)", "previouslyFormattedCitation" : "(Brouwer et al. 2008; MacKerron et al. 2009; Lu &amp; Shon 2012)" }, "properties" : {  }, "schema" : "https://github.com/citation-style-language/schema/raw/master/csl-citation.json" }</w:instrText>
      </w:r>
      <w:r>
        <w:rPr>
          <w:rFonts w:cs="Times New Roman"/>
          <w:lang w:eastAsia="ko-KR"/>
        </w:rPr>
        <w:fldChar w:fldCharType="separate"/>
      </w:r>
      <w:r w:rsidRPr="005648C9">
        <w:rPr>
          <w:rFonts w:cs="Times New Roman"/>
          <w:noProof/>
          <w:lang w:eastAsia="ko-KR"/>
        </w:rPr>
        <w:t>(Brouwer et al. 2008; MacKerron et al. 2009; Lu &amp; Shon 2012)</w:t>
      </w:r>
      <w:r>
        <w:rPr>
          <w:rFonts w:cs="Times New Roman"/>
          <w:lang w:eastAsia="ko-KR"/>
        </w:rPr>
        <w:fldChar w:fldCharType="end"/>
      </w:r>
      <w:r>
        <w:rPr>
          <w:rFonts w:cs="Times New Roman"/>
          <w:lang w:eastAsia="ko-KR"/>
        </w:rPr>
        <w:t xml:space="preserve">.  </w:t>
      </w:r>
    </w:p>
    <w:p w14:paraId="1213F85A" w14:textId="3CF20711" w:rsidR="00274D6E" w:rsidRDefault="00274D6E">
      <w:r>
        <w:rPr>
          <w:rFonts w:cs="Times New Roman"/>
          <w:lang w:eastAsia="ko-KR"/>
        </w:rPr>
        <w:t xml:space="preserve">There is marked gap between these high WTP figures, which suggest a theoretical appetite for offsets, and the low take-up of carbon offsets by actual air passengers. To close this gap, offsetting may be a behaviour which </w:t>
      </w:r>
      <w:r w:rsidRPr="004F55F1">
        <w:rPr>
          <w:rFonts w:cs="Times New Roman"/>
          <w:lang w:eastAsia="ko-KR"/>
        </w:rPr>
        <w:t>is ‘ripe’ for a nudge</w:t>
      </w:r>
      <w:r>
        <w:rPr>
          <w:rFonts w:cs="Times New Roman"/>
          <w:lang w:eastAsia="ko-KR"/>
        </w:rPr>
        <w:t xml:space="preserve">. </w:t>
      </w:r>
      <w:r w:rsidRPr="004F55F1">
        <w:rPr>
          <w:rFonts w:cs="Times New Roman"/>
          <w:lang w:eastAsia="ko-KR"/>
        </w:rPr>
        <w:t xml:space="preserve">Sunstein and Thaler </w:t>
      </w:r>
      <w:r>
        <w:rPr>
          <w:rFonts w:cs="Times New Roman"/>
          <w:lang w:eastAsia="ko-KR"/>
        </w:rPr>
        <w:t xml:space="preserve">offer a </w:t>
      </w:r>
      <w:r w:rsidRPr="004F55F1">
        <w:rPr>
          <w:rFonts w:cs="Times New Roman"/>
          <w:lang w:eastAsia="ko-KR"/>
        </w:rPr>
        <w:t>definition</w:t>
      </w:r>
      <w:r>
        <w:rPr>
          <w:rFonts w:cs="Times New Roman"/>
          <w:lang w:eastAsia="ko-KR"/>
        </w:rPr>
        <w:t xml:space="preserve"> of decisions where </w:t>
      </w:r>
      <w:r w:rsidRPr="004F55F1">
        <w:rPr>
          <w:rFonts w:cs="Times New Roman"/>
          <w:lang w:eastAsia="ko-KR"/>
        </w:rPr>
        <w:t>a nudge may be necessary</w:t>
      </w:r>
      <w:r w:rsidR="00552942">
        <w:rPr>
          <w:rFonts w:cs="Times New Roman"/>
          <w:lang w:eastAsia="ko-KR"/>
        </w:rPr>
        <w:t xml:space="preserve">: when decisions are </w:t>
      </w:r>
      <w:r w:rsidR="002700D2">
        <w:rPr>
          <w:rFonts w:cs="Times New Roman"/>
          <w:lang w:eastAsia="ko-KR"/>
        </w:rPr>
        <w:t xml:space="preserve">difficult, rare, for which there is a lack of prompt feedback, and for which aspects of the situation are difficult to translate into terms the subject may </w:t>
      </w:r>
      <w:r w:rsidR="00463A11">
        <w:rPr>
          <w:rFonts w:cs="Times New Roman"/>
          <w:lang w:eastAsia="ko-KR"/>
        </w:rPr>
        <w:t xml:space="preserve">easily </w:t>
      </w:r>
      <w:r w:rsidR="002700D2">
        <w:rPr>
          <w:rFonts w:cs="Times New Roman"/>
          <w:lang w:eastAsia="ko-KR"/>
        </w:rPr>
        <w:t>understand</w:t>
      </w:r>
      <w:r>
        <w:rPr>
          <w:rFonts w:cs="Times New Roman"/>
          <w:lang w:eastAsia="ko-KR"/>
        </w:rPr>
        <w:t xml:space="preserve"> </w:t>
      </w:r>
      <w:r w:rsidRPr="004F55F1">
        <w:rPr>
          <w:rFonts w:cs="Times New Roman"/>
          <w:lang w:eastAsia="ko-KR"/>
        </w:rPr>
        <w:t>(2008, 74)</w:t>
      </w:r>
      <w:r w:rsidR="00552942">
        <w:rPr>
          <w:rFonts w:cs="Times New Roman"/>
          <w:lang w:eastAsia="ko-KR"/>
        </w:rPr>
        <w:t>. T</w:t>
      </w:r>
      <w:r w:rsidRPr="004F55F1">
        <w:rPr>
          <w:rFonts w:cs="Times New Roman"/>
          <w:lang w:eastAsia="ko-KR"/>
        </w:rPr>
        <w:t xml:space="preserve">he decision to buy </w:t>
      </w:r>
      <w:r>
        <w:rPr>
          <w:rFonts w:cs="Times New Roman"/>
          <w:lang w:eastAsia="ko-KR"/>
        </w:rPr>
        <w:t xml:space="preserve">flight </w:t>
      </w:r>
      <w:r w:rsidRPr="004F55F1">
        <w:rPr>
          <w:rFonts w:cs="Times New Roman"/>
          <w:lang w:eastAsia="ko-KR"/>
        </w:rPr>
        <w:t>offsets</w:t>
      </w:r>
      <w:r>
        <w:rPr>
          <w:rFonts w:cs="Times New Roman"/>
          <w:lang w:eastAsia="ko-KR"/>
        </w:rPr>
        <w:t xml:space="preserve"> or not</w:t>
      </w:r>
      <w:r w:rsidRPr="004F55F1">
        <w:rPr>
          <w:rFonts w:cs="Times New Roman"/>
          <w:lang w:eastAsia="ko-KR"/>
        </w:rPr>
        <w:t xml:space="preserve"> </w:t>
      </w:r>
      <w:r>
        <w:rPr>
          <w:rFonts w:cs="Times New Roman"/>
          <w:lang w:eastAsia="ko-KR"/>
        </w:rPr>
        <w:t xml:space="preserve">arguably fits this definition. It is a decision </w:t>
      </w:r>
      <w:r w:rsidRPr="004F55F1">
        <w:rPr>
          <w:rFonts w:cs="Times New Roman"/>
          <w:lang w:eastAsia="ko-KR"/>
        </w:rPr>
        <w:t xml:space="preserve">which is not intuitive; is </w:t>
      </w:r>
      <w:r w:rsidR="002700D2">
        <w:rPr>
          <w:rFonts w:cs="Times New Roman"/>
          <w:lang w:eastAsia="ko-KR"/>
        </w:rPr>
        <w:t xml:space="preserve">(for most) </w:t>
      </w:r>
      <w:r w:rsidRPr="004F55F1">
        <w:rPr>
          <w:rFonts w:cs="Times New Roman"/>
          <w:lang w:eastAsia="ko-KR"/>
        </w:rPr>
        <w:t>performed infrequently; to the decision-maker the effects of offsetting are not felt directl</w:t>
      </w:r>
      <w:r w:rsidR="000477FC">
        <w:rPr>
          <w:rFonts w:cs="Times New Roman"/>
          <w:lang w:eastAsia="ko-KR"/>
        </w:rPr>
        <w:t>y</w:t>
      </w:r>
      <w:r w:rsidR="008319B5">
        <w:rPr>
          <w:rFonts w:cs="Times New Roman"/>
          <w:lang w:eastAsia="ko-KR"/>
        </w:rPr>
        <w:t>;</w:t>
      </w:r>
      <w:r w:rsidRPr="004F55F1">
        <w:rPr>
          <w:rFonts w:cs="Times New Roman"/>
          <w:lang w:eastAsia="ko-KR"/>
        </w:rPr>
        <w:t xml:space="preserve"> and for the environment the benefits of offsetting are deferred.</w:t>
      </w:r>
      <w:r w:rsidR="002700D2">
        <w:rPr>
          <w:rFonts w:cs="Times New Roman"/>
          <w:lang w:eastAsia="ko-KR"/>
        </w:rPr>
        <w:t xml:space="preserve"> The language of offsetting is also </w:t>
      </w:r>
      <w:r w:rsidR="002700D2" w:rsidRPr="004F55F1">
        <w:rPr>
          <w:rFonts w:cs="Times New Roman"/>
          <w:lang w:eastAsia="ko-KR"/>
        </w:rPr>
        <w:t>unfamiliar</w:t>
      </w:r>
      <w:r w:rsidR="00463A11">
        <w:rPr>
          <w:rFonts w:cs="Times New Roman"/>
          <w:lang w:eastAsia="ko-KR"/>
        </w:rPr>
        <w:t xml:space="preserve"> </w:t>
      </w:r>
      <w:r w:rsidR="002700D2">
        <w:rPr>
          <w:rFonts w:cs="Times New Roman"/>
          <w:lang w:eastAsia="ko-KR"/>
        </w:rPr>
        <w:t>to most people.</w:t>
      </w:r>
      <w:r w:rsidR="002700D2" w:rsidRPr="004F55F1">
        <w:rPr>
          <w:rFonts w:cs="Times New Roman"/>
          <w:lang w:eastAsia="ko-KR"/>
        </w:rPr>
        <w:t xml:space="preserve"> </w:t>
      </w:r>
      <w:r w:rsidR="002F2543">
        <w:rPr>
          <w:rFonts w:cs="Times New Roman"/>
          <w:lang w:eastAsia="ko-KR"/>
        </w:rPr>
        <w:t>G</w:t>
      </w:r>
      <w:r w:rsidR="002F2543" w:rsidRPr="002F2543">
        <w:rPr>
          <w:rFonts w:cs="Times New Roman"/>
          <w:lang w:eastAsia="ko-KR"/>
        </w:rPr>
        <w:t>iven</w:t>
      </w:r>
      <w:r w:rsidR="005207E0">
        <w:rPr>
          <w:rFonts w:cs="Times New Roman"/>
          <w:lang w:eastAsia="ko-KR"/>
        </w:rPr>
        <w:t xml:space="preserve"> </w:t>
      </w:r>
      <w:r w:rsidR="002F2543" w:rsidRPr="002F2543">
        <w:rPr>
          <w:rFonts w:cs="Times New Roman"/>
          <w:lang w:eastAsia="ko-KR"/>
        </w:rPr>
        <w:t xml:space="preserve">that </w:t>
      </w:r>
      <w:r w:rsidR="002700D2">
        <w:rPr>
          <w:rFonts w:cs="Times New Roman"/>
          <w:lang w:eastAsia="ko-KR"/>
        </w:rPr>
        <w:t>offsetting thus</w:t>
      </w:r>
      <w:r w:rsidR="002F2543" w:rsidRPr="002F2543">
        <w:rPr>
          <w:rFonts w:cs="Times New Roman"/>
          <w:lang w:eastAsia="ko-KR"/>
        </w:rPr>
        <w:t xml:space="preserve"> seems to fall into the category of behaviours ripe for a nudge, we </w:t>
      </w:r>
      <w:r w:rsidR="002700D2">
        <w:rPr>
          <w:rFonts w:cs="Times New Roman"/>
          <w:lang w:eastAsia="ko-KR"/>
        </w:rPr>
        <w:t>might</w:t>
      </w:r>
      <w:r w:rsidR="002700D2" w:rsidRPr="002F2543">
        <w:rPr>
          <w:rFonts w:cs="Times New Roman"/>
          <w:lang w:eastAsia="ko-KR"/>
        </w:rPr>
        <w:t xml:space="preserve"> </w:t>
      </w:r>
      <w:r w:rsidR="002F2543" w:rsidRPr="002F2543">
        <w:rPr>
          <w:rFonts w:cs="Times New Roman"/>
          <w:lang w:eastAsia="ko-KR"/>
        </w:rPr>
        <w:t>expect nudges to be effective</w:t>
      </w:r>
      <w:r w:rsidR="002F2543">
        <w:rPr>
          <w:rFonts w:cs="Times New Roman"/>
          <w:lang w:eastAsia="ko-KR"/>
        </w:rPr>
        <w:t xml:space="preserve">. </w:t>
      </w:r>
    </w:p>
    <w:p w14:paraId="25D0CD73" w14:textId="1DBFF144" w:rsidR="00F67A2B" w:rsidRPr="00F67A2B" w:rsidRDefault="00124E2B" w:rsidP="00F67A2B">
      <w:pPr>
        <w:pStyle w:val="Heading2"/>
      </w:pPr>
      <w:r>
        <w:t>Pro-self and pro-social nudges</w:t>
      </w:r>
    </w:p>
    <w:p w14:paraId="566675BD" w14:textId="4F231041" w:rsidR="00820A5B" w:rsidRDefault="00770DA9" w:rsidP="000E4830">
      <w:r>
        <w:t xml:space="preserve">Dominant models of decision-making and behaviour have been derived largely from the classical economic assumption of humans as rational utility-maximisers, or on psychological models such as the theory of planned behaviour </w:t>
      </w:r>
      <w:r>
        <w:fldChar w:fldCharType="begin" w:fldLock="1"/>
      </w:r>
      <w:r w:rsidR="00ED64D0">
        <w:instrText>ADDIN CSL_CITATION { "citationItems" : [ { "id" : "ITEM-1", "itemData" : { "author" : [ { "dropping-particle" : "", "family" : "Ajzen", "given" : "I", "non-dropping-particle" : "", "parse-names" : false, "suffix" : "" } ], "container-title" : "Organizational behavior and human decision \u2026", "id" : "ITEM-1", "issued" : { "date-parts" : [ [ "1991" ] ] }, "title" : "The theory of planned behavior", "type" : "article-journal" }, "uris" : [ "http://www.mendeley.com/documents/?uuid=e30bc60c-f5a0-4e3e-b422-1c086a0a9482" ] } ], "mendeley" : { "formattedCitation" : "(Ajzen 1991)", "plainTextFormattedCitation" : "(Ajzen 1991)", "previouslyFormattedCitation" : "(Ajzen 1991)" }, "properties" : {  }, "schema" : "https://github.com/citation-style-language/schema/raw/master/csl-citation.json" }</w:instrText>
      </w:r>
      <w:r>
        <w:fldChar w:fldCharType="separate"/>
      </w:r>
      <w:r w:rsidRPr="00770DA9">
        <w:rPr>
          <w:noProof/>
        </w:rPr>
        <w:t>(Ajzen 1991)</w:t>
      </w:r>
      <w:r>
        <w:fldChar w:fldCharType="end"/>
      </w:r>
      <w:r w:rsidR="00ED64D0">
        <w:t xml:space="preserve"> or theory of interpersonal behaviour </w:t>
      </w:r>
      <w:r w:rsidR="00ED64D0">
        <w:fldChar w:fldCharType="begin" w:fldLock="1"/>
      </w:r>
      <w:r w:rsidR="009512C3">
        <w:instrText>ADDIN CSL_CITATION { "citationItems" : [ { "id" : "ITEM-1", "itemData" : { "DOI" : "10.1037/0033-295X.96.3.506", "ISBN" : "0814730809", "ISSN" : "19391471", "PMID" : "19819", "abstract" : "Three aspects of the self (private, public, collective) with different probabilities in different kinds of social environments were sampled. Three dimensions of cultural variation (individualism\u2013collectivism, tightness\u2013looseness, cultural complexity) are discussed in relation to the sampling of these 3 aspects of self. The more complex the culture, the more frequent the sampling of the public and private self and the less frequent the sampling of the collective self. The more individualistic the culture, the more frequent the sampling of the private self and the less frequent the sampling of the collective self. Collectivism, external threat, competition with outgroups, and common fate increase the sampling of the collective self. Cultural homogeneity results in tightness and in the sampling of the collective self. The article outlines theoretical links among aspects of the environment, child-rearing patterns, and cultural patterns, which are linked to differential sampling of aspects of the self. Such sampling has implications for social behavior. Empirical investigations of some of these links are reviewed. (PsycINFO Database Record (c) 2012 APA, all rights reserved)", "author" : [ { "dropping-particle" : "", "family" : "Triandis", "given" : "H. C.", "non-dropping-particle" : "", "parse-names" : false, "suffix" : "" } ], "container-title" : "Psychological Review", "id" : "ITEM-1", "issue" : "3", "issued" : { "date-parts" : [ [ "1989" ] ] }, "page" : "506-520", "title" : "The self and social behavior in differing cultural contexts.", "type" : "article-journal", "volume" : "96" }, "uris" : [ "http://www.mendeley.com/documents/?uuid=e1dfc9ce-fc20-4d81-8471-e1286439b240" ] } ], "mendeley" : { "formattedCitation" : "(Triandis 1989)", "plainTextFormattedCitation" : "(Triandis 1989)", "previouslyFormattedCitation" : "(Triandis 1989)" }, "properties" : {  }, "schema" : "https://github.com/citation-style-language/schema/raw/master/csl-citation.json" }</w:instrText>
      </w:r>
      <w:r w:rsidR="00ED64D0">
        <w:fldChar w:fldCharType="separate"/>
      </w:r>
      <w:r w:rsidR="00ED64D0" w:rsidRPr="00ED64D0">
        <w:rPr>
          <w:noProof/>
        </w:rPr>
        <w:t>(Triandis 1989)</w:t>
      </w:r>
      <w:r w:rsidR="00ED64D0">
        <w:fldChar w:fldCharType="end"/>
      </w:r>
      <w:r w:rsidR="000E4830">
        <w:t>.</w:t>
      </w:r>
      <w:r w:rsidR="003C54D1">
        <w:t xml:space="preserve"> </w:t>
      </w:r>
      <w:r w:rsidR="000E4830">
        <w:t>These models</w:t>
      </w:r>
      <w:r>
        <w:t xml:space="preserve"> emphasise that when humans do not maximise utility – as we often do not - this is largely due to ‘internal’ barriers</w:t>
      </w:r>
      <w:r w:rsidR="00ED64D0">
        <w:t xml:space="preserve"> </w:t>
      </w:r>
      <w:r w:rsidR="00ED64D0">
        <w:fldChar w:fldCharType="begin" w:fldLock="1"/>
      </w:r>
      <w:r w:rsidR="00ED64D0">
        <w:instrText>ADDIN CSL_CITATION { "citationItems" : [ { "id" : "ITEM-1", "itemData" : { "author" : [ { "dropping-particle" : "", "family" : "Chatterton", "given" : "T", "non-dropping-particle" : "", "parse-names" : false, "suffix" : "" } ], "chapter-number" : "Two", "container-title" : "Beyond Behaviour Change: Key Issues, Interdisciplinary Approaches and Future Directions", "id" : "ITEM-1", "issued" : { "date-parts" : [ [ "2016" ] ] }, "page" : "27-48", "publisher" : "Policy Press", "publisher-place" : "Bristol", "title" : "An introduction to theories of behaviour", "type" : "chapter" }, "uris" : [ "http://www.mendeley.com/documents/?uuid=a307d9a5-8dfe-441d-b462-b90f95747ff8" ] } ], "mendeley" : { "formattedCitation" : "(Chatterton 2016)", "plainTextFormattedCitation" : "(Chatterton 2016)", "previouslyFormattedCitation" : "(Chatterton 2016)" }, "properties" : {  }, "schema" : "https://github.com/citation-style-language/schema/raw/master/csl-citation.json" }</w:instrText>
      </w:r>
      <w:r w:rsidR="00ED64D0">
        <w:fldChar w:fldCharType="separate"/>
      </w:r>
      <w:r w:rsidR="00ED64D0" w:rsidRPr="00ED64D0">
        <w:rPr>
          <w:noProof/>
        </w:rPr>
        <w:t>(Chatterton 2016)</w:t>
      </w:r>
      <w:r w:rsidR="00ED64D0">
        <w:fldChar w:fldCharType="end"/>
      </w:r>
      <w:r>
        <w:t>. In contrast, t</w:t>
      </w:r>
      <w:r w:rsidR="00820A5B" w:rsidRPr="00820A5B">
        <w:t xml:space="preserve">he paradigm of </w:t>
      </w:r>
      <w:r w:rsidR="00737D1C">
        <w:t>behavioural insights</w:t>
      </w:r>
      <w:r>
        <w:t xml:space="preserve"> </w:t>
      </w:r>
      <w:r w:rsidR="00737D1C">
        <w:t xml:space="preserve">or ‘nudge’ </w:t>
      </w:r>
      <w:r>
        <w:t>(</w:t>
      </w:r>
      <w:r w:rsidR="00737D1C">
        <w:t>as it is commonly known</w:t>
      </w:r>
      <w:r w:rsidR="005E43E8">
        <w:t xml:space="preserve"> and referred to throughout this paper</w:t>
      </w:r>
      <w:r>
        <w:t>)</w:t>
      </w:r>
      <w:r w:rsidR="00737D1C">
        <w:t>,</w:t>
      </w:r>
      <w:r w:rsidR="00820A5B" w:rsidRPr="00820A5B">
        <w:t xml:space="preserve"> is informed by an understanding of human decision-making associated with </w:t>
      </w:r>
      <w:r>
        <w:t xml:space="preserve">the fields of </w:t>
      </w:r>
      <w:r w:rsidR="00820A5B" w:rsidRPr="00820A5B">
        <w:t>behavioural economics and social psychology</w:t>
      </w:r>
      <w:r>
        <w:t xml:space="preserve">. These </w:t>
      </w:r>
      <w:r w:rsidR="00ED64D0">
        <w:t xml:space="preserve">fields </w:t>
      </w:r>
      <w:r>
        <w:t xml:space="preserve">emphasise </w:t>
      </w:r>
      <w:r w:rsidR="00043087">
        <w:t>humans’</w:t>
      </w:r>
      <w:r>
        <w:t xml:space="preserve"> imperfect or inconsistent reasoning</w:t>
      </w:r>
      <w:r w:rsidR="00ED64D0">
        <w:t>,</w:t>
      </w:r>
      <w:r>
        <w:t xml:space="preserve"> and the </w:t>
      </w:r>
      <w:r w:rsidRPr="00356AF0">
        <w:rPr>
          <w:i/>
          <w:iCs/>
        </w:rPr>
        <w:t>external</w:t>
      </w:r>
      <w:r>
        <w:t xml:space="preserve"> and contextual </w:t>
      </w:r>
      <w:r w:rsidR="00043087">
        <w:t>constraints</w:t>
      </w:r>
      <w:r>
        <w:t xml:space="preserve"> to maximising utility</w:t>
      </w:r>
      <w:r w:rsidR="00820A5B" w:rsidRPr="00820A5B">
        <w:t xml:space="preserve">. </w:t>
      </w:r>
      <w:r w:rsidR="00ED64D0">
        <w:t>B</w:t>
      </w:r>
      <w:r w:rsidR="00604EC0">
        <w:t>ehavioural</w:t>
      </w:r>
      <w:r w:rsidR="00ED64D0">
        <w:t xml:space="preserve"> insight literature</w:t>
      </w:r>
      <w:r w:rsidR="00604EC0">
        <w:t xml:space="preserve"> </w:t>
      </w:r>
      <w:r w:rsidR="00820A5B" w:rsidRPr="00820A5B">
        <w:t>highlight</w:t>
      </w:r>
      <w:r w:rsidR="00ED64D0">
        <w:t>s</w:t>
      </w:r>
      <w:r w:rsidR="00604EC0">
        <w:t xml:space="preserve"> </w:t>
      </w:r>
      <w:r w:rsidR="00ED64D0">
        <w:t xml:space="preserve">human </w:t>
      </w:r>
      <w:r w:rsidR="00820A5B" w:rsidRPr="00820A5B">
        <w:t>cognitive heuristics</w:t>
      </w:r>
      <w:r w:rsidR="00ED64D0">
        <w:t xml:space="preserve"> and biases</w:t>
      </w:r>
      <w:r w:rsidR="00820A5B" w:rsidRPr="00820A5B">
        <w:t xml:space="preserve"> such as ‘present bias’ and ‘status quo bias’, and the influence of social norms</w:t>
      </w:r>
      <w:r w:rsidR="00552942">
        <w:t xml:space="preserve"> and environmental context</w:t>
      </w:r>
      <w:r w:rsidR="00ED64D0">
        <w:t>,</w:t>
      </w:r>
      <w:r w:rsidR="00820A5B" w:rsidRPr="00820A5B">
        <w:t xml:space="preserve"> which can help explain and to an extent predict decision-making (see Kahneman 2011; Kahneman &amp; Tversky 1979; Cialdini 2007; Ariely 2008; Camerer 2003). The influential work of Thaler and </w:t>
      </w:r>
      <w:r w:rsidR="0019592C">
        <w:t xml:space="preserve">Sunstein </w:t>
      </w:r>
      <w:r w:rsidR="00CD0FC6">
        <w:t xml:space="preserve">in their 2008 book “Nudge”, with its </w:t>
      </w:r>
      <w:r w:rsidR="0019592C">
        <w:t>somewhat</w:t>
      </w:r>
      <w:r w:rsidR="00CD0FC6">
        <w:t xml:space="preserve"> controversial concept of Libertarian Paternalism </w:t>
      </w:r>
      <w:r w:rsidR="00CD0FC6">
        <w:fldChar w:fldCharType="begin" w:fldLock="1"/>
      </w:r>
      <w:r w:rsidR="009512C3">
        <w:instrText>ADDIN CSL_CITATION { "citationItems" : [ { "id" : "ITEM-1", "itemData" : { "author" : [ { "dropping-particle" : "", "family" : "Sunstein", "given" : "Cass", "non-dropping-particle" : "", "parse-names" : false, "suffix" : "" } ], "id" : "ITEM-1", "issued" : { "date-parts" : [ [ "2014" ] ] }, "number-of-pages" : "195", "publisher" : "Yale University Press", "title" : "Why Nudge? The Politics of Libertarian Paternalism", "type" : "book" }, "uris" : [ "http://www.mendeley.com/documents/?uuid=f06f3885-e5da-4340-b832-269fd838675f" ] }, { "id" : "ITEM-2", "itemData" : { "author" : [ { "dropping-particle" : "", "family" : "Wilby", "given" : "Peter", "non-dropping-particle" : "", "parse-names" : false, "suffix" : "" } ], "container-title" : "The Guardian", "id" : "ITEM-2", "issued" : { "date-parts" : [ [ "2013", "4", "28" ] ] }, "title" : "A nudge and a nag won't end our throwaway culture | Peter Wilby | Comment is free | The Guardian", "type" : "article-newspaper" }, "uris" : [ "http://www.mendeley.com/documents/?uuid=c6507f68-2e6c-4624-85e7-ed1d369f3601" ] }, { "id" : "ITEM-3", "itemData" : { "abstract" : "This article argues that the use of nudge tactics in UK policymaking ought to be rejected. Nudge contravenes the coalition government's aspirations to promote ideas such as empowerment, freedom and fairness. Moreover, it is not an effective strategy for bringing about the kind of behavioural changes required to solve society's big problems problems around climate change and public health, for example. The article mines political theory in a way that is distinctly absent from the current literature on nudging and brings a fresh and insightful perspective to the nudge debate.", "author" : [ { "dropping-particle" : "", "family" : "Goodwin", "given" : "T", "non-dropping-particle" : "", "parse-names" : false, "suffix" : "" } ], "container-title" : "Politics", "id" : "ITEM-3", "issue" : "2", "issued" : { "date-parts" : [ [ "2012" ] ] }, "page" : "85-92", "title" : "Why We Should Reject 'Nudge'", "type" : "article-journal", "volume" : "32" }, "uris" : [ "http://www.mendeley.com/documents/?uuid=6d90827b-e473-4046-99dd-bd35b14597b5" ] }, { "id" : "ITEM-4", "itemData" : { "DOI" : "10.3351/ppp.0004.0003.0004", "ISSN" : "17538041", "abstract" : "We need to promote more responsible corporate and consumer behaviour through greater transparency and by harnessing the insights from behavioural economics and social psychology. (HM Government, 2010)", "author" : [ { "dropping-particle" : "", "family" : "Wells", "given" : "Peter", "non-dropping-particle" : "", "parse-names" : false, "suffix" : "" } ], "container-title" : "People, Place and Policy Online", "id" : "ITEM-4", "issue" : "3", "issued" : { "date-parts" : [ [ "2010" ] ] }, "page" : "111-118", "title" : "A Nudge One Way, A Nudge the Other: libertarian paternalism as political strategy", "type" : "article-journal", "volume" : "4" }, "uris" : [ "http://www.mendeley.com/documents/?uuid=63dbf8bc-4f63-486c-a18d-b47f0c8c4bc4" ] } ], "mendeley" : { "formattedCitation" : "(Sunstein 2014; Wilby 2013; Goodwin 2012; Wells 2010)", "manualFormatting" : "(Wilby 2013; Goodwin 2012; Wells 2010)", "plainTextFormattedCitation" : "(Sunstein 2014; Wilby 2013; Goodwin 2012; Wells 2010)", "previouslyFormattedCitation" : "(Sunstein 2014; Wilby 2013; Goodwin 2012; Wells 2010)" }, "properties" : {  }, "schema" : "https://github.com/citation-style-language/schema/raw/master/csl-citation.json" }</w:instrText>
      </w:r>
      <w:r w:rsidR="00CD0FC6">
        <w:fldChar w:fldCharType="separate"/>
      </w:r>
      <w:r w:rsidR="00043087">
        <w:rPr>
          <w:noProof/>
        </w:rPr>
        <w:t>(</w:t>
      </w:r>
      <w:r w:rsidR="00CD0FC6" w:rsidRPr="00CD0FC6">
        <w:rPr>
          <w:noProof/>
        </w:rPr>
        <w:t>Wilby 2013; Goodwin 2012; Wells 2010)</w:t>
      </w:r>
      <w:r w:rsidR="00CD0FC6">
        <w:fldChar w:fldCharType="end"/>
      </w:r>
      <w:r w:rsidR="00820A5B" w:rsidRPr="00820A5B">
        <w:t xml:space="preserve">, </w:t>
      </w:r>
      <w:r w:rsidR="004C74E2">
        <w:t>seeks</w:t>
      </w:r>
      <w:r w:rsidR="00820A5B" w:rsidRPr="00820A5B">
        <w:t xml:space="preserve"> to translate this body of research into policy interventions which might influence citizens’ decision-making outcomes in a variety of contexts</w:t>
      </w:r>
      <w:r w:rsidR="00F539A6">
        <w:t xml:space="preserve">. Practically, </w:t>
      </w:r>
      <w:r w:rsidR="00093B78">
        <w:t>these interventions involve</w:t>
      </w:r>
      <w:r w:rsidR="00F539A6">
        <w:t xml:space="preserve"> the adaptation of ‘choice architecture’</w:t>
      </w:r>
      <w:r w:rsidR="00B51F9E">
        <w:t>.</w:t>
      </w:r>
      <w:r w:rsidR="00F539A6">
        <w:t xml:space="preserve"> </w:t>
      </w:r>
      <w:r w:rsidR="003A163D">
        <w:t>Choice architecture refers to the manner in which options are presented to people</w:t>
      </w:r>
      <w:r w:rsidR="009D4194">
        <w:t xml:space="preserve">, </w:t>
      </w:r>
      <w:r w:rsidR="003A163D">
        <w:t>e.g. in shop display</w:t>
      </w:r>
      <w:r w:rsidR="00043087">
        <w:t>s</w:t>
      </w:r>
      <w:r w:rsidR="003A163D">
        <w:t>, website</w:t>
      </w:r>
      <w:r w:rsidR="00043087">
        <w:t>s</w:t>
      </w:r>
      <w:r w:rsidR="003A163D">
        <w:t xml:space="preserve">, </w:t>
      </w:r>
      <w:r w:rsidR="00043087">
        <w:t xml:space="preserve">application </w:t>
      </w:r>
      <w:r w:rsidR="003A163D">
        <w:t>form</w:t>
      </w:r>
      <w:r w:rsidR="00043087">
        <w:t>s</w:t>
      </w:r>
      <w:r w:rsidR="003A163D">
        <w:t>, or machines</w:t>
      </w:r>
      <w:r w:rsidR="003A163D" w:rsidRPr="00820A5B">
        <w:t>.</w:t>
      </w:r>
      <w:r w:rsidR="003A163D">
        <w:t xml:space="preserve"> Successful nudges adapt choice architecture </w:t>
      </w:r>
      <w:r w:rsidR="00F539A6">
        <w:t xml:space="preserve">to make choices which are healthier, greener and financially prudent more likely to be selected. </w:t>
      </w:r>
    </w:p>
    <w:p w14:paraId="4E105BC6" w14:textId="7B051414" w:rsidR="0045036E" w:rsidRDefault="00A7410A" w:rsidP="009512C3">
      <w:r>
        <w:rPr>
          <w:rFonts w:eastAsia="Malgun Gothic"/>
          <w:lang w:eastAsia="ko-KR"/>
        </w:rPr>
        <w:t>It is possible to construct a</w:t>
      </w:r>
      <w:r w:rsidR="0012558D">
        <w:rPr>
          <w:rFonts w:eastAsia="Malgun Gothic"/>
          <w:lang w:eastAsia="ko-KR"/>
        </w:rPr>
        <w:t xml:space="preserve"> typology of nudges</w:t>
      </w:r>
      <w:r w:rsidR="005207E0">
        <w:rPr>
          <w:rFonts w:eastAsia="Malgun Gothic"/>
          <w:lang w:eastAsia="ko-KR"/>
        </w:rPr>
        <w:t xml:space="preserve"> in terms of types of behaviour they can target, and the systems of thinking they can attend to. On the former, </w:t>
      </w:r>
      <w:r w:rsidR="0045036E">
        <w:rPr>
          <w:rFonts w:eastAsia="Malgun Gothic"/>
          <w:lang w:eastAsia="ko-KR"/>
        </w:rPr>
        <w:fldChar w:fldCharType="begin" w:fldLock="1"/>
      </w:r>
      <w:r w:rsidR="00CB0271">
        <w:rPr>
          <w:rFonts w:eastAsia="Malgun Gothic"/>
          <w:lang w:eastAsia="ko-KR"/>
        </w:rPr>
        <w:instrText>ADDIN CSL_CITATION { "citationItems" : [ { "id" : "ITEM-1", "itemData" : { "DOI" : "10.1007/s13164-015-0263-2", "ISBN" : "1316401502", "ISSN" : "1878-5158", "author" : [ { "dropping-particle" : "", "family" : "Hagman", "given" : "William", "non-dropping-particle" : "", "parse-names" : false, "suffix" : "" }, { "dropping-particle" : "", "family" : "Andersson", "given" : "David", "non-dropping-particle" : "", "parse-names" : false, "suffix" : "" }, { "dropping-particle" : "", "family" : "V\u00e4stfj\u00e4ll", "given" : "Daniel", "non-dropping-particle" : "", "parse-names" : false, "suffix" : "" }, { "dropping-particle" : "", "family" : "Tingh\u00f6g", "given" : "Gustav", "non-dropping-particle" : "", "parse-names" : false, "suffix" : "" } ], "container-title" : "Review of Philosophy and Psychology", "id" : "ITEM-1", "issued" : { "date-parts" : [ [ "2015" ] ] }, "page" : "439-453", "title" : "Public Views on Policies Involving Nudges", "type" : "article-journal" }, "uris" : [ "http://www.mendeley.com/documents/?uuid=6cd9b60d-3c49-49d4-a62c-2055098127d4" ] } ], "mendeley" : { "formattedCitation" : "(Hagman et al. 2015)", "manualFormatting" : "Hagman et al. (2015)", "plainTextFormattedCitation" : "(Hagman et al. 2015)", "previouslyFormattedCitation" : "(Hagman et al. 2015)" }, "properties" : {  }, "schema" : "https://github.com/citation-style-language/schema/raw/master/csl-citation.json" }</w:instrText>
      </w:r>
      <w:r w:rsidR="0045036E">
        <w:rPr>
          <w:rFonts w:eastAsia="Malgun Gothic"/>
          <w:lang w:eastAsia="ko-KR"/>
        </w:rPr>
        <w:fldChar w:fldCharType="separate"/>
      </w:r>
      <w:r w:rsidR="0045036E">
        <w:rPr>
          <w:rFonts w:eastAsia="Malgun Gothic"/>
          <w:noProof/>
          <w:lang w:eastAsia="ko-KR"/>
        </w:rPr>
        <w:t>Hagman et al. (2015)</w:t>
      </w:r>
      <w:r w:rsidR="0045036E">
        <w:rPr>
          <w:rFonts w:eastAsia="Malgun Gothic"/>
          <w:lang w:eastAsia="ko-KR"/>
        </w:rPr>
        <w:fldChar w:fldCharType="end"/>
      </w:r>
      <w:r w:rsidR="0045036E">
        <w:rPr>
          <w:rFonts w:eastAsia="Malgun Gothic"/>
          <w:lang w:eastAsia="ko-KR"/>
        </w:rPr>
        <w:t xml:space="preserve"> make a</w:t>
      </w:r>
      <w:r w:rsidR="00043087">
        <w:rPr>
          <w:rFonts w:eastAsia="Malgun Gothic"/>
          <w:lang w:eastAsia="ko-KR"/>
        </w:rPr>
        <w:t xml:space="preserve"> </w:t>
      </w:r>
      <w:r w:rsidR="0045036E">
        <w:rPr>
          <w:rFonts w:eastAsia="Malgun Gothic"/>
          <w:lang w:eastAsia="ko-KR"/>
        </w:rPr>
        <w:t xml:space="preserve">distinction between pro-self nudges and pro-social ones. </w:t>
      </w:r>
      <w:r w:rsidR="00D005AD">
        <w:rPr>
          <w:rFonts w:eastAsia="Malgun Gothic"/>
          <w:lang w:eastAsia="ko-KR"/>
        </w:rPr>
        <w:t xml:space="preserve">Pro-self </w:t>
      </w:r>
      <w:r w:rsidR="00D005AD">
        <w:t>n</w:t>
      </w:r>
      <w:r w:rsidR="0045036E">
        <w:t>udges steer individuals away from ‘irrational’ behaviour (or ‘bounded rationality’) which would decrease their long-term well</w:t>
      </w:r>
      <w:r w:rsidR="00D005AD">
        <w:t>-</w:t>
      </w:r>
      <w:r w:rsidR="0045036E">
        <w:t xml:space="preserve">being. Pro-social nudges steer individuals towards behaviours which would be in the ‘public interest’ i.e. to the benefit of society and/or the state or environment. Hagman et al argue that pro-self nudges are </w:t>
      </w:r>
      <w:r w:rsidR="009C1BA6">
        <w:t xml:space="preserve">easier </w:t>
      </w:r>
      <w:r w:rsidR="0045036E">
        <w:t xml:space="preserve">to accommodate both </w:t>
      </w:r>
      <w:r w:rsidR="0019592C">
        <w:t>normatively and in terms of</w:t>
      </w:r>
      <w:r w:rsidR="0045036E">
        <w:t xml:space="preserve"> effectiveness. </w:t>
      </w:r>
      <w:r w:rsidR="0019592C">
        <w:t>Normatively</w:t>
      </w:r>
      <w:r w:rsidR="0045036E">
        <w:t xml:space="preserve">, pro-self nudges sit more comfortably within the libertarian paternalistic model provided by Sunstein and Thaler, who argue that nudges should work to benefit the individual </w:t>
      </w:r>
      <w:r w:rsidR="00093B78">
        <w:t>“</w:t>
      </w:r>
      <w:r w:rsidR="0045036E" w:rsidRPr="00093B78">
        <w:t>as judged by themselves</w:t>
      </w:r>
      <w:r w:rsidR="00093B78">
        <w:rPr>
          <w:i/>
          <w:iCs/>
        </w:rPr>
        <w:t xml:space="preserve">” </w:t>
      </w:r>
      <w:r w:rsidR="00093B78">
        <w:rPr>
          <w:i/>
          <w:iCs/>
        </w:rPr>
        <w:fldChar w:fldCharType="begin" w:fldLock="1"/>
      </w:r>
      <w:r w:rsidR="00CB0271">
        <w:rPr>
          <w:i/>
          <w:iCs/>
        </w:rPr>
        <w:instrText>ADDIN CSL_CITATION { "citationItems" : [ { "id" : "ITEM-1", "itemData" : { "author" : [ { "dropping-particle" : "", "family" : "Sunstein", "given" : "Cass", "non-dropping-particle" : "", "parse-names" : false, "suffix" : "" }, { "dropping-particle" : "", "family" : "Thaler", "given" : "Richard H", "non-dropping-particle" : "", "parse-names" : false, "suffix" : "" } ], "id" : "ITEM-1", "issued" : { "date-parts" : [ [ "2008" ] ] }, "publisher" : "Yale University Press", "publisher-place" : "New Haven, Conn.", "title" : "Nudge: Improving Decisions about Health, Wealth and Happiness", "type" : "book" }, "uris" : [ "http://www.mendeley.com/documents/?uuid=09e8fb39-418e-47e2-8a76-0e8543ef5af6" ] } ], "mendeley" : { "formattedCitation" : "(Sunstein &amp; Thaler 2008)", "manualFormatting" : "(Sunstein &amp; Thaler 2008, 5)", "plainTextFormattedCitation" : "(Sunstein &amp; Thaler 2008)", "previouslyFormattedCitation" : "(Sunstein &amp; Thaler 2008)" }, "properties" : {  }, "schema" : "https://github.com/citation-style-language/schema/raw/master/csl-citation.json" }</w:instrText>
      </w:r>
      <w:r w:rsidR="00093B78">
        <w:rPr>
          <w:i/>
          <w:iCs/>
        </w:rPr>
        <w:fldChar w:fldCharType="separate"/>
      </w:r>
      <w:r w:rsidR="00093B78" w:rsidRPr="00093B78">
        <w:rPr>
          <w:iCs/>
          <w:noProof/>
        </w:rPr>
        <w:t>(Sunstein &amp; Thaler 2008</w:t>
      </w:r>
      <w:r w:rsidR="00093B78">
        <w:rPr>
          <w:iCs/>
          <w:noProof/>
        </w:rPr>
        <w:t>, 5</w:t>
      </w:r>
      <w:r w:rsidR="00093B78" w:rsidRPr="00093B78">
        <w:rPr>
          <w:iCs/>
          <w:noProof/>
        </w:rPr>
        <w:t>)</w:t>
      </w:r>
      <w:r w:rsidR="00093B78">
        <w:rPr>
          <w:i/>
          <w:iCs/>
        </w:rPr>
        <w:fldChar w:fldCharType="end"/>
      </w:r>
      <w:r w:rsidR="0045036E">
        <w:rPr>
          <w:i/>
          <w:iCs/>
        </w:rPr>
        <w:t xml:space="preserve">. </w:t>
      </w:r>
      <w:r w:rsidR="00093B78">
        <w:t>So</w:t>
      </w:r>
      <w:r w:rsidR="00DB2036">
        <w:t xml:space="preserve"> when</w:t>
      </w:r>
      <w:r w:rsidR="0045036E">
        <w:t xml:space="preserve"> people are nudged to save money or to eat healthier food –</w:t>
      </w:r>
      <w:r w:rsidR="00DB2036">
        <w:t xml:space="preserve"> actions which are in their </w:t>
      </w:r>
      <w:r w:rsidR="009A5CA4">
        <w:t>own rational</w:t>
      </w:r>
      <w:r w:rsidR="00DB2036">
        <w:t xml:space="preserve"> self-interest</w:t>
      </w:r>
      <w:r w:rsidR="009D4194">
        <w:t xml:space="preserve"> – the </w:t>
      </w:r>
      <w:r w:rsidR="0045036E">
        <w:t xml:space="preserve">‘nudgee’ </w:t>
      </w:r>
      <w:r w:rsidR="0019592C">
        <w:t>would</w:t>
      </w:r>
      <w:r w:rsidR="0045036E">
        <w:t xml:space="preserve"> </w:t>
      </w:r>
      <w:r w:rsidR="00DB2036">
        <w:t xml:space="preserve">likely </w:t>
      </w:r>
      <w:r w:rsidR="0045036E">
        <w:t xml:space="preserve">recognise the </w:t>
      </w:r>
      <w:r w:rsidR="00150B31">
        <w:t>acceptability</w:t>
      </w:r>
      <w:r w:rsidR="0045036E">
        <w:t xml:space="preserve"> of the nudge. </w:t>
      </w:r>
      <w:r w:rsidR="00150B31">
        <w:t>I</w:t>
      </w:r>
      <w:r w:rsidR="008D5C64">
        <w:t xml:space="preserve">t follows </w:t>
      </w:r>
      <w:r w:rsidR="009A5CA4">
        <w:t>that</w:t>
      </w:r>
      <w:r w:rsidR="008D5C64">
        <w:t>, i</w:t>
      </w:r>
      <w:r w:rsidR="00150B31">
        <w:t>n terms of</w:t>
      </w:r>
      <w:r w:rsidR="0045036E">
        <w:t xml:space="preserve"> effectiveness, </w:t>
      </w:r>
      <w:r w:rsidR="009A5CA4">
        <w:t xml:space="preserve">individuals are also likely to be more receptive to such </w:t>
      </w:r>
      <w:r w:rsidR="0045036E">
        <w:t>nudges</w:t>
      </w:r>
      <w:r w:rsidR="009A5CA4">
        <w:t>.</w:t>
      </w:r>
      <w:r w:rsidR="0045036E">
        <w:t xml:space="preserve"> </w:t>
      </w:r>
      <w:r w:rsidR="00B51F9E">
        <w:t xml:space="preserve">Indeed, some of the most high-profile nudge are those which have addressed financial prudence, by auto-enrolment  into company pensions, or the US ‘Save More Tomorrow’ scheme </w:t>
      </w:r>
      <w:r w:rsidR="00B51F9E">
        <w:fldChar w:fldCharType="begin" w:fldLock="1"/>
      </w:r>
      <w:r w:rsidR="00CB0271">
        <w:instrText>ADDIN CSL_CITATION { "citationItems" : [ { "id" : "ITEM-1", "itemData" : { "DOI" : "10.1086/380085", "ISBN" : "00223808", "ISSN" : "0022-3808", "PMID" : "4171493", "abstract" : "As firms switch from defined-benefit plans to defined-contribution plans, employees bear more responsibility for making decisions about how much to save. The employees who fail to join the plan or who participate at a very low level appear to be saving at less than the predicted life cycle savings rates. Behavioral explanations for this behavior stress bounded rationality and self-control and suggest that at least some of the low-saving households are making a mistake and would welcome aid in making decisions about their saving. In this paper, we propose such a prescriptive savings program, called Save More Tomorrow? (hereafter, the SMarT program). The essence of the program is straightforward: people commit in advance to allocating a portion of their future salary increases toward retirement savings. We report evidence on the first three implementations of the SMarT program. Our key findings, from the first implementation, which has been in place for four annual raises, are as follows: (1) a high proportion (78 percent) of those offered the plan joined, (2) the vast majority of those enrolled in the SMarT plan (80 percent) remained in it through the fourth pay raise, and (3) the average saving rates for SMarT program participants increased from 3.5 percent to 13.6 percent over the course of 40 months. The results suggest that behavioral economics can be used to design effective prescriptive programs for important economic decisions.", "author" : [ { "dropping-particle" : "", "family" : "Thaler", "given" : "Richard H", "non-dropping-particle" : "", "parse-names" : false, "suffix" : "" }, { "dropping-particle" : "", "family" : "Benartzi", "given" : "Shlomo", "non-dropping-particle" : "", "parse-names" : false, "suffix" : "" } ], "container-title" : "Journal of Political Economy", "id" : "ITEM-1", "issue" : "S1", "issued" : { "date-parts" : [ [ "2004" ] ] }, "page" : "164-187", "title" : "Save More Tomorrow\u2122: Using Behavioral Economics to Increase Employee Saving", "type" : "article-journal", "volume" : "112" }, "uris" : [ "http://www.mendeley.com/documents/?uuid=6f619f6b-b83c-4185-950d-4298c1a294e2" ] }, { "id" : "ITEM-2", "itemData" : { "URL" : "http://www.behaviouralinsights.co.uk/uncategorized/pensions-policy-shows-the-power-of-defaults/", "author" : [ { "dropping-particle" : "", "family" : "Behavioural Insights Team", "given" : "", "non-dropping-particle" : "", "parse-names" : false, "suffix" : "" } ], "id" : "ITEM-2", "issued" : { "date-parts" : [ [ "2013" ] ] }, "title" : "Pensions policy shows the power of defaults", "type" : "webpage" }, "uris" : [ "http://www.mendeley.com/documents/?uuid=08655cfa-403d-4c1a-abff-31962512db47" ] } ], "mendeley" : { "formattedCitation" : "(Thaler &amp; Benartzi 2004; Behavioural Insights Team 2013b)", "plainTextFormattedCitation" : "(Thaler &amp; Benartzi 2004; Behavioural Insights Team 2013b)", "previouslyFormattedCitation" : "(Thaler &amp; Benartzi 2004; Behavioural Insights Team 2013b)" }, "properties" : {  }, "schema" : "https://github.com/citation-style-language/schema/raw/master/csl-citation.json" }</w:instrText>
      </w:r>
      <w:r w:rsidR="00B51F9E">
        <w:fldChar w:fldCharType="separate"/>
      </w:r>
      <w:r w:rsidR="007E1BAC" w:rsidRPr="007E1BAC">
        <w:rPr>
          <w:noProof/>
        </w:rPr>
        <w:t>(Thaler &amp; Benartzi 2004; Behavioural Insights Team 2013b)</w:t>
      </w:r>
      <w:r w:rsidR="00B51F9E">
        <w:fldChar w:fldCharType="end"/>
      </w:r>
      <w:r w:rsidR="00B51F9E">
        <w:t>.</w:t>
      </w:r>
    </w:p>
    <w:p w14:paraId="26CF26DA" w14:textId="0ED1AF13" w:rsidR="005770EF" w:rsidRDefault="0029249B" w:rsidP="004B472D">
      <w:r>
        <w:t>Nudging</w:t>
      </w:r>
      <w:r w:rsidR="0045036E">
        <w:t xml:space="preserve"> becomes more difficult when </w:t>
      </w:r>
      <w:r w:rsidR="009A5CA4">
        <w:t>targeting</w:t>
      </w:r>
      <w:r w:rsidR="0045036E">
        <w:t xml:space="preserve"> pro-social behaviour</w:t>
      </w:r>
      <w:r w:rsidR="009A5CA4">
        <w:t>s</w:t>
      </w:r>
      <w:r w:rsidR="0045036E">
        <w:t xml:space="preserve">, which may </w:t>
      </w:r>
      <w:r w:rsidR="009A5CA4">
        <w:t>benefit</w:t>
      </w:r>
      <w:r>
        <w:t xml:space="preserve"> the ‘common good’</w:t>
      </w:r>
      <w:r w:rsidR="00EC3D99">
        <w:t>,</w:t>
      </w:r>
      <w:r w:rsidR="0045036E">
        <w:t xml:space="preserve"> but where the benefits to the individual are </w:t>
      </w:r>
      <w:r w:rsidR="008D5C64">
        <w:t xml:space="preserve">less </w:t>
      </w:r>
      <w:r w:rsidR="004B472D">
        <w:t>obvious</w:t>
      </w:r>
      <w:r w:rsidR="0045036E">
        <w:t xml:space="preserve">. For example, if an individual can choose </w:t>
      </w:r>
      <w:r w:rsidR="00AD4989">
        <w:t xml:space="preserve">whether </w:t>
      </w:r>
      <w:r w:rsidR="0045036E">
        <w:t xml:space="preserve">to recycle or not, then it may be rational for them to choose not to. Aggregated across society, this ‘rational’ decision may lead to a situation in which no-one contributes to the </w:t>
      </w:r>
      <w:r>
        <w:t>common</w:t>
      </w:r>
      <w:r w:rsidR="009A5CA4">
        <w:t xml:space="preserve"> good, and a ‘tragedy of the commons’</w:t>
      </w:r>
      <w:r w:rsidR="0045036E">
        <w:t xml:space="preserve"> ensues </w:t>
      </w:r>
      <w:r w:rsidR="0045036E">
        <w:fldChar w:fldCharType="begin" w:fldLock="1"/>
      </w:r>
      <w:r w:rsidR="00CB0271">
        <w:instrText>ADDIN CSL_CITATION { "citationItems" : [ { "id" : "ITEM-1", "itemData" : { "author" : [ { "dropping-particle" : "", "family" : "Hardin", "given" : "Garrett", "non-dropping-particle" : "", "parse-names" : false, "suffix" : "" } ], "container-title" : "Science", "id" : "ITEM-1", "issued" : { "date-parts" : [ [ "1968" ] ] }, "page" : "1243\u20131248", "title" : "The tragedy of the commons", "type" : "article-journal", "volume" : "162" }, "uris" : [ "http://www.mendeley.com/documents/?uuid=ef7118c9-b4ed-4dd4-a88b-1812ad551667" ] } ], "mendeley" : { "formattedCitation" : "(Hardin 1968)", "plainTextFormattedCitation" : "(Hardin 1968)", "previouslyFormattedCitation" : "(Hardin 1968)" }, "properties" : {  }, "schema" : "https://github.com/citation-style-language/schema/raw/master/csl-citation.json" }</w:instrText>
      </w:r>
      <w:r w:rsidR="0045036E">
        <w:fldChar w:fldCharType="separate"/>
      </w:r>
      <w:r w:rsidR="0045036E">
        <w:rPr>
          <w:noProof/>
        </w:rPr>
        <w:t>(Hardin 1968)</w:t>
      </w:r>
      <w:r w:rsidR="0045036E">
        <w:fldChar w:fldCharType="end"/>
      </w:r>
      <w:r>
        <w:t xml:space="preserve">. </w:t>
      </w:r>
      <w:r w:rsidR="0045036E">
        <w:t xml:space="preserve">Pro-social nudges therefore attempt to “counterbalance this rational profit-maximizing behaviour in order to avoid overuse or under-provision to public goods” </w:t>
      </w:r>
      <w:r w:rsidR="0045036E">
        <w:fldChar w:fldCharType="begin" w:fldLock="1"/>
      </w:r>
      <w:r w:rsidR="00CB0271">
        <w:instrText>ADDIN CSL_CITATION { "citationItems" : [ { "id" : "ITEM-1", "itemData" : { "DOI" : "10.1007/s13164-015-0263-2", "ISBN" : "1316401502", "ISSN" : "1878-5158", "author" : [ { "dropping-particle" : "", "family" : "Hagman", "given" : "William", "non-dropping-particle" : "", "parse-names" : false, "suffix" : "" }, { "dropping-particle" : "", "family" : "Andersson", "given" : "David", "non-dropping-particle" : "", "parse-names" : false, "suffix" : "" }, { "dropping-particle" : "", "family" : "V\u00e4stfj\u00e4ll", "given" : "Daniel", "non-dropping-particle" : "", "parse-names" : false, "suffix" : "" }, { "dropping-particle" : "", "family" : "Tingh\u00f6g", "given" : "Gustav", "non-dropping-particle" : "", "parse-names" : false, "suffix" : "" } ], "container-title" : "Review of Philosophy and Psychology", "id" : "ITEM-1", "issued" : { "date-parts" : [ [ "2015" ] ] }, "page" : "439-453", "title" : "Public Views on Policies Involving Nudges", "type" : "article-journal" }, "uris" : [ "http://www.mendeley.com/documents/?uuid=6cd9b60d-3c49-49d4-a62c-2055098127d4" ] } ], "mendeley" : { "formattedCitation" : "(Hagman et al. 2015)", "manualFormatting" : "(Hagman et al. 2015, 442)", "plainTextFormattedCitation" : "(Hagman et al. 2015)", "previouslyFormattedCitation" : "(Hagman et al. 2015)" }, "properties" : {  }, "schema" : "https://github.com/citation-style-language/schema/raw/master/csl-citation.json" }</w:instrText>
      </w:r>
      <w:r w:rsidR="0045036E">
        <w:fldChar w:fldCharType="separate"/>
      </w:r>
      <w:r w:rsidR="0045036E">
        <w:rPr>
          <w:noProof/>
        </w:rPr>
        <w:t>(Hagman et al. 2015, 442)</w:t>
      </w:r>
      <w:r w:rsidR="0045036E">
        <w:fldChar w:fldCharType="end"/>
      </w:r>
      <w:r w:rsidR="00EC3D99">
        <w:t>.</w:t>
      </w:r>
      <w:r w:rsidR="00412F04">
        <w:t xml:space="preserve"> </w:t>
      </w:r>
      <w:r w:rsidR="005770EF">
        <w:t>It is</w:t>
      </w:r>
      <w:r w:rsidR="00412F04">
        <w:t xml:space="preserve"> </w:t>
      </w:r>
      <w:r w:rsidR="005770EF">
        <w:t xml:space="preserve">worth noting that while </w:t>
      </w:r>
      <w:r w:rsidR="00412F04">
        <w:t>this</w:t>
      </w:r>
      <w:r w:rsidR="005770EF">
        <w:t xml:space="preserve"> pro-self/social distinction is useful, </w:t>
      </w:r>
      <w:r w:rsidR="009D4194">
        <w:t>it</w:t>
      </w:r>
      <w:r w:rsidR="005770EF">
        <w:t xml:space="preserve"> is not entirely clear-cut. Pro-social acts</w:t>
      </w:r>
      <w:r w:rsidR="004B472D">
        <w:t>, like donating blood,</w:t>
      </w:r>
      <w:r w:rsidR="005770EF">
        <w:t xml:space="preserve"> might carry</w:t>
      </w:r>
      <w:r w:rsidR="004B472D">
        <w:t xml:space="preserve"> psychological ‘warm-glow’</w:t>
      </w:r>
      <w:r w:rsidR="005770EF">
        <w:t xml:space="preserve"> benefits to the individual.</w:t>
      </w:r>
      <w:r w:rsidR="005770EF" w:rsidRPr="005770EF">
        <w:t xml:space="preserve"> </w:t>
      </w:r>
      <w:r w:rsidR="000675CE">
        <w:t>Likewise, pro-self behaviours</w:t>
      </w:r>
      <w:r w:rsidR="004B472D">
        <w:t>, like saving domestic energy</w:t>
      </w:r>
      <w:r w:rsidR="00C33F66">
        <w:t xml:space="preserve"> and hence cost</w:t>
      </w:r>
      <w:r w:rsidR="004B472D">
        <w:t>,</w:t>
      </w:r>
      <w:r w:rsidR="000675CE">
        <w:t xml:space="preserve"> </w:t>
      </w:r>
      <w:r w:rsidR="005770EF">
        <w:t>create aggregate be</w:t>
      </w:r>
      <w:r w:rsidR="000675CE">
        <w:t>nefits for society and the stat</w:t>
      </w:r>
      <w:r w:rsidR="00903090">
        <w:t>e</w:t>
      </w:r>
      <w:r w:rsidR="000675CE">
        <w:t xml:space="preserve">. </w:t>
      </w:r>
      <w:r w:rsidR="005770EF">
        <w:t>We might therefore consider the pro-self/pro-social distinction to be a categorical heuristic rather than a definitive cleavage. In this paper</w:t>
      </w:r>
      <w:r w:rsidR="00A7410A">
        <w:t xml:space="preserve">, </w:t>
      </w:r>
      <w:r w:rsidR="005770EF">
        <w:t xml:space="preserve">acts which are </w:t>
      </w:r>
      <w:r w:rsidR="005770EF">
        <w:rPr>
          <w:i/>
        </w:rPr>
        <w:t>primarily</w:t>
      </w:r>
      <w:r w:rsidR="005770EF">
        <w:t xml:space="preserve"> about enhancing benefits to the individual </w:t>
      </w:r>
      <w:r w:rsidR="00A7410A">
        <w:t xml:space="preserve">are considered </w:t>
      </w:r>
      <w:r w:rsidR="005770EF">
        <w:t xml:space="preserve">pro-self. Those which are </w:t>
      </w:r>
      <w:r w:rsidR="005770EF">
        <w:rPr>
          <w:i/>
        </w:rPr>
        <w:t>primarily</w:t>
      </w:r>
      <w:r w:rsidR="005770EF">
        <w:t xml:space="preserve"> about enhancing benefits to public goods or responses to collective action problems are considered pro-social.</w:t>
      </w:r>
    </w:p>
    <w:p w14:paraId="2C6F381F" w14:textId="28A8CC03" w:rsidR="005076B4" w:rsidRDefault="005076B4" w:rsidP="000E4830">
      <w:r>
        <w:rPr>
          <w:rFonts w:eastAsia="Malgun Gothic"/>
        </w:rPr>
        <w:t xml:space="preserve">Another distinction can be drawn between system 1 and system 2 nudges. System 1 nudges appeal to our </w:t>
      </w:r>
      <w:r w:rsidR="00B65610">
        <w:rPr>
          <w:rFonts w:eastAsia="Malgun Gothic"/>
        </w:rPr>
        <w:t xml:space="preserve">automatic, </w:t>
      </w:r>
      <w:r>
        <w:rPr>
          <w:rFonts w:eastAsia="Malgun Gothic"/>
        </w:rPr>
        <w:t xml:space="preserve">‘fast’ </w:t>
      </w:r>
      <w:r w:rsidR="00B65610">
        <w:rPr>
          <w:rFonts w:eastAsia="Malgun Gothic"/>
        </w:rPr>
        <w:t xml:space="preserve">or </w:t>
      </w:r>
      <w:r>
        <w:rPr>
          <w:rFonts w:eastAsia="Malgun Gothic"/>
        </w:rPr>
        <w:t>intuitive mode of thinking</w:t>
      </w:r>
      <w:r w:rsidR="00B65610">
        <w:rPr>
          <w:rFonts w:eastAsia="Malgun Gothic"/>
        </w:rPr>
        <w:t>. E</w:t>
      </w:r>
      <w:r>
        <w:rPr>
          <w:rFonts w:eastAsia="Malgun Gothic"/>
        </w:rPr>
        <w:t>xamples might include default-switches in online forms, changes in road signs, or the physical design of buildings. They are ‘non-educative’, and work by ‘exploiting’ the bounded rationality of system 1</w:t>
      </w:r>
      <w:r w:rsidR="00C33F66">
        <w:rPr>
          <w:rFonts w:eastAsia="Malgun Gothic"/>
        </w:rPr>
        <w:t xml:space="preserve"> decisions</w:t>
      </w:r>
      <w:r>
        <w:rPr>
          <w:rFonts w:eastAsia="Malgun Gothic"/>
        </w:rPr>
        <w:t xml:space="preserve"> </w:t>
      </w:r>
      <w:r>
        <w:rPr>
          <w:rFonts w:eastAsia="Malgun Gothic"/>
        </w:rPr>
        <w:fldChar w:fldCharType="begin" w:fldLock="1"/>
      </w:r>
      <w:r w:rsidR="00CB0271">
        <w:rPr>
          <w:rFonts w:eastAsia="Malgun Gothic"/>
        </w:rPr>
        <w:instrText>ADDIN CSL_CITATION { "citationItems" : [ { "id" : "ITEM-1", "itemData" : { "DOI" : "10.1017/CBO9781107415324.004", "ISBN" : "9788578110796", "ISSN" : "1098-6596", "PMID" : "25246403", "author" : [ { "dropping-particle" : "", "family" : "Sunstein", "given" : "Cass R.", "non-dropping-particle" : "", "parse-names" : false, "suffix" : "" } ], "container-title" : "Duke Law Journal", "id" : "ITEM-1", "issued" : { "date-parts" : [ [ "2016" ] ] }, "page" : "1-36", "title" : "People Prefer System 2 Nudges (Kind Of)", "type" : "article-journal", "volume" : "66" }, "uris" : [ "http://www.mendeley.com/documents/?uuid=2778626c-7994-4b17-8fcc-a2f54540ac2d" ] } ], "mendeley" : { "formattedCitation" : "(Sunstein 2016b)", "manualFormatting" : "(Sunstein 2016, 6)", "plainTextFormattedCitation" : "(Sunstein 2016b)", "previouslyFormattedCitation" : "(Sunstein 2016b)" }, "properties" : {  }, "schema" : "https://github.com/citation-style-language/schema/raw/master/csl-citation.json" }</w:instrText>
      </w:r>
      <w:r>
        <w:rPr>
          <w:rFonts w:eastAsia="Malgun Gothic"/>
        </w:rPr>
        <w:fldChar w:fldCharType="separate"/>
      </w:r>
      <w:r>
        <w:rPr>
          <w:rFonts w:eastAsia="Malgun Gothic"/>
          <w:noProof/>
        </w:rPr>
        <w:t>(Sunstein 2016, 6)</w:t>
      </w:r>
      <w:r>
        <w:rPr>
          <w:rFonts w:eastAsia="Malgun Gothic"/>
        </w:rPr>
        <w:fldChar w:fldCharType="end"/>
      </w:r>
      <w:r>
        <w:rPr>
          <w:rFonts w:eastAsia="Malgun Gothic"/>
        </w:rPr>
        <w:t xml:space="preserve">. The way an individual reacts to these kinds </w:t>
      </w:r>
      <w:r w:rsidR="00903090">
        <w:rPr>
          <w:rFonts w:eastAsia="Malgun Gothic"/>
        </w:rPr>
        <w:t>of nudges is likely to be fast</w:t>
      </w:r>
      <w:r>
        <w:rPr>
          <w:rFonts w:eastAsia="Malgun Gothic"/>
        </w:rPr>
        <w:t xml:space="preserve">, unreflective and possibly even unconscious. System 2 nudges appeal to our ‘slow’ </w:t>
      </w:r>
      <w:r w:rsidR="00B65610">
        <w:rPr>
          <w:rFonts w:eastAsia="Malgun Gothic"/>
        </w:rPr>
        <w:t xml:space="preserve">reflexive or </w:t>
      </w:r>
      <w:r>
        <w:rPr>
          <w:rFonts w:eastAsia="Malgun Gothic"/>
        </w:rPr>
        <w:t xml:space="preserve">deliberative mode of thinking, </w:t>
      </w:r>
      <w:r w:rsidR="00B65610">
        <w:rPr>
          <w:rFonts w:eastAsia="Malgun Gothic"/>
        </w:rPr>
        <w:t xml:space="preserve">and </w:t>
      </w:r>
      <w:r>
        <w:rPr>
          <w:rFonts w:eastAsia="Malgun Gothic"/>
        </w:rPr>
        <w:t xml:space="preserve">usually involve </w:t>
      </w:r>
      <w:r w:rsidR="00B65610">
        <w:rPr>
          <w:rFonts w:eastAsia="Malgun Gothic"/>
        </w:rPr>
        <w:t>providing</w:t>
      </w:r>
      <w:r>
        <w:rPr>
          <w:rFonts w:eastAsia="Malgun Gothic"/>
        </w:rPr>
        <w:t xml:space="preserve"> information and asking </w:t>
      </w:r>
      <w:r w:rsidR="00B65610">
        <w:rPr>
          <w:rFonts w:eastAsia="Malgun Gothic"/>
        </w:rPr>
        <w:t xml:space="preserve">people </w:t>
      </w:r>
      <w:r>
        <w:rPr>
          <w:rFonts w:eastAsia="Malgun Gothic"/>
        </w:rPr>
        <w:t xml:space="preserve">to process it </w:t>
      </w:r>
      <w:r w:rsidR="000E4830">
        <w:rPr>
          <w:rFonts w:eastAsia="Malgun Gothic"/>
          <w:noProof/>
        </w:rPr>
        <w:t xml:space="preserve">(Sunstein 2016, </w:t>
      </w:r>
      <w:r>
        <w:rPr>
          <w:rFonts w:eastAsia="Malgun Gothic"/>
        </w:rPr>
        <w:t>5).</w:t>
      </w:r>
      <w:r w:rsidRPr="005076B4">
        <w:rPr>
          <w:rFonts w:eastAsia="Malgun Gothic"/>
        </w:rPr>
        <w:t xml:space="preserve"> </w:t>
      </w:r>
      <w:r w:rsidR="002F2543">
        <w:rPr>
          <w:rFonts w:eastAsia="Malgun Gothic"/>
        </w:rPr>
        <w:t xml:space="preserve">This paper combines a </w:t>
      </w:r>
      <w:r w:rsidR="00FB6E5E">
        <w:rPr>
          <w:rFonts w:eastAsia="Malgun Gothic"/>
        </w:rPr>
        <w:t>pro-social/</w:t>
      </w:r>
      <w:r w:rsidR="002F2543">
        <w:rPr>
          <w:rFonts w:eastAsia="Malgun Gothic"/>
        </w:rPr>
        <w:t xml:space="preserve">system 2 nudge. Alternatively, </w:t>
      </w:r>
      <w:r>
        <w:rPr>
          <w:rFonts w:eastAsia="Malgun Gothic"/>
        </w:rPr>
        <w:t xml:space="preserve">‘Save More Tomorrow’ and auto-enrolment in pensions would be </w:t>
      </w:r>
      <w:r w:rsidR="00903090">
        <w:rPr>
          <w:rFonts w:eastAsia="Malgun Gothic"/>
        </w:rPr>
        <w:t>pro-self</w:t>
      </w:r>
      <w:r w:rsidR="005E5C7B">
        <w:rPr>
          <w:rFonts w:eastAsia="Malgun Gothic"/>
        </w:rPr>
        <w:t>/</w:t>
      </w:r>
      <w:r>
        <w:rPr>
          <w:rFonts w:eastAsia="Malgun Gothic"/>
        </w:rPr>
        <w:t xml:space="preserve">system 1 nudges. </w:t>
      </w:r>
      <w:r w:rsidR="00113CFF">
        <w:rPr>
          <w:rFonts w:eastAsia="Malgun Gothic"/>
        </w:rPr>
        <w:t>Pro-self</w:t>
      </w:r>
      <w:r w:rsidR="00FB6E5E">
        <w:rPr>
          <w:rFonts w:eastAsia="Malgun Gothic"/>
        </w:rPr>
        <w:t>/</w:t>
      </w:r>
      <w:r w:rsidR="00113CFF">
        <w:rPr>
          <w:rFonts w:eastAsia="Malgun Gothic"/>
        </w:rPr>
        <w:t>s</w:t>
      </w:r>
      <w:r>
        <w:rPr>
          <w:rFonts w:eastAsia="Malgun Gothic"/>
        </w:rPr>
        <w:t xml:space="preserve">ystem 2 nudges might include providing </w:t>
      </w:r>
      <w:r>
        <w:rPr>
          <w:rFonts w:eastAsia="Malgun Gothic"/>
          <w:lang w:eastAsia="ko-KR"/>
        </w:rPr>
        <w:t xml:space="preserve">personalised cost information to promote switching between healthcare insurance plans </w:t>
      </w:r>
      <w:r w:rsidR="005E5C7B">
        <w:rPr>
          <w:rFonts w:eastAsia="Malgun Gothic"/>
          <w:lang w:eastAsia="ko-KR"/>
        </w:rPr>
        <w:t xml:space="preserve">for </w:t>
      </w:r>
      <w:r w:rsidR="00113CFF">
        <w:rPr>
          <w:rFonts w:eastAsia="Malgun Gothic"/>
          <w:lang w:eastAsia="ko-KR"/>
        </w:rPr>
        <w:t xml:space="preserve">the elderly </w:t>
      </w:r>
      <w:r w:rsidR="00113CFF">
        <w:rPr>
          <w:rFonts w:eastAsia="Malgun Gothic"/>
          <w:lang w:eastAsia="ko-KR"/>
        </w:rPr>
        <w:fldChar w:fldCharType="begin" w:fldLock="1"/>
      </w:r>
      <w:r w:rsidR="00CB0271">
        <w:rPr>
          <w:rFonts w:eastAsia="Malgun Gothic"/>
          <w:lang w:eastAsia="ko-KR"/>
        </w:rPr>
        <w:instrText>ADDIN CSL_CITATION { "citationItems" : [ { "id" : "ITEM-1", "itemData" : { "DOI" : "10.1093/qje/qjr055", "ISBN" : "9780874216561", "ISSN" : "00335533", "PMID" : "22454838", "abstract" : "Consumers need information to compare alternatives for markets to function efficiently. Recognizing this, public policies often pair competition with easy access to comparative information. The implicit assumption is that comparison friction\u2014the wedge between the availability of comparative information and consumers\u2019 use of it\u2014is inconsequential because information is readily available and consumers will access this information and make effective choices. We examine the extent of comparison friction in the market for Medicare Part D prescription drug plans in the United States. In a randomized field experiment, an intervention group received a letter with personalized cost information. That information was readily available for free and widely advertised. However, this additional step\u2014providing the information rather than having consumers actively access it\u2014had an impact. Plan switching was 28 percent in the intervention group, versus 17 percent in the comparison group, and the intervention caused an average decline in predicted consumer cost of about $100 per year among letter recipients\u2014roughly 5 percent of the cost in the comparison group. Our results suggest that comparison friction can be large even when the cost of acquiring information is small, and may be relevant for a wide range of public policies that incorporate consumer choice.", "author" : [ { "dropping-particle" : "", "family" : "Kling", "given" : "Jeffrey R.", "non-dropping-particle" : "", "parse-names" : false, "suffix" : "" }, { "dropping-particle" : "", "family" : "Mullainathan", "given" : "Sendhil", "non-dropping-particle" : "", "parse-names" : false, "suffix" : "" }, { "dropping-particle" : "", "family" : "Shafir", "given" : "Eldar", "non-dropping-particle" : "", "parse-names" : false, "suffix" : "" }, { "dropping-particle" : "", "family" : "Vermeulen", "given" : "Lee C.", "non-dropping-particle" : "", "parse-names" : false, "suffix" : "" }, { "dropping-particle" : "V.", "family" : "Wrobel", "given" : "Marian", "non-dropping-particle" : "", "parse-names" : false, "suffix" : "" } ], "container-title" : "Quarterly Journal of Economics", "id" : "ITEM-1", "issue" : "1", "issued" : { "date-parts" : [ [ "2012" ] ] }, "page" : "199-235", "title" : "Comparison friction: Experimental evidence from medicare drug plans", "type" : "article-journal", "volume" : "127" }, "uris" : [ "http://www.mendeley.com/documents/?uuid=94b5ccc2-96cb-45ab-a210-0ff9677ecd68" ] } ], "mendeley" : { "formattedCitation" : "(Kling et al. 2012)", "plainTextFormattedCitation" : "(Kling et al. 2012)", "previouslyFormattedCitation" : "(Kling et al. 2012)" }, "properties" : {  }, "schema" : "https://github.com/citation-style-language/schema/raw/master/csl-citation.json" }</w:instrText>
      </w:r>
      <w:r w:rsidR="00113CFF">
        <w:rPr>
          <w:rFonts w:eastAsia="Malgun Gothic"/>
          <w:lang w:eastAsia="ko-KR"/>
        </w:rPr>
        <w:fldChar w:fldCharType="separate"/>
      </w:r>
      <w:r w:rsidR="00113CFF" w:rsidRPr="00113CFF">
        <w:rPr>
          <w:rFonts w:eastAsia="Malgun Gothic"/>
          <w:noProof/>
          <w:lang w:eastAsia="ko-KR"/>
        </w:rPr>
        <w:t>(Kling et al. 2012)</w:t>
      </w:r>
      <w:r w:rsidR="00113CFF">
        <w:rPr>
          <w:rFonts w:eastAsia="Malgun Gothic"/>
          <w:lang w:eastAsia="ko-KR"/>
        </w:rPr>
        <w:fldChar w:fldCharType="end"/>
      </w:r>
      <w:r w:rsidR="00113CFF">
        <w:rPr>
          <w:rFonts w:eastAsia="Malgun Gothic"/>
          <w:lang w:eastAsia="ko-KR"/>
        </w:rPr>
        <w:t xml:space="preserve">, or </w:t>
      </w:r>
      <w:r w:rsidR="00FB6E5E">
        <w:rPr>
          <w:rFonts w:eastAsia="Malgun Gothic"/>
          <w:lang w:eastAsia="ko-KR"/>
        </w:rPr>
        <w:t>providing</w:t>
      </w:r>
      <w:r w:rsidR="00113CFF">
        <w:rPr>
          <w:rFonts w:eastAsia="Malgun Gothic"/>
          <w:lang w:eastAsia="ko-KR"/>
        </w:rPr>
        <w:t xml:space="preserve"> testimonial information to encourage potential army recruits in the UK to </w:t>
      </w:r>
      <w:r w:rsidR="00903090">
        <w:rPr>
          <w:rFonts w:eastAsia="Malgun Gothic"/>
          <w:lang w:eastAsia="ko-KR"/>
        </w:rPr>
        <w:t>sign up</w:t>
      </w:r>
      <w:r w:rsidR="00113CFF">
        <w:rPr>
          <w:rFonts w:eastAsia="Malgun Gothic"/>
          <w:lang w:eastAsia="ko-KR"/>
        </w:rPr>
        <w:t xml:space="preserve"> </w:t>
      </w:r>
      <w:r w:rsidR="00113CFF">
        <w:rPr>
          <w:rFonts w:eastAsia="Malgun Gothic"/>
          <w:lang w:eastAsia="ko-KR"/>
        </w:rPr>
        <w:fldChar w:fldCharType="begin" w:fldLock="1"/>
      </w:r>
      <w:r w:rsidR="00CB0271">
        <w:rPr>
          <w:rFonts w:eastAsia="Malgun Gothic"/>
          <w:lang w:eastAsia="ko-KR"/>
        </w:rPr>
        <w:instrText>ADDIN CSL_CITATION { "citationItems" : [ { "id" : "ITEM-1", "itemData" : { "author" : [ { "dropping-particle" : "", "family" : "Behavioural Insights Team", "given" : "", "non-dropping-particle" : "", "parse-names" : false, "suffix" : "" } ], "id" : "ITEM-1", "issued" : { "date-parts" : [ [ "2015" ] ] }, "title" : "The Behavioural Insights Team Update report 2013-2015", "type" : "report" }, "uris" : [ "http://www.mendeley.com/documents/?uuid=b3ddb65a-630c-4bbf-88f8-ace4237ac049" ] } ], "mendeley" : { "formattedCitation" : "(Behavioural Insights Team 2015)", "plainTextFormattedCitation" : "(Behavioural Insights Team 2015)", "previouslyFormattedCitation" : "(Behavioural Insights Team 2015)" }, "properties" : {  }, "schema" : "https://github.com/citation-style-language/schema/raw/master/csl-citation.json" }</w:instrText>
      </w:r>
      <w:r w:rsidR="00113CFF">
        <w:rPr>
          <w:rFonts w:eastAsia="Malgun Gothic"/>
          <w:lang w:eastAsia="ko-KR"/>
        </w:rPr>
        <w:fldChar w:fldCharType="separate"/>
      </w:r>
      <w:r w:rsidR="00113CFF" w:rsidRPr="00113CFF">
        <w:rPr>
          <w:rFonts w:eastAsia="Malgun Gothic"/>
          <w:noProof/>
          <w:lang w:eastAsia="ko-KR"/>
        </w:rPr>
        <w:t>(Behavioural Insights Team 2015)</w:t>
      </w:r>
      <w:r w:rsidR="00113CFF">
        <w:rPr>
          <w:rFonts w:eastAsia="Malgun Gothic"/>
          <w:lang w:eastAsia="ko-KR"/>
        </w:rPr>
        <w:fldChar w:fldCharType="end"/>
      </w:r>
      <w:r w:rsidR="00412F04">
        <w:rPr>
          <w:rFonts w:eastAsia="Malgun Gothic"/>
          <w:lang w:eastAsia="ko-KR"/>
        </w:rPr>
        <w:t>.</w:t>
      </w:r>
    </w:p>
    <w:p w14:paraId="77DC8944" w14:textId="22EFBE04" w:rsidR="00DC54B6" w:rsidRDefault="007E1BAC" w:rsidP="004C74E2">
      <w:r>
        <w:t>There are also e</w:t>
      </w:r>
      <w:r w:rsidR="000675CE">
        <w:t>xamples of pro-social system 1 nudges</w:t>
      </w:r>
      <w:r>
        <w:t xml:space="preserve">, </w:t>
      </w:r>
      <w:r w:rsidR="00CF19E5">
        <w:t>including</w:t>
      </w:r>
      <w:r w:rsidR="000675CE">
        <w:t xml:space="preserve"> providing ‘smiley faces’ for households who </w:t>
      </w:r>
      <w:r>
        <w:t>reduce food waste</w:t>
      </w:r>
      <w:r w:rsidR="000675CE">
        <w:t xml:space="preserve"> more than the local average </w:t>
      </w:r>
      <w:r>
        <w:fldChar w:fldCharType="begin" w:fldLock="1"/>
      </w:r>
      <w:r w:rsidR="00CB0271">
        <w:instrText>ADDIN CSL_CITATION { "citationItems" : [ { "id" : "ITEM-1", "itemData" : { "author" : [ { "dropping-particle" : "", "family" : "Nomura", "given" : "Hisako", "non-dropping-particle" : "", "parse-names" : false, "suffix" : "" }, { "dropping-particle" : "", "family" : "John", "given" : "Peter", "non-dropping-particle" : "", "parse-names" : false, "suffix" : "" }, { "dropping-particle" : "", "family" : "Cotterill", "given" : "Sarah", "non-dropping-particle" : "", "parse-names" : false, "suffix" : "" } ], "id" : "ITEM-1", "issue" : "0", "issued" : { "date-parts" : [ [ "2011" ] ] }, "number-of-pages" : "1-40", "title" : "The Use of Feedback to Enhance Environmental Outcomes: A Randomized Controlled Trial of a Food Waste Scheme", "type" : "report", "volume" : "81" }, "uris" : [ "http://www.mendeley.com/documents/?uuid=eb6bf6f7-40da-4bb1-a25e-3c047ec64923" ] } ], "mendeley" : { "formattedCitation" : "(Nomura et al. 2011)", "plainTextFormattedCitation" : "(Nomura et al. 2011)", "previouslyFormattedCitation" : "(Nomura et al. 2011)" }, "properties" : {  }, "schema" : "https://github.com/citation-style-language/schema/raw/master/csl-citation.json" }</w:instrText>
      </w:r>
      <w:r>
        <w:fldChar w:fldCharType="separate"/>
      </w:r>
      <w:r w:rsidRPr="007E1BAC">
        <w:rPr>
          <w:noProof/>
        </w:rPr>
        <w:t>(Nomura et al. 2011)</w:t>
      </w:r>
      <w:r>
        <w:fldChar w:fldCharType="end"/>
      </w:r>
      <w:r>
        <w:t xml:space="preserve">, </w:t>
      </w:r>
      <w:r w:rsidR="002F2543">
        <w:t xml:space="preserve">or </w:t>
      </w:r>
      <w:r>
        <w:t>making deducting charitable donations</w:t>
      </w:r>
      <w:r w:rsidRPr="007E1BAC">
        <w:t xml:space="preserve"> from payroll </w:t>
      </w:r>
      <w:r>
        <w:t xml:space="preserve">the </w:t>
      </w:r>
      <w:r w:rsidRPr="007E1BAC">
        <w:t>default</w:t>
      </w:r>
      <w:r>
        <w:t xml:space="preserve"> setting </w:t>
      </w:r>
      <w:r>
        <w:fldChar w:fldCharType="begin" w:fldLock="1"/>
      </w:r>
      <w:r w:rsidR="00CB0271">
        <w:instrText>ADDIN CSL_CITATION { "citationItems" : [ { "id" : "ITEM-1", "itemData" : { "author" : [ { "dropping-particle" : "", "family" : "Behavioural Insights Team", "given" : "", "non-dropping-particle" : "", "parse-names" : false, "suffix" : "" } ], "id" : "ITEM-1", "issued" : { "date-parts" : [ [ "2013" ] ] }, "title" : "Applying behavioural insights to charitable giving", "type" : "report" }, "uris" : [ "http://www.mendeley.com/documents/?uuid=bf8d2e86-eeaa-4922-a843-68039fa418b5" ] } ], "mendeley" : { "formattedCitation" : "(Behavioural Insights Team 2013a)", "plainTextFormattedCitation" : "(Behavioural Insights Team 2013a)", "previouslyFormattedCitation" : "(Behavioural Insights Team 2013a)" }, "properties" : {  }, "schema" : "https://github.com/citation-style-language/schema/raw/master/csl-citation.json" }</w:instrText>
      </w:r>
      <w:r>
        <w:fldChar w:fldCharType="separate"/>
      </w:r>
      <w:r w:rsidRPr="007E1BAC">
        <w:rPr>
          <w:noProof/>
        </w:rPr>
        <w:t>(Behavioural Insights Team 2013a)</w:t>
      </w:r>
      <w:r>
        <w:fldChar w:fldCharType="end"/>
      </w:r>
      <w:r>
        <w:t>.</w:t>
      </w:r>
      <w:r w:rsidR="000675CE">
        <w:t xml:space="preserve"> </w:t>
      </w:r>
      <w:r w:rsidR="007954C3">
        <w:t>Pro-social system 2 nudge</w:t>
      </w:r>
      <w:r w:rsidR="00A328BF">
        <w:t>s</w:t>
      </w:r>
      <w:r w:rsidR="00CF19E5">
        <w:t xml:space="preserve"> are less numerous, but</w:t>
      </w:r>
      <w:r w:rsidR="00A328BF">
        <w:t xml:space="preserve"> include the use of detailed information to encourage charitable giving, or encouraging voter turnout </w:t>
      </w:r>
      <w:r w:rsidR="004C74E2">
        <w:t>using</w:t>
      </w:r>
      <w:r w:rsidR="00A328BF">
        <w:t xml:space="preserve"> targeted conversations </w:t>
      </w:r>
      <w:r w:rsidR="00A328BF">
        <w:fldChar w:fldCharType="begin" w:fldLock="1"/>
      </w:r>
      <w:r w:rsidR="00CB0271">
        <w:instrText>ADDIN CSL_CITATION { "citationItems" : [ { "id" : "ITEM-1", "itemData" : { "author" : [ { "dropping-particle" : "", "family" : "John", "given" : "Peter", "non-dropping-particle" : "", "parse-names" : false, "suffix" : "" }, { "dropping-particle" : "", "family" : "Cotterill", "given" : "Sarah", "non-dropping-particle" : "", "parse-names" : false, "suffix" : "" }, { "dropping-particle" : "", "family" : "Moseley", "given" : "Alice", "non-dropping-particle" : "", "parse-names" : false, "suffix" : "" }, { "dropping-particle" : "", "family" : "Richardson", "given" : "Liz", "non-dropping-particle" : "", "parse-names" : false, "suffix" : "" }, { "dropping-particle" : "", "family" : "Smith", "given" : "Graham", "non-dropping-particle" : "", "parse-names" : false, "suffix" : "" }, { "dropping-particle" : "", "family" : "Gerry", "given" : "Stoker", "non-dropping-particle" : "", "parse-names" : false, "suffix" : "" }, { "dropping-particle" : "", "family" : "Corinne", "given" : "Wales", "non-dropping-particle" : "", "parse-names" : false, "suffix" : "" } ], "id" : "ITEM-1", "issued" : { "date-parts" : [ [ "2011" ] ] }, "publisher" : "Bloomsbury Academic", "publisher-place" : "London", "title" : "Nudge, nudge, think, think : experimenting with ways to change civic behaviour", "type" : "book" }, "uris" : [ "http://www.mendeley.com/documents/?uuid=07c9f778-caf5-44fa-8cfe-805bde6b6696" ] } ], "mendeley" : { "formattedCitation" : "(John et al. 2011)", "plainTextFormattedCitation" : "(John et al. 2011)", "previouslyFormattedCitation" : "(John et al. 2011)" }, "properties" : {  }, "schema" : "https://github.com/citation-style-language/schema/raw/master/csl-citation.json" }</w:instrText>
      </w:r>
      <w:r w:rsidR="00A328BF">
        <w:fldChar w:fldCharType="separate"/>
      </w:r>
      <w:r w:rsidR="00A328BF" w:rsidRPr="00A328BF">
        <w:rPr>
          <w:noProof/>
        </w:rPr>
        <w:t>(John et al. 2011)</w:t>
      </w:r>
      <w:r w:rsidR="00A328BF">
        <w:fldChar w:fldCharType="end"/>
      </w:r>
      <w:r w:rsidR="00A328BF">
        <w:t>.</w:t>
      </w:r>
    </w:p>
    <w:p w14:paraId="32248E43" w14:textId="481155E1" w:rsidR="002F2543" w:rsidRDefault="00DC54B6" w:rsidP="005A2E22">
      <w:pPr>
        <w:rPr>
          <w:rFonts w:eastAsia="Malgun Gothic"/>
          <w:lang w:eastAsia="ko-KR"/>
        </w:rPr>
      </w:pPr>
      <w:r>
        <w:rPr>
          <w:rFonts w:eastAsia="Malgun Gothic"/>
          <w:lang w:eastAsia="ko-KR"/>
        </w:rPr>
        <w:t>In terms of ethics</w:t>
      </w:r>
      <w:r w:rsidR="00CE4FF0">
        <w:rPr>
          <w:rFonts w:eastAsia="Malgun Gothic"/>
          <w:lang w:eastAsia="ko-KR"/>
        </w:rPr>
        <w:t>,</w:t>
      </w:r>
      <w:r>
        <w:rPr>
          <w:rFonts w:eastAsia="Malgun Gothic"/>
          <w:lang w:eastAsia="ko-KR"/>
        </w:rPr>
        <w:t xml:space="preserve"> defaults and other system 1 nudges are </w:t>
      </w:r>
      <w:r w:rsidR="00CF19E5">
        <w:rPr>
          <w:rFonts w:eastAsia="Malgun Gothic"/>
          <w:lang w:eastAsia="ko-KR"/>
        </w:rPr>
        <w:t>‘</w:t>
      </w:r>
      <w:r>
        <w:rPr>
          <w:rFonts w:eastAsia="Malgun Gothic"/>
          <w:lang w:eastAsia="ko-KR"/>
        </w:rPr>
        <w:t>strong</w:t>
      </w:r>
      <w:r w:rsidR="00CF19E5">
        <w:rPr>
          <w:rFonts w:eastAsia="Malgun Gothic"/>
          <w:lang w:eastAsia="ko-KR"/>
        </w:rPr>
        <w:t>’</w:t>
      </w:r>
      <w:r>
        <w:rPr>
          <w:rFonts w:eastAsia="Malgun Gothic"/>
          <w:lang w:eastAsia="ko-KR"/>
        </w:rPr>
        <w:t xml:space="preserve"> and often effective, </w:t>
      </w:r>
      <w:r w:rsidR="00CE4FF0">
        <w:rPr>
          <w:rFonts w:eastAsia="Malgun Gothic"/>
          <w:lang w:eastAsia="ko-KR"/>
        </w:rPr>
        <w:t xml:space="preserve">so </w:t>
      </w:r>
      <w:r>
        <w:rPr>
          <w:rFonts w:eastAsia="Malgun Gothic"/>
          <w:lang w:eastAsia="ko-KR"/>
        </w:rPr>
        <w:t>using them is there</w:t>
      </w:r>
      <w:r w:rsidR="00CE4FF0">
        <w:rPr>
          <w:rFonts w:eastAsia="Malgun Gothic"/>
          <w:lang w:eastAsia="ko-KR"/>
        </w:rPr>
        <w:t>fore more ethically problematic</w:t>
      </w:r>
      <w:r>
        <w:rPr>
          <w:rFonts w:eastAsia="Malgun Gothic"/>
          <w:lang w:eastAsia="ko-KR"/>
        </w:rPr>
        <w:t xml:space="preserve"> because some people may accidentally be nudged against their own wishes </w:t>
      </w:r>
      <w:r>
        <w:rPr>
          <w:rFonts w:eastAsia="Malgun Gothic"/>
          <w:lang w:eastAsia="ko-KR"/>
        </w:rPr>
        <w:fldChar w:fldCharType="begin" w:fldLock="1"/>
      </w:r>
      <w:r w:rsidR="00CB0271">
        <w:rPr>
          <w:rFonts w:eastAsia="Malgun Gothic"/>
          <w:lang w:eastAsia="ko-KR"/>
        </w:rPr>
        <w:instrText>ADDIN CSL_CITATION { "citationItems" : [ { "id" : "ITEM-1", "itemData" : { "author" : [ { "dropping-particle" : "", "family" : "Willis", "given" : "LE", "non-dropping-particle" : "", "parse-names" : false, "suffix" : "" } ], "container-title" : "University of Chicago Law Review", "id" : "ITEM-1", "issued" : { "date-parts" : [ [ "2013" ] ] }, "page" : "1155-1229", "title" : "When Nudges Fail: Slippery Defaults.", "type" : "article-journal" }, "uris" : [ "http://www.mendeley.com/documents/?uuid=92aa54bc-e92d-4a60-9faa-79e5df4f0cc4" ] } ], "mendeley" : { "formattedCitation" : "(Willis 2013)", "plainTextFormattedCitation" : "(Willis 2013)", "previouslyFormattedCitation" : "(Willis 2013)" }, "properties" : {  }, "schema" : "https://github.com/citation-style-language/schema/raw/master/csl-citation.json" }</w:instrText>
      </w:r>
      <w:r>
        <w:rPr>
          <w:rFonts w:eastAsia="Malgun Gothic"/>
          <w:lang w:eastAsia="ko-KR"/>
        </w:rPr>
        <w:fldChar w:fldCharType="separate"/>
      </w:r>
      <w:r>
        <w:rPr>
          <w:rFonts w:eastAsia="Malgun Gothic"/>
          <w:noProof/>
          <w:lang w:eastAsia="ko-KR"/>
        </w:rPr>
        <w:t>(Willis 2013)</w:t>
      </w:r>
      <w:r>
        <w:rPr>
          <w:rFonts w:eastAsia="Malgun Gothic"/>
          <w:lang w:eastAsia="ko-KR"/>
        </w:rPr>
        <w:fldChar w:fldCharType="end"/>
      </w:r>
      <w:r>
        <w:rPr>
          <w:rFonts w:eastAsia="Malgun Gothic"/>
          <w:lang w:eastAsia="ko-KR"/>
        </w:rPr>
        <w:t xml:space="preserve">, or, because defaults are often interpreted as a ‘recommendation’ from the policymaker </w:t>
      </w:r>
      <w:r>
        <w:rPr>
          <w:rFonts w:eastAsia="Malgun Gothic"/>
          <w:lang w:eastAsia="ko-KR"/>
        </w:rPr>
        <w:fldChar w:fldCharType="begin" w:fldLock="1"/>
      </w:r>
      <w:r w:rsidR="00CB0271">
        <w:rPr>
          <w:rFonts w:eastAsia="Malgun Gothic"/>
          <w:lang w:eastAsia="ko-KR"/>
        </w:rPr>
        <w:instrText>ADDIN CSL_CITATION { "citationItems" : [ { "id" : "ITEM-1", "itemData" : { "DOI" : "10.1016/j.jenvp.2007.09.004", "ISBN" : "9780199894727", "ISSN" : "02724944", "abstract" : "There is inconsistency in many people's choice of electricity. When asked, they say they prefer a 'green' (i.e., environmentally friendly) source for this energy. Yet, although green electricity is available in many markets, people do not generally buy it. Why not? Motivated by behavioural decision research, we argue that the format of information presentation drastically affects the choice of electricity. Specifically, we hypothesise that people use the kind of electricity that is offered to them as the default. We present two natural studies and two experiments in the laboratory that support this hypothesis. In the two real-world situations, there was a green default, and most people used it. In the first laboratory experiment, more participants chose the green utility when it was the default than when 'grey' electricity was the default. In the second laboratory experiment, participants asked for more money to give up green electricity than they were willing to pay for it. We argue that changing defaults can be used to promote pro-environmental behaviour. Potential policy-making applications of this work are discussed. ?? 2007 Elsevier Ltd. All rights reserved.", "author" : [ { "dropping-particle" : "", "family" : "Pichert", "given" : "Daniel", "non-dropping-particle" : "", "parse-names" : false, "suffix" : "" }, { "dropping-particle" : "V.", "family" : "Katsikopoulos", "given" : "Konstantinos", "non-dropping-particle" : "", "parse-names" : false, "suffix" : "" } ], "container-title" : "Journal of Environmental Psychology", "id" : "ITEM-1", "issue" : "1", "issued" : { "date-parts" : [ [ "2008" ] ] }, "page" : "63-73", "title" : "Green defaults: Information presentation and pro-environmental behaviour", "type" : "article-journal", "volume" : "28" }, "uris" : [ "http://www.mendeley.com/documents/?uuid=85e42947-954b-48c4-8be0-b51eecb9c0b0" ] } ], "mendeley" : { "formattedCitation" : "(Pichert &amp; Katsikopoulos 2008)", "plainTextFormattedCitation" : "(Pichert &amp; Katsikopoulos 2008)", "previouslyFormattedCitation" : "(Pichert &amp; Katsikopoulos 2008)" }, "properties" : {  }, "schema" : "https://github.com/citation-style-language/schema/raw/master/csl-citation.json" }</w:instrText>
      </w:r>
      <w:r>
        <w:rPr>
          <w:rFonts w:eastAsia="Malgun Gothic"/>
          <w:lang w:eastAsia="ko-KR"/>
        </w:rPr>
        <w:fldChar w:fldCharType="separate"/>
      </w:r>
      <w:r>
        <w:rPr>
          <w:rFonts w:eastAsia="Malgun Gothic"/>
          <w:noProof/>
          <w:lang w:eastAsia="ko-KR"/>
        </w:rPr>
        <w:t>(Pichert &amp; Katsikopoulos 2008)</w:t>
      </w:r>
      <w:r>
        <w:rPr>
          <w:rFonts w:eastAsia="Malgun Gothic"/>
          <w:lang w:eastAsia="ko-KR"/>
        </w:rPr>
        <w:fldChar w:fldCharType="end"/>
      </w:r>
      <w:r>
        <w:rPr>
          <w:rFonts w:eastAsia="Malgun Gothic"/>
          <w:lang w:eastAsia="ko-KR"/>
        </w:rPr>
        <w:t xml:space="preserve">, which </w:t>
      </w:r>
      <w:r w:rsidR="007954C3">
        <w:rPr>
          <w:rFonts w:eastAsia="Malgun Gothic"/>
          <w:lang w:eastAsia="ko-KR"/>
        </w:rPr>
        <w:t xml:space="preserve">might not align with an </w:t>
      </w:r>
      <w:r>
        <w:rPr>
          <w:rFonts w:eastAsia="Malgun Gothic"/>
          <w:lang w:eastAsia="ko-KR"/>
        </w:rPr>
        <w:t>individual</w:t>
      </w:r>
      <w:r w:rsidR="007954C3">
        <w:rPr>
          <w:rFonts w:eastAsia="Malgun Gothic"/>
          <w:lang w:eastAsia="ko-KR"/>
        </w:rPr>
        <w:t>’s preferences</w:t>
      </w:r>
      <w:r>
        <w:rPr>
          <w:rFonts w:eastAsia="Malgun Gothic"/>
          <w:lang w:eastAsia="ko-KR"/>
        </w:rPr>
        <w:t xml:space="preserve">. </w:t>
      </w:r>
      <w:r w:rsidR="00152CE0">
        <w:rPr>
          <w:rFonts w:eastAsia="Malgun Gothic"/>
          <w:lang w:eastAsia="ko-KR"/>
        </w:rPr>
        <w:t>Their use is therefore arguably more appropriate for behaviours around which there is some kind of tacit or explicit acceptance</w:t>
      </w:r>
      <w:r w:rsidR="007954C3">
        <w:rPr>
          <w:rFonts w:eastAsia="Malgun Gothic"/>
          <w:lang w:eastAsia="ko-KR"/>
        </w:rPr>
        <w:t xml:space="preserve">, and </w:t>
      </w:r>
      <w:r w:rsidR="00152CE0">
        <w:rPr>
          <w:rFonts w:eastAsia="Malgun Gothic"/>
          <w:lang w:eastAsia="ko-KR"/>
        </w:rPr>
        <w:t>such behaviours are</w:t>
      </w:r>
      <w:r w:rsidR="007954C3">
        <w:rPr>
          <w:rFonts w:eastAsia="Malgun Gothic"/>
          <w:lang w:eastAsia="ko-KR"/>
        </w:rPr>
        <w:t xml:space="preserve"> more</w:t>
      </w:r>
      <w:r w:rsidR="00152CE0">
        <w:rPr>
          <w:rFonts w:eastAsia="Malgun Gothic"/>
          <w:lang w:eastAsia="ko-KR"/>
        </w:rPr>
        <w:t xml:space="preserve"> likely to be pro-self.</w:t>
      </w:r>
      <w:r w:rsidR="00152CE0" w:rsidRPr="007954C3">
        <w:t xml:space="preserve"> </w:t>
      </w:r>
      <w:r>
        <w:rPr>
          <w:rFonts w:eastAsia="Malgun Gothic"/>
          <w:lang w:eastAsia="ko-KR"/>
        </w:rPr>
        <w:t>This strength of defaults has been recognised by the European Commission, which has banned the use of pre-ticked boxes by companies on websites, in order to prevent use</w:t>
      </w:r>
      <w:r w:rsidR="004C74E2">
        <w:rPr>
          <w:rFonts w:eastAsia="Malgun Gothic"/>
          <w:lang w:eastAsia="ko-KR"/>
        </w:rPr>
        <w:t>rs being accidentall</w:t>
      </w:r>
      <w:r w:rsidR="005E5C7B">
        <w:rPr>
          <w:rFonts w:eastAsia="Malgun Gothic"/>
          <w:lang w:eastAsia="ko-KR"/>
        </w:rPr>
        <w:t>y</w:t>
      </w:r>
      <w:r w:rsidR="004C74E2">
        <w:rPr>
          <w:rFonts w:eastAsia="Malgun Gothic"/>
          <w:lang w:eastAsia="ko-KR"/>
        </w:rPr>
        <w:t xml:space="preserve"> nudged</w:t>
      </w:r>
      <w:r>
        <w:rPr>
          <w:rFonts w:eastAsia="Malgun Gothic"/>
          <w:lang w:eastAsia="ko-KR"/>
        </w:rPr>
        <w:t xml:space="preserve"> into buying extras or signing up to mailing lists </w:t>
      </w:r>
      <w:r>
        <w:rPr>
          <w:rFonts w:eastAsia="Malgun Gothic"/>
          <w:lang w:eastAsia="ko-KR"/>
        </w:rPr>
        <w:fldChar w:fldCharType="begin" w:fldLock="1"/>
      </w:r>
      <w:r w:rsidR="00CB0271">
        <w:rPr>
          <w:rFonts w:eastAsia="Malgun Gothic"/>
          <w:lang w:eastAsia="ko-KR"/>
        </w:rPr>
        <w:instrText>ADDIN CSL_CITATION { "citationItems" : [ { "id" : "ITEM-1", "itemData" : { "URL" : "http://europa.eu/rapid/press-release_IP-14-655_en.htm", "accessed" : { "date-parts" : [ [ "2016", "6", "15" ] ] }, "author" : [ { "dropping-particle" : "", "family" : "European Commission", "given" : "", "non-dropping-particle" : "", "parse-names" : false, "suffix" : "" } ], "id" : "ITEM-1", "issued" : { "date-parts" : [ [ "2014" ] ] }, "title" : "Taking consumer rights into the digital age", "type" : "webpage" }, "uris" : [ "http://www.mendeley.com/documents/?uuid=fe7d149f-a6a8-4f17-abe1-efa862612419" ] } ], "mendeley" : { "formattedCitation" : "(European Commission 2014)", "plainTextFormattedCitation" : "(European Commission 2014)", "previouslyFormattedCitation" : "(European Commission 2014)" }, "properties" : {  }, "schema" : "https://github.com/citation-style-language/schema/raw/master/csl-citation.json" }</w:instrText>
      </w:r>
      <w:r>
        <w:rPr>
          <w:rFonts w:eastAsia="Malgun Gothic"/>
          <w:lang w:eastAsia="ko-KR"/>
        </w:rPr>
        <w:fldChar w:fldCharType="separate"/>
      </w:r>
      <w:r w:rsidRPr="00DC54B6">
        <w:rPr>
          <w:rFonts w:eastAsia="Malgun Gothic"/>
          <w:noProof/>
          <w:lang w:eastAsia="ko-KR"/>
        </w:rPr>
        <w:t>(European Commission 2014)</w:t>
      </w:r>
      <w:r>
        <w:rPr>
          <w:rFonts w:eastAsia="Malgun Gothic"/>
          <w:lang w:eastAsia="ko-KR"/>
        </w:rPr>
        <w:fldChar w:fldCharType="end"/>
      </w:r>
      <w:r w:rsidR="009122FF">
        <w:rPr>
          <w:rFonts w:eastAsia="Malgun Gothic"/>
          <w:lang w:eastAsia="ko-KR"/>
        </w:rPr>
        <w:t>.</w:t>
      </w:r>
      <w:r w:rsidR="00903090">
        <w:rPr>
          <w:rFonts w:eastAsia="Malgun Gothic"/>
          <w:lang w:eastAsia="ko-KR"/>
        </w:rPr>
        <w:t xml:space="preserve"> </w:t>
      </w:r>
      <w:r w:rsidR="00903090">
        <w:rPr>
          <w:rFonts w:eastAsia="Malgun Gothic"/>
          <w:lang w:eastAsia="ko-KR"/>
        </w:rPr>
        <w:fldChar w:fldCharType="begin" w:fldLock="1"/>
      </w:r>
      <w:r w:rsidR="00CB0271">
        <w:rPr>
          <w:rFonts w:eastAsia="Malgun Gothic"/>
          <w:lang w:eastAsia="ko-KR"/>
        </w:rPr>
        <w:instrText>ADDIN CSL_CITATION { "citationItems" : [ { "id" : "ITEM-1", "itemData" : { "DOI" : "10.1007/s10640-012-9615-x", "ISBN" : "0924-6460", "ISSN" : "09246460", "abstract" : "Individual preferences for environmental policies can be influenced by the frame in which choices and decisions are presented. In this paper we present results of a field experiment on the contributions to carbon offsetting programs under two alternative treatments for the default option. The opt-in treatment asked subjects to pay for the policy proposal while the opt-out treatment asked subjects if they wanted to be excluded from payment for the policy proposal. The results show that the frame of the default option had a significant effect on the amount of money paid for the policy proposal. Subjects were more likely to accept the policy proposal if the default option was the opt-out treatment. The results have implications for the design of environmental policies. ", "author" : [ { "dropping-particle" : "", "family" : "Ara\u00f1a", "given" : "Jorge E.", "non-dropping-particle" : "", "parse-names" : false, "suffix" : "" }, { "dropping-particle" : "", "family" : "Le\u00f3n", "given" : "Carmelo J.", "non-dropping-particle" : "", "parse-names" : false, "suffix" : "" } ], "container-title" : "Environmental and Resource Economics", "id" : "ITEM-1", "issued" : { "date-parts" : [ [ "2013" ] ] }, "page" : "613-626", "title" : "Can Defaults Save the Climate? Evidence from a Field Experiment on Carbon Offsetting Programs", "type" : "article-journal", "volume" : "54" }, "uris" : [ "http://www.mendeley.com/documents/?uuid=04aa05f2-9970-48fd-98ae-14ebf47eca2a" ] } ], "mendeley" : { "formattedCitation" : "(Ara\u00f1a &amp; Le\u00f3n 2013)", "manualFormatting" : "Ara\u00f1a &amp; Le\u00f3n (2013)", "plainTextFormattedCitation" : "(Ara\u00f1a &amp; Le\u00f3n 2013)", "previouslyFormattedCitation" : "(Ara\u00f1a &amp; Le\u00f3n 2013)" }, "properties" : {  }, "schema" : "https://github.com/citation-style-language/schema/raw/master/csl-citation.json" }</w:instrText>
      </w:r>
      <w:r w:rsidR="00903090">
        <w:rPr>
          <w:rFonts w:eastAsia="Malgun Gothic"/>
          <w:lang w:eastAsia="ko-KR"/>
        </w:rPr>
        <w:fldChar w:fldCharType="separate"/>
      </w:r>
      <w:r w:rsidR="00903090" w:rsidRPr="007954C3">
        <w:rPr>
          <w:rFonts w:eastAsia="Malgun Gothic"/>
          <w:noProof/>
          <w:lang w:eastAsia="ko-KR"/>
        </w:rPr>
        <w:t xml:space="preserve">Araña &amp; León </w:t>
      </w:r>
      <w:r w:rsidR="00903090">
        <w:rPr>
          <w:rFonts w:eastAsia="Malgun Gothic"/>
          <w:noProof/>
          <w:lang w:eastAsia="ko-KR"/>
        </w:rPr>
        <w:t>(</w:t>
      </w:r>
      <w:r w:rsidR="00903090" w:rsidRPr="007954C3">
        <w:rPr>
          <w:rFonts w:eastAsia="Malgun Gothic"/>
          <w:noProof/>
          <w:lang w:eastAsia="ko-KR"/>
        </w:rPr>
        <w:t>2013)</w:t>
      </w:r>
      <w:r w:rsidR="00903090">
        <w:rPr>
          <w:rFonts w:eastAsia="Malgun Gothic"/>
          <w:lang w:eastAsia="ko-KR"/>
        </w:rPr>
        <w:fldChar w:fldCharType="end"/>
      </w:r>
      <w:r w:rsidR="00903090">
        <w:rPr>
          <w:rFonts w:eastAsia="Malgun Gothic"/>
          <w:lang w:eastAsia="ko-KR"/>
        </w:rPr>
        <w:t xml:space="preserve"> found </w:t>
      </w:r>
      <w:r w:rsidR="00F700A8">
        <w:rPr>
          <w:rFonts w:eastAsia="Malgun Gothic"/>
          <w:lang w:eastAsia="ko-KR"/>
        </w:rPr>
        <w:t xml:space="preserve">that including carbon offsets in a flight ticket price as a default (whilst allowing the customer to ‘unclick’ to remove the offset) </w:t>
      </w:r>
      <w:r w:rsidR="005E5C7B">
        <w:rPr>
          <w:rFonts w:eastAsia="Malgun Gothic"/>
          <w:lang w:eastAsia="ko-KR"/>
        </w:rPr>
        <w:t>was</w:t>
      </w:r>
      <w:r w:rsidR="007954C3">
        <w:rPr>
          <w:rFonts w:eastAsia="Malgun Gothic"/>
          <w:lang w:eastAsia="ko-KR"/>
        </w:rPr>
        <w:t xml:space="preserve"> an effective nudge</w:t>
      </w:r>
      <w:r w:rsidR="006152F2">
        <w:rPr>
          <w:rFonts w:eastAsia="Malgun Gothic"/>
          <w:lang w:eastAsia="ko-KR"/>
        </w:rPr>
        <w:t xml:space="preserve">, while </w:t>
      </w:r>
      <w:r w:rsidR="006152F2">
        <w:rPr>
          <w:rFonts w:eastAsia="Malgun Gothic"/>
          <w:lang w:eastAsia="ko-KR"/>
        </w:rPr>
        <w:fldChar w:fldCharType="begin" w:fldLock="1"/>
      </w:r>
      <w:r w:rsidR="006152F2">
        <w:rPr>
          <w:rFonts w:eastAsia="Malgun Gothic"/>
          <w:lang w:eastAsia="ko-KR"/>
        </w:rPr>
        <w:instrText>ADDIN CSL_CITATION { "citationItems" : [ { "id" : "ITEM-1", "itemData" : { "DOI" : "10.1016/j.jeem.2011.06.002", "ISBN" : "00950696", "ISSN" : "00950696", "abstract" : "The objective of the present paper is to investigate the robustness of the well-known result that pre-set default options determine people's choices. We do so by conducting a field experiment among environmental economists attending a large international conference on environmental economics. The participants were, at the time of registration, randomly allocated to different treatments related to carbon offsetting. What differs from earlier default studies is that our subjects have good knowledge about the good at hand. We investigate whether the choices of these experienced individuals are affected by a pre-set default option, and we also study the effect of a treatment with no pre-set default option. Our results, together with previous findings, indicate that the effect of a default option attenuates with experience. \u00a9 2011 Elsevier Inc.", "author" : [ { "dropping-particle" : "", "family" : "L\u00f6fgren", "given" : "\u00c5sa", "non-dropping-particle" : "", "parse-names" : false, "suffix" : "" }, { "dropping-particle" : "", "family" : "Martinsson", "given" : "Peter", "non-dropping-particle" : "", "parse-names" : false, "suffix" : "" }, { "dropping-particle" : "", "family" : "Hennlock", "given" : "Magnus", "non-dropping-particle" : "", "parse-names" : false, "suffix" : "" }, { "dropping-particle" : "", "family" : "Sterner", "given" : "Thomas", "non-dropping-particle" : "", "parse-names" : false, "suffix" : "" } ], "container-title" : "Journal of Environmental Economics and Management", "id" : "ITEM-1", "issue" : "1", "issued" : { "date-parts" : [ [ "2012" ] ] }, "page" : "66-72", "title" : "Are experienced people affected by a pre-set default option-Results from a field experiment", "type" : "article-journal", "volume" : "63" }, "uris" : [ "http://www.mendeley.com/documents/?uuid=39667b4e-deef-42cf-997a-21eaceee0684" ] } ], "mendeley" : { "formattedCitation" : "(L\u00f6fgren et al. 2012)", "manualFormatting" : "L\u00f6fgren et al. (2012)", "plainTextFormattedCitation" : "(L\u00f6fgren et al. 2012)", "previouslyFormattedCitation" : "(L\u00f6fgren et al. 2012)" }, "properties" : {  }, "schema" : "https://github.com/citation-style-language/schema/raw/master/csl-citation.json" }</w:instrText>
      </w:r>
      <w:r w:rsidR="006152F2">
        <w:rPr>
          <w:rFonts w:eastAsia="Malgun Gothic"/>
          <w:lang w:eastAsia="ko-KR"/>
        </w:rPr>
        <w:fldChar w:fldCharType="separate"/>
      </w:r>
      <w:r w:rsidR="006152F2" w:rsidRPr="006152F2">
        <w:rPr>
          <w:rFonts w:eastAsia="Malgun Gothic"/>
          <w:noProof/>
          <w:lang w:eastAsia="ko-KR"/>
        </w:rPr>
        <w:t xml:space="preserve">Löfgren et al. </w:t>
      </w:r>
      <w:r w:rsidR="006152F2">
        <w:rPr>
          <w:rFonts w:eastAsia="Malgun Gothic"/>
          <w:noProof/>
          <w:lang w:eastAsia="ko-KR"/>
        </w:rPr>
        <w:t>(</w:t>
      </w:r>
      <w:r w:rsidR="006152F2" w:rsidRPr="006152F2">
        <w:rPr>
          <w:rFonts w:eastAsia="Malgun Gothic"/>
          <w:noProof/>
          <w:lang w:eastAsia="ko-KR"/>
        </w:rPr>
        <w:t>2012)</w:t>
      </w:r>
      <w:r w:rsidR="006152F2">
        <w:rPr>
          <w:rFonts w:eastAsia="Malgun Gothic"/>
          <w:lang w:eastAsia="ko-KR"/>
        </w:rPr>
        <w:fldChar w:fldCharType="end"/>
      </w:r>
      <w:r w:rsidR="006152F2">
        <w:rPr>
          <w:rFonts w:eastAsia="Malgun Gothic"/>
          <w:lang w:eastAsia="ko-KR"/>
        </w:rPr>
        <w:t xml:space="preserve"> found that the effect of such a default diminished among those more experienced with offsets</w:t>
      </w:r>
      <w:r w:rsidR="00903090">
        <w:rPr>
          <w:rFonts w:eastAsia="Malgun Gothic"/>
          <w:lang w:eastAsia="ko-KR"/>
        </w:rPr>
        <w:t>.</w:t>
      </w:r>
      <w:r w:rsidR="009122FF">
        <w:rPr>
          <w:rFonts w:eastAsia="Malgun Gothic"/>
          <w:lang w:eastAsia="ko-KR"/>
        </w:rPr>
        <w:t xml:space="preserve"> </w:t>
      </w:r>
      <w:r w:rsidR="006152F2">
        <w:rPr>
          <w:rFonts w:eastAsia="Malgun Gothic"/>
          <w:lang w:eastAsia="ko-KR"/>
        </w:rPr>
        <w:t>In any case, a</w:t>
      </w:r>
      <w:r w:rsidR="00903090">
        <w:rPr>
          <w:rFonts w:eastAsia="Malgun Gothic"/>
          <w:lang w:eastAsia="ko-KR"/>
        </w:rPr>
        <w:t>n interesting consequence of the European Commission legislation is that this pro-social, system 1</w:t>
      </w:r>
      <w:r w:rsidR="00F700A8">
        <w:rPr>
          <w:rFonts w:eastAsia="Malgun Gothic"/>
          <w:lang w:eastAsia="ko-KR"/>
        </w:rPr>
        <w:t xml:space="preserve"> </w:t>
      </w:r>
      <w:r w:rsidR="00FA7252">
        <w:rPr>
          <w:rFonts w:eastAsia="Malgun Gothic"/>
          <w:lang w:eastAsia="ko-KR"/>
        </w:rPr>
        <w:t xml:space="preserve">nudge </w:t>
      </w:r>
      <w:r w:rsidR="00F700A8">
        <w:rPr>
          <w:rFonts w:eastAsia="Malgun Gothic"/>
          <w:lang w:eastAsia="ko-KR"/>
        </w:rPr>
        <w:t xml:space="preserve">would </w:t>
      </w:r>
      <w:r w:rsidR="007954C3">
        <w:rPr>
          <w:rFonts w:eastAsia="Malgun Gothic"/>
          <w:lang w:eastAsia="ko-KR"/>
        </w:rPr>
        <w:t xml:space="preserve">now </w:t>
      </w:r>
      <w:r w:rsidR="009122FF">
        <w:rPr>
          <w:rFonts w:eastAsia="Malgun Gothic"/>
          <w:lang w:eastAsia="ko-KR"/>
        </w:rPr>
        <w:t>likely be deemed illegal</w:t>
      </w:r>
      <w:r w:rsidR="007954C3">
        <w:rPr>
          <w:rFonts w:eastAsia="Malgun Gothic"/>
          <w:lang w:eastAsia="ko-KR"/>
        </w:rPr>
        <w:t>.</w:t>
      </w:r>
    </w:p>
    <w:p w14:paraId="02EF156C" w14:textId="0361BE32" w:rsidR="009122FF" w:rsidRDefault="00CE4FF0" w:rsidP="00067E96">
      <w:pPr>
        <w:rPr>
          <w:lang w:eastAsia="ko-KR"/>
        </w:rPr>
      </w:pPr>
      <w:r>
        <w:rPr>
          <w:rFonts w:eastAsia="Malgun Gothic"/>
          <w:lang w:eastAsia="ko-KR"/>
        </w:rPr>
        <w:t xml:space="preserve">When it comes to the ethical acceptance of </w:t>
      </w:r>
      <w:r w:rsidR="002F2543">
        <w:rPr>
          <w:rFonts w:eastAsia="Malgun Gothic"/>
          <w:lang w:eastAsia="ko-KR"/>
        </w:rPr>
        <w:t>particular pro-social target behaviours (such as organ donation, or giving to certain charities)</w:t>
      </w:r>
      <w:r>
        <w:rPr>
          <w:rFonts w:eastAsia="Malgun Gothic"/>
          <w:lang w:eastAsia="ko-KR"/>
        </w:rPr>
        <w:t xml:space="preserve"> consensus over their merits </w:t>
      </w:r>
      <w:r w:rsidR="004C74E2">
        <w:rPr>
          <w:rFonts w:eastAsia="Malgun Gothic"/>
          <w:lang w:eastAsia="ko-KR"/>
        </w:rPr>
        <w:t xml:space="preserve">may </w:t>
      </w:r>
      <w:r w:rsidR="002F2543">
        <w:rPr>
          <w:rFonts w:eastAsia="Malgun Gothic"/>
          <w:lang w:eastAsia="ko-KR"/>
        </w:rPr>
        <w:t xml:space="preserve">be absent, so it may well be more appropriate to use a softer system 2 nudge which is more transparent and easier to avoid. Sunstein (2016) found Americans more accepting of system 1 nudges for less controversial issues such as encouraging voter registration or reducing child obesity, but strongly favoured system 2 nudges for abortion. </w:t>
      </w:r>
      <w:r>
        <w:rPr>
          <w:rFonts w:eastAsia="Malgun Gothic"/>
          <w:lang w:eastAsia="ko-KR"/>
        </w:rPr>
        <w:t>We can assume that there is no societal consensus over the benefits of carbon offsetting, so it may also be justified to use a system 2 nudge for this target behaviour.</w:t>
      </w:r>
      <w:r w:rsidR="00AA2450" w:rsidRPr="00AA2450">
        <w:rPr>
          <w:lang w:eastAsia="ko-KR"/>
        </w:rPr>
        <w:t xml:space="preserve"> </w:t>
      </w:r>
    </w:p>
    <w:p w14:paraId="57CA3C6F" w14:textId="4EA354AE" w:rsidR="00067E96" w:rsidRDefault="00067E96" w:rsidP="00067E96">
      <w:pPr>
        <w:rPr>
          <w:rFonts w:eastAsia="Malgun Gothic"/>
          <w:lang w:eastAsia="ko-KR"/>
        </w:rPr>
      </w:pPr>
      <w:r>
        <w:rPr>
          <w:lang w:eastAsia="ko-KR"/>
        </w:rPr>
        <w:t>For the legal and ethical reasons listed here, an informational system 2 nudge was chosen as an appropriate intervention to promote the pro-social behaviour of carbon offsetting. To give the trial greater potential real-world applicability, it was deemed that a system 2 nudge was likely to have greater ethical acceptability and be easier to implement legally, than a system 1 nudge. The following section describes the nature of the nudges which were tested and the manner in which data was collected.</w:t>
      </w:r>
    </w:p>
    <w:p w14:paraId="70259D44" w14:textId="77777777" w:rsidR="009122FF" w:rsidRDefault="009122FF">
      <w:pPr>
        <w:spacing w:after="200" w:line="276" w:lineRule="auto"/>
        <w:jc w:val="left"/>
        <w:rPr>
          <w:rFonts w:eastAsia="Malgun Gothic"/>
          <w:lang w:eastAsia="ko-KR"/>
        </w:rPr>
      </w:pPr>
      <w:r>
        <w:rPr>
          <w:rFonts w:eastAsia="Malgun Gothic"/>
          <w:lang w:eastAsia="ko-KR"/>
        </w:rPr>
        <w:br w:type="page"/>
      </w:r>
    </w:p>
    <w:p w14:paraId="5E829498" w14:textId="44AE01C2" w:rsidR="001F11D0" w:rsidRDefault="00463A11" w:rsidP="00624451">
      <w:pPr>
        <w:pStyle w:val="Heading1"/>
        <w:rPr>
          <w:lang w:eastAsia="ko-KR"/>
        </w:rPr>
      </w:pPr>
      <w:r>
        <w:rPr>
          <w:lang w:eastAsia="ko-KR"/>
        </w:rPr>
        <w:t>Materials and Methods</w:t>
      </w:r>
    </w:p>
    <w:p w14:paraId="528B7025" w14:textId="76D13056" w:rsidR="005E08D5" w:rsidRDefault="00463A11" w:rsidP="00FB71DE">
      <w:pPr>
        <w:pStyle w:val="Heading2"/>
      </w:pPr>
      <w:r>
        <w:t>Approach and Sample</w:t>
      </w:r>
    </w:p>
    <w:p w14:paraId="4A5A2EFB" w14:textId="6F77774F" w:rsidR="00624451" w:rsidRDefault="00624451" w:rsidP="00055FFE">
      <w:r>
        <w:t>D</w:t>
      </w:r>
      <w:r w:rsidRPr="00DD0432">
        <w:t xml:space="preserve">ata collection was composed of three inter-related stages: </w:t>
      </w:r>
      <w:r w:rsidR="009B6DEB">
        <w:t xml:space="preserve">a </w:t>
      </w:r>
      <w:r w:rsidRPr="00DD0432">
        <w:t>firs</w:t>
      </w:r>
      <w:r w:rsidR="009B6DEB">
        <w:t xml:space="preserve">t </w:t>
      </w:r>
      <w:r w:rsidR="002B6D29">
        <w:t xml:space="preserve">randomised control trial </w:t>
      </w:r>
      <w:r w:rsidR="00F8793C">
        <w:t xml:space="preserve">(RCT1) </w:t>
      </w:r>
      <w:r>
        <w:t xml:space="preserve">conducted in </w:t>
      </w:r>
      <w:r w:rsidR="00055FFE">
        <w:t>March</w:t>
      </w:r>
      <w:r>
        <w:t xml:space="preserve"> of 2014, </w:t>
      </w:r>
      <w:r w:rsidR="009B6DEB">
        <w:t>a series of</w:t>
      </w:r>
      <w:r>
        <w:t xml:space="preserve"> focus groups in </w:t>
      </w:r>
      <w:r w:rsidR="00055FFE">
        <w:t>October</w:t>
      </w:r>
      <w:r>
        <w:t xml:space="preserve"> of 2014 and </w:t>
      </w:r>
      <w:r w:rsidR="00055FFE">
        <w:t>February</w:t>
      </w:r>
      <w:r>
        <w:t xml:space="preserve"> of 2015, and </w:t>
      </w:r>
      <w:r w:rsidR="009B6DEB">
        <w:t>a</w:t>
      </w:r>
      <w:r>
        <w:t xml:space="preserve"> second RCT in </w:t>
      </w:r>
      <w:r w:rsidR="00055FFE">
        <w:t>November</w:t>
      </w:r>
      <w:r>
        <w:t xml:space="preserve"> of 2015</w:t>
      </w:r>
      <w:r w:rsidR="00F8793C">
        <w:t xml:space="preserve"> (RCT2)</w:t>
      </w:r>
      <w:r>
        <w:t xml:space="preserve">. </w:t>
      </w:r>
      <w:r w:rsidR="0012558D">
        <w:rPr>
          <w:lang w:eastAsia="zh-TW"/>
        </w:rPr>
        <w:t>RCT1</w:t>
      </w:r>
      <w:r w:rsidR="00274D6E">
        <w:rPr>
          <w:lang w:eastAsia="zh-TW"/>
        </w:rPr>
        <w:t xml:space="preserve"> </w:t>
      </w:r>
      <w:r w:rsidR="00CF19E5">
        <w:rPr>
          <w:lang w:eastAsia="zh-TW"/>
        </w:rPr>
        <w:t>tested</w:t>
      </w:r>
      <w:r w:rsidR="00274D6E">
        <w:rPr>
          <w:lang w:eastAsia="zh-TW"/>
        </w:rPr>
        <w:t xml:space="preserve"> whether</w:t>
      </w:r>
      <w:r w:rsidR="00274D6E" w:rsidRPr="00617F29">
        <w:rPr>
          <w:lang w:eastAsia="zh-TW"/>
        </w:rPr>
        <w:t xml:space="preserve"> people could be nudged; </w:t>
      </w:r>
      <w:r w:rsidR="00274D6E">
        <w:rPr>
          <w:lang w:eastAsia="zh-TW"/>
        </w:rPr>
        <w:t xml:space="preserve">the </w:t>
      </w:r>
      <w:r w:rsidR="00274D6E" w:rsidRPr="00617F29">
        <w:rPr>
          <w:lang w:eastAsia="zh-TW"/>
        </w:rPr>
        <w:t xml:space="preserve">focus groups </w:t>
      </w:r>
      <w:r w:rsidR="00274D6E">
        <w:rPr>
          <w:lang w:eastAsia="zh-TW"/>
        </w:rPr>
        <w:t>explored</w:t>
      </w:r>
      <w:r w:rsidR="00274D6E" w:rsidRPr="00617F29">
        <w:rPr>
          <w:lang w:eastAsia="zh-TW"/>
        </w:rPr>
        <w:t xml:space="preserve"> the</w:t>
      </w:r>
      <w:r w:rsidR="0012558D">
        <w:rPr>
          <w:lang w:eastAsia="zh-TW"/>
        </w:rPr>
        <w:t xml:space="preserve"> reasons for the</w:t>
      </w:r>
      <w:r w:rsidR="00274D6E" w:rsidRPr="00617F29">
        <w:rPr>
          <w:lang w:eastAsia="zh-TW"/>
        </w:rPr>
        <w:t xml:space="preserve"> (negative)</w:t>
      </w:r>
      <w:r w:rsidR="00274D6E">
        <w:rPr>
          <w:lang w:eastAsia="zh-TW"/>
        </w:rPr>
        <w:t xml:space="preserve"> results of RCT</w:t>
      </w:r>
      <w:r w:rsidR="00CF19E5">
        <w:rPr>
          <w:lang w:eastAsia="zh-TW"/>
        </w:rPr>
        <w:t>1</w:t>
      </w:r>
      <w:r w:rsidR="00274D6E">
        <w:rPr>
          <w:lang w:eastAsia="zh-TW"/>
        </w:rPr>
        <w:t xml:space="preserve">; and </w:t>
      </w:r>
      <w:r w:rsidR="00CF19E5">
        <w:rPr>
          <w:lang w:eastAsia="zh-TW"/>
        </w:rPr>
        <w:t>RCT2 tested</w:t>
      </w:r>
      <w:r w:rsidR="00274D6E" w:rsidRPr="00617F29">
        <w:rPr>
          <w:lang w:eastAsia="zh-TW"/>
        </w:rPr>
        <w:t xml:space="preserve"> to see if people could be </w:t>
      </w:r>
      <w:r w:rsidR="007C7BD9">
        <w:rPr>
          <w:lang w:eastAsia="zh-TW"/>
        </w:rPr>
        <w:t xml:space="preserve">nudged with an improved design, </w:t>
      </w:r>
      <w:r w:rsidR="00274D6E" w:rsidRPr="00617F29">
        <w:rPr>
          <w:lang w:eastAsia="zh-TW"/>
        </w:rPr>
        <w:t>or if the</w:t>
      </w:r>
      <w:r w:rsidR="007C7BD9">
        <w:rPr>
          <w:lang w:eastAsia="zh-TW"/>
        </w:rPr>
        <w:t xml:space="preserve"> problems were </w:t>
      </w:r>
      <w:r w:rsidR="005E5C7B">
        <w:rPr>
          <w:lang w:eastAsia="zh-TW"/>
        </w:rPr>
        <w:t>more substantive</w:t>
      </w:r>
      <w:r w:rsidR="00274D6E" w:rsidRPr="00617F29">
        <w:rPr>
          <w:lang w:eastAsia="zh-TW"/>
        </w:rPr>
        <w:t>.</w:t>
      </w:r>
      <w:r w:rsidR="00CF19E5">
        <w:rPr>
          <w:lang w:eastAsia="zh-TW"/>
        </w:rPr>
        <w:t xml:space="preserve"> </w:t>
      </w:r>
      <w:r>
        <w:t>T</w:t>
      </w:r>
      <w:r w:rsidR="00FA7252">
        <w:t xml:space="preserve">his </w:t>
      </w:r>
      <w:r w:rsidR="007C7BD9">
        <w:t xml:space="preserve">study </w:t>
      </w:r>
      <w:r w:rsidR="00FA7252">
        <w:t xml:space="preserve">employs a pragmatic, </w:t>
      </w:r>
      <w:r w:rsidR="004F3B55">
        <w:t>mixed methods research strategy</w:t>
      </w:r>
      <w:r w:rsidR="007C255B">
        <w:t xml:space="preserve"> </w:t>
      </w:r>
      <w:r w:rsidR="007C255B">
        <w:fldChar w:fldCharType="begin" w:fldLock="1"/>
      </w:r>
      <w:r w:rsidR="00CB0271">
        <w:instrText>ADDIN CSL_CITATION { "citationItems" : [ { "id" : "ITEM-1", "itemData" : { "author" : [ { "dropping-particle" : "", "family" : "Teddlie", "given" : "Charles", "non-dropping-particle" : "", "parse-names" : false, "suffix" : "" }, { "dropping-particle" : "", "family" : "Tashakkori", "given" : "Abbas", "non-dropping-particle" : "", "parse-names" : false, "suffix" : "" } ], "id" : "ITEM-1", "issued" : { "date-parts" : [ [ "2009" ] ] }, "number-of-pages" : "387", "publisher" : "SAGE Publications", "publisher-place" : "London", "title" : "Foundations of Mixed Methods Research", "type" : "book" }, "uris" : [ "http://www.mendeley.com/documents/?uuid=3fdc05e9-6e6e-48e2-a10d-de9ea8837ee1" ] } ], "mendeley" : { "formattedCitation" : "(Teddlie &amp; Tashakkori 2009)", "manualFormatting" : "(see Teddlie &amp; Tashakkori 2009)", "plainTextFormattedCitation" : "(Teddlie &amp; Tashakkori 2009)", "previouslyFormattedCitation" : "(Teddlie &amp; Tashakkori 2009)" }, "properties" : {  }, "schema" : "https://github.com/citation-style-language/schema/raw/master/csl-citation.json" }</w:instrText>
      </w:r>
      <w:r w:rsidR="007C255B">
        <w:fldChar w:fldCharType="separate"/>
      </w:r>
      <w:r w:rsidR="007C255B" w:rsidRPr="007C255B">
        <w:rPr>
          <w:noProof/>
        </w:rPr>
        <w:t>(</w:t>
      </w:r>
      <w:r w:rsidR="007C255B">
        <w:rPr>
          <w:noProof/>
        </w:rPr>
        <w:t xml:space="preserve">see </w:t>
      </w:r>
      <w:r w:rsidR="00CF19E5">
        <w:rPr>
          <w:noProof/>
        </w:rPr>
        <w:t>Teddlie &amp; Tashakkori 2009</w:t>
      </w:r>
      <w:r w:rsidR="007C255B" w:rsidRPr="007C255B">
        <w:rPr>
          <w:noProof/>
        </w:rPr>
        <w:t>)</w:t>
      </w:r>
      <w:r w:rsidR="007C255B">
        <w:fldChar w:fldCharType="end"/>
      </w:r>
      <w:r w:rsidR="007C255B">
        <w:t xml:space="preserve"> where </w:t>
      </w:r>
      <w:r w:rsidRPr="00624451">
        <w:t xml:space="preserve">rather than simply testing theories </w:t>
      </w:r>
      <w:r w:rsidR="007C255B">
        <w:t xml:space="preserve">through </w:t>
      </w:r>
      <w:r w:rsidRPr="00624451">
        <w:t>data</w:t>
      </w:r>
      <w:r w:rsidR="007C255B">
        <w:t xml:space="preserve"> collection</w:t>
      </w:r>
      <w:r w:rsidRPr="00624451">
        <w:t>, the data itself can lead to new theories being formulated and</w:t>
      </w:r>
      <w:r w:rsidR="007C255B">
        <w:t>, potentially,</w:t>
      </w:r>
      <w:r w:rsidRPr="00624451">
        <w:t xml:space="preserve"> re-tested.</w:t>
      </w:r>
      <w:r w:rsidR="007A28D6">
        <w:t xml:space="preserve"> It also adopts the </w:t>
      </w:r>
      <w:r w:rsidR="008B1572">
        <w:t>‘</w:t>
      </w:r>
      <w:r w:rsidR="007A28D6">
        <w:t>Test, Learn, Adapt</w:t>
      </w:r>
      <w:r w:rsidR="008B1572">
        <w:t>’</w:t>
      </w:r>
      <w:r w:rsidR="007A28D6">
        <w:t xml:space="preserve"> model for trialling nudge-interventions advocated by the UK </w:t>
      </w:r>
      <w:r w:rsidR="00E5291D">
        <w:t xml:space="preserve">Behavioural Insights Team </w:t>
      </w:r>
      <w:r w:rsidR="00E5291D">
        <w:fldChar w:fldCharType="begin" w:fldLock="1"/>
      </w:r>
      <w:r w:rsidR="00E5291D">
        <w:instrText>ADDIN CSL_CITATION { "citationItems" : [ { "id" : "ITEM-1", "itemData" : { "author" : [ { "dropping-particle" : "", "family" : "Haynes", "given" : "L", "non-dropping-particle" : "", "parse-names" : false, "suffix" : "" }, { "dropping-particle" : "", "family" : "Goldacre", "given" : "B", "non-dropping-particle" : "", "parse-names" : false, "suffix" : "" }, { "dropping-particle" : "", "family" : "Torgerson", "given" : "D", "non-dropping-particle" : "", "parse-names" : false, "suffix" : "" } ], "container-title" : "Cabinet Office-Behavioural \u2026", "id" : "ITEM-1", "issued" : { "date-parts" : [ [ "2012" ] ] }, "title" : "Test, learn, adapt: developing public policy with randomised controlled trials", "type" : "report" }, "uris" : [ "http://www.mendeley.com/documents/?uuid=40320525-2bd0-4055-ba6a-10355d51996d" ] } ], "mendeley" : { "formattedCitation" : "(Haynes et al. 2012)", "plainTextFormattedCitation" : "(Haynes et al. 2012)" }, "properties" : {  }, "schema" : "https://github.com/citation-style-language/schema/raw/master/csl-citation.json" }</w:instrText>
      </w:r>
      <w:r w:rsidR="00E5291D">
        <w:fldChar w:fldCharType="separate"/>
      </w:r>
      <w:r w:rsidR="00E5291D" w:rsidRPr="00E5291D">
        <w:rPr>
          <w:noProof/>
        </w:rPr>
        <w:t>(Haynes et al. 2012)</w:t>
      </w:r>
      <w:r w:rsidR="00E5291D">
        <w:fldChar w:fldCharType="end"/>
      </w:r>
      <w:r w:rsidR="007A28D6">
        <w:t xml:space="preserve">. Getting </w:t>
      </w:r>
      <w:r w:rsidR="005648C9">
        <w:t>behavioural interventions</w:t>
      </w:r>
      <w:r w:rsidR="007A28D6">
        <w:t xml:space="preserve"> right is </w:t>
      </w:r>
      <w:r w:rsidR="007C255B">
        <w:t>challenging</w:t>
      </w:r>
      <w:r w:rsidR="007A28D6">
        <w:t xml:space="preserve">, and so it is appropriate to </w:t>
      </w:r>
      <w:r w:rsidR="00107824">
        <w:t xml:space="preserve">test </w:t>
      </w:r>
      <w:r w:rsidR="007A28D6">
        <w:t xml:space="preserve">and </w:t>
      </w:r>
      <w:r w:rsidR="00107824">
        <w:t xml:space="preserve">adjust </w:t>
      </w:r>
      <w:r w:rsidR="007C255B">
        <w:t>them by repeating</w:t>
      </w:r>
      <w:r w:rsidR="00D20280">
        <w:t xml:space="preserve"> and adapting RCTs </w:t>
      </w:r>
      <w:r w:rsidR="00D20280">
        <w:fldChar w:fldCharType="begin" w:fldLock="1"/>
      </w:r>
      <w:r w:rsidR="00CB0271">
        <w:instrText>ADDIN CSL_CITATION { "citationItems" : [ { "id" : "ITEM-1", "itemData" : { "author" : [ { "dropping-particle" : "", "family" : "Haynes", "given" : "L", "non-dropping-particle" : "", "parse-names" : false, "suffix" : "" }, { "dropping-particle" : "", "family" : "Goldacre", "given" : "B", "non-dropping-particle" : "", "parse-names" : false, "suffix" : "" }, { "dropping-particle" : "", "family" : "Torgerson", "given" : "D", "non-dropping-particle" : "", "parse-names" : false, "suffix" : "" } ], "container-title" : "Cabinet Office-Behavioural \u2026", "id" : "ITEM-1", "issued" : { "date-parts" : [ [ "2012" ] ] }, "title" : "Test, learn, adapt: developing public policy with randomised controlled trials", "type" : "report" }, "uris" : [ "http://www.mendeley.com/documents/?uuid=40320525-2bd0-4055-ba6a-10355d51996d" ] } ], "mendeley" : { "formattedCitation" : "(Haynes et al. 2012)", "plainTextFormattedCitation" : "(Haynes et al. 2012)", "previouslyFormattedCitation" : "(Haynes et al. 2012)" }, "properties" : {  }, "schema" : "https://github.com/citation-style-language/schema/raw/master/csl-citation.json" }</w:instrText>
      </w:r>
      <w:r w:rsidR="00D20280">
        <w:fldChar w:fldCharType="separate"/>
      </w:r>
      <w:r w:rsidR="00D20280" w:rsidRPr="00D20280">
        <w:rPr>
          <w:noProof/>
        </w:rPr>
        <w:t>(Haynes et al. 2012)</w:t>
      </w:r>
      <w:r w:rsidR="00D20280">
        <w:fldChar w:fldCharType="end"/>
      </w:r>
      <w:r w:rsidR="00D20280">
        <w:t>.</w:t>
      </w:r>
      <w:r w:rsidR="00107824">
        <w:t xml:space="preserve"> </w:t>
      </w:r>
      <w:r w:rsidR="00F90280" w:rsidRPr="00F90280">
        <w:t xml:space="preserve">By combining RCTs and focus groups, this </w:t>
      </w:r>
      <w:r w:rsidR="009512C3">
        <w:t>paper</w:t>
      </w:r>
      <w:r w:rsidR="009512C3" w:rsidRPr="00F90280">
        <w:t xml:space="preserve"> </w:t>
      </w:r>
      <w:r w:rsidR="00F90280" w:rsidRPr="00F90280">
        <w:t xml:space="preserve">produces findings </w:t>
      </w:r>
      <w:r w:rsidR="0003721D">
        <w:t>that</w:t>
      </w:r>
      <w:r w:rsidR="0003721D" w:rsidRPr="00F90280">
        <w:t xml:space="preserve"> </w:t>
      </w:r>
      <w:r w:rsidR="00F90280" w:rsidRPr="00F90280">
        <w:t xml:space="preserve">illustrate not only behaviour but also meaning and process in relation to carbon offsetting, questions over environmental responsibility, and nudging. The </w:t>
      </w:r>
      <w:r w:rsidR="009512C3">
        <w:t>paper’s</w:t>
      </w:r>
      <w:r w:rsidR="009512C3" w:rsidRPr="00F90280">
        <w:t xml:space="preserve"> </w:t>
      </w:r>
      <w:r w:rsidR="00F90280" w:rsidRPr="00F90280">
        <w:t>findings may not be generalizable to wider society in the UK (let alone the rest of the world), but they can provide a richer, more complete sense of the situation among this small but not insignificant segment of it.</w:t>
      </w:r>
      <w:r w:rsidR="00F90280">
        <w:t xml:space="preserve"> </w:t>
      </w:r>
    </w:p>
    <w:p w14:paraId="41554AE7" w14:textId="0C49B6FC" w:rsidR="00624451" w:rsidRDefault="00624451" w:rsidP="00617F29">
      <w:pPr>
        <w:rPr>
          <w:lang w:eastAsia="zh-TW"/>
        </w:rPr>
      </w:pPr>
      <w:r>
        <w:rPr>
          <w:lang w:eastAsia="zh-TW"/>
        </w:rPr>
        <w:t>The samples for both the RCT</w:t>
      </w:r>
      <w:r w:rsidR="005648C9">
        <w:rPr>
          <w:lang w:eastAsia="zh-TW"/>
        </w:rPr>
        <w:t>s</w:t>
      </w:r>
      <w:r>
        <w:rPr>
          <w:lang w:eastAsia="zh-TW"/>
        </w:rPr>
        <w:t xml:space="preserve"> and the focus groups were taken from the student population at the University of Southampton</w:t>
      </w:r>
      <w:r w:rsidR="009B6DEB">
        <w:rPr>
          <w:lang w:eastAsia="zh-TW"/>
        </w:rPr>
        <w:t>,</w:t>
      </w:r>
      <w:r w:rsidR="00107824">
        <w:rPr>
          <w:lang w:eastAsia="zh-TW"/>
        </w:rPr>
        <w:t xml:space="preserve"> with</w:t>
      </w:r>
      <w:r w:rsidR="009B6DEB">
        <w:rPr>
          <w:lang w:eastAsia="zh-TW"/>
        </w:rPr>
        <w:t xml:space="preserve"> the rationale </w:t>
      </w:r>
      <w:r>
        <w:rPr>
          <w:lang w:eastAsia="zh-TW"/>
        </w:rPr>
        <w:t xml:space="preserve">that students </w:t>
      </w:r>
      <w:r w:rsidR="00107824">
        <w:rPr>
          <w:lang w:eastAsia="zh-TW"/>
        </w:rPr>
        <w:t xml:space="preserve">largely </w:t>
      </w:r>
      <w:r>
        <w:rPr>
          <w:lang w:eastAsia="zh-TW"/>
        </w:rPr>
        <w:t xml:space="preserve">fit the profile of </w:t>
      </w:r>
      <w:r w:rsidR="009B6DEB">
        <w:rPr>
          <w:lang w:eastAsia="zh-TW"/>
        </w:rPr>
        <w:t>likely offset customers</w:t>
      </w:r>
      <w:r>
        <w:rPr>
          <w:lang w:eastAsia="zh-TW"/>
        </w:rPr>
        <w:t>. P</w:t>
      </w:r>
      <w:r w:rsidR="00A42A5D">
        <w:rPr>
          <w:lang w:eastAsia="zh-TW"/>
        </w:rPr>
        <w:t>revious studies indicate that the p</w:t>
      </w:r>
      <w:r>
        <w:rPr>
          <w:lang w:eastAsia="zh-TW"/>
        </w:rPr>
        <w:t xml:space="preserve">eople who purchase offsets are likely to be under 35, educated to university degree, travel alone, go on backpacking holidays, and have high levels of environmental concern </w:t>
      </w:r>
      <w:r>
        <w:rPr>
          <w:lang w:eastAsia="zh-TW"/>
        </w:rPr>
        <w:fldChar w:fldCharType="begin" w:fldLock="1"/>
      </w:r>
      <w:r w:rsidR="00CB0271">
        <w:rPr>
          <w:lang w:eastAsia="zh-TW"/>
        </w:rPr>
        <w:instrText>ADDIN CSL_CITATION { "citationItems" : [ { "id" : "ITEM-1", "itemData" : { "DOI" : "10.1016/j.tourman.2014.04.009", "ISBN" : "0261-5177", "ISSN" : "02615177", "abstract" : "Voluntary carbon offsetting was popularised during the last decade, particularly by airlines, as a tool to 'neutralise' emissions associated with travel. Although there is a wide range of carbon offsetting schemes for tourism, the uptake of these programs has been reportedly low. Regardless, little research has explored the visitor segments who voluntarily undertake carbon offsetting. Consequently, this research investigates the prevalence of carbon offsetting amongst international tourists to Australia between 2008 and 2010 and, using cluster analysis, segments the carbon offsetters into three distinct markets. Findings reveal a stable carbon offsetting market, despite a Global Financial Crisis occurring during the reference period. Further, travellers from the United Kingdom/Europe were more likely to carbon offset, while those from Asia were less likely to participate in the schemes. Thus, this could indicate that the social marketing, public discourse and substantial media coverage in the United Kingdom/Europe had enhanced climate change mitigation behaviours. ?? 2014 Elsevier Ltd.", "author" : [ { "dropping-particle" : "", "family" : "McLennan", "given" : "Char Lee J", "non-dropping-particle" : "", "parse-names" : false, "suffix" : "" }, { "dropping-particle" : "", "family" : "Becken", "given" : "Susanne", "non-dropping-particle" : "", "parse-names" : false, "suffix" : "" }, { "dropping-particle" : "", "family" : "Battye", "given" : "Rod", "non-dropping-particle" : "", "parse-names" : false, "suffix" : "" }, { "dropping-particle" : "", "family" : "So", "given" : "Kevin Kam Fung", "non-dropping-particle" : "", "parse-names" : false, "suffix" : "" } ], "container-title" : "Tourism Management", "id" : "ITEM-1", "issued" : { "date-parts" : [ [ "2014" ] ] }, "page" : "194-198", "publisher" : "Elsevier Ltd", "title" : "Voluntary carbon offsetting: Who does it?", "type" : "article-journal", "volume" : "45" }, "uris" : [ "http://www.mendeley.com/documents/?uuid=a72d727a-eccc-4918-a50d-cd71fa508dc9" ] }, { "id" : "ITEM-2", "itemData" : { "author" : [ { "dropping-particle" : "", "family" : "Hooper", "given" : "Paul", "non-dropping-particle" : "", "parse-names" : false, "suffix" : "" }, { "dropping-particle" : "", "family" : "Daley", "given" : "Ben", "non-dropping-particle" : "", "parse-names" : false, "suffix" : "" }, { "dropping-particle" : "", "family" : "Preston", "given" : "Holly", "non-dropping-particle" : "", "parse-names" : false, "suffix" : "" }, { "dropping-particle" : "", "family" : "Thomas", "given" : "Callum", "non-dropping-particle" : "", "parse-names" : false, "suffix" : "" } ], "id" : "ITEM-2", "issued" : { "date-parts" : [ [ "2008" ] ] }, "publisher-place" : "Manchester", "title" : "Final OMEGA Project Report : An Assessment of the Potential of Carbon Offset Schemes to Mitigate the Climate Change Implications of Future Growth of UK Aviation", "type" : "report" }, "uris" : [ "http://www.mendeley.com/documents/?uuid=3e2477c0-0d9b-4f89-b181-a72e1cf88d2f" ] }, { "id" : "ITEM-3", "itemData" : { "author" : [ { "dropping-particle" : "", "family" : "MacKerron", "given" : "George J", "non-dropping-particle" : "", "parse-names" : false, "suffix" : "" }, { "dropping-particle" : "", "family" : "Egerton", "given" : "Catrin", "non-dropping-particle" : "", "parse-names" : false, "suffix" : "" }, { "dropping-particle" : "", "family" : "Gaskell", "given" : "Christopher", "non-dropping-particle" : "", "parse-names" : false, "suffix" : "" }, { "dropping-particle" : "", "family" : "Parpia", "given" : "Aimie", "non-dropping-particle" : "", "parse-names" : false, "suffix" : "" }, { "dropping-particle" : "", "family" : "Mouratoa", "given" : "Susana", "non-dropping-particle" : "", "parse-names" : false, "suffix" : "" } ], "container-title" : "Energy Policy", "id" : "ITEM-3", "issued" : { "date-parts" : [ [ "2009" ] ] }, "page" : "1372\u20131381", "title" : "Willingness to pay for carbon offset certification and co-benefits among (high-)flying young adults in the UK", "type" : "article-journal", "volume" : "37" }, "uris" : [ "http://www.mendeley.com/documents/?uuid=3dc8dc79-bee0-4eaf-97e9-9087b3252cda" ] } ], "mendeley" : { "formattedCitation" : "(McLennan et al. 2014; Hooper et al. 2008; MacKerron et al. 2009)", "plainTextFormattedCitation" : "(McLennan et al. 2014; Hooper et al. 2008; MacKerron et al. 2009)", "previouslyFormattedCitation" : "(McLennan et al. 2014; Hooper et al. 2008; MacKerron et al. 2009)" }, "properties" : {  }, "schema" : "https://github.com/citation-style-language/schema/raw/master/csl-citation.json" }</w:instrText>
      </w:r>
      <w:r>
        <w:rPr>
          <w:lang w:eastAsia="zh-TW"/>
        </w:rPr>
        <w:fldChar w:fldCharType="separate"/>
      </w:r>
      <w:r>
        <w:rPr>
          <w:noProof/>
          <w:lang w:eastAsia="zh-TW"/>
        </w:rPr>
        <w:t>(McLennan et al. 2014; Hooper et al. 2008; MacKerron et al. 2009)</w:t>
      </w:r>
      <w:r>
        <w:rPr>
          <w:lang w:eastAsia="zh-TW"/>
        </w:rPr>
        <w:fldChar w:fldCharType="end"/>
      </w:r>
      <w:r w:rsidR="00107824">
        <w:rPr>
          <w:lang w:eastAsia="zh-TW"/>
        </w:rPr>
        <w:t xml:space="preserve">, characteristics which plausibly </w:t>
      </w:r>
      <w:r>
        <w:rPr>
          <w:lang w:eastAsia="zh-TW"/>
        </w:rPr>
        <w:t>fit</w:t>
      </w:r>
      <w:r w:rsidR="00107824">
        <w:rPr>
          <w:lang w:eastAsia="zh-TW"/>
        </w:rPr>
        <w:t xml:space="preserve"> the student population</w:t>
      </w:r>
      <w:r w:rsidR="00C33F66">
        <w:rPr>
          <w:lang w:eastAsia="zh-TW"/>
        </w:rPr>
        <w:t>.</w:t>
      </w:r>
      <w:r w:rsidR="00617F29" w:rsidRPr="00617F29">
        <w:t xml:space="preserve"> </w:t>
      </w:r>
      <w:r w:rsidR="00617F29">
        <w:t>The most likely</w:t>
      </w:r>
      <w:r w:rsidR="0003721D">
        <w:t>-to-</w:t>
      </w:r>
      <w:r w:rsidR="00617F29">
        <w:t>offset customers were selected</w:t>
      </w:r>
      <w:r w:rsidR="00617F29">
        <w:rPr>
          <w:lang w:eastAsia="zh-TW"/>
        </w:rPr>
        <w:t xml:space="preserve"> </w:t>
      </w:r>
      <w:r w:rsidR="00F8793C">
        <w:rPr>
          <w:lang w:eastAsia="zh-TW"/>
        </w:rPr>
        <w:t>with the belief</w:t>
      </w:r>
      <w:r w:rsidR="00107824">
        <w:rPr>
          <w:lang w:eastAsia="zh-TW"/>
        </w:rPr>
        <w:t xml:space="preserve"> that</w:t>
      </w:r>
      <w:r>
        <w:rPr>
          <w:lang w:eastAsia="zh-TW"/>
        </w:rPr>
        <w:t xml:space="preserve"> nudges </w:t>
      </w:r>
      <w:r w:rsidR="00107824">
        <w:rPr>
          <w:lang w:eastAsia="zh-TW"/>
        </w:rPr>
        <w:t xml:space="preserve">will most likely be effective </w:t>
      </w:r>
      <w:r>
        <w:rPr>
          <w:lang w:eastAsia="zh-TW"/>
        </w:rPr>
        <w:t>on those most sympathetic to the notion of carbon offsetting in the first place. If those people cannot be nudged t</w:t>
      </w:r>
      <w:r w:rsidR="00A42A5D">
        <w:rPr>
          <w:lang w:eastAsia="zh-TW"/>
        </w:rPr>
        <w:t>owards offsetting</w:t>
      </w:r>
      <w:r w:rsidR="00DA559D">
        <w:rPr>
          <w:lang w:eastAsia="zh-TW"/>
        </w:rPr>
        <w:t xml:space="preserve"> then</w:t>
      </w:r>
      <w:r w:rsidR="009B6DEB">
        <w:rPr>
          <w:lang w:eastAsia="zh-TW"/>
        </w:rPr>
        <w:t>,</w:t>
      </w:r>
      <w:r w:rsidR="005648C9">
        <w:rPr>
          <w:lang w:eastAsia="zh-TW"/>
        </w:rPr>
        <w:t xml:space="preserve"> arguably</w:t>
      </w:r>
      <w:r w:rsidR="009B6DEB">
        <w:rPr>
          <w:lang w:eastAsia="zh-TW"/>
        </w:rPr>
        <w:t>,</w:t>
      </w:r>
      <w:r>
        <w:rPr>
          <w:lang w:eastAsia="zh-TW"/>
        </w:rPr>
        <w:t xml:space="preserve"> no-one can.</w:t>
      </w:r>
      <w:r w:rsidR="005E08D5">
        <w:rPr>
          <w:lang w:eastAsia="zh-TW"/>
        </w:rPr>
        <w:t xml:space="preserve"> </w:t>
      </w:r>
    </w:p>
    <w:p w14:paraId="18784CE1" w14:textId="09745FF3" w:rsidR="005E08D5" w:rsidRPr="00FB71DE" w:rsidRDefault="005E08D5" w:rsidP="00BB1D36">
      <w:pPr>
        <w:pStyle w:val="Heading2"/>
      </w:pPr>
      <w:r>
        <w:rPr>
          <w:lang w:eastAsia="zh-TW"/>
        </w:rPr>
        <w:t>Stage 1 – RCT1</w:t>
      </w:r>
      <w:bookmarkStart w:id="1" w:name="_Toc417044404"/>
      <w:bookmarkStart w:id="2" w:name="_Toc430255264"/>
      <w:r w:rsidR="00AE063D">
        <w:rPr>
          <w:lang w:eastAsia="zh-TW"/>
        </w:rPr>
        <w:t xml:space="preserve"> </w:t>
      </w:r>
      <w:bookmarkEnd w:id="1"/>
      <w:bookmarkEnd w:id="2"/>
    </w:p>
    <w:p w14:paraId="5A2A1EAA" w14:textId="55A3F4D7" w:rsidR="005E08D5" w:rsidRDefault="0012558D" w:rsidP="005A2E22">
      <w:pPr>
        <w:rPr>
          <w:lang w:eastAsia="zh-TW"/>
        </w:rPr>
      </w:pPr>
      <w:r>
        <w:rPr>
          <w:lang w:eastAsia="zh-TW"/>
        </w:rPr>
        <w:t>RCT1 was</w:t>
      </w:r>
      <w:r w:rsidR="005E08D5">
        <w:rPr>
          <w:lang w:eastAsia="zh-TW"/>
        </w:rPr>
        <w:t xml:space="preserve"> </w:t>
      </w:r>
      <w:r w:rsidR="00BF23EB">
        <w:rPr>
          <w:lang w:eastAsia="zh-TW"/>
        </w:rPr>
        <w:t xml:space="preserve">embedded </w:t>
      </w:r>
      <w:r w:rsidR="00F20A7F">
        <w:rPr>
          <w:lang w:eastAsia="zh-TW"/>
        </w:rPr>
        <w:t>in</w:t>
      </w:r>
      <w:r w:rsidR="00BF23EB">
        <w:rPr>
          <w:lang w:eastAsia="zh-TW"/>
        </w:rPr>
        <w:t xml:space="preserve"> a</w:t>
      </w:r>
      <w:r w:rsidR="005E08D5">
        <w:rPr>
          <w:lang w:eastAsia="zh-TW"/>
        </w:rPr>
        <w:t xml:space="preserve"> short survey about air travel behaviour</w:t>
      </w:r>
      <w:r w:rsidR="00F20A7F" w:rsidRPr="00F20A7F">
        <w:rPr>
          <w:lang w:eastAsia="zh-TW"/>
        </w:rPr>
        <w:t xml:space="preserve"> </w:t>
      </w:r>
      <w:r w:rsidR="00F20A7F">
        <w:rPr>
          <w:lang w:eastAsia="zh-TW"/>
        </w:rPr>
        <w:t xml:space="preserve">which was emailed to all </w:t>
      </w:r>
      <w:r w:rsidR="00F20A7F" w:rsidRPr="00E339F7">
        <w:rPr>
          <w:lang w:eastAsia="zh-TW"/>
        </w:rPr>
        <w:t xml:space="preserve">24,040 </w:t>
      </w:r>
      <w:r w:rsidR="00F20A7F">
        <w:rPr>
          <w:lang w:eastAsia="zh-TW"/>
        </w:rPr>
        <w:t>students at the University of Southampton registered during the 2013/14 academic year</w:t>
      </w:r>
      <w:r w:rsidR="005E08D5">
        <w:rPr>
          <w:lang w:eastAsia="zh-TW"/>
        </w:rPr>
        <w:t>. 1</w:t>
      </w:r>
      <w:r w:rsidR="00A45EB4">
        <w:rPr>
          <w:lang w:eastAsia="zh-TW"/>
        </w:rPr>
        <w:t>,</w:t>
      </w:r>
      <w:r w:rsidR="005E08D5">
        <w:rPr>
          <w:lang w:eastAsia="zh-TW"/>
        </w:rPr>
        <w:t xml:space="preserve">626 students responded to the email and took part in the survey and RCT, a 6.73% response rate. </w:t>
      </w:r>
      <w:r w:rsidR="005B65BA">
        <w:rPr>
          <w:lang w:eastAsia="zh-TW"/>
        </w:rPr>
        <w:t xml:space="preserve">The survey captured data on the number of flights a participant had taken in the last year, the size of party and destination of the last flight, and concern over climate change (using a likert scale), so that any potential correlations with the outcome variables could be observed. </w:t>
      </w:r>
    </w:p>
    <w:p w14:paraId="14DA8405" w14:textId="4D53DFE9" w:rsidR="00FE2C5F" w:rsidRDefault="001833E9" w:rsidP="00BB1D36">
      <w:pPr>
        <w:rPr>
          <w:lang w:eastAsia="zh-TW"/>
        </w:rPr>
      </w:pPr>
      <w:r>
        <w:rPr>
          <w:lang w:eastAsia="zh-TW"/>
        </w:rPr>
        <w:t>Although</w:t>
      </w:r>
      <w:r w:rsidR="005B65BA">
        <w:rPr>
          <w:lang w:eastAsia="zh-TW"/>
        </w:rPr>
        <w:t xml:space="preserve"> survey data was collected, the</w:t>
      </w:r>
      <w:r w:rsidR="005E08D5">
        <w:rPr>
          <w:lang w:eastAsia="zh-TW"/>
        </w:rPr>
        <w:t xml:space="preserve"> </w:t>
      </w:r>
      <w:r w:rsidR="005B65BA">
        <w:rPr>
          <w:lang w:eastAsia="zh-TW"/>
        </w:rPr>
        <w:t xml:space="preserve">main </w:t>
      </w:r>
      <w:r w:rsidR="005E08D5">
        <w:rPr>
          <w:lang w:eastAsia="zh-TW"/>
        </w:rPr>
        <w:t>aim was t</w:t>
      </w:r>
      <w:r w:rsidR="007C7BD9">
        <w:rPr>
          <w:lang w:eastAsia="zh-TW"/>
        </w:rPr>
        <w:t>o test three different nudges</w:t>
      </w:r>
      <w:r w:rsidR="005B65BA">
        <w:rPr>
          <w:lang w:eastAsia="zh-TW"/>
        </w:rPr>
        <w:t xml:space="preserve"> delivered after the survey, </w:t>
      </w:r>
      <w:r w:rsidR="005E08D5">
        <w:rPr>
          <w:lang w:eastAsia="zh-TW"/>
        </w:rPr>
        <w:t>to see if they had any effect on two outcomes variables: (1) respondents ‘interest’ in offsetting the carbon from the last flight they took</w:t>
      </w:r>
      <w:r w:rsidR="00674A61">
        <w:rPr>
          <w:lang w:eastAsia="zh-TW"/>
        </w:rPr>
        <w:t xml:space="preserve">, as </w:t>
      </w:r>
      <w:r w:rsidR="00674A61" w:rsidRPr="001B3898">
        <w:rPr>
          <w:lang w:eastAsia="zh-TW"/>
        </w:rPr>
        <w:t xml:space="preserve">measured by visits to </w:t>
      </w:r>
      <w:r w:rsidR="00674A61">
        <w:rPr>
          <w:lang w:eastAsia="zh-TW"/>
        </w:rPr>
        <w:t>a</w:t>
      </w:r>
      <w:r w:rsidR="00674A61" w:rsidRPr="001B3898">
        <w:rPr>
          <w:lang w:eastAsia="zh-TW"/>
        </w:rPr>
        <w:t xml:space="preserve"> carbon offset site</w:t>
      </w:r>
      <w:r w:rsidR="005E08D5">
        <w:rPr>
          <w:lang w:eastAsia="zh-TW"/>
        </w:rPr>
        <w:t xml:space="preserve"> (</w:t>
      </w:r>
      <w:r w:rsidR="005E08D5">
        <w:rPr>
          <w:i/>
          <w:iCs/>
          <w:lang w:eastAsia="zh-TW"/>
        </w:rPr>
        <w:t>attitudes</w:t>
      </w:r>
      <w:r w:rsidR="005E08D5">
        <w:rPr>
          <w:lang w:eastAsia="zh-TW"/>
        </w:rPr>
        <w:t xml:space="preserve"> to carbon offsetting</w:t>
      </w:r>
      <w:r w:rsidR="001B3898">
        <w:rPr>
          <w:lang w:eastAsia="zh-TW"/>
        </w:rPr>
        <w:t>,</w:t>
      </w:r>
      <w:r w:rsidR="005E08D5">
        <w:rPr>
          <w:lang w:eastAsia="zh-TW"/>
        </w:rPr>
        <w:t xml:space="preserve">); and (2), respondents’ likelihood to purchase an offset for the carbon from the last flight they took (carbon offset </w:t>
      </w:r>
      <w:r w:rsidR="005E08D5">
        <w:rPr>
          <w:i/>
          <w:iCs/>
          <w:lang w:eastAsia="zh-TW"/>
        </w:rPr>
        <w:t xml:space="preserve">behaviour). </w:t>
      </w:r>
      <w:r w:rsidR="00FE2C5F">
        <w:rPr>
          <w:lang w:eastAsia="zh-TW"/>
        </w:rPr>
        <w:t xml:space="preserve">Outcome variable (1), offset interest, was measured by the number of </w:t>
      </w:r>
      <w:r w:rsidR="00FE2C5F">
        <w:rPr>
          <w:rFonts w:cs="Times New Roman"/>
        </w:rPr>
        <w:t>respondents</w:t>
      </w:r>
      <w:r w:rsidR="00FE2C5F">
        <w:rPr>
          <w:lang w:eastAsia="zh-TW"/>
        </w:rPr>
        <w:t xml:space="preserve"> who answered ‘Yes’ to the following question:</w:t>
      </w:r>
    </w:p>
    <w:p w14:paraId="1E077468" w14:textId="77777777" w:rsidR="00FE2C5F" w:rsidRDefault="00FE2C5F" w:rsidP="00FE2C5F">
      <w:pPr>
        <w:jc w:val="center"/>
        <w:rPr>
          <w:lang w:eastAsia="zh-TW"/>
        </w:rPr>
      </w:pPr>
      <w:r>
        <w:rPr>
          <w:lang w:eastAsia="zh-TW"/>
        </w:rPr>
        <w:t>“Do you want to calculate the carbon generated from the last flight you took, with the option to offset it?”</w:t>
      </w:r>
    </w:p>
    <w:p w14:paraId="1F09834A" w14:textId="77777777" w:rsidR="00FE2C5F" w:rsidRDefault="00FE2C5F" w:rsidP="00FE2C5F">
      <w:pPr>
        <w:rPr>
          <w:lang w:eastAsia="zh-TW"/>
        </w:rPr>
      </w:pPr>
      <w:r>
        <w:rPr>
          <w:lang w:eastAsia="zh-TW"/>
        </w:rPr>
        <w:t xml:space="preserve">If </w:t>
      </w:r>
      <w:r>
        <w:rPr>
          <w:rFonts w:cs="Times New Roman"/>
        </w:rPr>
        <w:t>respondents</w:t>
      </w:r>
      <w:r>
        <w:rPr>
          <w:lang w:eastAsia="zh-TW"/>
        </w:rPr>
        <w:t xml:space="preserve"> clicked ‘Yes’ then a new browser window opened which took them to a carbon calculator provided by partner company </w:t>
      </w:r>
      <w:r>
        <w:t xml:space="preserve">carbonfootprint.com </w:t>
      </w:r>
      <w:r>
        <w:rPr>
          <w:lang w:eastAsia="zh-TW"/>
        </w:rPr>
        <w:t xml:space="preserve">where </w:t>
      </w:r>
      <w:r>
        <w:rPr>
          <w:rFonts w:cs="Times New Roman"/>
        </w:rPr>
        <w:t>respondents</w:t>
      </w:r>
      <w:r>
        <w:rPr>
          <w:lang w:eastAsia="zh-TW"/>
        </w:rPr>
        <w:t xml:space="preserve"> could enter details (origin and destination) of their last flight, and were given a carbon amount for that flight, and a price to offset it (see appendix). They were then given the option to purchase a real offset for that flight.</w:t>
      </w:r>
    </w:p>
    <w:p w14:paraId="4AFE68A0" w14:textId="03BDA203" w:rsidR="00FE2C5F" w:rsidRDefault="00FE2C5F" w:rsidP="005A2E22">
      <w:pPr>
        <w:rPr>
          <w:lang w:eastAsia="zh-TW"/>
        </w:rPr>
      </w:pPr>
      <w:r>
        <w:rPr>
          <w:lang w:eastAsia="zh-TW"/>
        </w:rPr>
        <w:t xml:space="preserve">Outcome variable (2), offset behaviour, was measured by collecting data from </w:t>
      </w:r>
      <w:r>
        <w:t xml:space="preserve">carbonfootprint.com </w:t>
      </w:r>
      <w:r>
        <w:rPr>
          <w:lang w:eastAsia="zh-TW"/>
        </w:rPr>
        <w:t xml:space="preserve">on which </w:t>
      </w:r>
      <w:r>
        <w:rPr>
          <w:rFonts w:cs="Times New Roman"/>
        </w:rPr>
        <w:t>respondents</w:t>
      </w:r>
      <w:r>
        <w:rPr>
          <w:lang w:eastAsia="zh-TW"/>
        </w:rPr>
        <w:t xml:space="preserve"> had actually </w:t>
      </w:r>
      <w:r w:rsidRPr="00356AF0">
        <w:rPr>
          <w:iCs/>
          <w:lang w:eastAsia="zh-TW"/>
        </w:rPr>
        <w:t>paid</w:t>
      </w:r>
      <w:r>
        <w:rPr>
          <w:lang w:eastAsia="zh-TW"/>
        </w:rPr>
        <w:t xml:space="preserve"> for an offset. This was done by comparing IP addresses from </w:t>
      </w:r>
      <w:r>
        <w:t>carbonfootprint.com</w:t>
      </w:r>
      <w:r>
        <w:rPr>
          <w:lang w:eastAsia="zh-TW"/>
        </w:rPr>
        <w:t xml:space="preserve">’s payment records with IP addresses collected by </w:t>
      </w:r>
      <w:r w:rsidR="005E5C7B">
        <w:rPr>
          <w:lang w:eastAsia="zh-TW"/>
        </w:rPr>
        <w:t xml:space="preserve">the </w:t>
      </w:r>
      <w:r>
        <w:rPr>
          <w:lang w:eastAsia="zh-TW"/>
        </w:rPr>
        <w:t xml:space="preserve">online survey </w:t>
      </w:r>
      <w:r w:rsidR="005E5C7B">
        <w:rPr>
          <w:lang w:eastAsia="zh-TW"/>
        </w:rPr>
        <w:t>platform</w:t>
      </w:r>
      <w:r>
        <w:rPr>
          <w:lang w:eastAsia="zh-TW"/>
        </w:rPr>
        <w:t>.</w:t>
      </w:r>
    </w:p>
    <w:p w14:paraId="1CE7522D" w14:textId="53AE42E1" w:rsidR="00900FBD" w:rsidRDefault="005E08D5" w:rsidP="005A2E22">
      <w:pPr>
        <w:rPr>
          <w:lang w:eastAsia="zh-TW"/>
        </w:rPr>
      </w:pPr>
      <w:r>
        <w:rPr>
          <w:lang w:eastAsia="zh-TW"/>
        </w:rPr>
        <w:t>Participants were randomly</w:t>
      </w:r>
      <w:r w:rsidR="001833E9">
        <w:rPr>
          <w:lang w:eastAsia="zh-TW"/>
        </w:rPr>
        <w:t xml:space="preserve"> and blindly</w:t>
      </w:r>
      <w:r>
        <w:rPr>
          <w:lang w:eastAsia="zh-TW"/>
        </w:rPr>
        <w:t xml:space="preserve"> allocated to one of four treatment groups and these two outcome variables were measured for each group. </w:t>
      </w:r>
      <w:r w:rsidR="00F8793C">
        <w:rPr>
          <w:lang w:eastAsia="zh-TW"/>
        </w:rPr>
        <w:t xml:space="preserve">Allocation was performed automatically and randomly by the University of Southampton’s iSurvey </w:t>
      </w:r>
      <w:r w:rsidR="005E5C7B">
        <w:rPr>
          <w:lang w:eastAsia="zh-TW"/>
        </w:rPr>
        <w:t>platform</w:t>
      </w:r>
      <w:r w:rsidR="00F8793C">
        <w:rPr>
          <w:lang w:eastAsia="zh-TW"/>
        </w:rPr>
        <w:t xml:space="preserve">, </w:t>
      </w:r>
      <w:r w:rsidR="005E5C7B">
        <w:rPr>
          <w:lang w:eastAsia="zh-TW"/>
        </w:rPr>
        <w:t>achieving</w:t>
      </w:r>
      <w:r w:rsidR="00F8793C">
        <w:rPr>
          <w:lang w:eastAsia="zh-TW"/>
        </w:rPr>
        <w:t xml:space="preserve"> roughly equal allocation</w:t>
      </w:r>
      <w:r w:rsidR="00C33F66">
        <w:rPr>
          <w:lang w:eastAsia="zh-TW"/>
        </w:rPr>
        <w:t xml:space="preserve"> to treatment and control groups</w:t>
      </w:r>
      <w:r w:rsidR="00F8793C">
        <w:rPr>
          <w:lang w:eastAsia="zh-TW"/>
        </w:rPr>
        <w:t xml:space="preserve"> (</w:t>
      </w:r>
      <w:r w:rsidR="007C7BD9">
        <w:rPr>
          <w:lang w:eastAsia="zh-TW"/>
        </w:rPr>
        <w:t xml:space="preserve">see </w:t>
      </w:r>
      <w:r w:rsidR="0015699C">
        <w:rPr>
          <w:lang w:eastAsia="zh-TW"/>
        </w:rPr>
        <w:t>Table</w:t>
      </w:r>
      <w:r w:rsidR="00FE2C5F">
        <w:rPr>
          <w:lang w:eastAsia="zh-TW"/>
        </w:rPr>
        <w:t xml:space="preserve"> 1</w:t>
      </w:r>
      <w:r w:rsidR="00F8793C">
        <w:rPr>
          <w:lang w:eastAsia="zh-TW"/>
        </w:rPr>
        <w:t xml:space="preserve">). </w:t>
      </w:r>
      <w:r w:rsidR="00900FBD">
        <w:rPr>
          <w:lang w:eastAsia="zh-TW"/>
        </w:rPr>
        <w:t xml:space="preserve">The nudges that were tested were a ‘descriptive norm’ nudge, a ‘third party endorsement’ nudge and an ‘affective message’ nudge. </w:t>
      </w:r>
      <w:r w:rsidR="005B65BA">
        <w:rPr>
          <w:lang w:eastAsia="zh-TW"/>
        </w:rPr>
        <w:t>Significant d</w:t>
      </w:r>
      <w:r w:rsidR="00F8793C">
        <w:rPr>
          <w:lang w:eastAsia="zh-TW"/>
        </w:rPr>
        <w:t xml:space="preserve">ifferences in </w:t>
      </w:r>
      <w:r w:rsidR="00BA7522">
        <w:rPr>
          <w:lang w:eastAsia="zh-TW"/>
        </w:rPr>
        <w:t xml:space="preserve">offset interest and offset behaviour between the </w:t>
      </w:r>
      <w:r w:rsidR="00C33F66">
        <w:rPr>
          <w:lang w:eastAsia="zh-TW"/>
        </w:rPr>
        <w:t xml:space="preserve">three </w:t>
      </w:r>
      <w:r w:rsidR="00BA7522">
        <w:rPr>
          <w:lang w:eastAsia="zh-TW"/>
        </w:rPr>
        <w:t>treatment groups</w:t>
      </w:r>
      <w:r w:rsidR="00C33F66">
        <w:rPr>
          <w:lang w:eastAsia="zh-TW"/>
        </w:rPr>
        <w:t xml:space="preserve"> and the control group</w:t>
      </w:r>
      <w:r w:rsidR="00BA7522">
        <w:rPr>
          <w:lang w:eastAsia="zh-TW"/>
        </w:rPr>
        <w:t xml:space="preserve"> </w:t>
      </w:r>
      <w:r w:rsidR="005B65BA">
        <w:rPr>
          <w:lang w:eastAsia="zh-TW"/>
        </w:rPr>
        <w:t>were</w:t>
      </w:r>
      <w:r w:rsidR="00BA7522">
        <w:rPr>
          <w:lang w:eastAsia="zh-TW"/>
        </w:rPr>
        <w:t xml:space="preserve"> measured using</w:t>
      </w:r>
      <w:r w:rsidR="00F126AE">
        <w:rPr>
          <w:lang w:eastAsia="zh-TW"/>
        </w:rPr>
        <w:t xml:space="preserve"> </w:t>
      </w:r>
      <w:r w:rsidR="005A2E22">
        <w:rPr>
          <w:rFonts w:cs="Times New Roman"/>
        </w:rPr>
        <w:t xml:space="preserve">Pearson’s </w:t>
      </w:r>
      <w:r w:rsidR="005A2E22" w:rsidRPr="004517D1">
        <w:rPr>
          <w:rFonts w:cs="Times New Roman"/>
        </w:rPr>
        <w:t>chi</w:t>
      </w:r>
      <w:r w:rsidR="005A2E22">
        <w:rPr>
          <w:rFonts w:cs="Times New Roman"/>
        </w:rPr>
        <w:t>-</w:t>
      </w:r>
      <w:r w:rsidR="005A2E22" w:rsidRPr="004517D1">
        <w:rPr>
          <w:rFonts w:cs="Times New Roman"/>
        </w:rPr>
        <w:t>square</w:t>
      </w:r>
      <w:r w:rsidR="005A2E22">
        <w:rPr>
          <w:rFonts w:cs="Times New Roman"/>
        </w:rPr>
        <w:t xml:space="preserve"> </w:t>
      </w:r>
      <w:r w:rsidR="00BA7522">
        <w:rPr>
          <w:lang w:eastAsia="zh-TW"/>
        </w:rPr>
        <w:t>test</w:t>
      </w:r>
      <w:r w:rsidR="005B65BA">
        <w:rPr>
          <w:lang w:eastAsia="zh-TW"/>
        </w:rPr>
        <w:t>s</w:t>
      </w:r>
      <w:r w:rsidR="00675DAC">
        <w:rPr>
          <w:lang w:eastAsia="zh-TW"/>
        </w:rPr>
        <w:t xml:space="preserve"> in SPSS software</w:t>
      </w:r>
      <w:r w:rsidR="00BA7522">
        <w:rPr>
          <w:lang w:eastAsia="zh-TW"/>
        </w:rPr>
        <w:t>.</w:t>
      </w:r>
    </w:p>
    <w:p w14:paraId="66AB5FC2" w14:textId="5DAC987A" w:rsidR="00FE2C5F" w:rsidRPr="007A73C8" w:rsidRDefault="0015699C" w:rsidP="007369B4">
      <w:pPr>
        <w:pStyle w:val="Heading3"/>
      </w:pPr>
      <w:bookmarkStart w:id="3" w:name="_Toc417044410"/>
      <w:bookmarkStart w:id="4" w:name="_Toc430255267"/>
      <w:r w:rsidRPr="007A73C8">
        <w:t>Table</w:t>
      </w:r>
      <w:r w:rsidR="007A73C8" w:rsidRPr="007A73C8">
        <w:t xml:space="preserve"> </w:t>
      </w:r>
      <w:r w:rsidR="007369B4">
        <w:t>1:</w:t>
      </w:r>
      <w:r w:rsidR="00FE2C5F" w:rsidRPr="007A73C8">
        <w:t xml:space="preserve"> Allocation to the RCT groups</w:t>
      </w:r>
      <w:bookmarkEnd w:id="3"/>
      <w:bookmarkEnd w:id="4"/>
    </w:p>
    <w:tbl>
      <w:tblPr>
        <w:tblStyle w:val="LightShading"/>
        <w:tblW w:w="6825" w:type="dxa"/>
        <w:shd w:val="clear" w:color="auto" w:fill="FFFFFF" w:themeFill="background1"/>
        <w:tblLayout w:type="fixed"/>
        <w:tblLook w:val="04A0" w:firstRow="1" w:lastRow="0" w:firstColumn="1" w:lastColumn="0" w:noHBand="0" w:noVBand="1"/>
      </w:tblPr>
      <w:tblGrid>
        <w:gridCol w:w="3565"/>
        <w:gridCol w:w="1843"/>
        <w:gridCol w:w="1417"/>
      </w:tblGrid>
      <w:tr w:rsidR="00FE2C5F" w14:paraId="7FE3258E" w14:textId="77777777" w:rsidTr="00356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5" w:type="dxa"/>
            <w:tcBorders>
              <w:top w:val="single" w:sz="18" w:space="0" w:color="000000" w:themeColor="text1"/>
              <w:bottom w:val="single" w:sz="18" w:space="0" w:color="000000" w:themeColor="text1"/>
            </w:tcBorders>
            <w:shd w:val="clear" w:color="auto" w:fill="FFFFFF" w:themeFill="background1"/>
          </w:tcPr>
          <w:p w14:paraId="2366D57A" w14:textId="77777777" w:rsidR="00FE2C5F" w:rsidRDefault="00FE2C5F" w:rsidP="006930B7">
            <w:pPr>
              <w:rPr>
                <w:lang w:eastAsia="en-US"/>
              </w:rPr>
            </w:pPr>
          </w:p>
        </w:tc>
        <w:tc>
          <w:tcPr>
            <w:tcW w:w="1843" w:type="dxa"/>
            <w:tcBorders>
              <w:top w:val="single" w:sz="18" w:space="0" w:color="000000" w:themeColor="text1"/>
              <w:bottom w:val="single" w:sz="18" w:space="0" w:color="000000" w:themeColor="text1"/>
            </w:tcBorders>
            <w:shd w:val="clear" w:color="auto" w:fill="FFFFFF" w:themeFill="background1"/>
            <w:hideMark/>
          </w:tcPr>
          <w:p w14:paraId="3B187260" w14:textId="77777777" w:rsidR="00FE2C5F" w:rsidRDefault="00FE2C5F" w:rsidP="006930B7">
            <w:pPr>
              <w:cnfStyle w:val="100000000000" w:firstRow="1" w:lastRow="0" w:firstColumn="0" w:lastColumn="0" w:oddVBand="0" w:evenVBand="0" w:oddHBand="0" w:evenHBand="0" w:firstRowFirstColumn="0" w:firstRowLastColumn="0" w:lastRowFirstColumn="0" w:lastRowLastColumn="0"/>
              <w:rPr>
                <w:lang w:eastAsia="en-US"/>
              </w:rPr>
            </w:pPr>
            <w:r>
              <w:rPr>
                <w:lang w:eastAsia="en-US"/>
              </w:rPr>
              <w:t>Frequency</w:t>
            </w:r>
          </w:p>
        </w:tc>
        <w:tc>
          <w:tcPr>
            <w:tcW w:w="1417" w:type="dxa"/>
            <w:tcBorders>
              <w:top w:val="single" w:sz="18" w:space="0" w:color="000000" w:themeColor="text1"/>
              <w:bottom w:val="single" w:sz="18" w:space="0" w:color="000000" w:themeColor="text1"/>
            </w:tcBorders>
            <w:shd w:val="clear" w:color="auto" w:fill="FFFFFF" w:themeFill="background1"/>
            <w:hideMark/>
          </w:tcPr>
          <w:p w14:paraId="33E8AA89" w14:textId="77777777" w:rsidR="00FE2C5F" w:rsidRDefault="00FE2C5F" w:rsidP="006930B7">
            <w:pPr>
              <w:cnfStyle w:val="100000000000" w:firstRow="1" w:lastRow="0" w:firstColumn="0" w:lastColumn="0" w:oddVBand="0" w:evenVBand="0" w:oddHBand="0" w:evenHBand="0" w:firstRowFirstColumn="0" w:firstRowLastColumn="0" w:lastRowFirstColumn="0" w:lastRowLastColumn="0"/>
              <w:rPr>
                <w:lang w:eastAsia="en-US"/>
              </w:rPr>
            </w:pPr>
            <w:r>
              <w:rPr>
                <w:lang w:eastAsia="en-US"/>
              </w:rPr>
              <w:t>Percent</w:t>
            </w:r>
          </w:p>
        </w:tc>
      </w:tr>
      <w:tr w:rsidR="00FE2C5F" w14:paraId="79EE04A6" w14:textId="77777777" w:rsidTr="0035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5" w:type="dxa"/>
            <w:tcBorders>
              <w:top w:val="single" w:sz="18" w:space="0" w:color="000000" w:themeColor="text1"/>
            </w:tcBorders>
            <w:shd w:val="clear" w:color="auto" w:fill="FFFFFF" w:themeFill="background1"/>
            <w:hideMark/>
          </w:tcPr>
          <w:p w14:paraId="4824A5FB" w14:textId="77777777" w:rsidR="00FE2C5F" w:rsidRPr="00FB71DE" w:rsidRDefault="00FE2C5F" w:rsidP="006930B7">
            <w:pPr>
              <w:rPr>
                <w:b w:val="0"/>
                <w:bCs w:val="0"/>
                <w:lang w:eastAsia="en-US"/>
              </w:rPr>
            </w:pPr>
            <w:r w:rsidRPr="00FB71DE">
              <w:rPr>
                <w:lang w:eastAsia="en-US"/>
              </w:rPr>
              <w:t>Control</w:t>
            </w:r>
          </w:p>
        </w:tc>
        <w:tc>
          <w:tcPr>
            <w:tcW w:w="1843" w:type="dxa"/>
            <w:tcBorders>
              <w:top w:val="single" w:sz="18" w:space="0" w:color="000000" w:themeColor="text1"/>
            </w:tcBorders>
            <w:shd w:val="clear" w:color="auto" w:fill="FFFFFF" w:themeFill="background1"/>
            <w:hideMark/>
          </w:tcPr>
          <w:p w14:paraId="41006F84" w14:textId="77777777" w:rsidR="00FE2C5F" w:rsidRDefault="00FE2C5F" w:rsidP="006930B7">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423</w:t>
            </w:r>
          </w:p>
        </w:tc>
        <w:tc>
          <w:tcPr>
            <w:tcW w:w="1417" w:type="dxa"/>
            <w:tcBorders>
              <w:top w:val="single" w:sz="18" w:space="0" w:color="000000" w:themeColor="text1"/>
            </w:tcBorders>
            <w:shd w:val="clear" w:color="auto" w:fill="FFFFFF" w:themeFill="background1"/>
            <w:hideMark/>
          </w:tcPr>
          <w:p w14:paraId="48C2F2EB" w14:textId="77777777" w:rsidR="00FE2C5F" w:rsidRDefault="00FE2C5F" w:rsidP="006930B7">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26.0</w:t>
            </w:r>
          </w:p>
        </w:tc>
      </w:tr>
      <w:tr w:rsidR="00FE2C5F" w14:paraId="409B2047" w14:textId="77777777" w:rsidTr="00FE2C5F">
        <w:tc>
          <w:tcPr>
            <w:cnfStyle w:val="001000000000" w:firstRow="0" w:lastRow="0" w:firstColumn="1" w:lastColumn="0" w:oddVBand="0" w:evenVBand="0" w:oddHBand="0" w:evenHBand="0" w:firstRowFirstColumn="0" w:firstRowLastColumn="0" w:lastRowFirstColumn="0" w:lastRowLastColumn="0"/>
            <w:tcW w:w="3565" w:type="dxa"/>
            <w:shd w:val="clear" w:color="auto" w:fill="FFFFFF" w:themeFill="background1"/>
            <w:hideMark/>
          </w:tcPr>
          <w:p w14:paraId="3B3547FF" w14:textId="77777777" w:rsidR="00FE2C5F" w:rsidRPr="00FB71DE" w:rsidRDefault="00FE2C5F" w:rsidP="006930B7">
            <w:pPr>
              <w:rPr>
                <w:b w:val="0"/>
                <w:bCs w:val="0"/>
                <w:lang w:eastAsia="en-US"/>
              </w:rPr>
            </w:pPr>
            <w:r w:rsidRPr="00FB71DE">
              <w:rPr>
                <w:lang w:eastAsia="en-US"/>
              </w:rPr>
              <w:t>Third Party Endorsement</w:t>
            </w:r>
          </w:p>
        </w:tc>
        <w:tc>
          <w:tcPr>
            <w:tcW w:w="1843" w:type="dxa"/>
            <w:shd w:val="clear" w:color="auto" w:fill="FFFFFF" w:themeFill="background1"/>
            <w:hideMark/>
          </w:tcPr>
          <w:p w14:paraId="0617C680" w14:textId="77777777" w:rsidR="00FE2C5F" w:rsidRDefault="00FE2C5F" w:rsidP="006930B7">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421</w:t>
            </w:r>
          </w:p>
        </w:tc>
        <w:tc>
          <w:tcPr>
            <w:tcW w:w="1417" w:type="dxa"/>
            <w:shd w:val="clear" w:color="auto" w:fill="FFFFFF" w:themeFill="background1"/>
            <w:hideMark/>
          </w:tcPr>
          <w:p w14:paraId="5926CD34" w14:textId="77777777" w:rsidR="00FE2C5F" w:rsidRDefault="00FE2C5F" w:rsidP="006930B7">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25.9</w:t>
            </w:r>
          </w:p>
        </w:tc>
      </w:tr>
      <w:tr w:rsidR="00FE2C5F" w14:paraId="462A6BE9" w14:textId="77777777" w:rsidTr="00FE2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5" w:type="dxa"/>
            <w:shd w:val="clear" w:color="auto" w:fill="FFFFFF" w:themeFill="background1"/>
            <w:hideMark/>
          </w:tcPr>
          <w:p w14:paraId="1A321C36" w14:textId="77777777" w:rsidR="00FE2C5F" w:rsidRPr="00FB71DE" w:rsidRDefault="00FE2C5F" w:rsidP="006930B7">
            <w:pPr>
              <w:rPr>
                <w:b w:val="0"/>
                <w:bCs w:val="0"/>
                <w:lang w:eastAsia="en-US"/>
              </w:rPr>
            </w:pPr>
            <w:r w:rsidRPr="00FB71DE">
              <w:rPr>
                <w:lang w:eastAsia="en-US"/>
              </w:rPr>
              <w:t>Descriptive Norm</w:t>
            </w:r>
          </w:p>
        </w:tc>
        <w:tc>
          <w:tcPr>
            <w:tcW w:w="1843" w:type="dxa"/>
            <w:shd w:val="clear" w:color="auto" w:fill="FFFFFF" w:themeFill="background1"/>
            <w:hideMark/>
          </w:tcPr>
          <w:p w14:paraId="0F7103FC" w14:textId="77777777" w:rsidR="00FE2C5F" w:rsidRDefault="00FE2C5F" w:rsidP="006930B7">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398</w:t>
            </w:r>
          </w:p>
        </w:tc>
        <w:tc>
          <w:tcPr>
            <w:tcW w:w="1417" w:type="dxa"/>
            <w:shd w:val="clear" w:color="auto" w:fill="FFFFFF" w:themeFill="background1"/>
            <w:hideMark/>
          </w:tcPr>
          <w:p w14:paraId="7DB28F25" w14:textId="77777777" w:rsidR="00FE2C5F" w:rsidRDefault="00FE2C5F" w:rsidP="006930B7">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24.5</w:t>
            </w:r>
          </w:p>
        </w:tc>
      </w:tr>
      <w:tr w:rsidR="00FE2C5F" w14:paraId="2B54145C" w14:textId="77777777" w:rsidTr="00FE2C5F">
        <w:tc>
          <w:tcPr>
            <w:cnfStyle w:val="001000000000" w:firstRow="0" w:lastRow="0" w:firstColumn="1" w:lastColumn="0" w:oddVBand="0" w:evenVBand="0" w:oddHBand="0" w:evenHBand="0" w:firstRowFirstColumn="0" w:firstRowLastColumn="0" w:lastRowFirstColumn="0" w:lastRowLastColumn="0"/>
            <w:tcW w:w="3565" w:type="dxa"/>
            <w:shd w:val="clear" w:color="auto" w:fill="FFFFFF" w:themeFill="background1"/>
            <w:hideMark/>
          </w:tcPr>
          <w:p w14:paraId="647AB205" w14:textId="77777777" w:rsidR="00FE2C5F" w:rsidRPr="00FB71DE" w:rsidRDefault="00FE2C5F" w:rsidP="006930B7">
            <w:pPr>
              <w:rPr>
                <w:b w:val="0"/>
                <w:bCs w:val="0"/>
                <w:lang w:eastAsia="en-US"/>
              </w:rPr>
            </w:pPr>
            <w:r w:rsidRPr="00FB71DE">
              <w:rPr>
                <w:lang w:eastAsia="en-US"/>
              </w:rPr>
              <w:t>Affective Message</w:t>
            </w:r>
          </w:p>
        </w:tc>
        <w:tc>
          <w:tcPr>
            <w:tcW w:w="1843" w:type="dxa"/>
            <w:shd w:val="clear" w:color="auto" w:fill="FFFFFF" w:themeFill="background1"/>
            <w:hideMark/>
          </w:tcPr>
          <w:p w14:paraId="520C44A1" w14:textId="77777777" w:rsidR="00FE2C5F" w:rsidRDefault="00FE2C5F" w:rsidP="006930B7">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384</w:t>
            </w:r>
          </w:p>
        </w:tc>
        <w:tc>
          <w:tcPr>
            <w:tcW w:w="1417" w:type="dxa"/>
            <w:shd w:val="clear" w:color="auto" w:fill="FFFFFF" w:themeFill="background1"/>
            <w:hideMark/>
          </w:tcPr>
          <w:p w14:paraId="3BB1B406" w14:textId="77777777" w:rsidR="00FE2C5F" w:rsidRDefault="00FE2C5F" w:rsidP="006930B7">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23.6</w:t>
            </w:r>
          </w:p>
        </w:tc>
      </w:tr>
      <w:tr w:rsidR="00FE2C5F" w14:paraId="6C53E5A8" w14:textId="77777777" w:rsidTr="00FE2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5" w:type="dxa"/>
            <w:shd w:val="clear" w:color="auto" w:fill="FFFFFF" w:themeFill="background1"/>
            <w:hideMark/>
          </w:tcPr>
          <w:p w14:paraId="539DE084" w14:textId="77777777" w:rsidR="00FE2C5F" w:rsidRDefault="00FE2C5F" w:rsidP="006930B7">
            <w:pPr>
              <w:rPr>
                <w:lang w:eastAsia="en-US"/>
              </w:rPr>
            </w:pPr>
            <w:r>
              <w:rPr>
                <w:lang w:eastAsia="en-US"/>
              </w:rPr>
              <w:t>Total</w:t>
            </w:r>
          </w:p>
        </w:tc>
        <w:tc>
          <w:tcPr>
            <w:tcW w:w="1843" w:type="dxa"/>
            <w:shd w:val="clear" w:color="auto" w:fill="FFFFFF" w:themeFill="background1"/>
            <w:hideMark/>
          </w:tcPr>
          <w:p w14:paraId="6ABB12A6" w14:textId="77777777" w:rsidR="00FE2C5F" w:rsidRDefault="00FE2C5F" w:rsidP="006930B7">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1626</w:t>
            </w:r>
          </w:p>
        </w:tc>
        <w:tc>
          <w:tcPr>
            <w:tcW w:w="1417" w:type="dxa"/>
            <w:shd w:val="clear" w:color="auto" w:fill="FFFFFF" w:themeFill="background1"/>
            <w:hideMark/>
          </w:tcPr>
          <w:p w14:paraId="25C75D52" w14:textId="77777777" w:rsidR="00FE2C5F" w:rsidRDefault="00FE2C5F" w:rsidP="006930B7">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100.0</w:t>
            </w:r>
          </w:p>
        </w:tc>
      </w:tr>
    </w:tbl>
    <w:p w14:paraId="63C54EA4" w14:textId="77777777" w:rsidR="00FE2C5F" w:rsidRPr="00BA7522" w:rsidRDefault="00FE2C5F" w:rsidP="00674A61">
      <w:pPr>
        <w:rPr>
          <w:lang w:eastAsia="zh-TW"/>
        </w:rPr>
      </w:pPr>
    </w:p>
    <w:p w14:paraId="714849D5" w14:textId="02B87276" w:rsidR="00900FBD" w:rsidRDefault="00900FBD" w:rsidP="007C7BD9">
      <w:pPr>
        <w:rPr>
          <w:rFonts w:cs="Arial"/>
          <w:color w:val="000000"/>
          <w:shd w:val="clear" w:color="auto" w:fill="FFFFFF"/>
        </w:rPr>
      </w:pPr>
      <w:r>
        <w:rPr>
          <w:lang w:eastAsia="zh-TW"/>
        </w:rPr>
        <w:t xml:space="preserve">The </w:t>
      </w:r>
      <w:r w:rsidRPr="00CF19E5">
        <w:rPr>
          <w:i/>
          <w:iCs/>
          <w:lang w:eastAsia="zh-TW"/>
        </w:rPr>
        <w:t>descriptive norm</w:t>
      </w:r>
      <w:r>
        <w:rPr>
          <w:lang w:eastAsia="zh-TW"/>
        </w:rPr>
        <w:t xml:space="preserve"> nudge was used following previous research </w:t>
      </w:r>
      <w:r w:rsidR="00152CE0">
        <w:rPr>
          <w:lang w:eastAsia="zh-TW"/>
        </w:rPr>
        <w:fldChar w:fldCharType="begin" w:fldLock="1"/>
      </w:r>
      <w:r w:rsidR="00CB0271">
        <w:rPr>
          <w:lang w:eastAsia="zh-TW"/>
        </w:rPr>
        <w:instrText>ADDIN CSL_CITATION { "citationItems" : [ { "id" : "ITEM-1", "itemData" : { "author" : [ { "dropping-particle" : "", "family" : "Dolan", "given" : "P.", "non-dropping-particle" : "", "parse-names" : false, "suffix" : "" }, { "dropping-particle" : "", "family" : "Halpern", "given" : "D.", "non-dropping-particle" : "", "parse-names" : false, "suffix" : "" }, { "dropping-particle" : "", "family" : "King", "given" : "D.", "non-dropping-particle" : "", "parse-names" : false, "suffix" : "" }, { "dropping-particle" : "", "family" : "Metcalfe", "given" : "R.", "non-dropping-particle" : "", "parse-names" : false, "suffix" : "" }, { "dropping-particle" : "", "family" : "Vlaev", "given" : "I.", "non-dropping-particle" : "", "parse-names" : false, "suffix" : "" }, { "dropping-particle" : "", "family" : "Hallsworth", "given" : "M.", "non-dropping-particle" : "", "parse-names" : false, "suffix" : "" } ], "container-title" : "Journal of Economic Psychology", "id" : "ITEM-1", "issue" : "264\u2013277", "issued" : { "date-parts" : [ [ "2012" ] ] }, "title" : "Influencing behaviour: The mindspace way", "type" : "article-journal", "volume" : "33" }, "uris" : [ "http://www.mendeley.com/documents/?uuid=7a769b89-1d0a-48ec-af0f-e9d599fe07da" ] } ], "mendeley" : { "formattedCitation" : "(Dolan et al. 2012)", "manualFormatting" : "(e.g. Dolan et al. 2012)", "plainTextFormattedCitation" : "(Dolan et al. 2012)", "previouslyFormattedCitation" : "(Dolan et al. 2012)" }, "properties" : {  }, "schema" : "https://github.com/citation-style-language/schema/raw/master/csl-citation.json" }</w:instrText>
      </w:r>
      <w:r w:rsidR="00152CE0">
        <w:rPr>
          <w:lang w:eastAsia="zh-TW"/>
        </w:rPr>
        <w:fldChar w:fldCharType="separate"/>
      </w:r>
      <w:r w:rsidR="00152CE0" w:rsidRPr="00152CE0">
        <w:rPr>
          <w:noProof/>
          <w:lang w:eastAsia="zh-TW"/>
        </w:rPr>
        <w:t>(</w:t>
      </w:r>
      <w:r w:rsidR="00152CE0">
        <w:rPr>
          <w:noProof/>
          <w:lang w:eastAsia="zh-TW"/>
        </w:rPr>
        <w:t xml:space="preserve">e.g. </w:t>
      </w:r>
      <w:r w:rsidR="00152CE0" w:rsidRPr="00152CE0">
        <w:rPr>
          <w:noProof/>
          <w:lang w:eastAsia="zh-TW"/>
        </w:rPr>
        <w:t>Dolan et al. 2012)</w:t>
      </w:r>
      <w:r w:rsidR="00152CE0">
        <w:rPr>
          <w:lang w:eastAsia="zh-TW"/>
        </w:rPr>
        <w:fldChar w:fldCharType="end"/>
      </w:r>
      <w:r w:rsidR="00152CE0">
        <w:rPr>
          <w:lang w:eastAsia="zh-TW"/>
        </w:rPr>
        <w:t xml:space="preserve"> </w:t>
      </w:r>
      <w:r>
        <w:rPr>
          <w:lang w:eastAsia="zh-TW"/>
        </w:rPr>
        <w:t>into the power of harnessing information about ‘what other people already do’</w:t>
      </w:r>
      <w:r w:rsidR="00022E57">
        <w:rPr>
          <w:lang w:eastAsia="zh-TW"/>
        </w:rPr>
        <w:t xml:space="preserve"> (</w:t>
      </w:r>
      <w:r w:rsidR="001833E9">
        <w:rPr>
          <w:lang w:eastAsia="zh-TW"/>
        </w:rPr>
        <w:t xml:space="preserve">a </w:t>
      </w:r>
      <w:r w:rsidR="00022E57">
        <w:rPr>
          <w:lang w:eastAsia="zh-TW"/>
        </w:rPr>
        <w:t>descriptive norm)</w:t>
      </w:r>
      <w:r>
        <w:rPr>
          <w:lang w:eastAsia="zh-TW"/>
        </w:rPr>
        <w:t xml:space="preserve"> </w:t>
      </w:r>
      <w:r w:rsidR="00BF23EB">
        <w:rPr>
          <w:lang w:eastAsia="zh-TW"/>
        </w:rPr>
        <w:t xml:space="preserve">– as opposed to ‘what you </w:t>
      </w:r>
      <w:r w:rsidR="00BF23EB" w:rsidRPr="00BF23EB">
        <w:rPr>
          <w:i/>
          <w:iCs/>
          <w:lang w:eastAsia="zh-TW"/>
        </w:rPr>
        <w:t>ought</w:t>
      </w:r>
      <w:r w:rsidR="00BF23EB">
        <w:rPr>
          <w:lang w:eastAsia="zh-TW"/>
        </w:rPr>
        <w:t xml:space="preserve"> to do’</w:t>
      </w:r>
      <w:r w:rsidR="00022E57">
        <w:rPr>
          <w:lang w:eastAsia="zh-TW"/>
        </w:rPr>
        <w:t xml:space="preserve"> (</w:t>
      </w:r>
      <w:r w:rsidR="001833E9">
        <w:rPr>
          <w:lang w:eastAsia="zh-TW"/>
        </w:rPr>
        <w:t xml:space="preserve">an </w:t>
      </w:r>
      <w:r w:rsidR="00022E57">
        <w:rPr>
          <w:lang w:eastAsia="zh-TW"/>
        </w:rPr>
        <w:t>injunctive norm)</w:t>
      </w:r>
      <w:r w:rsidR="00152CE0">
        <w:rPr>
          <w:lang w:eastAsia="zh-TW"/>
        </w:rPr>
        <w:t xml:space="preserve">. </w:t>
      </w:r>
      <w:r>
        <w:rPr>
          <w:lang w:eastAsia="zh-TW"/>
        </w:rPr>
        <w:t xml:space="preserve"> </w:t>
      </w:r>
      <w:r w:rsidR="00152CE0">
        <w:rPr>
          <w:lang w:eastAsia="zh-TW"/>
        </w:rPr>
        <w:t>I</w:t>
      </w:r>
      <w:r>
        <w:rPr>
          <w:rFonts w:cs="Arial"/>
          <w:color w:val="000000"/>
          <w:shd w:val="clear" w:color="auto" w:fill="FFFFFF"/>
        </w:rPr>
        <w:t>n this study, the descriptive norm that was used suggested that carbon offsetting was a tool which other people</w:t>
      </w:r>
      <w:r w:rsidR="00022E57">
        <w:rPr>
          <w:rFonts w:cs="Arial"/>
          <w:color w:val="000000"/>
          <w:shd w:val="clear" w:color="auto" w:fill="FFFFFF"/>
        </w:rPr>
        <w:t xml:space="preserve"> </w:t>
      </w:r>
      <w:r w:rsidR="007C7BD9">
        <w:rPr>
          <w:rFonts w:cs="Arial"/>
          <w:color w:val="000000"/>
          <w:shd w:val="clear" w:color="auto" w:fill="FFFFFF"/>
        </w:rPr>
        <w:t>already use</w:t>
      </w:r>
      <w:r w:rsidR="00022E57">
        <w:rPr>
          <w:rFonts w:cs="Arial"/>
          <w:color w:val="000000"/>
          <w:shd w:val="clear" w:color="auto" w:fill="FFFFFF"/>
        </w:rPr>
        <w:t xml:space="preserve">, </w:t>
      </w:r>
      <w:r w:rsidR="00F20A7F">
        <w:rPr>
          <w:rFonts w:cs="Arial"/>
          <w:color w:val="000000"/>
          <w:shd w:val="clear" w:color="auto" w:fill="FFFFFF"/>
        </w:rPr>
        <w:t xml:space="preserve">using figures </w:t>
      </w:r>
      <w:r w:rsidR="00022E57">
        <w:rPr>
          <w:rFonts w:cs="Arial"/>
          <w:color w:val="000000"/>
          <w:shd w:val="clear" w:color="auto" w:fill="FFFFFF"/>
        </w:rPr>
        <w:t xml:space="preserve">obtained </w:t>
      </w:r>
      <w:r>
        <w:rPr>
          <w:rFonts w:cs="Arial"/>
          <w:color w:val="000000"/>
          <w:shd w:val="clear" w:color="auto" w:fill="FFFFFF"/>
        </w:rPr>
        <w:t xml:space="preserve">from the most recently available edition of the annual ‘State of the Voluntary Carbon Markets’ report compiled by the NGO Forest Trends </w:t>
      </w:r>
      <w:r>
        <w:rPr>
          <w:rFonts w:cs="Arial"/>
          <w:color w:val="000000"/>
          <w:shd w:val="clear" w:color="auto" w:fill="FFFFFF"/>
        </w:rPr>
        <w:fldChar w:fldCharType="begin" w:fldLock="1"/>
      </w:r>
      <w:r w:rsidR="00CB0271">
        <w:rPr>
          <w:rFonts w:cs="Arial"/>
          <w:color w:val="000000"/>
          <w:shd w:val="clear" w:color="auto" w:fill="FFFFFF"/>
        </w:rPr>
        <w:instrText>ADDIN CSL_CITATION { "citationItems" : [ { "id" : "ITEM-1", "itemData" : { "author" : [ { "dropping-particle" : "", "family" : "Peters-Stanley", "given" : "Molly", "non-dropping-particle" : "", "parse-names" : false, "suffix" : "" }, { "dropping-particle" : "", "family" : "Hamilton", "given" : "Katherine", "non-dropping-particle" : "", "parse-names" : false, "suffix" : "" } ], "id" : "ITEM-1", "issued" : { "date-parts" : [ [ "2013" ] ] }, "publisher-place" : "Washington DC", "title" : "DEVELOPING DIMENSION : State of the Voluntary Carbon Markets 2012", "type" : "report" }, "uris" : [ "http://www.mendeley.com/documents/?uuid=f7693303-5f81-492c-a76a-d85b5e264bcf" ] } ], "mendeley" : { "formattedCitation" : "(Peters-Stanley &amp; Hamilton 2013)", "plainTextFormattedCitation" : "(Peters-Stanley &amp; Hamilton 2013)", "previouslyFormattedCitation" : "(Peters-Stanley &amp; Hamilton 2013)" }, "properties" : {  }, "schema" : "https://github.com/citation-style-language/schema/raw/master/csl-citation.json" }</w:instrText>
      </w:r>
      <w:r>
        <w:rPr>
          <w:rFonts w:cs="Arial"/>
          <w:color w:val="000000"/>
          <w:shd w:val="clear" w:color="auto" w:fill="FFFFFF"/>
        </w:rPr>
        <w:fldChar w:fldCharType="separate"/>
      </w:r>
      <w:r>
        <w:rPr>
          <w:rFonts w:cs="Arial"/>
          <w:noProof/>
          <w:color w:val="000000"/>
          <w:shd w:val="clear" w:color="auto" w:fill="FFFFFF"/>
        </w:rPr>
        <w:t>(Peters-Stanley &amp; Hamilton 2013)</w:t>
      </w:r>
      <w:r>
        <w:rPr>
          <w:rFonts w:cs="Arial"/>
          <w:color w:val="000000"/>
          <w:shd w:val="clear" w:color="auto" w:fill="FFFFFF"/>
        </w:rPr>
        <w:fldChar w:fldCharType="end"/>
      </w:r>
      <w:r>
        <w:rPr>
          <w:rFonts w:cs="Arial"/>
          <w:color w:val="000000"/>
          <w:shd w:val="clear" w:color="auto" w:fill="FFFFFF"/>
        </w:rPr>
        <w:t>. The message was as follows:</w:t>
      </w:r>
    </w:p>
    <w:p w14:paraId="7D456723" w14:textId="77777777" w:rsidR="00900FBD" w:rsidRPr="00900FBD" w:rsidRDefault="00900FBD" w:rsidP="00900FBD">
      <w:pPr>
        <w:ind w:left="720"/>
        <w:jc w:val="center"/>
        <w:rPr>
          <w:rStyle w:val="Strong"/>
          <w:b w:val="0"/>
          <w:bCs w:val="0"/>
          <w:i/>
          <w:iCs/>
        </w:rPr>
      </w:pPr>
      <w:r w:rsidRPr="00900FBD">
        <w:rPr>
          <w:rStyle w:val="Strong"/>
          <w:rFonts w:cs="Arial"/>
          <w:b w:val="0"/>
          <w:bCs w:val="0"/>
          <w:i/>
          <w:iCs/>
          <w:color w:val="000000"/>
        </w:rPr>
        <w:t>“Many people already offset their carbon emissions. In 2012, 101 million tonnes of carbon (MtCO2e) were offset voluntarily – that's the same as taking 50 million cars off the road for one year, or 100 million people each</w:t>
      </w:r>
      <w:r w:rsidRPr="00900FBD">
        <w:rPr>
          <w:rStyle w:val="apple-converted-space"/>
          <w:rFonts w:cs="Arial"/>
          <w:b/>
          <w:bCs/>
          <w:i/>
          <w:iCs/>
          <w:color w:val="000000"/>
        </w:rPr>
        <w:t> </w:t>
      </w:r>
      <w:r w:rsidRPr="00900FBD">
        <w:rPr>
          <w:rStyle w:val="Emphasis"/>
          <w:rFonts w:cs="Arial"/>
          <w:b/>
          <w:bCs/>
          <w:i w:val="0"/>
          <w:iCs w:val="0"/>
          <w:color w:val="000000"/>
        </w:rPr>
        <w:t>not taking</w:t>
      </w:r>
      <w:r w:rsidRPr="00900FBD">
        <w:rPr>
          <w:rStyle w:val="apple-converted-space"/>
          <w:rFonts w:cs="Arial"/>
          <w:b/>
          <w:bCs/>
          <w:i/>
          <w:iCs/>
          <w:color w:val="000000"/>
        </w:rPr>
        <w:t> </w:t>
      </w:r>
      <w:r w:rsidRPr="00900FBD">
        <w:rPr>
          <w:rStyle w:val="Strong"/>
          <w:rFonts w:cs="Arial"/>
          <w:b w:val="0"/>
          <w:bCs w:val="0"/>
          <w:i/>
          <w:iCs/>
          <w:color w:val="000000"/>
        </w:rPr>
        <w:t>a London-&gt;New York flight.”</w:t>
      </w:r>
    </w:p>
    <w:p w14:paraId="6A92A62B" w14:textId="7F95021D" w:rsidR="00900FBD" w:rsidRDefault="00900FBD" w:rsidP="005A2E22">
      <w:pPr>
        <w:rPr>
          <w:shd w:val="clear" w:color="auto" w:fill="FFFFFF"/>
        </w:rPr>
      </w:pPr>
      <w:r>
        <w:rPr>
          <w:rFonts w:cs="Arial"/>
          <w:color w:val="000000"/>
          <w:shd w:val="clear" w:color="auto" w:fill="FFFFFF"/>
        </w:rPr>
        <w:t>The second nudge chosen was</w:t>
      </w:r>
      <w:r w:rsidR="00CF19E5">
        <w:rPr>
          <w:rFonts w:cs="Arial"/>
          <w:color w:val="000000"/>
          <w:shd w:val="clear" w:color="auto" w:fill="FFFFFF"/>
        </w:rPr>
        <w:t xml:space="preserve"> a </w:t>
      </w:r>
      <w:r>
        <w:rPr>
          <w:rFonts w:cs="Arial"/>
          <w:i/>
          <w:iCs/>
          <w:color w:val="000000"/>
          <w:shd w:val="clear" w:color="auto" w:fill="FFFFFF"/>
        </w:rPr>
        <w:t>Third Party Endorsement</w:t>
      </w:r>
      <w:r>
        <w:rPr>
          <w:rFonts w:cs="Arial"/>
          <w:color w:val="000000"/>
          <w:shd w:val="clear" w:color="auto" w:fill="FFFFFF"/>
        </w:rPr>
        <w:t xml:space="preserve">. In marketing, the use of endorsements is common – the employment of celebrities, professional associations and/or public institutions is known to be influential on the purchasing decisions of consumers (for a review, see </w:t>
      </w:r>
      <w:r>
        <w:rPr>
          <w:rFonts w:cs="Arial"/>
          <w:color w:val="000000"/>
          <w:shd w:val="clear" w:color="auto" w:fill="FFFFFF"/>
        </w:rPr>
        <w:fldChar w:fldCharType="begin" w:fldLock="1"/>
      </w:r>
      <w:r w:rsidR="00CB0271">
        <w:rPr>
          <w:rFonts w:cs="Arial"/>
          <w:color w:val="000000"/>
          <w:shd w:val="clear" w:color="auto" w:fill="FFFFFF"/>
        </w:rPr>
        <w:instrText>ADDIN CSL_CITATION { "citationItems" : [ { "id" : "ITEM-1", "itemData" : { "author" : [ { "dropping-particle" : "", "family" : "Pornpitakpan", "given" : "C", "non-dropping-particle" : "", "parse-names" : false, "suffix" : "" } ], "container-title" : "Journal of Applied Social Psychology", "id" : "ITEM-1", "issue" : "2", "issued" : { "date-parts" : [ [ "2004" ] ] }, "page" : "243-281", "title" : "The persuasiveness of source credibility: A critical review of five decades' evidence", "type" : "article-journal" }, "uris" : [ "http://www.mendeley.com/documents/?uuid=57778220-24c2-42bb-84f3-fd95437c3921" ] } ], "mendeley" : { "formattedCitation" : "(Pornpitakpan 2004)", "manualFormatting" : "Pornpitakpan 2004)", "plainTextFormattedCitation" : "(Pornpitakpan 2004)", "previouslyFormattedCitation" : "(Pornpitakpan 2004)" }, "properties" : {  }, "schema" : "https://github.com/citation-style-language/schema/raw/master/csl-citation.json" }</w:instrText>
      </w:r>
      <w:r>
        <w:rPr>
          <w:rFonts w:cs="Arial"/>
          <w:color w:val="000000"/>
          <w:shd w:val="clear" w:color="auto" w:fill="FFFFFF"/>
        </w:rPr>
        <w:fldChar w:fldCharType="separate"/>
      </w:r>
      <w:r>
        <w:rPr>
          <w:rFonts w:cs="Arial"/>
          <w:noProof/>
          <w:color w:val="000000"/>
          <w:shd w:val="clear" w:color="auto" w:fill="FFFFFF"/>
        </w:rPr>
        <w:t>Pornpitakpan 2004)</w:t>
      </w:r>
      <w:r>
        <w:rPr>
          <w:rFonts w:cs="Arial"/>
          <w:color w:val="000000"/>
          <w:shd w:val="clear" w:color="auto" w:fill="FFFFFF"/>
        </w:rPr>
        <w:fldChar w:fldCharType="end"/>
      </w:r>
      <w:r>
        <w:rPr>
          <w:rFonts w:cs="Arial"/>
          <w:color w:val="000000"/>
          <w:shd w:val="clear" w:color="auto" w:fill="FFFFFF"/>
        </w:rPr>
        <w:t xml:space="preserve">. The successful application of third-party endorsements in nudge-style interventions is not entirely proven, although celebrity endorsement was used in a trial to improve organ donor registration (see </w:t>
      </w:r>
      <w:r>
        <w:rPr>
          <w:rFonts w:cs="Arial"/>
          <w:color w:val="000000"/>
          <w:shd w:val="clear" w:color="auto" w:fill="FFFFFF"/>
        </w:rPr>
        <w:fldChar w:fldCharType="begin" w:fldLock="1"/>
      </w:r>
      <w:r w:rsidR="00CB0271">
        <w:rPr>
          <w:rFonts w:cs="Arial"/>
          <w:color w:val="000000"/>
          <w:shd w:val="clear" w:color="auto" w:fill="FFFFFF"/>
        </w:rPr>
        <w:instrText>ADDIN CSL_CITATION { "citationItems" : [ { "id" : "ITEM-1", "itemData" : { "author" : [ { "dropping-particle" : "", "family" : "John", "given" : "Peter", "non-dropping-particle" : "", "parse-names" : false, "suffix" : "" }, { "dropping-particle" : "", "family" : "Cotterill", "given" : "Sarah", "non-dropping-particle" : "", "parse-names" : false, "suffix" : "" }, { "dropping-particle" : "", "family" : "Moseley", "given" : "Alice", "non-dropping-particle" : "", "parse-names" : false, "suffix" : "" }, { "dropping-particle" : "", "family" : "Richardson", "given" : "Liz", "non-dropping-particle" : "", "parse-names" : false, "suffix" : "" }, { "dropping-particle" : "", "family" : "Smith", "given" : "Graham", "non-dropping-particle" : "", "parse-names" : false, "suffix" : "" }, { "dropping-particle" : "", "family" : "Gerry", "given" : "Stoker", "non-dropping-particle" : "", "parse-names" : false, "suffix" : "" }, { "dropping-particle" : "", "family" : "Corinne", "given" : "Wales", "non-dropping-particle" : "", "parse-names" : false, "suffix" : "" } ], "id" : "ITEM-1", "issued" : { "date-parts" : [ [ "2011" ] ] }, "publisher" : "Bloomsbury Academic", "publisher-place" : "London", "title" : "Nudge, nudge, think, think : experimenting with ways to change civic behaviour", "type" : "book" }, "uris" : [ "http://www.mendeley.com/documents/?uuid=07c9f778-caf5-44fa-8cfe-805bde6b6696" ] } ], "mendeley" : { "formattedCitation" : "(John et al. 2011)", "manualFormatting" : "John et al. 2011)", "plainTextFormattedCitation" : "(John et al. 2011)", "previouslyFormattedCitation" : "(John et al. 2011)" }, "properties" : {  }, "schema" : "https://github.com/citation-style-language/schema/raw/master/csl-citation.json" }</w:instrText>
      </w:r>
      <w:r>
        <w:rPr>
          <w:rFonts w:cs="Arial"/>
          <w:color w:val="000000"/>
          <w:shd w:val="clear" w:color="auto" w:fill="FFFFFF"/>
        </w:rPr>
        <w:fldChar w:fldCharType="separate"/>
      </w:r>
      <w:r>
        <w:rPr>
          <w:rFonts w:cs="Arial"/>
          <w:noProof/>
          <w:color w:val="000000"/>
          <w:shd w:val="clear" w:color="auto" w:fill="FFFFFF"/>
        </w:rPr>
        <w:t>John et al. 2011)</w:t>
      </w:r>
      <w:r>
        <w:rPr>
          <w:rFonts w:cs="Arial"/>
          <w:color w:val="000000"/>
          <w:shd w:val="clear" w:color="auto" w:fill="FFFFFF"/>
        </w:rPr>
        <w:fldChar w:fldCharType="end"/>
      </w:r>
      <w:r>
        <w:rPr>
          <w:rFonts w:cs="Arial"/>
          <w:color w:val="000000"/>
          <w:shd w:val="clear" w:color="auto" w:fill="FFFFFF"/>
        </w:rPr>
        <w:t xml:space="preserve">. </w:t>
      </w:r>
      <w:r w:rsidR="000E1D58">
        <w:rPr>
          <w:rFonts w:cs="Arial"/>
          <w:color w:val="000000"/>
          <w:shd w:val="clear" w:color="auto" w:fill="FFFFFF"/>
        </w:rPr>
        <w:t>D</w:t>
      </w:r>
      <w:r>
        <w:rPr>
          <w:rFonts w:cs="Arial"/>
          <w:color w:val="000000"/>
          <w:shd w:val="clear" w:color="auto" w:fill="FFFFFF"/>
        </w:rPr>
        <w:t>ifferent audiences react better to different ‘messengers</w:t>
      </w:r>
      <w:r w:rsidR="000E1D58">
        <w:rPr>
          <w:rFonts w:cs="Arial"/>
          <w:color w:val="000000"/>
          <w:shd w:val="clear" w:color="auto" w:fill="FFFFFF"/>
        </w:rPr>
        <w:t>,</w:t>
      </w:r>
      <w:r>
        <w:rPr>
          <w:rFonts w:cs="Arial"/>
          <w:color w:val="000000"/>
          <w:shd w:val="clear" w:color="auto" w:fill="FFFFFF"/>
        </w:rPr>
        <w:t xml:space="preserve">’ although identifying </w:t>
      </w:r>
      <w:r>
        <w:rPr>
          <w:rFonts w:cs="Arial"/>
          <w:i/>
          <w:iCs/>
          <w:color w:val="000000"/>
          <w:shd w:val="clear" w:color="auto" w:fill="FFFFFF"/>
        </w:rPr>
        <w:t>which</w:t>
      </w:r>
      <w:r>
        <w:rPr>
          <w:rFonts w:cs="Arial"/>
          <w:color w:val="000000"/>
          <w:shd w:val="clear" w:color="auto" w:fill="FFFFFF"/>
        </w:rPr>
        <w:t xml:space="preserve"> messenger is appropriate can be challenging </w:t>
      </w:r>
      <w:r w:rsidR="00DC73BA">
        <w:rPr>
          <w:rFonts w:cs="Arial"/>
          <w:color w:val="000000"/>
          <w:shd w:val="clear" w:color="auto" w:fill="FFFFFF"/>
        </w:rPr>
        <w:fldChar w:fldCharType="begin" w:fldLock="1"/>
      </w:r>
      <w:r w:rsidR="00CB0271">
        <w:rPr>
          <w:rFonts w:cs="Arial"/>
          <w:color w:val="000000"/>
          <w:shd w:val="clear" w:color="auto" w:fill="FFFFFF"/>
        </w:rPr>
        <w:instrText>ADDIN CSL_CITATION { "citationItems" : [ { "id" : "ITEM-1", "itemData" : { "author" : [ { "dropping-particle" : "", "family" : "Dolan", "given" : "P.", "non-dropping-particle" : "", "parse-names" : false, "suffix" : "" }, { "dropping-particle" : "", "family" : "Halpern", "given" : "D.", "non-dropping-particle" : "", "parse-names" : false, "suffix" : "" }, { "dropping-particle" : "", "family" : "King", "given" : "D.", "non-dropping-particle" : "", "parse-names" : false, "suffix" : "" }, { "dropping-particle" : "", "family" : "Metcalfe", "given" : "R.", "non-dropping-particle" : "", "parse-names" : false, "suffix" : "" }, { "dropping-particle" : "", "family" : "Vlaev", "given" : "I.", "non-dropping-particle" : "", "parse-names" : false, "suffix" : "" }, { "dropping-particle" : "", "family" : "Hallsworth", "given" : "M.", "non-dropping-particle" : "", "parse-names" : false, "suffix" : "" } ], "container-title" : "Journal of Economic Psychology", "id" : "ITEM-1", "issue" : "264\u2013277", "issued" : { "date-parts" : [ [ "2012" ] ] }, "title" : "Influencing behaviour: The mindspace way", "type" : "article-journal", "volume" : "33" }, "uris" : [ "http://www.mendeley.com/documents/?uuid=7a769b89-1d0a-48ec-af0f-e9d599fe07da" ] } ], "mendeley" : { "formattedCitation" : "(Dolan et al. 2012)", "plainTextFormattedCitation" : "(Dolan et al. 2012)", "previouslyFormattedCitation" : "(Dolan et al. 2012)" }, "properties" : {  }, "schema" : "https://github.com/citation-style-language/schema/raw/master/csl-citation.json" }</w:instrText>
      </w:r>
      <w:r w:rsidR="00DC73BA">
        <w:rPr>
          <w:rFonts w:cs="Arial"/>
          <w:color w:val="000000"/>
          <w:shd w:val="clear" w:color="auto" w:fill="FFFFFF"/>
        </w:rPr>
        <w:fldChar w:fldCharType="separate"/>
      </w:r>
      <w:r w:rsidR="00DC73BA" w:rsidRPr="00DC73BA">
        <w:rPr>
          <w:rFonts w:cs="Arial"/>
          <w:noProof/>
          <w:color w:val="000000"/>
          <w:shd w:val="clear" w:color="auto" w:fill="FFFFFF"/>
        </w:rPr>
        <w:t>(Dolan et al. 2012)</w:t>
      </w:r>
      <w:r w:rsidR="00DC73BA">
        <w:rPr>
          <w:rFonts w:cs="Arial"/>
          <w:color w:val="000000"/>
          <w:shd w:val="clear" w:color="auto" w:fill="FFFFFF"/>
        </w:rPr>
        <w:fldChar w:fldCharType="end"/>
      </w:r>
      <w:r w:rsidR="00DC73BA">
        <w:rPr>
          <w:rFonts w:cs="Arial"/>
          <w:color w:val="000000"/>
          <w:shd w:val="clear" w:color="auto" w:fill="FFFFFF"/>
        </w:rPr>
        <w:t>.</w:t>
      </w:r>
    </w:p>
    <w:p w14:paraId="16FDB496" w14:textId="5EDA386D" w:rsidR="00900FBD" w:rsidRDefault="000E1D58" w:rsidP="007C7BD9">
      <w:pPr>
        <w:rPr>
          <w:rFonts w:cs="Arial"/>
          <w:color w:val="000000"/>
          <w:shd w:val="clear" w:color="auto" w:fill="FFFFFF"/>
        </w:rPr>
      </w:pPr>
      <w:r>
        <w:rPr>
          <w:rFonts w:cs="Arial"/>
          <w:color w:val="000000"/>
          <w:shd w:val="clear" w:color="auto" w:fill="FFFFFF"/>
        </w:rPr>
        <w:t xml:space="preserve">Because </w:t>
      </w:r>
      <w:r w:rsidR="00900FBD">
        <w:rPr>
          <w:rFonts w:cs="Arial"/>
          <w:color w:val="000000"/>
          <w:shd w:val="clear" w:color="auto" w:fill="FFFFFF"/>
        </w:rPr>
        <w:t xml:space="preserve">carbon offsetting is relatively unknown and potential offset customers may be wary about </w:t>
      </w:r>
      <w:r w:rsidR="00F20A7F">
        <w:rPr>
          <w:rFonts w:cs="Arial"/>
          <w:color w:val="000000"/>
          <w:shd w:val="clear" w:color="auto" w:fill="FFFFFF"/>
        </w:rPr>
        <w:t>where</w:t>
      </w:r>
      <w:r w:rsidR="00900FBD">
        <w:rPr>
          <w:rFonts w:cs="Arial"/>
          <w:color w:val="000000"/>
          <w:shd w:val="clear" w:color="auto" w:fill="FFFFFF"/>
        </w:rPr>
        <w:t xml:space="preserve"> offset payments actually go </w:t>
      </w:r>
      <w:r w:rsidR="00900FBD">
        <w:rPr>
          <w:rFonts w:cs="Arial"/>
          <w:color w:val="000000"/>
          <w:shd w:val="clear" w:color="auto" w:fill="FFFFFF"/>
        </w:rPr>
        <w:fldChar w:fldCharType="begin" w:fldLock="1"/>
      </w:r>
      <w:r w:rsidR="00CB0271">
        <w:rPr>
          <w:rFonts w:cs="Arial"/>
          <w:color w:val="000000"/>
          <w:shd w:val="clear" w:color="auto" w:fill="FFFFFF"/>
        </w:rPr>
        <w:instrText>ADDIN CSL_CITATION { "citationItems" : [ { "id" : "ITEM-1", "itemData" : { "DOI" : "10.1080/09669582.2010.517317", "ISBN" : "09669582", "PMID" : "57830624", "abstract" : "This paper advances understanding of consumers who purchase voluntary carbon offsets (VCOs) for flights by profiling the socio-demographic characteristics of VCO purchasers in Australia and the UK and investigating their environmental attitudes and beliefs. Earlier research shows that there is confusion and lack of clarity around VCO schemes, yet small numbers of consumers continue to purchase them. Using an online panel survey of 502 respondents, this research considers whether those who purchase VCOs can be considered to be ecocentric, and whether they share a similar socio-demographic profile with those engaging in other forms of pro-environmental behaviour. The results suggest three groups: 'Ecocentrics' (36%), 'Middle of the Road' (31%) and 'Anthropocentrics' (33%). While VCO purchasers appear to be ecocentric, not all ecocentric respondents purchased VCOs and, additionally, those who did purchase, appear to have a different socio-demographic profile from others engaging in pro-environmental behaviour. The study suggests that this segment of the flying public, already willing to contribute towards climate change mitigation, may be the best segment to target with behavioural change messages intended to encourage the structural changes in travel choices required to mitigate climate change. Earlier suggestions that older females are more likely to purchase VCOs are not supported. [ABSTRACT FROM AUTHOR]]]&gt;&amp;#xD;&lt;![CDATA[Copyright of Journal of Sustainable Tourism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"Mair", "given" : "Judith", "non-dropping-particle" : "", "parse-names" : false, "suffix" : "" } ], "container-title" : "Journal of Sustainable Tourism", "id" : "ITEM-1", "issue" : "2", "issued" : { "date-parts" : [ [ "2011" ] ] }, "note" : "Mair, Judith 1; Email Address: judith.mair@monash.edu; Affiliations: 1: Department of Management, Tourism Research Unit, Monash University, Melbourne, Australia; Issue Info: Mar2011, Vol. 19 Issue 2, p215; Thesaurus Term: CARBON offsetting; Thesaurus Term: CONSUMERS' preferences; Thesaurus Term: MARKET segmentation; Thesaurus Term: AIR travel; Subject Term: CLIMATE change mitigation; Subject Term: CARBON credits; Subject Term: CARBON dioxide -- Environmental aspects; Subject Term: INTERNATIONAL tourism; Subject: AUSTRALIA; Author-Supplied Keyword: carbon offsetting; Author-Supplied Keyword: market segmentation; Author-Supplied Keyword: tourist behaviour; NAICS/Industry Codes: 481211 Nonscheduled Chartered Passenger Air Transportation; NAICS/Industry Codes: 481110 Scheduled air transportation; NAICS/Industry Codes: 481111 Scheduled Passenger Air Transportation; Number of Pages: 16p; Document Type: Article", "page" : "215-230", "title" : "Exploring air travellers' voluntary carbon-offsetting behaviour", "type" : "article-journal", "volume" : "19" }, "uris" : [ "http://www.mendeley.com/documents/?uuid=d1e81d20-3faa-46fb-a5e3-0f788e056533" ] } ], "mendeley" : { "formattedCitation" : "(Mair 2011)", "plainTextFormattedCitation" : "(Mair 2011)", "previouslyFormattedCitation" : "(Mair 2011)" }, "properties" : {  }, "schema" : "https://github.com/citation-style-language/schema/raw/master/csl-citation.json" }</w:instrText>
      </w:r>
      <w:r w:rsidR="00900FBD">
        <w:rPr>
          <w:rFonts w:cs="Arial"/>
          <w:color w:val="000000"/>
          <w:shd w:val="clear" w:color="auto" w:fill="FFFFFF"/>
        </w:rPr>
        <w:fldChar w:fldCharType="separate"/>
      </w:r>
      <w:r w:rsidR="00900FBD" w:rsidRPr="00900FBD">
        <w:rPr>
          <w:rFonts w:cs="Arial"/>
          <w:noProof/>
          <w:color w:val="000000"/>
          <w:shd w:val="clear" w:color="auto" w:fill="FFFFFF"/>
        </w:rPr>
        <w:t>(Mair 2011)</w:t>
      </w:r>
      <w:r w:rsidR="00900FBD">
        <w:rPr>
          <w:rFonts w:cs="Arial"/>
          <w:color w:val="000000"/>
          <w:shd w:val="clear" w:color="auto" w:fill="FFFFFF"/>
        </w:rPr>
        <w:fldChar w:fldCharType="end"/>
      </w:r>
      <w:r w:rsidR="00900FBD">
        <w:rPr>
          <w:rFonts w:cs="Arial"/>
          <w:color w:val="000000"/>
          <w:shd w:val="clear" w:color="auto" w:fill="FFFFFF"/>
        </w:rPr>
        <w:t>,</w:t>
      </w:r>
      <w:r w:rsidR="007C7BD9">
        <w:rPr>
          <w:rFonts w:cs="Arial"/>
          <w:color w:val="000000"/>
          <w:shd w:val="clear" w:color="auto" w:fill="FFFFFF"/>
        </w:rPr>
        <w:t xml:space="preserve"> it was considered that a</w:t>
      </w:r>
      <w:r w:rsidR="00900FBD">
        <w:rPr>
          <w:rFonts w:cs="Arial"/>
          <w:color w:val="000000"/>
          <w:shd w:val="clear" w:color="auto" w:fill="FFFFFF"/>
        </w:rPr>
        <w:t xml:space="preserve"> third party endorsement </w:t>
      </w:r>
      <w:r w:rsidR="007C7BD9">
        <w:rPr>
          <w:rFonts w:cs="Arial"/>
          <w:color w:val="000000"/>
          <w:shd w:val="clear" w:color="auto" w:fill="FFFFFF"/>
        </w:rPr>
        <w:t>might</w:t>
      </w:r>
      <w:r>
        <w:rPr>
          <w:rFonts w:cs="Arial"/>
          <w:color w:val="000000"/>
          <w:shd w:val="clear" w:color="auto" w:fill="FFFFFF"/>
        </w:rPr>
        <w:t xml:space="preserve"> </w:t>
      </w:r>
      <w:r w:rsidR="00900FBD">
        <w:rPr>
          <w:rFonts w:cs="Arial"/>
          <w:color w:val="000000"/>
          <w:shd w:val="clear" w:color="auto" w:fill="FFFFFF"/>
        </w:rPr>
        <w:t xml:space="preserve">allay fears over </w:t>
      </w:r>
      <w:r w:rsidR="007C7BD9">
        <w:rPr>
          <w:rFonts w:cs="Arial"/>
          <w:color w:val="000000"/>
          <w:shd w:val="clear" w:color="auto" w:fill="FFFFFF"/>
        </w:rPr>
        <w:t>the</w:t>
      </w:r>
      <w:r w:rsidR="00900FBD">
        <w:rPr>
          <w:rFonts w:cs="Arial"/>
          <w:color w:val="000000"/>
          <w:shd w:val="clear" w:color="auto" w:fill="FFFFFF"/>
        </w:rPr>
        <w:t xml:space="preserve"> credibility</w:t>
      </w:r>
      <w:r w:rsidR="007C7BD9">
        <w:rPr>
          <w:rFonts w:cs="Arial"/>
          <w:color w:val="000000"/>
          <w:shd w:val="clear" w:color="auto" w:fill="FFFFFF"/>
        </w:rPr>
        <w:t xml:space="preserve"> of VCOs</w:t>
      </w:r>
      <w:r w:rsidR="00900FBD">
        <w:rPr>
          <w:rFonts w:cs="Arial"/>
          <w:color w:val="000000"/>
          <w:shd w:val="clear" w:color="auto" w:fill="FFFFFF"/>
        </w:rPr>
        <w:t xml:space="preserve">. Third party organisations which use offsets themselves (mostly large companies) or which endorse carbon offsetting (in this case, a </w:t>
      </w:r>
      <w:r w:rsidR="0021520D">
        <w:rPr>
          <w:rFonts w:cs="Arial"/>
          <w:color w:val="000000"/>
          <w:shd w:val="clear" w:color="auto" w:fill="FFFFFF"/>
        </w:rPr>
        <w:t xml:space="preserve">UK </w:t>
      </w:r>
      <w:r w:rsidR="00900FBD">
        <w:rPr>
          <w:rFonts w:cs="Arial"/>
          <w:color w:val="000000"/>
          <w:shd w:val="clear" w:color="auto" w:fill="FFFFFF"/>
        </w:rPr>
        <w:t>government department and some high-profile NGOs) were identified for this purpose. The message was as follows:</w:t>
      </w:r>
    </w:p>
    <w:p w14:paraId="1E05A6BA" w14:textId="77777777" w:rsidR="00900FBD" w:rsidRDefault="00900FBD" w:rsidP="00900FBD">
      <w:pPr>
        <w:jc w:val="center"/>
        <w:rPr>
          <w:i/>
          <w:iCs/>
          <w:shd w:val="clear" w:color="auto" w:fill="FFFFFF"/>
        </w:rPr>
      </w:pPr>
      <w:r>
        <w:rPr>
          <w:rFonts w:cs="Arial"/>
          <w:i/>
          <w:iCs/>
          <w:color w:val="000000"/>
          <w:shd w:val="clear" w:color="auto" w:fill="FFFFFF"/>
        </w:rPr>
        <w:t xml:space="preserve">“Many organisations, NGOs, charities, companies and government departments endorse carbon offsetting and use it themselves, including: </w:t>
      </w:r>
      <w:r>
        <w:rPr>
          <w:i/>
          <w:iCs/>
          <w:shd w:val="clear" w:color="auto" w:fill="FFFFFF"/>
        </w:rPr>
        <w:t>Friends of The Earth, Greenpeace, the Worldwide Fund for Nature (WWF), the UK Department for Energy and Climate Change (DECC),  Microsoft, Marks and Spencer, Aviva, Jamie Oliver Ltd, and the Co-operative Group, to name a few.”</w:t>
      </w:r>
    </w:p>
    <w:p w14:paraId="59D9E4F1" w14:textId="43C19DB6" w:rsidR="00900FBD" w:rsidRDefault="009E1AE9" w:rsidP="007A73C8">
      <w:pPr>
        <w:rPr>
          <w:rFonts w:cs="Times New Roman"/>
          <w:lang w:eastAsia="ko-KR"/>
        </w:rPr>
      </w:pPr>
      <w:r>
        <w:rPr>
          <w:lang w:eastAsia="zh-TW"/>
        </w:rPr>
        <w:t xml:space="preserve">The third nudge was an </w:t>
      </w:r>
      <w:r>
        <w:rPr>
          <w:i/>
          <w:iCs/>
          <w:lang w:eastAsia="zh-TW"/>
        </w:rPr>
        <w:t xml:space="preserve">affective message, </w:t>
      </w:r>
      <w:r>
        <w:rPr>
          <w:lang w:eastAsia="zh-TW"/>
        </w:rPr>
        <w:t>the rationale being that we are receptive to words and images which provoke an emotional response</w:t>
      </w:r>
      <w:r w:rsidR="00FB71DE">
        <w:rPr>
          <w:lang w:eastAsia="zh-TW"/>
        </w:rPr>
        <w:t xml:space="preserve"> </w:t>
      </w:r>
      <w:r w:rsidR="00FB71DE">
        <w:rPr>
          <w:lang w:eastAsia="zh-TW"/>
        </w:rPr>
        <w:fldChar w:fldCharType="begin" w:fldLock="1"/>
      </w:r>
      <w:r w:rsidR="00CB0271">
        <w:rPr>
          <w:lang w:eastAsia="zh-TW"/>
        </w:rPr>
        <w:instrText>ADDIN CSL_CITATION { "citationItems" : [ { "id" : "ITEM-1", "itemData" : { "author" : [ { "dropping-particle" : "", "family" : "Dolan", "given" : "P.", "non-dropping-particle" : "", "parse-names" : false, "suffix" : "" }, { "dropping-particle" : "", "family" : "Halpern", "given" : "D.", "non-dropping-particle" : "", "parse-names" : false, "suffix" : "" }, { "dropping-particle" : "", "family" : "King", "given" : "D.", "non-dropping-particle" : "", "parse-names" : false, "suffix" : "" }, { "dropping-particle" : "", "family" : "Metcalfe", "given" : "R.", "non-dropping-particle" : "", "parse-names" : false, "suffix" : "" }, { "dropping-particle" : "", "family" : "Vlaev", "given" : "I.", "non-dropping-particle" : "", "parse-names" : false, "suffix" : "" }, { "dropping-particle" : "", "family" : "Hallsworth", "given" : "M.", "non-dropping-particle" : "", "parse-names" : false, "suffix" : "" } ], "container-title" : "Journal of Economic Psychology", "id" : "ITEM-1", "issue" : "264\u2013277", "issued" : { "date-parts" : [ [ "2012" ] ] }, "title" : "Influencing behaviour: The mindspace way", "type" : "article-journal", "volume" : "33" }, "uris" : [ "http://www.mendeley.com/documents/?uuid=7a769b89-1d0a-48ec-af0f-e9d599fe07da" ] } ], "mendeley" : { "formattedCitation" : "(Dolan et al. 2012)", "plainTextFormattedCitation" : "(Dolan et al. 2012)", "previouslyFormattedCitation" : "(Dolan et al. 2012)" }, "properties" : {  }, "schema" : "https://github.com/citation-style-language/schema/raw/master/csl-citation.json" }</w:instrText>
      </w:r>
      <w:r w:rsidR="00FB71DE">
        <w:rPr>
          <w:lang w:eastAsia="zh-TW"/>
        </w:rPr>
        <w:fldChar w:fldCharType="separate"/>
      </w:r>
      <w:r w:rsidR="00FB71DE" w:rsidRPr="00FB71DE">
        <w:rPr>
          <w:noProof/>
          <w:lang w:eastAsia="zh-TW"/>
        </w:rPr>
        <w:t>(Dolan et al. 2012)</w:t>
      </w:r>
      <w:r w:rsidR="00FB71DE">
        <w:rPr>
          <w:lang w:eastAsia="zh-TW"/>
        </w:rPr>
        <w:fldChar w:fldCharType="end"/>
      </w:r>
      <w:r w:rsidR="007C255B">
        <w:rPr>
          <w:lang w:eastAsia="zh-TW"/>
        </w:rPr>
        <w:t>, and t</w:t>
      </w:r>
      <w:r w:rsidR="00F20A7F">
        <w:rPr>
          <w:rFonts w:cs="Times New Roman"/>
          <w:lang w:eastAsia="ko-KR"/>
        </w:rPr>
        <w:t>he</w:t>
      </w:r>
      <w:r w:rsidR="00FB71DE">
        <w:rPr>
          <w:rFonts w:cs="Times New Roman"/>
          <w:lang w:eastAsia="ko-KR"/>
        </w:rPr>
        <w:t xml:space="preserve"> use of affective fram</w:t>
      </w:r>
      <w:r w:rsidR="00F20A7F">
        <w:rPr>
          <w:rFonts w:cs="Times New Roman"/>
          <w:lang w:eastAsia="ko-KR"/>
        </w:rPr>
        <w:t xml:space="preserve">ing has been influential in marketing and public health campaigns </w:t>
      </w:r>
      <w:r w:rsidR="00FB71DE">
        <w:rPr>
          <w:rFonts w:cs="Times New Roman"/>
          <w:lang w:eastAsia="ko-KR"/>
        </w:rPr>
        <w:fldChar w:fldCharType="begin" w:fldLock="1"/>
      </w:r>
      <w:r w:rsidR="00CB0271">
        <w:rPr>
          <w:rFonts w:cs="Times New Roman"/>
          <w:lang w:eastAsia="ko-KR"/>
        </w:rPr>
        <w:instrText>ADDIN CSL_CITATION { "citationItems" : [ { "id" : "ITEM-1", "itemData" : { "author" : [ { "dropping-particle" : "", "family" : "Curtis", "given" : "Valerie A.", "non-dropping-particle" : "", "parse-names" : false, "suffix" : "" }, { "dropping-particle" : "", "family" : "Scott", "given" : "Beth", "non-dropping-particle" : "", "parse-names" : false, "suffix" : "" }, { "dropping-particle" : "", "family" : "Garbrah-Aidoo", "given" : "Nana", "non-dropping-particle" : "", "parse-names" : false, "suffix" : "" } ], "container-title" : "American Journal of Public Health", "id" : "ITEM-1", "issue" : "4", "issued" : { "date-parts" : [ [ "2007" ] ] }, "page" : "634-641", "title" : "Masters of Marketing: Bringing Private Sector Skills to Public Health Partnerships", "type" : "article-journal", "volume" : "92" }, "uris" : [ "http://www.mendeley.com/documents/?uuid=d00c752c-61d2-40e3-9d63-60ae00fcb0ed" ] } ], "mendeley" : { "formattedCitation" : "(Curtis et al. 2007)", "manualFormatting" : "(e.g. Curtis et al. 2007)", "plainTextFormattedCitation" : "(Curtis et al. 2007)", "previouslyFormattedCitation" : "(Curtis et al. 2007)" }, "properties" : {  }, "schema" : "https://github.com/citation-style-language/schema/raw/master/csl-citation.json" }</w:instrText>
      </w:r>
      <w:r w:rsidR="00FB71DE">
        <w:rPr>
          <w:rFonts w:cs="Times New Roman"/>
          <w:lang w:eastAsia="ko-KR"/>
        </w:rPr>
        <w:fldChar w:fldCharType="separate"/>
      </w:r>
      <w:r w:rsidR="007C255B" w:rsidRPr="007C255B">
        <w:rPr>
          <w:rFonts w:cs="Times New Roman"/>
          <w:noProof/>
          <w:lang w:eastAsia="ko-KR"/>
        </w:rPr>
        <w:t>(</w:t>
      </w:r>
      <w:r w:rsidR="007C255B">
        <w:rPr>
          <w:rFonts w:cs="Times New Roman"/>
          <w:noProof/>
          <w:lang w:eastAsia="ko-KR"/>
        </w:rPr>
        <w:t xml:space="preserve">e.g. </w:t>
      </w:r>
      <w:r w:rsidR="007C255B" w:rsidRPr="007C255B">
        <w:rPr>
          <w:rFonts w:cs="Times New Roman"/>
          <w:noProof/>
          <w:lang w:eastAsia="ko-KR"/>
        </w:rPr>
        <w:t>Curtis et al. 2007)</w:t>
      </w:r>
      <w:r w:rsidR="00FB71DE">
        <w:rPr>
          <w:rFonts w:cs="Times New Roman"/>
          <w:lang w:eastAsia="ko-KR"/>
        </w:rPr>
        <w:fldChar w:fldCharType="end"/>
      </w:r>
      <w:r w:rsidR="00FB71DE">
        <w:rPr>
          <w:rFonts w:cs="Times New Roman"/>
          <w:lang w:eastAsia="ko-KR"/>
        </w:rPr>
        <w:t xml:space="preserve">. </w:t>
      </w:r>
      <w:r w:rsidR="000E1D58">
        <w:rPr>
          <w:rFonts w:cs="Times New Roman"/>
          <w:lang w:eastAsia="ko-KR"/>
        </w:rPr>
        <w:t>Because c</w:t>
      </w:r>
      <w:r w:rsidR="00900FBD">
        <w:rPr>
          <w:rFonts w:cs="Times New Roman"/>
          <w:lang w:eastAsia="ko-KR"/>
        </w:rPr>
        <w:t>arbon offsetting might be viewed as a</w:t>
      </w:r>
      <w:r w:rsidR="000E1D58">
        <w:rPr>
          <w:rFonts w:cs="Times New Roman"/>
          <w:lang w:eastAsia="ko-KR"/>
        </w:rPr>
        <w:t>n</w:t>
      </w:r>
      <w:r w:rsidR="00900FBD">
        <w:rPr>
          <w:rFonts w:cs="Times New Roman"/>
          <w:lang w:eastAsia="ko-KR"/>
        </w:rPr>
        <w:t xml:space="preserve"> abstract concept with little apparent connection to people’s lived experiences</w:t>
      </w:r>
      <w:r w:rsidR="0021520D">
        <w:rPr>
          <w:rFonts w:cs="Times New Roman"/>
          <w:lang w:eastAsia="ko-KR"/>
        </w:rPr>
        <w:t xml:space="preserve">, this nudge highlighted the social, ‘human’ element of one particular type of project funded through offset funds </w:t>
      </w:r>
      <w:r w:rsidR="00900FBD">
        <w:rPr>
          <w:rFonts w:cs="Times New Roman"/>
          <w:lang w:eastAsia="ko-KR"/>
        </w:rPr>
        <w:t>– the production of cook stoves in the developing world. Two pictures were also included in this nudge</w:t>
      </w:r>
      <w:r w:rsidR="00FE2C5F">
        <w:rPr>
          <w:rFonts w:cs="Times New Roman"/>
          <w:lang w:eastAsia="ko-KR"/>
        </w:rPr>
        <w:t xml:space="preserve"> (Figure </w:t>
      </w:r>
      <w:r w:rsidR="007A73C8">
        <w:rPr>
          <w:rFonts w:cs="Times New Roman"/>
          <w:lang w:eastAsia="ko-KR"/>
        </w:rPr>
        <w:t>1</w:t>
      </w:r>
      <w:r w:rsidR="000E1D58">
        <w:rPr>
          <w:rFonts w:cs="Times New Roman"/>
          <w:lang w:eastAsia="ko-KR"/>
        </w:rPr>
        <w:t xml:space="preserve">). </w:t>
      </w:r>
    </w:p>
    <w:p w14:paraId="1730D44F" w14:textId="6797C57D" w:rsidR="00334879" w:rsidRPr="007A73C8" w:rsidRDefault="00FE2C5F" w:rsidP="007A73C8">
      <w:pPr>
        <w:pStyle w:val="Heading3"/>
        <w:rPr>
          <w:lang w:eastAsia="ko-KR"/>
        </w:rPr>
      </w:pPr>
      <w:r w:rsidRPr="007A73C8">
        <w:rPr>
          <w:lang w:eastAsia="ko-KR"/>
        </w:rPr>
        <w:t xml:space="preserve">Figure </w:t>
      </w:r>
      <w:r w:rsidR="007A73C8" w:rsidRPr="007A73C8">
        <w:rPr>
          <w:lang w:eastAsia="ko-KR"/>
        </w:rPr>
        <w:t>1</w:t>
      </w:r>
      <w:r w:rsidR="00334879" w:rsidRPr="007A73C8">
        <w:rPr>
          <w:lang w:eastAsia="ko-KR"/>
        </w:rPr>
        <w:t>: Affective Message Nudge in RCT1</w:t>
      </w:r>
    </w:p>
    <w:p w14:paraId="474D9D9C" w14:textId="77777777" w:rsidR="00334879" w:rsidRPr="00334879" w:rsidRDefault="00334879" w:rsidP="00334879">
      <w:pPr>
        <w:jc w:val="center"/>
        <w:rPr>
          <w:lang w:eastAsia="ko-KR"/>
        </w:rPr>
      </w:pPr>
      <w:r>
        <w:rPr>
          <w:noProof/>
          <w:lang w:eastAsia="en-GB"/>
        </w:rPr>
        <w:drawing>
          <wp:inline distT="0" distB="0" distL="0" distR="0" wp14:anchorId="5AAF1E77" wp14:editId="47E95A66">
            <wp:extent cx="2657475" cy="1779063"/>
            <wp:effectExtent l="0" t="0" r="0" b="0"/>
            <wp:docPr id="2" name="Picture 2" descr="http://www.berkeley.edu/news2/2011/11/cookstove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rkeley.edu/news2/2011/11/cookstove4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2461" cy="1782401"/>
                    </a:xfrm>
                    <a:prstGeom prst="rect">
                      <a:avLst/>
                    </a:prstGeom>
                    <a:noFill/>
                    <a:ln>
                      <a:noFill/>
                    </a:ln>
                  </pic:spPr>
                </pic:pic>
              </a:graphicData>
            </a:graphic>
          </wp:inline>
        </w:drawing>
      </w:r>
      <w:r>
        <w:rPr>
          <w:rFonts w:cs="Times New Roman"/>
          <w:noProof/>
          <w:lang w:eastAsia="en-GB"/>
        </w:rPr>
        <w:drawing>
          <wp:inline distT="0" distB="0" distL="0" distR="0" wp14:anchorId="663D5262" wp14:editId="0285DBF9">
            <wp:extent cx="3037840" cy="1776095"/>
            <wp:effectExtent l="0" t="0" r="0" b="0"/>
            <wp:docPr id="3" name="Picture 3" descr="http://sustainablereview.net/wp-content/uploads/2013/08/Aviva-carbon-off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stainablereview.net/wp-content/uploads/2013/08/Aviva-carbon-offse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1695" cy="1778349"/>
                    </a:xfrm>
                    <a:prstGeom prst="rect">
                      <a:avLst/>
                    </a:prstGeom>
                    <a:noFill/>
                    <a:ln>
                      <a:noFill/>
                    </a:ln>
                  </pic:spPr>
                </pic:pic>
              </a:graphicData>
            </a:graphic>
          </wp:inline>
        </w:drawing>
      </w:r>
    </w:p>
    <w:p w14:paraId="07A44B62" w14:textId="77777777" w:rsidR="00900FBD" w:rsidRDefault="00900FBD" w:rsidP="009E1AE9">
      <w:pPr>
        <w:jc w:val="center"/>
        <w:rPr>
          <w:rFonts w:cs="Times New Roman"/>
          <w:i/>
          <w:iCs/>
          <w:lang w:eastAsia="ko-KR"/>
        </w:rPr>
      </w:pPr>
      <w:r>
        <w:rPr>
          <w:rFonts w:cs="Times New Roman"/>
          <w:i/>
          <w:iCs/>
          <w:lang w:eastAsia="ko-KR"/>
        </w:rPr>
        <w:t>“Voluntary carbon offsetting means paying an extra amount of money on top of the price of a flight-ticket. This extra money is then used to reduce the amount of carbon dioxide emissions caused by the flight, through a project else-where. These projects can include tree-planting, building renewable energy sources, or reducing deforestation.</w:t>
      </w:r>
    </w:p>
    <w:p w14:paraId="44EC9CAF" w14:textId="77777777" w:rsidR="00900FBD" w:rsidRDefault="00900FBD" w:rsidP="009E1AE9">
      <w:pPr>
        <w:jc w:val="center"/>
        <w:rPr>
          <w:rFonts w:cs="Times New Roman"/>
          <w:i/>
          <w:iCs/>
          <w:lang w:eastAsia="ko-KR"/>
        </w:rPr>
      </w:pPr>
      <w:r>
        <w:rPr>
          <w:rFonts w:cs="Times New Roman"/>
          <w:i/>
          <w:iCs/>
          <w:lang w:eastAsia="ko-KR"/>
        </w:rPr>
        <w:t>One type of project funded through carbon offsets is introducing more efficient cookstoves to families in the developing world, instead of using traditional cookstoves or open fires like the picture on the left.</w:t>
      </w:r>
    </w:p>
    <w:p w14:paraId="4443B440" w14:textId="77777777" w:rsidR="00900FBD" w:rsidRDefault="00900FBD" w:rsidP="009E1AE9">
      <w:pPr>
        <w:jc w:val="center"/>
        <w:rPr>
          <w:rFonts w:cs="Times New Roman"/>
          <w:i/>
          <w:iCs/>
          <w:lang w:eastAsia="ko-KR"/>
        </w:rPr>
      </w:pPr>
      <w:r>
        <w:rPr>
          <w:rFonts w:cs="Times New Roman"/>
          <w:i/>
          <w:iCs/>
          <w:lang w:eastAsia="ko-KR"/>
        </w:rPr>
        <w:t>These projects have introduced efficient cookstoves to families in in many developing countries such as India, Honduras and Ghana. Simple modern cookstoves, like the one in the picture on the right, cook food more quickly and are insulated, requiring 50-60% less fuel and releasing much less smoke.</w:t>
      </w:r>
    </w:p>
    <w:p w14:paraId="7466CA72" w14:textId="77777777" w:rsidR="00900FBD" w:rsidRDefault="00900FBD" w:rsidP="009E1AE9">
      <w:pPr>
        <w:jc w:val="center"/>
        <w:rPr>
          <w:rFonts w:cs="Times New Roman"/>
          <w:i/>
          <w:iCs/>
          <w:lang w:eastAsia="ko-KR"/>
        </w:rPr>
      </w:pPr>
      <w:r>
        <w:rPr>
          <w:rFonts w:cs="Times New Roman"/>
          <w:i/>
          <w:iCs/>
          <w:lang w:eastAsia="ko-KR"/>
        </w:rPr>
        <w:t>So as well as cutting carbon emissions by reducing the need for firewood, this kind of project also improves health by reducing exposure to toxic smoke and fumes - a serious problem for the health of millions of women and children.”</w:t>
      </w:r>
    </w:p>
    <w:p w14:paraId="695CC4BE" w14:textId="5BA2A3D7" w:rsidR="00AE063D" w:rsidRDefault="00AE063D" w:rsidP="00BB1D36">
      <w:pPr>
        <w:pStyle w:val="Heading2"/>
      </w:pPr>
      <w:r>
        <w:t xml:space="preserve">Stage 2 – Focus Groups </w:t>
      </w:r>
    </w:p>
    <w:p w14:paraId="26F49A7F" w14:textId="310FA6BF" w:rsidR="00AE063D" w:rsidRDefault="007C7BD9" w:rsidP="00BF0006">
      <w:r>
        <w:t xml:space="preserve">After the results from RCT showed the nudges to be ineffective regarding either offset attitudes or offset behaviour (see the </w:t>
      </w:r>
      <w:r w:rsidR="008319B5">
        <w:t xml:space="preserve">results </w:t>
      </w:r>
      <w:r>
        <w:t>section</w:t>
      </w:r>
      <w:r w:rsidR="008319B5">
        <w:t xml:space="preserve"> below</w:t>
      </w:r>
      <w:r>
        <w:t>), qualitative data was sought to try and explain</w:t>
      </w:r>
      <w:r w:rsidR="00BF4367">
        <w:t xml:space="preserve"> what the limitations for nudging for carbon offsetting might be.</w:t>
      </w:r>
      <w:r>
        <w:t xml:space="preserve"> </w:t>
      </w:r>
      <w:r w:rsidR="00AE063D">
        <w:t>Six focus groups</w:t>
      </w:r>
      <w:r w:rsidR="00BF0006">
        <w:t>, each lasting one hour,</w:t>
      </w:r>
      <w:r w:rsidR="00AE063D">
        <w:t xml:space="preserve"> were held on campus at the</w:t>
      </w:r>
      <w:r w:rsidR="0012558D">
        <w:t xml:space="preserve"> University of Southampton, and</w:t>
      </w:r>
      <w:r w:rsidR="00AE063D">
        <w:t xml:space="preserve"> address</w:t>
      </w:r>
      <w:r w:rsidR="0012558D">
        <w:t>ed</w:t>
      </w:r>
      <w:r w:rsidR="00AE063D">
        <w:t xml:space="preserve"> the emergent research question following RCT1:</w:t>
      </w:r>
    </w:p>
    <w:p w14:paraId="10D7BC14" w14:textId="77777777" w:rsidR="00AE063D" w:rsidRPr="00DC73BA" w:rsidRDefault="00AE063D" w:rsidP="00AE063D">
      <w:pPr>
        <w:pStyle w:val="ListParagraph"/>
        <w:spacing w:line="256" w:lineRule="auto"/>
        <w:jc w:val="both"/>
        <w:rPr>
          <w:i/>
          <w:iCs/>
        </w:rPr>
      </w:pPr>
      <w:r w:rsidRPr="00DC73BA">
        <w:rPr>
          <w:i/>
          <w:iCs/>
        </w:rPr>
        <w:t xml:space="preserve">If limitations exist for nudging for carbon offsetting, are these due to design issues, or due to more substantive problems with the policy paradigms of nudge and/or carbon offsetting? </w:t>
      </w:r>
    </w:p>
    <w:p w14:paraId="3F56F8BF" w14:textId="1B932403" w:rsidR="00AE063D" w:rsidRDefault="00BF4367" w:rsidP="00BF4367">
      <w:pPr>
        <w:rPr>
          <w:lang w:eastAsia="zh-TW"/>
        </w:rPr>
      </w:pPr>
      <w:r>
        <w:rPr>
          <w:lang w:eastAsia="zh-TW"/>
        </w:rPr>
        <w:t>Participants</w:t>
      </w:r>
      <w:r w:rsidR="00AE063D">
        <w:rPr>
          <w:lang w:eastAsia="zh-TW"/>
        </w:rPr>
        <w:t xml:space="preserve"> were shown vignettes of the nudges used in RCT1 and asked to offer their evaluations on them, as well as their broader opinions about carbon offsetting as a concept, </w:t>
      </w:r>
      <w:r>
        <w:rPr>
          <w:lang w:eastAsia="zh-TW"/>
        </w:rPr>
        <w:t>and on</w:t>
      </w:r>
      <w:r w:rsidR="00AE063D">
        <w:rPr>
          <w:lang w:eastAsia="zh-TW"/>
        </w:rPr>
        <w:t xml:space="preserve"> what might motivate them to purchase offsets themselves.</w:t>
      </w:r>
    </w:p>
    <w:p w14:paraId="16BF03DB" w14:textId="67993273" w:rsidR="0012558D" w:rsidRDefault="00AE063D" w:rsidP="000E51EF">
      <w:pPr>
        <w:rPr>
          <w:lang w:eastAsia="zh-TW"/>
        </w:rPr>
      </w:pPr>
      <w:r>
        <w:rPr>
          <w:lang w:eastAsia="zh-TW"/>
        </w:rPr>
        <w:t>Following a series of pilot focus groups obtained by random snowball sampling, the main focus groups were stratified by field of study, international/domestic student status, and undergraduate/postgraduate cohorts, yielding six different focus groups (</w:t>
      </w:r>
      <w:r w:rsidR="000E51EF">
        <w:rPr>
          <w:lang w:eastAsia="zh-TW"/>
        </w:rPr>
        <w:t>see Table 2</w:t>
      </w:r>
      <w:r>
        <w:rPr>
          <w:lang w:eastAsia="zh-TW"/>
        </w:rPr>
        <w:t xml:space="preserve">). The groups were stratified to create greater homogeneity among participants, which might produce data of greater quality </w:t>
      </w:r>
      <w:r>
        <w:fldChar w:fldCharType="begin" w:fldLock="1"/>
      </w:r>
      <w:r w:rsidR="00CB0271">
        <w:rPr>
          <w:lang w:eastAsia="zh-TW"/>
        </w:rPr>
        <w:instrText>ADDIN CSL_CITATION { "citationItems" : [ { "id" : "ITEM-1", "itemData" : { "URL" : "http://www.acrwebsite.org/search/view-conference-proceedings.aspx?Id=9875", "accessed" : { "date-parts" : [ [ "2015", "4", "16" ] ] }, "author" : [ { "dropping-particle" : "", "family" : "Corfman", "given" : "Kim", "non-dropping-particle" : "", "parse-names" : false, "suffix" : "" } ], "container-title" : "Advances in Consumer Research", "id" : "ITEM-1", "issued" : { "date-parts" : [ [ "1995" ] ] }, "page" : "354-359", "title" : "The Importance of Member Homogeneity to Focus Group Quality", "type" : "webpage" }, "uris" : [ "http://www.mendeley.com/documents/?uuid=1e17d6b4-87d7-4137-9a4c-08d54e3810c2" ] } ], "mendeley" : { "formattedCitation" : "(Corfman 1995)", "plainTextFormattedCitation" : "(Corfman 1995)", "previouslyFormattedCitation" : "(Corfman 1995)" }, "properties" : {  }, "schema" : "https://github.com/citation-style-language/schema/raw/master/csl-citation.json" }</w:instrText>
      </w:r>
      <w:r>
        <w:fldChar w:fldCharType="separate"/>
      </w:r>
      <w:r>
        <w:rPr>
          <w:noProof/>
          <w:lang w:eastAsia="zh-TW"/>
        </w:rPr>
        <w:t>(Corfman 1995)</w:t>
      </w:r>
      <w:r>
        <w:fldChar w:fldCharType="end"/>
      </w:r>
      <w:r>
        <w:rPr>
          <w:lang w:eastAsia="zh-TW"/>
        </w:rPr>
        <w:t xml:space="preserve">. Secondly, stratification by discipline and nationality was done to reflect potential differences in attitude on the environment in general, and offsetting in particular. Previous research suggests that students of subjects such as geography are more likely to display pro-environmental attitudes compared to management or business students </w:t>
      </w:r>
      <w:r>
        <w:fldChar w:fldCharType="begin" w:fldLock="1"/>
      </w:r>
      <w:r w:rsidR="00FB6E5E">
        <w:rPr>
          <w:lang w:eastAsia="zh-TW"/>
        </w:rPr>
        <w:instrText>ADDIN CSL_CITATION { "citationItems" : [ { "id" : "ITEM-1", "itemData" : { "DOI" : "10.1177/00139160121973197", "ISBN" : "0013-9165", "ISSN" : "0013-9165", "abstract" : "This study examined the differences between academic major and reported attitudes and beliefs about the environment. Other variables investigated included sex, age, and place of residence. Throughout the 1993 and 1995 academic years, students within a variety of academic majors at a university in British Columbia were queried using a modified New Environmental Paradigm (NEP) instrument. Significant differences in environmental attitudes were observed in the variables of academic major, gender, and age. The results of this study suggest that individuals majoring in different academic disciplines place fundamentally different levels of concerns and express different beliefs regarding the environment.", "author" : [ { "dropping-particle" : "", "family" : "Ewert", "given" : "Alan", "non-dropping-particle" : "", "parse-names" : false, "suffix" : "" }, { "dropping-particle" : "", "family" : "Baker", "given" : "Doug", "non-dropping-particle" : "", "parse-names" : false, "suffix" : "" } ], "container-title" : "Environment and Behavior", "id" : "ITEM-1", "issued" : { "date-parts" : [ [ "2001" ] ] }, "page" : "687-707", "title" : "Standing for Where You Sit: An Exploratory Analysis of the Relationship between Academic Major and Environment Beliefs", "type" : "article-journal", "volume" : "33" }, "uris" : [ "http://www.mendeley.com/documents/?uuid=1532fb3a-6a0d-495c-baca-37aaeb2a48a5" ] }, { "id" : "ITEM-2", "itemData" : { "DOI" : "10.1080/1350462042000338324", "ISSN" : "1350-4622", "abstract" : "The reported research examines the level of environmental knowledge of Michigan State University students relative to the results of a biannual national study of the environmental knowledge of the general population of the United States. While the university students were found to possess higher levels of environmental knowledge than the general public, the students' overall environmental knowledge, on average, was deficient with only 66% of them receiving a passing grade. The findings suggest a positive correlation between academic level, field of study and environmental knowledge.", "author" : [ { "dropping-particle" : "", "family" : "Kaplowitz", "given" : "Michael D.", "non-dropping-particle" : "", "parse-names" : false, "suffix" : "" }, { "dropping-particle" : "", "family" : "Levine", "given" : "Ralph", "non-dropping-particle" : "", "parse-names" : false, "suffix" : "" } ], "container-title" : "Environmental Education Research", "id" : "ITEM-2", "issue" : "2", "issued" : { "date-parts" : [ [ "2005" ] ] }, "page" : "143-160", "title" : "How environmental knowledge measures up at a Big Ten university", "type" : "article-journal", "volume" : "11" }, "uris" : [ "http://www.mendeley.com/documents/?uuid=5aee4f6a-e62b-4624-979e-a54614c40e15" ] }, { "id" : "ITEM-3", "itemData" : { "DOI" : "10.1080/00958960009598640", "ISSN" : "0095-8964", "abstract" : "The objective of this study was to establish whether students in a variety of educational establishments differed in their attitudes toward nature and the environment and to discover more about their nature- and environment-related activities and knowledge. Major variations among students were found according to their gender and educational backgrounds. Female students tended to show more responsibility toward the environment than male students. Of the different educational groups studied, students of biology exhibited the most positive attitudes and the greatest levels of knowledge; they also participated in many nature-related activities. In contrast, there was some evidence that students of subjects related to technology and economics adopted a more negative attitude toward the environment and, on average, had fewer nature-related hobbies than students in general. Attitudes, the quantity of nature-related activities, and knowledge about environmentor nature-related issues correlated with one another. Although educational background seemed to affect attitudes, activity levels, and knowledge, there are without a doubt a number of other underlying factors.", "author" : [ { "dropping-particle" : "", "family" : "Tikka", "given" : "P\u00e1ivi M.", "non-dropping-particle" : "", "parse-names" : false, "suffix" : "" }, { "dropping-particle" : "", "family" : "Kuitunen", "given" : "Markku T.", "non-dropping-particle" : "", "parse-names" : false, "suffix" : "" }, { "dropping-particle" : "", "family" : "Tynys", "given" : "Salla M.", "non-dropping-particle" : "", "parse-names" : false, "suffix" : "" } ], "container-title" : "The Journal of Environmental Education", "id" : "ITEM-3", "issue" : "February 2015", "issued" : { "date-parts" : [ [ "2000" ] ] }, "page" : "12-19", "title" : "Effects of Educational Background on Students' Attitudes, Activity Levels, and Knowledge Concerning the Environment", "type" : "article-journal", "volume" : "31" }, "uris" : [ "http://www.mendeley.com/documents/?uuid=e0825a5e-e6c1-48bf-87ba-17f94173ab2c" ] } ], "mendeley" : { "formattedCitation" : "(Ewert &amp; Baker 2001; Kaplowitz &amp; Levine 2005; Tikka et al. 2000)", "plainTextFormattedCitation" : "(Ewert &amp; Baker 2001; Kaplowitz &amp; Levine 2005; Tikka et al. 2000)", "previouslyFormattedCitation" : "(Ewert &amp; Baker 2001; Kaplowitz &amp; Levine 2005; Tikka et al. 2000)" }, "properties" : {  }, "schema" : "https://github.com/citation-style-language/schema/raw/master/csl-citation.json" }</w:instrText>
      </w:r>
      <w:r>
        <w:fldChar w:fldCharType="separate"/>
      </w:r>
      <w:r w:rsidRPr="002B6882">
        <w:rPr>
          <w:noProof/>
          <w:lang w:eastAsia="zh-TW"/>
        </w:rPr>
        <w:t>(Ewert &amp; Baker 2001; Kaplowitz &amp; Levine 2005; Tikka et al. 2000)</w:t>
      </w:r>
      <w:r>
        <w:fldChar w:fldCharType="end"/>
      </w:r>
      <w:r>
        <w:t xml:space="preserve">. Elsewhere, Europeans have exhibited higher levels of awareness of carbon offsetting than North Americans, </w:t>
      </w:r>
      <w:r>
        <w:rPr>
          <w:lang w:eastAsia="zh-TW"/>
        </w:rPr>
        <w:t xml:space="preserve">who have greater awareness than Asians </w:t>
      </w:r>
      <w:r>
        <w:fldChar w:fldCharType="begin" w:fldLock="1"/>
      </w:r>
      <w:r w:rsidR="00CB0271">
        <w:rPr>
          <w:lang w:eastAsia="zh-TW"/>
        </w:rPr>
        <w:instrText>ADDIN CSL_CITATION { "citationItems" : [ { "id" : "ITEM-1", "itemData" : { "DOI" : "10.1007/s10584-008-9414-0", "ISBN" : "0165-0009", "abstract" : "Several economic reviews demonstrate the substantial costs related to climate change and consequently call for early action. These reviews, however, have been limited to measuring 'objective' risks and expected material damage related to climate change. The 'subjective' perceived risk of climate change and society's willingness to pay (WTP) to avoid these risks are expected to provide an important additional motivation for direct action. We investigate whether and why air travel passengers-an increasingly important source of greenhouse gas emissions-are supportive of measures that increase the cost of their travel based on the polluter pays principle and compensate the damage caused by their flight. Compared to the results of the few previous studies that have elicited WTP estimates for climate policy more generally, our results appear to be at the lower end of the scale, while a comparison to estimates of the social cost of carbon shows that the average WTP estimate in this study is close to the estimated marginal damage cost. Although significant differences are found between travellers from Europe, North America, Asia and the rest of the world, we show that there exists a substantial demand for climate change mitigation action. The positive risk premium over and above the expected property damage cost assessments should be accounted for more explicitly in economic reviews as it will add to the burden of proof of direct action. Measurements of passenger WTP will help policy makers to design effective financial instruments aimed at discouraging climate-unfriendly travel activities as well as to generate funds for the measures directed at climate change mitigation and adaptation. Based on stated WTP by travellers to offset their greenhouse gas emissions, funds in the order of magnitude of (sic)23 billion could be generated annually to finance climate change mitigation activities.", "author" : [ { "dropping-particle" : "", "family" : "Brouwer", "given" : "R", "non-dropping-particle" : "", "parse-names" : false, "suffix" : "" }, { "dropping-particle" : "", "family" : "Brander", "given" : "L", "non-dropping-particle" : "", "parse-names" : false, "suffix" : "" }, { "dropping-particle" : "", "family" : "Beukering", "given" : "P", "non-dropping-particle" : "Van", "parse-names" : false, "suffix" : "" } ], "container-title" : "Climatic Change", "id" : "ITEM-1", "issue" : "3", "issued" : { "date-parts" : [ [ "2008" ] ] }, "note" : "Times Cited: 31\n0\n32", "page" : "299-313", "title" : "\"A convenient truth\": air travel passengers' willingness to pay to offset their CO(2) emissions", "type" : "article-journal", "volume" : "90" }, "uris" : [ "http://www.mendeley.com/documents/?uuid=4c0469cc-23a2-4a1a-904b-e0755aa0aadb" ] } ], "mendeley" : { "formattedCitation" : "(Brouwer et al. 2008)", "plainTextFormattedCitation" : "(Brouwer et al. 2008)", "previouslyFormattedCitation" : "(Brouwer et al. 2008)" }, "properties" : {  }, "schema" : "https://github.com/citation-style-language/schema/raw/master/csl-citation.json" }</w:instrText>
      </w:r>
      <w:r>
        <w:fldChar w:fldCharType="separate"/>
      </w:r>
      <w:r w:rsidRPr="002B6882">
        <w:rPr>
          <w:noProof/>
          <w:lang w:eastAsia="zh-TW"/>
        </w:rPr>
        <w:t>(Brouwer et al. 2008)</w:t>
      </w:r>
      <w:r>
        <w:fldChar w:fldCharType="end"/>
      </w:r>
      <w:r w:rsidRPr="00490603">
        <w:rPr>
          <w:lang w:eastAsia="zh-TW"/>
        </w:rPr>
        <w:t xml:space="preserve">. </w:t>
      </w:r>
      <w:r>
        <w:rPr>
          <w:lang w:eastAsia="zh-TW"/>
        </w:rPr>
        <w:t>Full stratification by nationality was not possible, but groups were stratified in terms of UK or international student status. Focus groups were moderated, transcribed and analysed using NVivo software</w:t>
      </w:r>
      <w:r w:rsidR="00A700C0">
        <w:rPr>
          <w:lang w:eastAsia="zh-TW"/>
        </w:rPr>
        <w:t>,</w:t>
      </w:r>
      <w:r>
        <w:rPr>
          <w:lang w:eastAsia="zh-TW"/>
        </w:rPr>
        <w:t xml:space="preserve"> using code</w:t>
      </w:r>
      <w:r w:rsidR="00BF4367">
        <w:rPr>
          <w:lang w:eastAsia="zh-TW"/>
        </w:rPr>
        <w:t>s</w:t>
      </w:r>
      <w:r>
        <w:rPr>
          <w:lang w:eastAsia="zh-TW"/>
        </w:rPr>
        <w:t xml:space="preserve"> including “positive/negative evaluation of</w:t>
      </w:r>
      <w:r w:rsidR="00FE2C5F">
        <w:rPr>
          <w:lang w:eastAsia="zh-TW"/>
        </w:rPr>
        <w:t xml:space="preserve"> nudges”, “cost of offsetting” and </w:t>
      </w:r>
      <w:r>
        <w:rPr>
          <w:lang w:eastAsia="zh-TW"/>
        </w:rPr>
        <w:t>“ethics of offsetting”.</w:t>
      </w:r>
    </w:p>
    <w:p w14:paraId="1AF5BECE" w14:textId="764BFB80" w:rsidR="00AE063D" w:rsidRPr="00490603" w:rsidRDefault="0015699C" w:rsidP="007369B4">
      <w:pPr>
        <w:pStyle w:val="Heading3"/>
      </w:pPr>
      <w:r>
        <w:t>Table</w:t>
      </w:r>
      <w:r w:rsidR="00AE063D">
        <w:t xml:space="preserve"> </w:t>
      </w:r>
      <w:r w:rsidR="007369B4">
        <w:t>2</w:t>
      </w:r>
      <w:r w:rsidR="00AE063D" w:rsidRPr="00490603">
        <w:t>: Characteristics of Focus Group Participants</w:t>
      </w:r>
    </w:p>
    <w:tbl>
      <w:tblPr>
        <w:tblStyle w:val="TableGrid"/>
        <w:tblW w:w="0" w:type="auto"/>
        <w:tblInd w:w="113" w:type="dxa"/>
        <w:tblBorders>
          <w:left w:val="none" w:sz="0" w:space="0" w:color="auto"/>
          <w:right w:val="none" w:sz="0" w:space="0" w:color="auto"/>
          <w:insideV w:val="none" w:sz="0" w:space="0" w:color="auto"/>
        </w:tblBorders>
        <w:tblLook w:val="04A0" w:firstRow="1" w:lastRow="0" w:firstColumn="1" w:lastColumn="0" w:noHBand="0" w:noVBand="1"/>
      </w:tblPr>
      <w:tblGrid>
        <w:gridCol w:w="4461"/>
        <w:gridCol w:w="4452"/>
      </w:tblGrid>
      <w:tr w:rsidR="00AE063D" w14:paraId="3CC9AB25" w14:textId="77777777" w:rsidTr="00356AF0">
        <w:tc>
          <w:tcPr>
            <w:tcW w:w="4621" w:type="dxa"/>
            <w:hideMark/>
          </w:tcPr>
          <w:p w14:paraId="60A59517" w14:textId="77777777" w:rsidR="00AE063D" w:rsidRDefault="00AE063D" w:rsidP="004317D8">
            <w:pPr>
              <w:rPr>
                <w:lang w:eastAsia="zh-TW"/>
              </w:rPr>
            </w:pPr>
            <w:r>
              <w:rPr>
                <w:lang w:eastAsia="zh-TW"/>
              </w:rPr>
              <w:t xml:space="preserve">10 Geography Domestic Undergraduates </w:t>
            </w:r>
          </w:p>
          <w:p w14:paraId="4B556C4C" w14:textId="77777777" w:rsidR="00AE063D" w:rsidRDefault="00AE063D" w:rsidP="004317D8">
            <w:pPr>
              <w:rPr>
                <w:lang w:eastAsia="zh-TW"/>
              </w:rPr>
            </w:pPr>
            <w:r>
              <w:rPr>
                <w:lang w:eastAsia="zh-TW"/>
              </w:rPr>
              <w:t>(5 male, 5 female)</w:t>
            </w:r>
          </w:p>
        </w:tc>
        <w:tc>
          <w:tcPr>
            <w:tcW w:w="4621" w:type="dxa"/>
            <w:hideMark/>
          </w:tcPr>
          <w:p w14:paraId="27286A64" w14:textId="77777777" w:rsidR="00AE063D" w:rsidRDefault="00AE063D" w:rsidP="004317D8">
            <w:pPr>
              <w:rPr>
                <w:lang w:eastAsia="zh-TW"/>
              </w:rPr>
            </w:pPr>
            <w:r>
              <w:rPr>
                <w:lang w:eastAsia="zh-TW"/>
              </w:rPr>
              <w:t xml:space="preserve">8 Geography Domestic Postgraduates </w:t>
            </w:r>
          </w:p>
          <w:p w14:paraId="54863C71" w14:textId="77777777" w:rsidR="00AE063D" w:rsidRDefault="00AE063D" w:rsidP="004317D8">
            <w:pPr>
              <w:rPr>
                <w:lang w:eastAsia="zh-TW"/>
              </w:rPr>
            </w:pPr>
            <w:r>
              <w:rPr>
                <w:lang w:eastAsia="zh-TW"/>
              </w:rPr>
              <w:t>(3 male, 5 female)</w:t>
            </w:r>
          </w:p>
        </w:tc>
      </w:tr>
      <w:tr w:rsidR="00AE063D" w14:paraId="42EDDB4C" w14:textId="77777777" w:rsidTr="00356AF0">
        <w:tc>
          <w:tcPr>
            <w:tcW w:w="4621" w:type="dxa"/>
            <w:hideMark/>
          </w:tcPr>
          <w:p w14:paraId="1FB77A18" w14:textId="77777777" w:rsidR="00AE063D" w:rsidRDefault="00AE063D" w:rsidP="004317D8">
            <w:pPr>
              <w:rPr>
                <w:lang w:eastAsia="zh-TW"/>
              </w:rPr>
            </w:pPr>
            <w:r>
              <w:rPr>
                <w:lang w:eastAsia="zh-TW"/>
              </w:rPr>
              <w:t xml:space="preserve">10 Geography International Postgraduates </w:t>
            </w:r>
          </w:p>
          <w:p w14:paraId="5CD3A16A" w14:textId="77777777" w:rsidR="00AE063D" w:rsidRDefault="00AE063D" w:rsidP="004317D8">
            <w:pPr>
              <w:rPr>
                <w:lang w:eastAsia="zh-TW"/>
              </w:rPr>
            </w:pPr>
            <w:r>
              <w:rPr>
                <w:lang w:eastAsia="zh-TW"/>
              </w:rPr>
              <w:t>(5 male,  5 female)</w:t>
            </w:r>
          </w:p>
        </w:tc>
        <w:tc>
          <w:tcPr>
            <w:tcW w:w="4621" w:type="dxa"/>
            <w:hideMark/>
          </w:tcPr>
          <w:p w14:paraId="3DE45046" w14:textId="77777777" w:rsidR="00AE063D" w:rsidRDefault="00AE063D" w:rsidP="004317D8">
            <w:pPr>
              <w:rPr>
                <w:lang w:eastAsia="zh-TW"/>
              </w:rPr>
            </w:pPr>
            <w:r>
              <w:rPr>
                <w:lang w:eastAsia="zh-TW"/>
              </w:rPr>
              <w:t xml:space="preserve">9 Management International Postgraduates </w:t>
            </w:r>
          </w:p>
          <w:p w14:paraId="7AE8756D" w14:textId="77777777" w:rsidR="00AE063D" w:rsidRDefault="00AE063D" w:rsidP="004317D8">
            <w:pPr>
              <w:rPr>
                <w:lang w:eastAsia="zh-TW"/>
              </w:rPr>
            </w:pPr>
            <w:r>
              <w:rPr>
                <w:lang w:eastAsia="zh-TW"/>
              </w:rPr>
              <w:t>(5 female, 4 male)</w:t>
            </w:r>
          </w:p>
        </w:tc>
      </w:tr>
      <w:tr w:rsidR="00AE063D" w14:paraId="0838E28D" w14:textId="77777777" w:rsidTr="00356AF0">
        <w:tc>
          <w:tcPr>
            <w:tcW w:w="4621" w:type="dxa"/>
            <w:hideMark/>
          </w:tcPr>
          <w:p w14:paraId="3A02C076" w14:textId="77777777" w:rsidR="00AE063D" w:rsidRDefault="00AE063D" w:rsidP="004317D8">
            <w:pPr>
              <w:rPr>
                <w:lang w:eastAsia="zh-TW"/>
              </w:rPr>
            </w:pPr>
            <w:r>
              <w:rPr>
                <w:lang w:eastAsia="zh-TW"/>
              </w:rPr>
              <w:t xml:space="preserve">8 Management Domestic Undergrads </w:t>
            </w:r>
          </w:p>
          <w:p w14:paraId="169E3E25" w14:textId="77777777" w:rsidR="00AE063D" w:rsidRDefault="00AE063D" w:rsidP="004317D8">
            <w:pPr>
              <w:rPr>
                <w:lang w:eastAsia="zh-TW"/>
              </w:rPr>
            </w:pPr>
            <w:r>
              <w:rPr>
                <w:lang w:eastAsia="zh-TW"/>
              </w:rPr>
              <w:t>(3 male, 5 female)</w:t>
            </w:r>
          </w:p>
        </w:tc>
        <w:tc>
          <w:tcPr>
            <w:tcW w:w="4621" w:type="dxa"/>
            <w:hideMark/>
          </w:tcPr>
          <w:p w14:paraId="4FC2CBA9" w14:textId="77777777" w:rsidR="00AE063D" w:rsidRDefault="00AE063D" w:rsidP="004317D8">
            <w:pPr>
              <w:rPr>
                <w:lang w:eastAsia="zh-TW"/>
              </w:rPr>
            </w:pPr>
            <w:r>
              <w:rPr>
                <w:lang w:eastAsia="zh-TW"/>
              </w:rPr>
              <w:t xml:space="preserve">6 Management International Undergrads </w:t>
            </w:r>
          </w:p>
          <w:p w14:paraId="7F0BF166" w14:textId="77777777" w:rsidR="00AE063D" w:rsidRDefault="00AE063D" w:rsidP="004317D8">
            <w:pPr>
              <w:rPr>
                <w:lang w:eastAsia="zh-TW"/>
              </w:rPr>
            </w:pPr>
            <w:r>
              <w:rPr>
                <w:lang w:eastAsia="zh-TW"/>
              </w:rPr>
              <w:t>(3 male, 3 female)</w:t>
            </w:r>
          </w:p>
        </w:tc>
      </w:tr>
    </w:tbl>
    <w:p w14:paraId="0957DE84" w14:textId="77777777" w:rsidR="00AE063D" w:rsidRDefault="00AE063D" w:rsidP="00AE063D"/>
    <w:p w14:paraId="67062FA7" w14:textId="4CE3D657" w:rsidR="00AE063D" w:rsidRDefault="00AE063D" w:rsidP="00BB1D36">
      <w:pPr>
        <w:pStyle w:val="Heading2"/>
      </w:pPr>
      <w:r>
        <w:t xml:space="preserve">Stage 3 – RCT2 </w:t>
      </w:r>
    </w:p>
    <w:p w14:paraId="735F04AA" w14:textId="6A05AC54" w:rsidR="00AE063D" w:rsidRDefault="00FE2C5F" w:rsidP="00FE2C5F">
      <w:pPr>
        <w:rPr>
          <w:lang w:eastAsia="zh-TW"/>
        </w:rPr>
      </w:pPr>
      <w:r>
        <w:t>RCT2</w:t>
      </w:r>
      <w:r w:rsidR="00AE063D">
        <w:t xml:space="preserve"> was also </w:t>
      </w:r>
      <w:r w:rsidR="00AE063D">
        <w:rPr>
          <w:lang w:eastAsia="zh-TW"/>
        </w:rPr>
        <w:t>embedded within a short survey about air travel behaviour,</w:t>
      </w:r>
      <w:r w:rsidR="00AE063D">
        <w:t xml:space="preserve"> and </w:t>
      </w:r>
      <w:r w:rsidR="00AE063D">
        <w:rPr>
          <w:lang w:eastAsia="zh-TW"/>
        </w:rPr>
        <w:t xml:space="preserve">emailed to all </w:t>
      </w:r>
      <w:r w:rsidR="00AE063D" w:rsidRPr="00E339F7">
        <w:rPr>
          <w:lang w:eastAsia="zh-TW"/>
        </w:rPr>
        <w:t>24,</w:t>
      </w:r>
      <w:r w:rsidR="00AE063D">
        <w:rPr>
          <w:lang w:eastAsia="zh-TW"/>
        </w:rPr>
        <w:t>182</w:t>
      </w:r>
      <w:r w:rsidR="00AE063D" w:rsidRPr="00E339F7">
        <w:rPr>
          <w:lang w:eastAsia="zh-TW"/>
        </w:rPr>
        <w:t xml:space="preserve"> </w:t>
      </w:r>
      <w:r w:rsidR="00AE063D">
        <w:rPr>
          <w:lang w:eastAsia="zh-TW"/>
        </w:rPr>
        <w:t>students at the University of Southampton registered during the 2015/16 academic year.</w:t>
      </w:r>
      <w:r w:rsidR="00AE063D" w:rsidRPr="00B77B6C">
        <w:rPr>
          <w:lang w:eastAsia="zh-TW"/>
        </w:rPr>
        <w:t xml:space="preserve"> </w:t>
      </w:r>
      <w:r w:rsidR="00AE063D" w:rsidRPr="00B77B6C">
        <w:t>2</w:t>
      </w:r>
      <w:r w:rsidR="00AE063D">
        <w:t>,</w:t>
      </w:r>
      <w:r w:rsidR="00AE063D" w:rsidRPr="00B77B6C">
        <w:t xml:space="preserve">356 </w:t>
      </w:r>
      <w:r w:rsidR="00AE063D">
        <w:rPr>
          <w:lang w:eastAsia="zh-TW"/>
        </w:rPr>
        <w:t>students responded to the email, a response rate of 9.74%. Again, respondents were randomly and blindly assigned to either a control or intervention group. Unlike the first RCT, there was only one intervention group</w:t>
      </w:r>
      <w:r w:rsidR="00AE063D" w:rsidRPr="00AA5B91">
        <w:rPr>
          <w:lang w:eastAsia="zh-TW"/>
        </w:rPr>
        <w:t xml:space="preserve"> </w:t>
      </w:r>
      <w:r w:rsidR="00AE063D">
        <w:rPr>
          <w:lang w:eastAsia="zh-TW"/>
        </w:rPr>
        <w:t>in the second RCT. This was done in order to increase statistical power, and thus the chances of detecting a potentially significant but small effect. The same offset company, carbonfootprint.com, was used again in order that results from RCT1 and RCT2 could be compared</w:t>
      </w:r>
      <w:r>
        <w:rPr>
          <w:lang w:eastAsia="zh-TW"/>
        </w:rPr>
        <w:t>.</w:t>
      </w:r>
    </w:p>
    <w:p w14:paraId="2577E3E0" w14:textId="4417C878" w:rsidR="000E4830" w:rsidRDefault="00AE063D" w:rsidP="00356AF0">
      <w:pPr>
        <w:rPr>
          <w:lang w:eastAsia="zh-TW"/>
        </w:rPr>
      </w:pPr>
      <w:r>
        <w:rPr>
          <w:lang w:eastAsia="zh-TW"/>
        </w:rPr>
        <w:t xml:space="preserve">Both the intervention group and control group received the same survey. Following this, the intervention group alone received the social norm nudge (Figure </w:t>
      </w:r>
      <w:r w:rsidR="007A73C8">
        <w:rPr>
          <w:lang w:eastAsia="zh-TW"/>
        </w:rPr>
        <w:t>2</w:t>
      </w:r>
      <w:r>
        <w:rPr>
          <w:lang w:eastAsia="zh-TW"/>
        </w:rPr>
        <w:t>). This nudge incorporated the text from RCT1 but also added new material (every</w:t>
      </w:r>
      <w:r w:rsidR="00FE2C5F">
        <w:rPr>
          <w:lang w:eastAsia="zh-TW"/>
        </w:rPr>
        <w:t xml:space="preserve">thing above the line in Figure </w:t>
      </w:r>
      <w:r w:rsidR="007A73C8">
        <w:rPr>
          <w:lang w:eastAsia="zh-TW"/>
        </w:rPr>
        <w:t>2</w:t>
      </w:r>
      <w:r>
        <w:rPr>
          <w:lang w:eastAsia="zh-TW"/>
        </w:rPr>
        <w:t xml:space="preserve">), informed </w:t>
      </w:r>
      <w:r w:rsidR="007A73C8">
        <w:rPr>
          <w:lang w:eastAsia="zh-TW"/>
        </w:rPr>
        <w:t>by</w:t>
      </w:r>
      <w:r>
        <w:rPr>
          <w:lang w:eastAsia="zh-TW"/>
        </w:rPr>
        <w:t xml:space="preserve"> the focus group data. </w:t>
      </w:r>
      <w:r w:rsidR="00675DAC">
        <w:rPr>
          <w:lang w:eastAsia="zh-TW"/>
        </w:rPr>
        <w:t xml:space="preserve">As with RCT1, significant differences in offset interest and offset behaviour between the three treatment groups and the control group were measured using </w:t>
      </w:r>
      <w:r w:rsidR="005A2E22">
        <w:rPr>
          <w:rFonts w:cs="Times New Roman"/>
        </w:rPr>
        <w:t xml:space="preserve">Pearson’s </w:t>
      </w:r>
      <w:r w:rsidR="005A2E22" w:rsidRPr="004517D1">
        <w:rPr>
          <w:rFonts w:cs="Times New Roman"/>
        </w:rPr>
        <w:t>chi</w:t>
      </w:r>
      <w:r w:rsidR="005A2E22">
        <w:rPr>
          <w:rFonts w:cs="Times New Roman"/>
        </w:rPr>
        <w:t>-</w:t>
      </w:r>
      <w:r w:rsidR="005A2E22" w:rsidRPr="004517D1">
        <w:rPr>
          <w:rFonts w:cs="Times New Roman"/>
        </w:rPr>
        <w:t>square</w:t>
      </w:r>
      <w:r w:rsidR="005A2E22">
        <w:rPr>
          <w:rFonts w:cs="Times New Roman"/>
        </w:rPr>
        <w:t xml:space="preserve"> </w:t>
      </w:r>
      <w:r w:rsidR="00675DAC">
        <w:rPr>
          <w:lang w:eastAsia="zh-TW"/>
        </w:rPr>
        <w:t xml:space="preserve">tests in SPSS software. </w:t>
      </w:r>
      <w:r w:rsidR="000313EF" w:rsidRPr="000313EF">
        <w:rPr>
          <w:lang w:eastAsia="zh-TW"/>
        </w:rPr>
        <w:t>In order to determine which factors were influencing interest in offsetting, a lo</w:t>
      </w:r>
      <w:r w:rsidR="000313EF">
        <w:rPr>
          <w:lang w:eastAsia="zh-TW"/>
        </w:rPr>
        <w:t xml:space="preserve">gistic regression was conducted, </w:t>
      </w:r>
      <w:r w:rsidR="000313EF" w:rsidRPr="000313EF">
        <w:rPr>
          <w:lang w:eastAsia="zh-TW"/>
        </w:rPr>
        <w:t>entering in the variables ‘size of party on the last flight you took</w:t>
      </w:r>
      <w:r w:rsidR="000313EF">
        <w:rPr>
          <w:lang w:eastAsia="zh-TW"/>
        </w:rPr>
        <w:t xml:space="preserve">’, and ‘climate change concern’, as these variables have previously been shown to be related to likelihood to offset </w:t>
      </w:r>
      <w:r w:rsidR="005A2E22">
        <w:rPr>
          <w:lang w:eastAsia="zh-TW"/>
        </w:rPr>
        <w:fldChar w:fldCharType="begin" w:fldLock="1"/>
      </w:r>
      <w:r w:rsidR="00E5291D">
        <w:rPr>
          <w:lang w:eastAsia="zh-TW"/>
        </w:rPr>
        <w:instrText>ADDIN CSL_CITATION { "citationItems" : [ { "id" : "ITEM-1", "itemData" : { "DOI" : "10.1016/j.tourman.2014.04.009", "ISBN" : "0261-5177", "ISSN" : "02615177", "abstract" : "Voluntary carbon offsetting was popularised during the last decade, particularly by airlines, as a tool to 'neutralise' emissions associated with travel. Although there is a wide range of carbon offsetting schemes for tourism, the uptake of these programs has been reportedly low. Regardless, little research has explored the visitor segments who voluntarily undertake carbon offsetting. Consequently, this research investigates the prevalence of carbon offsetting amongst international tourists to Australia between 2008 and 2010 and, using cluster analysis, segments the carbon offsetters into three distinct markets. Findings reveal a stable carbon offsetting market, despite a Global Financial Crisis occurring during the reference period. Further, travellers from the United Kingdom/Europe were more likely to carbon offset, while those from Asia were less likely to participate in the schemes. Thus, this could indicate that the social marketing, public discourse and substantial media coverage in the United Kingdom/Europe had enhanced climate change mitigation behaviours. ?? 2014 Elsevier Ltd.", "author" : [ { "dropping-particle" : "", "family" : "McLennan", "given" : "Char Lee J", "non-dropping-particle" : "", "parse-names" : false, "suffix" : "" }, { "dropping-particle" : "", "family" : "Becken", "given" : "Susanne", "non-dropping-particle" : "", "parse-names" : false, "suffix" : "" }, { "dropping-particle" : "", "family" : "Battye", "given" : "Rod", "non-dropping-particle" : "", "parse-names" : false, "suffix" : "" }, { "dropping-particle" : "", "family" : "So", "given" : "Kevin Kam Fung", "non-dropping-particle" : "", "parse-names" : false, "suffix" : "" } ], "container-title" : "Tourism Management", "id" : "ITEM-1", "issued" : { "date-parts" : [ [ "2014" ] ] }, "page" : "194-198", "publisher" : "Elsevier Ltd", "title" : "Voluntary carbon offsetting: Who does it?", "type" : "article-journal", "volume" : "45" }, "uris" : [ "http://www.mendeley.com/documents/?uuid=a72d727a-eccc-4918-a50d-cd71fa508dc9" ] } ], "mendeley" : { "formattedCitation" : "(McLennan et al. 2014)", "plainTextFormattedCitation" : "(McLennan et al. 2014)", "previouslyFormattedCitation" : "(McLennan et al. 2014)" }, "properties" : {  }, "schema" : "https://github.com/citation-style-language/schema/raw/master/csl-citation.json" }</w:instrText>
      </w:r>
      <w:r w:rsidR="005A2E22">
        <w:rPr>
          <w:lang w:eastAsia="zh-TW"/>
        </w:rPr>
        <w:fldChar w:fldCharType="separate"/>
      </w:r>
      <w:r w:rsidR="005A2E22" w:rsidRPr="005A2E22">
        <w:rPr>
          <w:noProof/>
          <w:lang w:eastAsia="zh-TW"/>
        </w:rPr>
        <w:t>(McLennan et al. 2014)</w:t>
      </w:r>
      <w:r w:rsidR="005A2E22">
        <w:rPr>
          <w:lang w:eastAsia="zh-TW"/>
        </w:rPr>
        <w:fldChar w:fldCharType="end"/>
      </w:r>
      <w:r w:rsidR="000313EF">
        <w:rPr>
          <w:lang w:eastAsia="zh-TW"/>
        </w:rPr>
        <w:t>.</w:t>
      </w:r>
    </w:p>
    <w:p w14:paraId="5F7269E0" w14:textId="77777777" w:rsidR="000E4830" w:rsidRDefault="000E4830">
      <w:pPr>
        <w:spacing w:after="200" w:line="276" w:lineRule="auto"/>
        <w:jc w:val="left"/>
        <w:rPr>
          <w:lang w:eastAsia="zh-TW"/>
        </w:rPr>
      </w:pPr>
      <w:r>
        <w:rPr>
          <w:lang w:eastAsia="zh-TW"/>
        </w:rPr>
        <w:br w:type="page"/>
      </w:r>
    </w:p>
    <w:p w14:paraId="622370FB" w14:textId="562ED4AB" w:rsidR="00AE063D" w:rsidRDefault="00AE063D" w:rsidP="007A73C8">
      <w:pPr>
        <w:pStyle w:val="Heading3"/>
        <w:tabs>
          <w:tab w:val="center" w:pos="4513"/>
        </w:tabs>
        <w:rPr>
          <w:lang w:eastAsia="zh-TW"/>
        </w:rPr>
      </w:pPr>
      <w:r>
        <w:rPr>
          <w:lang w:eastAsia="zh-TW"/>
        </w:rPr>
        <w:t xml:space="preserve">Figure </w:t>
      </w:r>
      <w:r w:rsidR="007A73C8">
        <w:rPr>
          <w:lang w:eastAsia="zh-TW"/>
        </w:rPr>
        <w:t>2</w:t>
      </w:r>
      <w:r>
        <w:rPr>
          <w:lang w:eastAsia="zh-TW"/>
        </w:rPr>
        <w:t>: Social Norm Nudge in RCT2</w:t>
      </w:r>
    </w:p>
    <w:p w14:paraId="04B22B73" w14:textId="77777777" w:rsidR="00AE063D" w:rsidRPr="00356AF0" w:rsidRDefault="00AE063D" w:rsidP="00BF0006">
      <w:pPr>
        <w:pBdr>
          <w:top w:val="single" w:sz="4" w:space="1" w:color="auto"/>
          <w:left w:val="single" w:sz="4" w:space="4" w:color="auto"/>
          <w:bottom w:val="single" w:sz="4" w:space="1" w:color="auto"/>
          <w:right w:val="single" w:sz="4" w:space="4" w:color="auto"/>
        </w:pBdr>
        <w:spacing w:before="100" w:beforeAutospacing="1" w:after="100" w:afterAutospacing="1" w:line="330" w:lineRule="atLeast"/>
        <w:jc w:val="left"/>
        <w:rPr>
          <w:rFonts w:eastAsia="Times New Roman" w:cs="Arial"/>
          <w:color w:val="000000"/>
          <w:sz w:val="23"/>
          <w:szCs w:val="23"/>
        </w:rPr>
      </w:pPr>
      <w:r w:rsidRPr="00356AF0">
        <w:rPr>
          <w:rFonts w:eastAsia="Times New Roman" w:cs="Arial"/>
          <w:color w:val="000000"/>
          <w:sz w:val="23"/>
          <w:szCs w:val="23"/>
        </w:rPr>
        <w:t>Voluntary carbon offsetting means paying an extra amount of money on top of the price of a flight-ticket. The cost of an offset is usually about 3% of the flight cost.</w:t>
      </w:r>
    </w:p>
    <w:p w14:paraId="42397B39" w14:textId="77777777" w:rsidR="00AE063D" w:rsidRPr="00356AF0" w:rsidRDefault="00AE063D" w:rsidP="00BF0006">
      <w:pPr>
        <w:pBdr>
          <w:top w:val="single" w:sz="4" w:space="1" w:color="auto"/>
          <w:left w:val="single" w:sz="4" w:space="4" w:color="auto"/>
          <w:bottom w:val="single" w:sz="4" w:space="1" w:color="auto"/>
          <w:right w:val="single" w:sz="4" w:space="4" w:color="auto"/>
        </w:pBdr>
        <w:spacing w:before="100" w:beforeAutospacing="1" w:after="100" w:afterAutospacing="1" w:line="330" w:lineRule="atLeast"/>
        <w:jc w:val="left"/>
        <w:rPr>
          <w:rFonts w:eastAsia="Times New Roman" w:cs="Arial"/>
          <w:color w:val="000000"/>
          <w:sz w:val="23"/>
          <w:szCs w:val="23"/>
        </w:rPr>
      </w:pPr>
      <w:r w:rsidRPr="00356AF0">
        <w:rPr>
          <w:rFonts w:eastAsia="Times New Roman" w:cs="Arial"/>
          <w:color w:val="000000"/>
          <w:sz w:val="23"/>
          <w:szCs w:val="23"/>
        </w:rPr>
        <w:t>As this diagram shows, this extra money is then used to reduce an amount of carbon dioxide from the atmosphere, equal to the carbon emissions caused by the flight, through a carbon-reduction project.</w:t>
      </w:r>
    </w:p>
    <w:p w14:paraId="32390623" w14:textId="77777777" w:rsidR="00AE063D" w:rsidRPr="00356AF0" w:rsidRDefault="00AE063D" w:rsidP="00BF0006">
      <w:pPr>
        <w:pBdr>
          <w:top w:val="single" w:sz="4" w:space="1" w:color="auto"/>
          <w:left w:val="single" w:sz="4" w:space="4" w:color="auto"/>
          <w:bottom w:val="single" w:sz="4" w:space="1" w:color="auto"/>
          <w:right w:val="single" w:sz="4" w:space="4" w:color="auto"/>
        </w:pBdr>
        <w:spacing w:before="100" w:beforeAutospacing="1" w:after="100" w:afterAutospacing="1" w:line="330" w:lineRule="atLeast"/>
        <w:jc w:val="center"/>
        <w:rPr>
          <w:rFonts w:eastAsia="Times New Roman" w:cs="Arial"/>
          <w:color w:val="000000"/>
          <w:sz w:val="23"/>
          <w:szCs w:val="23"/>
        </w:rPr>
      </w:pPr>
      <w:r w:rsidRPr="00356AF0">
        <w:rPr>
          <w:rFonts w:eastAsia="Times New Roman" w:cs="Arial"/>
          <w:noProof/>
          <w:color w:val="000000"/>
          <w:sz w:val="23"/>
          <w:szCs w:val="23"/>
          <w:lang w:eastAsia="en-GB"/>
        </w:rPr>
        <w:drawing>
          <wp:inline distT="0" distB="0" distL="0" distR="0" wp14:anchorId="632581A8" wp14:editId="229C343A">
            <wp:extent cx="3025473" cy="2985135"/>
            <wp:effectExtent l="0" t="0" r="3810" b="5715"/>
            <wp:docPr id="4" name="Picture 4" descr="http://thesocietypages.org/sociologylens/files/2015/09/rog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societypages.org/sociologylens/files/2015/09/roger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5005" cy="3024140"/>
                    </a:xfrm>
                    <a:prstGeom prst="rect">
                      <a:avLst/>
                    </a:prstGeom>
                    <a:noFill/>
                    <a:ln>
                      <a:noFill/>
                    </a:ln>
                  </pic:spPr>
                </pic:pic>
              </a:graphicData>
            </a:graphic>
          </wp:inline>
        </w:drawing>
      </w:r>
    </w:p>
    <w:p w14:paraId="70D5A91A" w14:textId="77777777" w:rsidR="00A401EF" w:rsidRDefault="00AE063D" w:rsidP="00A401EF">
      <w:pPr>
        <w:pBdr>
          <w:top w:val="single" w:sz="4" w:space="1" w:color="auto"/>
          <w:left w:val="single" w:sz="4" w:space="4" w:color="auto"/>
          <w:bottom w:val="single" w:sz="4" w:space="1" w:color="auto"/>
          <w:right w:val="single" w:sz="4" w:space="4" w:color="auto"/>
        </w:pBdr>
        <w:spacing w:before="100" w:beforeAutospacing="1" w:after="100" w:afterAutospacing="1" w:line="330" w:lineRule="atLeast"/>
        <w:jc w:val="left"/>
        <w:rPr>
          <w:rFonts w:eastAsia="Times New Roman" w:cs="Arial"/>
          <w:color w:val="000000"/>
          <w:sz w:val="23"/>
          <w:szCs w:val="23"/>
        </w:rPr>
      </w:pPr>
      <w:r w:rsidRPr="00356AF0">
        <w:rPr>
          <w:rFonts w:eastAsia="Times New Roman" w:cs="Arial"/>
          <w:color w:val="000000"/>
          <w:sz w:val="23"/>
          <w:szCs w:val="23"/>
        </w:rPr>
        <w:t>These projects can include tree-planting, building renewable energy sources, or reducing deforestation. </w:t>
      </w:r>
    </w:p>
    <w:p w14:paraId="4697E90A" w14:textId="72C55D80" w:rsidR="00AE063D" w:rsidRPr="00356AF0" w:rsidRDefault="00AE063D" w:rsidP="00A401EF">
      <w:pPr>
        <w:pBdr>
          <w:top w:val="single" w:sz="4" w:space="1" w:color="auto"/>
          <w:left w:val="single" w:sz="4" w:space="4" w:color="auto"/>
          <w:bottom w:val="single" w:sz="4" w:space="1" w:color="auto"/>
          <w:right w:val="single" w:sz="4" w:space="4" w:color="auto"/>
        </w:pBdr>
        <w:spacing w:before="100" w:beforeAutospacing="1" w:after="100" w:afterAutospacing="1" w:line="330" w:lineRule="atLeast"/>
        <w:jc w:val="left"/>
        <w:rPr>
          <w:rFonts w:eastAsia="Times New Roman" w:cs="Times New Roman"/>
          <w:sz w:val="24"/>
          <w:szCs w:val="24"/>
        </w:rPr>
      </w:pPr>
      <w:r w:rsidRPr="00356AF0">
        <w:rPr>
          <w:rFonts w:eastAsia="Times New Roman" w:cs="Arial"/>
          <w:color w:val="000000"/>
          <w:sz w:val="23"/>
          <w:szCs w:val="23"/>
        </w:rPr>
        <w:t>Projects must follow standards recognised by the United Nations to ensure that money is spent delivering the promised carbon-reductions.</w:t>
      </w:r>
      <w:r w:rsidR="003E7200">
        <w:rPr>
          <w:rFonts w:eastAsia="Times New Roman" w:cs="Times New Roman"/>
          <w:sz w:val="24"/>
          <w:szCs w:val="24"/>
        </w:rPr>
        <w:pict w14:anchorId="310F956A">
          <v:rect id="_x0000_i1025" style="width:0;height:1.5pt" o:hralign="center" o:hrstd="t" o:hrnoshade="t" o:hr="t" fillcolor="black" stroked="f"/>
        </w:pict>
      </w:r>
    </w:p>
    <w:p w14:paraId="25C49A10" w14:textId="77777777" w:rsidR="007369B4" w:rsidRDefault="00AE063D" w:rsidP="00A401EF">
      <w:pPr>
        <w:pBdr>
          <w:top w:val="single" w:sz="4" w:space="1" w:color="auto"/>
          <w:left w:val="single" w:sz="4" w:space="4" w:color="auto"/>
          <w:bottom w:val="single" w:sz="4" w:space="1" w:color="auto"/>
          <w:right w:val="single" w:sz="4" w:space="4" w:color="auto"/>
        </w:pBdr>
        <w:spacing w:before="100" w:beforeAutospacing="1" w:after="100" w:afterAutospacing="1" w:line="312" w:lineRule="atLeast"/>
        <w:jc w:val="left"/>
        <w:rPr>
          <w:rFonts w:eastAsia="Times New Roman" w:cs="Arial"/>
          <w:color w:val="000000"/>
          <w:sz w:val="23"/>
          <w:szCs w:val="23"/>
        </w:rPr>
      </w:pPr>
      <w:r w:rsidRPr="00356AF0">
        <w:rPr>
          <w:rFonts w:eastAsia="Times New Roman" w:cs="Arial"/>
          <w:color w:val="000000"/>
          <w:sz w:val="23"/>
          <w:szCs w:val="23"/>
        </w:rPr>
        <w:t>Many people already offset their carbon emissions.In 2012, 101 million tonnes of carbon (MtCO2e) were offset voluntarily by individuals and businesses.</w:t>
      </w:r>
    </w:p>
    <w:p w14:paraId="4BB112A8" w14:textId="02572657" w:rsidR="00AE063D" w:rsidRPr="00356AF0" w:rsidRDefault="00AE063D" w:rsidP="00A401EF">
      <w:pPr>
        <w:pBdr>
          <w:top w:val="single" w:sz="4" w:space="1" w:color="auto"/>
          <w:left w:val="single" w:sz="4" w:space="4" w:color="auto"/>
          <w:bottom w:val="single" w:sz="4" w:space="1" w:color="auto"/>
          <w:right w:val="single" w:sz="4" w:space="4" w:color="auto"/>
        </w:pBdr>
        <w:spacing w:before="100" w:beforeAutospacing="1" w:after="100" w:afterAutospacing="1" w:line="312" w:lineRule="atLeast"/>
        <w:jc w:val="left"/>
        <w:rPr>
          <w:rFonts w:eastAsia="Times New Roman" w:cs="Arial"/>
          <w:color w:val="000000"/>
          <w:sz w:val="23"/>
          <w:szCs w:val="23"/>
        </w:rPr>
      </w:pPr>
      <w:r w:rsidRPr="00356AF0">
        <w:rPr>
          <w:rFonts w:eastAsia="Times New Roman" w:cs="Arial"/>
          <w:color w:val="000000"/>
          <w:sz w:val="23"/>
          <w:szCs w:val="23"/>
        </w:rPr>
        <w:t>That's the same as taking 50 million cars off the road for one year, OR 100 million people each not taking a London-&gt;New York flight.</w:t>
      </w:r>
      <w:r w:rsidRPr="00356AF0">
        <w:rPr>
          <w:rFonts w:eastAsia="Times New Roman" w:cs="Arial"/>
          <w:b/>
          <w:bCs/>
          <w:color w:val="000000"/>
          <w:sz w:val="23"/>
          <w:szCs w:val="23"/>
        </w:rPr>
        <w:t>You can make the last flight you took 'carbon-neutral' by purchasing a carbon offset.</w:t>
      </w:r>
    </w:p>
    <w:p w14:paraId="04BDE260" w14:textId="36449A9E" w:rsidR="00AE063D" w:rsidRDefault="00463A11" w:rsidP="00E5291D">
      <w:pPr>
        <w:pStyle w:val="Heading1"/>
      </w:pPr>
      <w:r>
        <w:t>Results</w:t>
      </w:r>
    </w:p>
    <w:p w14:paraId="064F15D9" w14:textId="110A6CF0" w:rsidR="00FB71DE" w:rsidRDefault="00AE063D">
      <w:pPr>
        <w:pStyle w:val="Heading2"/>
      </w:pPr>
      <w:r>
        <w:t>Stage</w:t>
      </w:r>
      <w:r w:rsidR="00C96EAE">
        <w:t xml:space="preserve"> 1</w:t>
      </w:r>
      <w:r w:rsidR="005867C1">
        <w:t xml:space="preserve"> </w:t>
      </w:r>
      <w:bookmarkStart w:id="5" w:name="_Toc417044411"/>
      <w:bookmarkStart w:id="6" w:name="_Toc430255268"/>
      <w:r w:rsidR="008319B5">
        <w:t>–</w:t>
      </w:r>
      <w:r w:rsidR="005867C1">
        <w:t xml:space="preserve"> </w:t>
      </w:r>
      <w:bookmarkEnd w:id="5"/>
      <w:bookmarkEnd w:id="6"/>
      <w:r w:rsidR="008319B5">
        <w:t>RCT1</w:t>
      </w:r>
    </w:p>
    <w:p w14:paraId="2305D2F1" w14:textId="0E1D654D" w:rsidR="00FB71DE" w:rsidRDefault="00183B12" w:rsidP="007969FA">
      <w:pPr>
        <w:spacing w:after="0" w:line="240" w:lineRule="auto"/>
        <w:rPr>
          <w:rFonts w:cs="Times New Roman"/>
        </w:rPr>
      </w:pPr>
      <w:r>
        <w:rPr>
          <w:rFonts w:cs="Times New Roman"/>
        </w:rPr>
        <w:t>O</w:t>
      </w:r>
      <w:r w:rsidR="00C22EA5">
        <w:rPr>
          <w:rFonts w:cs="Times New Roman"/>
        </w:rPr>
        <w:t>ffset interest</w:t>
      </w:r>
      <w:r w:rsidR="00022E57">
        <w:rPr>
          <w:rFonts w:cs="Times New Roman"/>
        </w:rPr>
        <w:t xml:space="preserve"> – as </w:t>
      </w:r>
      <w:r w:rsidR="00FB71DE">
        <w:rPr>
          <w:rFonts w:cs="Times New Roman"/>
        </w:rPr>
        <w:t>measure</w:t>
      </w:r>
      <w:r>
        <w:rPr>
          <w:rFonts w:cs="Times New Roman"/>
        </w:rPr>
        <w:t>d by</w:t>
      </w:r>
      <w:r w:rsidR="00FB71DE">
        <w:rPr>
          <w:rFonts w:cs="Times New Roman"/>
        </w:rPr>
        <w:t xml:space="preserve"> the number of respondents</w:t>
      </w:r>
      <w:r>
        <w:rPr>
          <w:rFonts w:cs="Times New Roman"/>
        </w:rPr>
        <w:t xml:space="preserve"> who</w:t>
      </w:r>
      <w:r w:rsidR="00FB71DE">
        <w:rPr>
          <w:rFonts w:cs="Times New Roman"/>
        </w:rPr>
        <w:t xml:space="preserve"> clicked ‘Yes’ to the question </w:t>
      </w:r>
      <w:r w:rsidR="00FB71DE">
        <w:rPr>
          <w:rFonts w:cs="Times New Roman"/>
          <w:i/>
          <w:iCs/>
        </w:rPr>
        <w:t>“Do you want to calculate the carbon generated from the last flight you took, with the option to offset it?”</w:t>
      </w:r>
      <w:r w:rsidR="00A976FC">
        <w:rPr>
          <w:rFonts w:cs="Times New Roman"/>
        </w:rPr>
        <w:t xml:space="preserve"> </w:t>
      </w:r>
      <w:r>
        <w:rPr>
          <w:rFonts w:cs="Times New Roman"/>
        </w:rPr>
        <w:t xml:space="preserve">was expressed by </w:t>
      </w:r>
      <w:r w:rsidR="00FB71DE">
        <w:rPr>
          <w:rFonts w:cs="Times New Roman"/>
        </w:rPr>
        <w:t xml:space="preserve">51.9% </w:t>
      </w:r>
      <w:r>
        <w:rPr>
          <w:rFonts w:cs="Times New Roman"/>
        </w:rPr>
        <w:t xml:space="preserve">of respondents, across all </w:t>
      </w:r>
      <w:r w:rsidR="00BA7522">
        <w:rPr>
          <w:rFonts w:cs="Times New Roman"/>
        </w:rPr>
        <w:t>treatment</w:t>
      </w:r>
      <w:r>
        <w:rPr>
          <w:rFonts w:cs="Times New Roman"/>
        </w:rPr>
        <w:t xml:space="preserve"> groups</w:t>
      </w:r>
      <w:r w:rsidR="00BA7522">
        <w:rPr>
          <w:rFonts w:cs="Times New Roman"/>
        </w:rPr>
        <w:t xml:space="preserve"> (</w:t>
      </w:r>
      <w:r w:rsidR="0015699C">
        <w:rPr>
          <w:rFonts w:cs="Times New Roman"/>
        </w:rPr>
        <w:t xml:space="preserve">see table </w:t>
      </w:r>
      <w:r w:rsidR="007969FA">
        <w:rPr>
          <w:rFonts w:cs="Times New Roman"/>
        </w:rPr>
        <w:t>4</w:t>
      </w:r>
      <w:r w:rsidR="00674A61">
        <w:rPr>
          <w:rFonts w:cs="Times New Roman"/>
        </w:rPr>
        <w:t xml:space="preserve"> for a breakdown</w:t>
      </w:r>
      <w:r w:rsidR="00BA7522">
        <w:rPr>
          <w:rFonts w:cs="Times New Roman"/>
        </w:rPr>
        <w:t>)</w:t>
      </w:r>
      <w:r>
        <w:rPr>
          <w:rFonts w:cs="Times New Roman"/>
        </w:rPr>
        <w:t xml:space="preserve">. </w:t>
      </w:r>
    </w:p>
    <w:p w14:paraId="317A285D" w14:textId="77777777" w:rsidR="00FB71DE" w:rsidRDefault="00FB71DE" w:rsidP="00FB71DE">
      <w:pPr>
        <w:spacing w:after="0" w:line="240" w:lineRule="auto"/>
        <w:rPr>
          <w:rFonts w:cs="Times New Roman"/>
        </w:rPr>
      </w:pPr>
    </w:p>
    <w:p w14:paraId="43FC5D6E" w14:textId="10F46729" w:rsidR="00FE2C5F" w:rsidRPr="00675DAC" w:rsidRDefault="00DB7E1B" w:rsidP="00552942">
      <w:pPr>
        <w:spacing w:after="0" w:line="240" w:lineRule="auto"/>
      </w:pPr>
      <w:r>
        <w:t>T</w:t>
      </w:r>
      <w:r w:rsidR="00A976FC">
        <w:t>he effect of the nudges was</w:t>
      </w:r>
      <w:r w:rsidR="00A976FC" w:rsidRPr="006B302C">
        <w:t xml:space="preserve"> </w:t>
      </w:r>
      <w:r w:rsidR="00A976FC">
        <w:t xml:space="preserve">not </w:t>
      </w:r>
      <w:r w:rsidR="00A976FC" w:rsidRPr="006B302C">
        <w:t>significant</w:t>
      </w:r>
      <w:r w:rsidR="008319B5">
        <w:t xml:space="preserve"> at the 95% confidence level</w:t>
      </w:r>
      <w:r w:rsidR="00A976FC" w:rsidRPr="006B302C">
        <w:t xml:space="preserve">, </w:t>
      </w:r>
      <w:r>
        <w:t>w</w:t>
      </w:r>
      <w:r>
        <w:rPr>
          <w:rFonts w:cs="Times New Roman"/>
        </w:rPr>
        <w:t xml:space="preserve">hen a Pearson’s </w:t>
      </w:r>
      <w:r w:rsidRPr="004517D1">
        <w:rPr>
          <w:rFonts w:cs="Times New Roman"/>
        </w:rPr>
        <w:t>chi</w:t>
      </w:r>
      <w:r>
        <w:rPr>
          <w:rFonts w:cs="Times New Roman"/>
        </w:rPr>
        <w:t>-</w:t>
      </w:r>
      <w:r w:rsidRPr="004517D1">
        <w:rPr>
          <w:rFonts w:cs="Times New Roman"/>
        </w:rPr>
        <w:t>square</w:t>
      </w:r>
      <w:r>
        <w:rPr>
          <w:rFonts w:cs="Times New Roman"/>
        </w:rPr>
        <w:t xml:space="preserve"> test was conducted for the interventions separately against the control, Pearson </w:t>
      </w:r>
      <w:r w:rsidRPr="004517D1">
        <w:rPr>
          <w:i/>
          <w:iCs/>
        </w:rPr>
        <w:t>χ2</w:t>
      </w:r>
      <w:r w:rsidRPr="004517D1">
        <w:t xml:space="preserve"> (3, 1626) = 5.918, </w:t>
      </w:r>
      <w:r w:rsidRPr="004517D1">
        <w:rPr>
          <w:i/>
          <w:iCs/>
        </w:rPr>
        <w:t>p</w:t>
      </w:r>
      <w:r w:rsidRPr="004517D1">
        <w:t xml:space="preserve"> = 5.918</w:t>
      </w:r>
      <w:r>
        <w:t>,</w:t>
      </w:r>
      <w:r w:rsidRPr="004517D1">
        <w:t xml:space="preserve"> </w:t>
      </w:r>
      <w:r w:rsidR="00A976FC" w:rsidRPr="006B302C">
        <w:t xml:space="preserve">meaning that there is </w:t>
      </w:r>
      <w:r w:rsidR="00A976FC">
        <w:t>no</w:t>
      </w:r>
      <w:r w:rsidR="00A976FC" w:rsidRPr="006B302C">
        <w:t xml:space="preserve"> association between intervention group and offset </w:t>
      </w:r>
      <w:r w:rsidR="00A976FC">
        <w:t xml:space="preserve">interest. </w:t>
      </w:r>
      <w:r>
        <w:t>When</w:t>
      </w:r>
      <w:r w:rsidR="00100BC2" w:rsidRPr="00675DAC">
        <w:t xml:space="preserve"> the three intervention groups were </w:t>
      </w:r>
      <w:r>
        <w:t>collapsed together</w:t>
      </w:r>
      <w:r w:rsidRPr="00675DAC">
        <w:t xml:space="preserve"> </w:t>
      </w:r>
      <w:r>
        <w:t xml:space="preserve">and compared </w:t>
      </w:r>
      <w:r w:rsidR="00100BC2" w:rsidRPr="00675DAC">
        <w:t>against the control</w:t>
      </w:r>
      <w:r>
        <w:t xml:space="preserve"> there was no significant difference</w:t>
      </w:r>
      <w:r w:rsidRPr="00675DAC">
        <w:t xml:space="preserve">, Pearson </w:t>
      </w:r>
      <w:r w:rsidRPr="00675DAC">
        <w:rPr>
          <w:i/>
          <w:iCs/>
        </w:rPr>
        <w:t>χ2</w:t>
      </w:r>
      <w:r w:rsidRPr="00356AF0">
        <w:t xml:space="preserve"> (1, 1626) = 0.06, </w:t>
      </w:r>
      <w:r w:rsidRPr="00675DAC">
        <w:rPr>
          <w:i/>
          <w:iCs/>
        </w:rPr>
        <w:t>p</w:t>
      </w:r>
      <w:r w:rsidRPr="00356AF0">
        <w:t xml:space="preserve"> = </w:t>
      </w:r>
      <w:r w:rsidR="00100BC2" w:rsidRPr="00675DAC">
        <w:t xml:space="preserve">0.938. </w:t>
      </w:r>
      <w:r w:rsidR="00FB71DE" w:rsidRPr="00675DAC">
        <w:t xml:space="preserve">In this sense, the nudges all ‘failed’ to have any influence. </w:t>
      </w:r>
      <w:bookmarkStart w:id="7" w:name="_Toc417044412"/>
      <w:bookmarkStart w:id="8" w:name="_Toc430255269"/>
    </w:p>
    <w:p w14:paraId="64818D2B" w14:textId="77777777" w:rsidR="00FE2C5F" w:rsidRDefault="00FE2C5F" w:rsidP="00FE2C5F">
      <w:pPr>
        <w:spacing w:after="0" w:line="240" w:lineRule="auto"/>
        <w:rPr>
          <w:rFonts w:cs="Times New Roman"/>
        </w:rPr>
      </w:pPr>
    </w:p>
    <w:p w14:paraId="1881FED5" w14:textId="10CA5600" w:rsidR="00FB71DE" w:rsidRDefault="0015699C" w:rsidP="007369B4">
      <w:pPr>
        <w:pStyle w:val="Heading3"/>
      </w:pPr>
      <w:r>
        <w:t xml:space="preserve">Table </w:t>
      </w:r>
      <w:r w:rsidR="007369B4">
        <w:t>3</w:t>
      </w:r>
      <w:r w:rsidR="00BF4367" w:rsidRPr="00BB1D36">
        <w:t>:</w:t>
      </w:r>
      <w:r w:rsidR="00FB71DE" w:rsidRPr="00BB1D36">
        <w:t xml:space="preserve"> Interest in offsetting by Treatment group</w:t>
      </w:r>
      <w:bookmarkEnd w:id="7"/>
      <w:bookmarkEnd w:id="8"/>
    </w:p>
    <w:p w14:paraId="6CC70382" w14:textId="77777777" w:rsidR="00BB1D36" w:rsidRPr="00BB1D36" w:rsidRDefault="00BB1D36" w:rsidP="00FE2C5F">
      <w:pPr>
        <w:spacing w:after="0" w:line="240" w:lineRule="auto"/>
        <w:rPr>
          <w:rFonts w:cs="Times New Roman"/>
          <w:i/>
          <w:iCs/>
          <w:u w:val="single"/>
        </w:rPr>
      </w:pPr>
    </w:p>
    <w:tbl>
      <w:tblPr>
        <w:tblStyle w:val="LightShading"/>
        <w:tblW w:w="9200" w:type="dxa"/>
        <w:tblLook w:val="04A0" w:firstRow="1" w:lastRow="0" w:firstColumn="1" w:lastColumn="0" w:noHBand="0" w:noVBand="1"/>
      </w:tblPr>
      <w:tblGrid>
        <w:gridCol w:w="4600"/>
        <w:gridCol w:w="4600"/>
      </w:tblGrid>
      <w:tr w:rsidR="00FB71DE" w:rsidRPr="00852299" w14:paraId="69C5F76C" w14:textId="77777777" w:rsidTr="00BB1D36">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600" w:type="dxa"/>
            <w:shd w:val="clear" w:color="auto" w:fill="auto"/>
          </w:tcPr>
          <w:p w14:paraId="4E19F018" w14:textId="77777777" w:rsidR="00FB71DE" w:rsidRPr="00852299" w:rsidRDefault="00FB71DE" w:rsidP="00490603">
            <w:pPr>
              <w:jc w:val="left"/>
              <w:rPr>
                <w:i/>
                <w:iCs/>
              </w:rPr>
            </w:pPr>
            <w:r w:rsidRPr="00852299">
              <w:rPr>
                <w:i/>
                <w:iCs/>
              </w:rPr>
              <w:t>Intervention Group</w:t>
            </w:r>
          </w:p>
        </w:tc>
        <w:tc>
          <w:tcPr>
            <w:tcW w:w="4600" w:type="dxa"/>
            <w:shd w:val="clear" w:color="auto" w:fill="auto"/>
          </w:tcPr>
          <w:p w14:paraId="541CA3D5" w14:textId="77777777" w:rsidR="00FB71DE" w:rsidRPr="00852299" w:rsidRDefault="00FB71DE" w:rsidP="00490603">
            <w:pPr>
              <w:jc w:val="center"/>
              <w:cnfStyle w:val="100000000000" w:firstRow="1" w:lastRow="0" w:firstColumn="0" w:lastColumn="0" w:oddVBand="0" w:evenVBand="0" w:oddHBand="0" w:evenHBand="0" w:firstRowFirstColumn="0" w:firstRowLastColumn="0" w:lastRowFirstColumn="0" w:lastRowLastColumn="0"/>
              <w:rPr>
                <w:i/>
                <w:iCs/>
              </w:rPr>
            </w:pPr>
            <w:r w:rsidRPr="00852299">
              <w:rPr>
                <w:i/>
                <w:iCs/>
              </w:rPr>
              <w:t>% Expressed ‘interest’ in Carbon offset within group</w:t>
            </w:r>
          </w:p>
        </w:tc>
      </w:tr>
      <w:tr w:rsidR="00FB71DE" w:rsidRPr="00852299" w14:paraId="432ADBB8" w14:textId="77777777" w:rsidTr="00BB1D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00" w:type="dxa"/>
            <w:shd w:val="clear" w:color="auto" w:fill="auto"/>
          </w:tcPr>
          <w:p w14:paraId="6AB1CA4A" w14:textId="77777777" w:rsidR="00FB71DE" w:rsidRPr="00852299" w:rsidRDefault="00FB71DE" w:rsidP="00490603">
            <w:pPr>
              <w:autoSpaceDE w:val="0"/>
              <w:autoSpaceDN w:val="0"/>
              <w:adjustRightInd w:val="0"/>
              <w:spacing w:line="320" w:lineRule="atLeast"/>
              <w:ind w:right="60"/>
              <w:jc w:val="left"/>
              <w:rPr>
                <w:rFonts w:ascii="Calibri" w:hAnsi="Calibri" w:cs="Arial"/>
                <w:b w:val="0"/>
                <w:bCs w:val="0"/>
                <w:color w:val="000000"/>
              </w:rPr>
            </w:pPr>
            <w:r w:rsidRPr="00852299">
              <w:rPr>
                <w:rFonts w:ascii="Calibri" w:hAnsi="Calibri" w:cs="Arial"/>
                <w:color w:val="000000"/>
              </w:rPr>
              <w:t>Control</w:t>
            </w:r>
          </w:p>
        </w:tc>
        <w:tc>
          <w:tcPr>
            <w:tcW w:w="4600" w:type="dxa"/>
            <w:shd w:val="clear" w:color="auto" w:fill="auto"/>
          </w:tcPr>
          <w:p w14:paraId="41AA73D7" w14:textId="77777777" w:rsidR="00FB71DE" w:rsidRPr="00852299" w:rsidRDefault="00FB71DE" w:rsidP="00490603">
            <w:pPr>
              <w:autoSpaceDE w:val="0"/>
              <w:autoSpaceDN w:val="0"/>
              <w:adjustRightInd w:val="0"/>
              <w:spacing w:line="320" w:lineRule="atLeast"/>
              <w:ind w:right="500"/>
              <w:jc w:val="center"/>
              <w:cnfStyle w:val="000000100000" w:firstRow="0" w:lastRow="0" w:firstColumn="0" w:lastColumn="0" w:oddVBand="0" w:evenVBand="0" w:oddHBand="1" w:evenHBand="0" w:firstRowFirstColumn="0" w:firstRowLastColumn="0" w:lastRowFirstColumn="0" w:lastRowLastColumn="0"/>
            </w:pPr>
            <w:r w:rsidRPr="00852299">
              <w:t>51.8</w:t>
            </w:r>
          </w:p>
        </w:tc>
      </w:tr>
      <w:tr w:rsidR="00FB71DE" w:rsidRPr="00852299" w14:paraId="40FE1FD4" w14:textId="77777777" w:rsidTr="00BB1D36">
        <w:trPr>
          <w:trHeight w:val="196"/>
        </w:trPr>
        <w:tc>
          <w:tcPr>
            <w:cnfStyle w:val="001000000000" w:firstRow="0" w:lastRow="0" w:firstColumn="1" w:lastColumn="0" w:oddVBand="0" w:evenVBand="0" w:oddHBand="0" w:evenHBand="0" w:firstRowFirstColumn="0" w:firstRowLastColumn="0" w:lastRowFirstColumn="0" w:lastRowLastColumn="0"/>
            <w:tcW w:w="4600" w:type="dxa"/>
            <w:shd w:val="clear" w:color="auto" w:fill="auto"/>
          </w:tcPr>
          <w:p w14:paraId="5E3BE8CD" w14:textId="77777777" w:rsidR="00FB71DE" w:rsidRPr="00852299" w:rsidRDefault="00FB71DE" w:rsidP="00490603">
            <w:pPr>
              <w:jc w:val="left"/>
              <w:rPr>
                <w:b w:val="0"/>
                <w:bCs w:val="0"/>
              </w:rPr>
            </w:pPr>
            <w:r w:rsidRPr="00852299">
              <w:rPr>
                <w:rFonts w:ascii="Calibri" w:hAnsi="Calibri" w:cs="Arial"/>
                <w:color w:val="000000"/>
              </w:rPr>
              <w:t>Third Party Endorsement</w:t>
            </w:r>
          </w:p>
        </w:tc>
        <w:tc>
          <w:tcPr>
            <w:tcW w:w="4600" w:type="dxa"/>
            <w:shd w:val="clear" w:color="auto" w:fill="auto"/>
          </w:tcPr>
          <w:p w14:paraId="3B5EDAD6" w14:textId="77777777" w:rsidR="00FB71DE" w:rsidRPr="00852299" w:rsidRDefault="00FB71DE" w:rsidP="00490603">
            <w:pPr>
              <w:autoSpaceDE w:val="0"/>
              <w:autoSpaceDN w:val="0"/>
              <w:adjustRightInd w:val="0"/>
              <w:spacing w:line="320" w:lineRule="atLeast"/>
              <w:ind w:right="500"/>
              <w:jc w:val="center"/>
              <w:cnfStyle w:val="000000000000" w:firstRow="0" w:lastRow="0" w:firstColumn="0" w:lastColumn="0" w:oddVBand="0" w:evenVBand="0" w:oddHBand="0" w:evenHBand="0" w:firstRowFirstColumn="0" w:firstRowLastColumn="0" w:lastRowFirstColumn="0" w:lastRowLastColumn="0"/>
            </w:pPr>
            <w:r w:rsidRPr="00852299">
              <w:t>47.3</w:t>
            </w:r>
          </w:p>
        </w:tc>
      </w:tr>
      <w:tr w:rsidR="00FB71DE" w:rsidRPr="00852299" w14:paraId="63009DAB" w14:textId="77777777" w:rsidTr="00BB1D3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4600" w:type="dxa"/>
            <w:shd w:val="clear" w:color="auto" w:fill="auto"/>
          </w:tcPr>
          <w:p w14:paraId="7017EAEB" w14:textId="77777777" w:rsidR="00FB71DE" w:rsidRPr="00852299" w:rsidRDefault="00FB71DE" w:rsidP="00490603">
            <w:pPr>
              <w:jc w:val="left"/>
              <w:rPr>
                <w:b w:val="0"/>
                <w:bCs w:val="0"/>
              </w:rPr>
            </w:pPr>
            <w:r w:rsidRPr="00852299">
              <w:rPr>
                <w:rFonts w:ascii="Calibri" w:hAnsi="Calibri" w:cs="Arial"/>
                <w:color w:val="000000"/>
              </w:rPr>
              <w:t>Descriptive Norm</w:t>
            </w:r>
          </w:p>
        </w:tc>
        <w:tc>
          <w:tcPr>
            <w:tcW w:w="4600" w:type="dxa"/>
            <w:shd w:val="clear" w:color="auto" w:fill="auto"/>
          </w:tcPr>
          <w:p w14:paraId="609C3095" w14:textId="77777777" w:rsidR="00FB71DE" w:rsidRPr="00852299" w:rsidRDefault="00FB71DE" w:rsidP="00490603">
            <w:pPr>
              <w:autoSpaceDE w:val="0"/>
              <w:autoSpaceDN w:val="0"/>
              <w:adjustRightInd w:val="0"/>
              <w:spacing w:line="320" w:lineRule="atLeast"/>
              <w:ind w:right="500"/>
              <w:jc w:val="center"/>
              <w:cnfStyle w:val="000000100000" w:firstRow="0" w:lastRow="0" w:firstColumn="0" w:lastColumn="0" w:oddVBand="0" w:evenVBand="0" w:oddHBand="1" w:evenHBand="0" w:firstRowFirstColumn="0" w:firstRowLastColumn="0" w:lastRowFirstColumn="0" w:lastRowLastColumn="0"/>
            </w:pPr>
            <w:r w:rsidRPr="00852299">
              <w:t>55.1</w:t>
            </w:r>
          </w:p>
        </w:tc>
      </w:tr>
      <w:tr w:rsidR="00FB71DE" w:rsidRPr="00852299" w14:paraId="06D0D0A3" w14:textId="77777777" w:rsidTr="00BB1D36">
        <w:trPr>
          <w:trHeight w:val="305"/>
        </w:trPr>
        <w:tc>
          <w:tcPr>
            <w:cnfStyle w:val="001000000000" w:firstRow="0" w:lastRow="0" w:firstColumn="1" w:lastColumn="0" w:oddVBand="0" w:evenVBand="0" w:oddHBand="0" w:evenHBand="0" w:firstRowFirstColumn="0" w:firstRowLastColumn="0" w:lastRowFirstColumn="0" w:lastRowLastColumn="0"/>
            <w:tcW w:w="4600" w:type="dxa"/>
            <w:shd w:val="clear" w:color="auto" w:fill="auto"/>
          </w:tcPr>
          <w:p w14:paraId="29AD8549" w14:textId="77777777" w:rsidR="00FB71DE" w:rsidRPr="00852299" w:rsidRDefault="00FB71DE" w:rsidP="00490603">
            <w:pPr>
              <w:autoSpaceDE w:val="0"/>
              <w:autoSpaceDN w:val="0"/>
              <w:adjustRightInd w:val="0"/>
              <w:spacing w:line="320" w:lineRule="atLeast"/>
              <w:ind w:right="60"/>
              <w:jc w:val="left"/>
              <w:rPr>
                <w:rFonts w:ascii="Calibri" w:hAnsi="Calibri" w:cs="Arial"/>
                <w:b w:val="0"/>
                <w:bCs w:val="0"/>
                <w:color w:val="000000"/>
              </w:rPr>
            </w:pPr>
            <w:r w:rsidRPr="00852299">
              <w:rPr>
                <w:rFonts w:ascii="Calibri" w:hAnsi="Calibri" w:cs="Arial"/>
                <w:color w:val="000000"/>
              </w:rPr>
              <w:t>Affective Message</w:t>
            </w:r>
          </w:p>
        </w:tc>
        <w:tc>
          <w:tcPr>
            <w:tcW w:w="4600" w:type="dxa"/>
            <w:shd w:val="clear" w:color="auto" w:fill="auto"/>
          </w:tcPr>
          <w:p w14:paraId="00DF0509" w14:textId="77777777" w:rsidR="00FB71DE" w:rsidRPr="00852299" w:rsidRDefault="00FB71DE" w:rsidP="00490603">
            <w:pPr>
              <w:ind w:right="440"/>
              <w:jc w:val="center"/>
              <w:cnfStyle w:val="000000000000" w:firstRow="0" w:lastRow="0" w:firstColumn="0" w:lastColumn="0" w:oddVBand="0" w:evenVBand="0" w:oddHBand="0" w:evenHBand="0" w:firstRowFirstColumn="0" w:firstRowLastColumn="0" w:lastRowFirstColumn="0" w:lastRowLastColumn="0"/>
            </w:pPr>
            <w:r w:rsidRPr="00852299">
              <w:t>54.0</w:t>
            </w:r>
          </w:p>
        </w:tc>
      </w:tr>
    </w:tbl>
    <w:p w14:paraId="57DE5793" w14:textId="77777777" w:rsidR="00BB1D36" w:rsidRDefault="00BB1D36" w:rsidP="00DC73BA">
      <w:pPr>
        <w:spacing w:after="200" w:line="276" w:lineRule="auto"/>
      </w:pPr>
    </w:p>
    <w:p w14:paraId="48E0A80C" w14:textId="757D9576" w:rsidR="00FB71DE" w:rsidRDefault="00FB71DE">
      <w:pPr>
        <w:spacing w:after="200" w:line="276" w:lineRule="auto"/>
      </w:pPr>
      <w:r>
        <w:t xml:space="preserve">For the measure of offsetting behaviour, results collected from CarbonFootprint.com showed that none of the interventions were successful in terms of actual offsets purchased. Only 1 respondent paid for </w:t>
      </w:r>
      <w:r w:rsidR="008319B5">
        <w:t xml:space="preserve">an </w:t>
      </w:r>
      <w:r>
        <w:t>offset out of 1626 respondents</w:t>
      </w:r>
      <w:r w:rsidR="006C4BF4">
        <w:t>.</w:t>
      </w:r>
    </w:p>
    <w:p w14:paraId="0779CE96" w14:textId="38BFED2B" w:rsidR="00FC5E72" w:rsidRDefault="0063186E" w:rsidP="00BF4367">
      <w:pPr>
        <w:rPr>
          <w:b/>
          <w:bCs/>
        </w:rPr>
      </w:pPr>
      <w:r>
        <w:t>A</w:t>
      </w:r>
      <w:r w:rsidR="00FB71DE">
        <w:t xml:space="preserve">ll the nudges failed to affect </w:t>
      </w:r>
      <w:r>
        <w:t xml:space="preserve">either </w:t>
      </w:r>
      <w:r w:rsidR="00FB71DE">
        <w:t>participants</w:t>
      </w:r>
      <w:r w:rsidR="0044537F">
        <w:t>’ offset</w:t>
      </w:r>
      <w:r w:rsidR="00FB71DE">
        <w:t xml:space="preserve"> behaviour </w:t>
      </w:r>
      <w:r>
        <w:t>or</w:t>
      </w:r>
      <w:r w:rsidR="0044537F">
        <w:t xml:space="preserve"> </w:t>
      </w:r>
      <w:r>
        <w:t>interest</w:t>
      </w:r>
      <w:r w:rsidR="0044537F">
        <w:t xml:space="preserve">. In order </w:t>
      </w:r>
      <w:r w:rsidR="00956C1E">
        <w:t xml:space="preserve">explore </w:t>
      </w:r>
      <w:r w:rsidR="0044537F">
        <w:t>why</w:t>
      </w:r>
      <w:r w:rsidR="00956C1E">
        <w:t xml:space="preserve"> the nudges failed</w:t>
      </w:r>
      <w:r w:rsidR="0044537F">
        <w:t xml:space="preserve"> and design new ‘improved’ nudges, </w:t>
      </w:r>
      <w:r w:rsidR="00BF4367">
        <w:t xml:space="preserve">the </w:t>
      </w:r>
      <w:r w:rsidR="0044537F">
        <w:t xml:space="preserve">focus groups were </w:t>
      </w:r>
      <w:r w:rsidR="00BF4367">
        <w:t>intended</w:t>
      </w:r>
      <w:r w:rsidR="0044537F">
        <w:t xml:space="preserve"> to </w:t>
      </w:r>
      <w:r w:rsidR="00FC5E72">
        <w:t>shed light on the failings of stage one.</w:t>
      </w:r>
    </w:p>
    <w:p w14:paraId="18B066CD" w14:textId="36DC67B0" w:rsidR="0068496F" w:rsidRDefault="005867C1" w:rsidP="005867C1">
      <w:pPr>
        <w:pStyle w:val="Heading2"/>
      </w:pPr>
      <w:r>
        <w:t xml:space="preserve">Stage </w:t>
      </w:r>
      <w:r w:rsidR="00C96EAE">
        <w:t>2</w:t>
      </w:r>
      <w:r w:rsidR="008319B5">
        <w:t xml:space="preserve"> – Focus Groups</w:t>
      </w:r>
    </w:p>
    <w:p w14:paraId="25285F9F" w14:textId="1C6F56C7" w:rsidR="00B952FB" w:rsidRDefault="00100BC2" w:rsidP="002B6882">
      <w:pPr>
        <w:pStyle w:val="Heading3"/>
      </w:pPr>
      <w:r>
        <w:t>Design</w:t>
      </w:r>
      <w:r w:rsidR="00B952FB">
        <w:t xml:space="preserve"> </w:t>
      </w:r>
      <w:r w:rsidR="002B6882">
        <w:t>Issues</w:t>
      </w:r>
    </w:p>
    <w:p w14:paraId="18E92105" w14:textId="7E8B46F0" w:rsidR="00A348FE" w:rsidRDefault="00D52466" w:rsidP="00B77596">
      <w:r>
        <w:t>T</w:t>
      </w:r>
      <w:r w:rsidR="00A348FE">
        <w:t xml:space="preserve">he </w:t>
      </w:r>
      <w:r w:rsidR="00EA43DF">
        <w:t>content</w:t>
      </w:r>
      <w:r w:rsidR="00A348FE">
        <w:t xml:space="preserve"> of </w:t>
      </w:r>
      <w:r w:rsidR="001A6981">
        <w:t>each</w:t>
      </w:r>
      <w:r w:rsidR="00A348FE">
        <w:t xml:space="preserve"> nudge </w:t>
      </w:r>
      <w:r w:rsidR="00EA43DF">
        <w:t xml:space="preserve">from the first RCT </w:t>
      </w:r>
      <w:r w:rsidR="00A348FE">
        <w:t>was presented to the par</w:t>
      </w:r>
      <w:r w:rsidR="001A6981">
        <w:t xml:space="preserve">ticipants for </w:t>
      </w:r>
      <w:r>
        <w:t>evaluation and discussion</w:t>
      </w:r>
      <w:r w:rsidR="00A348FE">
        <w:t>. The descriptive norm nudge received the most positive comments from participants</w:t>
      </w:r>
      <w:r w:rsidR="00EA43DF">
        <w:t>, who</w:t>
      </w:r>
      <w:r w:rsidR="00A348FE">
        <w:t xml:space="preserve"> tended to appreciate the motivational power of social norms, especially when quantifiable data </w:t>
      </w:r>
      <w:r w:rsidR="00B77596">
        <w:t>was</w:t>
      </w:r>
      <w:r w:rsidR="00A348FE">
        <w:t xml:space="preserve"> presented. Many participants also sai</w:t>
      </w:r>
      <w:r w:rsidR="00B77596">
        <w:t>d they liked the fact that the ‘meaningless figure’</w:t>
      </w:r>
      <w:r w:rsidR="00A348FE">
        <w:t xml:space="preserve"> (of 101 million tonnes of carbon) was</w:t>
      </w:r>
      <w:r w:rsidR="00B77596">
        <w:t xml:space="preserve"> converted into something more ‘</w:t>
      </w:r>
      <w:r w:rsidR="00A348FE">
        <w:t>tangible</w:t>
      </w:r>
      <w:r w:rsidR="00B77596">
        <w:t>’.</w:t>
      </w:r>
      <w:r w:rsidR="00A348FE">
        <w:t xml:space="preserve"> </w:t>
      </w:r>
    </w:p>
    <w:p w14:paraId="42A47084" w14:textId="402D4F10" w:rsidR="00A348FE" w:rsidRDefault="00A348FE" w:rsidP="00B775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ab/>
        <w:t xml:space="preserve">Eli (International Geography Postgrad): </w:t>
      </w:r>
      <w:r w:rsidRPr="00A348FE">
        <w:rPr>
          <w:i/>
        </w:rPr>
        <w:t>“You can imagine 500 million cars</w:t>
      </w:r>
      <w:r w:rsidR="00D52466">
        <w:rPr>
          <w:i/>
        </w:rPr>
        <w:t>. I</w:t>
      </w:r>
      <w:r w:rsidRPr="00A348FE">
        <w:rPr>
          <w:i/>
        </w:rPr>
        <w:t>t’s an attempt to make you realise what kind of influence it can have and I think this could help people understand the problem, and also understand the influence you could have.”</w:t>
      </w:r>
    </w:p>
    <w:p w14:paraId="397D5E88" w14:textId="65CCFA97" w:rsidR="00A348FE" w:rsidRDefault="00A348FE" w:rsidP="00674A61">
      <w:r>
        <w:t>Participants also often</w:t>
      </w:r>
      <w:r w:rsidR="00674A61">
        <w:t xml:space="preserve"> </w:t>
      </w:r>
      <w:r>
        <w:t xml:space="preserve">talked </w:t>
      </w:r>
      <w:r w:rsidR="00674A61">
        <w:t xml:space="preserve">positively </w:t>
      </w:r>
      <w:r>
        <w:t xml:space="preserve">about being ‘part of something’ bigger than their own individual action, which might otherwise seem pointless or insignificant. </w:t>
      </w:r>
    </w:p>
    <w:p w14:paraId="19A0546F" w14:textId="1648BBF2" w:rsidR="00A348FE" w:rsidRDefault="00A348FE" w:rsidP="00A348FE">
      <w:pPr>
        <w:spacing w:after="0" w:line="240" w:lineRule="auto"/>
        <w:ind w:firstLine="720"/>
        <w:jc w:val="center"/>
        <w:rPr>
          <w:i/>
        </w:rPr>
      </w:pPr>
      <w:r>
        <w:t xml:space="preserve">Maddie (UK Geography Undergrad): </w:t>
      </w:r>
      <w:r w:rsidRPr="00A348FE">
        <w:rPr>
          <w:i/>
        </w:rPr>
        <w:t>“It kind of seems quite impressive, if you read that statement</w:t>
      </w:r>
      <w:r w:rsidR="002E3E18">
        <w:rPr>
          <w:i/>
        </w:rPr>
        <w:t>.</w:t>
      </w:r>
      <w:r w:rsidRPr="00A348FE">
        <w:rPr>
          <w:i/>
        </w:rPr>
        <w:t xml:space="preserve"> </w:t>
      </w:r>
      <w:r w:rsidR="002E3E18">
        <w:rPr>
          <w:i/>
        </w:rPr>
        <w:t>I</w:t>
      </w:r>
      <w:r w:rsidRPr="00A348FE">
        <w:rPr>
          <w:i/>
        </w:rPr>
        <w:t>t’s like ‘Ooh that’s really good maybe I should join in’ and might make you wanna contribute as well.”</w:t>
      </w:r>
    </w:p>
    <w:p w14:paraId="70A2AB8F" w14:textId="77777777" w:rsidR="00EA43DF" w:rsidRPr="00A348FE" w:rsidRDefault="00EA43DF" w:rsidP="00A348FE">
      <w:pPr>
        <w:spacing w:after="0" w:line="240" w:lineRule="auto"/>
        <w:ind w:firstLine="720"/>
        <w:jc w:val="center"/>
        <w:rPr>
          <w:i/>
        </w:rPr>
      </w:pPr>
    </w:p>
    <w:p w14:paraId="7C84AF08" w14:textId="2B9C90C0" w:rsidR="00A348FE" w:rsidRDefault="00A348FE" w:rsidP="00EA43DF">
      <w:r>
        <w:t>In comparison, the Third Party Endorsement nudge was viewed negatively by almost all participants, mainly for the inclusion of large companies in the list, whom participants did not wish to be aligned with. In some cases this was for reasons connected to the companies’ perceived ethical practices, as with Krystal.</w:t>
      </w:r>
    </w:p>
    <w:p w14:paraId="093BC729" w14:textId="03B64D73" w:rsidR="00A348FE" w:rsidRPr="0040275E" w:rsidRDefault="00A348FE" w:rsidP="007B4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 w:rsidRPr="0040275E">
        <w:t>Krystal (International Social Science postgra</w:t>
      </w:r>
      <w:r>
        <w:t xml:space="preserve">d </w:t>
      </w:r>
      <w:r w:rsidR="00DF1B29">
        <w:t>–</w:t>
      </w:r>
      <w:r w:rsidRPr="0040275E">
        <w:t xml:space="preserve"> Pilot): </w:t>
      </w:r>
      <w:r w:rsidRPr="00A348FE">
        <w:rPr>
          <w:i/>
        </w:rPr>
        <w:t>“I don’t let Marks and Spencer set my ethics, considering that they are using c</w:t>
      </w:r>
      <w:r w:rsidR="007B4F42">
        <w:rPr>
          <w:i/>
        </w:rPr>
        <w:t>hildren to make their garments…</w:t>
      </w:r>
      <w:r w:rsidRPr="00A348FE">
        <w:rPr>
          <w:i/>
        </w:rPr>
        <w:t>I don’t take my ethical cues from these people”.</w:t>
      </w:r>
    </w:p>
    <w:p w14:paraId="5554301B" w14:textId="34DCA862" w:rsidR="00A348FE" w:rsidRDefault="00A348FE" w:rsidP="00EA4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Other participants saw a problem with the size of these big companies. As in the case of the descriptive norm, the large size of the ‘people who already offset’ </w:t>
      </w:r>
      <w:r w:rsidR="00DF1B29">
        <w:t>–</w:t>
      </w:r>
      <w:r>
        <w:t xml:space="preserve"> in this case, large companies </w:t>
      </w:r>
      <w:r w:rsidR="00DF1B29">
        <w:t xml:space="preserve">– </w:t>
      </w:r>
      <w:r>
        <w:t xml:space="preserve">made the participants’ own </w:t>
      </w:r>
      <w:r w:rsidR="00EA43DF">
        <w:t>offset</w:t>
      </w:r>
      <w:r>
        <w:t xml:space="preserve"> behaviour seem insignificant, and a reason to ‘free-ride’</w:t>
      </w:r>
      <w:r w:rsidR="00DF1B29">
        <w:t>.</w:t>
      </w:r>
      <w:r>
        <w:t xml:space="preserve"> </w:t>
      </w:r>
      <w:r w:rsidR="009246C7">
        <w:t xml:space="preserve">The lively discussion which this nudge provoked </w:t>
      </w:r>
      <w:r w:rsidR="002E3E18">
        <w:t>emphasizes</w:t>
      </w:r>
      <w:r w:rsidR="009246C7">
        <w:t xml:space="preserve"> the importance of using an appropriate ‘messenger’ when designing nudges </w:t>
      </w:r>
      <w:r w:rsidR="009246C7">
        <w:fldChar w:fldCharType="begin" w:fldLock="1"/>
      </w:r>
      <w:r w:rsidR="00CB0271">
        <w:instrText>ADDIN CSL_CITATION { "citationItems" : [ { "id" : "ITEM-1", "itemData" : { "ISBN" : "9781848641303", "abstract" : "Behavioural insights are an important component of the Department for Transport\u2019s vision for a transport system that is an engine for economic growth but one that is also greener and safer and improves quality of life in our communities.", "author" : [ { "dropping-particle" : "", "family" : "Savage", "given" : "Ben", "non-dropping-particle" : "", "parse-names" : false, "suffix" : "" }, { "dropping-particle" : "", "family" : "Knight", "given" : "Tim", "non-dropping-particle" : "", "parse-names" : false, "suffix" : "" }, { "dropping-particle" : "", "family" : "Bacon", "given" : "Jo", "non-dropping-particle" : "", "parse-names" : false, "suffix" : "" }, { "dropping-particle" : "", "family" : "Millington", "given" : "Anya", "non-dropping-particle" : "", "parse-names" : false, "suffix" : "" }, { "dropping-particle" : "", "family" : "Bullock", "given" : "Helen", "non-dropping-particle" : "", "parse-names" : false, "suffix" : "" }, { "dropping-particle" : "", "family" : "Buckland", "given" : "Jenny", "non-dropping-particle" : "", "parse-names" : false, "suffix" : "" } ], "id" : "ITEM-1", "issue" : "November", "issued" : { "date-parts" : [ [ "2011" ] ] }, "publisher" : "Department for Transport", "title" : "Behavioural Insights Toolkit", "type" : "book" }, "uris" : [ "http://www.mendeley.com/documents/?uuid=f678f026-1871-4533-9e48-b0ec08167c91" ] }, { "id" : "ITEM-2", "itemData" : { "author" : [ { "dropping-particle" : "", "family" : "Dolan", "given" : "P.", "non-dropping-particle" : "", "parse-names" : false, "suffix" : "" }, { "dropping-particle" : "", "family" : "Halpern", "given" : "D.", "non-dropping-particle" : "", "parse-names" : false, "suffix" : "" }, { "dropping-particle" : "", "family" : "King", "given" : "D.", "non-dropping-particle" : "", "parse-names" : false, "suffix" : "" }, { "dropping-particle" : "", "family" : "Metcalfe", "given" : "R.", "non-dropping-particle" : "", "parse-names" : false, "suffix" : "" }, { "dropping-particle" : "", "family" : "Vlaev", "given" : "I.", "non-dropping-particle" : "", "parse-names" : false, "suffix" : "" }, { "dropping-particle" : "", "family" : "Hallsworth", "given" : "M.", "non-dropping-particle" : "", "parse-names" : false, "suffix" : "" } ], "container-title" : "Journal of Economic Psychology", "id" : "ITEM-2", "issue" : "264\u2013277", "issued" : { "date-parts" : [ [ "2012" ] ] }, "title" : "Influencing behaviour: The mindspace way", "type" : "article-journal", "volume" : "33" }, "uris" : [ "http://www.mendeley.com/documents/?uuid=7a769b89-1d0a-48ec-af0f-e9d599fe07da" ] } ], "mendeley" : { "formattedCitation" : "(Savage et al. 2011; Dolan et al. 2012)", "plainTextFormattedCitation" : "(Savage et al. 2011; Dolan et al. 2012)", "previouslyFormattedCitation" : "(Savage et al. 2011; Dolan et al. 2012)" }, "properties" : {  }, "schema" : "https://github.com/citation-style-language/schema/raw/master/csl-citation.json" }</w:instrText>
      </w:r>
      <w:r w:rsidR="009246C7">
        <w:fldChar w:fldCharType="separate"/>
      </w:r>
      <w:r w:rsidR="00DC73BA" w:rsidRPr="00DC73BA">
        <w:rPr>
          <w:noProof/>
        </w:rPr>
        <w:t>(Savage et al. 2011; Dolan et al. 2012)</w:t>
      </w:r>
      <w:r w:rsidR="009246C7">
        <w:fldChar w:fldCharType="end"/>
      </w:r>
      <w:r w:rsidR="009246C7">
        <w:t>.</w:t>
      </w:r>
    </w:p>
    <w:p w14:paraId="19C66F33" w14:textId="6659CB5F" w:rsidR="00A348FE" w:rsidRPr="00A348FE" w:rsidRDefault="00A348FE" w:rsidP="00EA43DF">
      <w:pPr>
        <w:ind w:firstLine="720"/>
        <w:jc w:val="center"/>
        <w:rPr>
          <w:i/>
        </w:rPr>
      </w:pPr>
      <w:r>
        <w:t>Chas (UK Geography Undergrad):</w:t>
      </w:r>
      <w:r w:rsidRPr="00A348FE">
        <w:rPr>
          <w:i/>
        </w:rPr>
        <w:t xml:space="preserve"> “Listing all the big companies that do it make</w:t>
      </w:r>
      <w:r w:rsidR="00AC3458">
        <w:rPr>
          <w:i/>
        </w:rPr>
        <w:t>s</w:t>
      </w:r>
      <w:r w:rsidRPr="00A348FE">
        <w:rPr>
          <w:i/>
        </w:rPr>
        <w:t xml:space="preserve"> me think ‘well if all the big companies do it, why should I, because they contribute more than I do?’ Is that really bad?</w:t>
      </w:r>
    </w:p>
    <w:p w14:paraId="6CA4C6E0" w14:textId="77777777" w:rsidR="00A348FE" w:rsidRPr="00A348FE" w:rsidRDefault="008347B4" w:rsidP="007B4F42">
      <w:pPr>
        <w:ind w:left="720"/>
        <w:jc w:val="center"/>
        <w:rPr>
          <w:i/>
        </w:rPr>
      </w:pPr>
      <w:r>
        <w:rPr>
          <w:i/>
        </w:rPr>
        <w:t>“</w:t>
      </w:r>
      <w:r w:rsidR="00A348FE" w:rsidRPr="00A348FE">
        <w:rPr>
          <w:i/>
        </w:rPr>
        <w:t>Because all the big companies do it, and they must have a much greater need for it, because of lots more travel, then like, why should I bother because, to be fair, my contribution compared to theirs would be really small, so it would be fairly pointless.”</w:t>
      </w:r>
    </w:p>
    <w:p w14:paraId="0E6F6D24" w14:textId="67236404" w:rsidR="00A348FE" w:rsidRDefault="00A348FE" w:rsidP="00B775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Reaction to th</w:t>
      </w:r>
      <w:r w:rsidR="00AC3458">
        <w:t xml:space="preserve">e affective </w:t>
      </w:r>
      <w:r>
        <w:t>nudge was perhaps the most divided. While many participants thought that providing a human story with pictures made the benefit</w:t>
      </w:r>
      <w:r w:rsidR="002B6882">
        <w:t>s of offsetting seem more ‘real’</w:t>
      </w:r>
      <w:r>
        <w:t>, other</w:t>
      </w:r>
      <w:r w:rsidR="002B6882">
        <w:t xml:space="preserve">s </w:t>
      </w:r>
      <w:r w:rsidR="00B77596">
        <w:t>considered it</w:t>
      </w:r>
      <w:r w:rsidR="002B6882">
        <w:t xml:space="preserve"> confusing, and </w:t>
      </w:r>
      <w:r>
        <w:t>looked more</w:t>
      </w:r>
      <w:r w:rsidR="002B6882">
        <w:t xml:space="preserve"> like ‘charity’ than offsetting</w:t>
      </w:r>
      <w:r>
        <w:t xml:space="preserve"> which, surprisingly perhaps, was often not </w:t>
      </w:r>
      <w:r w:rsidR="0021520D">
        <w:t>viewed</w:t>
      </w:r>
      <w:r>
        <w:t xml:space="preserve"> </w:t>
      </w:r>
      <w:r w:rsidR="00EA43DF">
        <w:t>positively</w:t>
      </w:r>
      <w:r>
        <w:t xml:space="preserve">. </w:t>
      </w:r>
      <w:r w:rsidR="007D4AE5">
        <w:t xml:space="preserve">As </w:t>
      </w:r>
      <w:r w:rsidR="00EA43DF">
        <w:t>m</w:t>
      </w:r>
      <w:r>
        <w:t xml:space="preserve">any </w:t>
      </w:r>
      <w:r w:rsidR="007D4AE5">
        <w:t>participants</w:t>
      </w:r>
      <w:r>
        <w:t xml:space="preserve"> reported </w:t>
      </w:r>
      <w:r w:rsidR="00EA43DF">
        <w:t>feeling</w:t>
      </w:r>
      <w:r>
        <w:t xml:space="preserve"> ‘charity fatigue’, this </w:t>
      </w:r>
      <w:r w:rsidR="007D4AE5">
        <w:t xml:space="preserve">nudge </w:t>
      </w:r>
      <w:r>
        <w:t>was unlikely to make them offset, or, as man</w:t>
      </w:r>
      <w:r w:rsidR="002B6882">
        <w:t xml:space="preserve">y of them tellingly put it, to </w:t>
      </w:r>
      <w:r>
        <w:t>donate</w:t>
      </w:r>
      <w:r w:rsidR="002B6882">
        <w:t>’.</w:t>
      </w:r>
    </w:p>
    <w:p w14:paraId="63BAA5CA" w14:textId="1740B7BF" w:rsidR="00A348FE" w:rsidRDefault="00A348FE" w:rsidP="00A348FE">
      <w:pPr>
        <w:ind w:left="720"/>
        <w:jc w:val="center"/>
        <w:rPr>
          <w:i/>
        </w:rPr>
      </w:pPr>
      <w:r>
        <w:t xml:space="preserve">Josie (UK Management Undergrad): </w:t>
      </w:r>
      <w:r w:rsidRPr="00A348FE">
        <w:rPr>
          <w:i/>
        </w:rPr>
        <w:t>“I think it’s hard-hitting seeing pictures, but, it’s really bad for me to say, but there’s so many charities and things out there, like this sort of comes up all the time, helping people</w:t>
      </w:r>
      <w:r w:rsidR="002E3E18">
        <w:rPr>
          <w:i/>
        </w:rPr>
        <w:t>.</w:t>
      </w:r>
      <w:r w:rsidRPr="00A348FE">
        <w:rPr>
          <w:i/>
        </w:rPr>
        <w:t xml:space="preserve"> </w:t>
      </w:r>
      <w:r w:rsidR="002E3E18">
        <w:rPr>
          <w:i/>
        </w:rPr>
        <w:t>S</w:t>
      </w:r>
      <w:r w:rsidRPr="00A348FE">
        <w:rPr>
          <w:i/>
        </w:rPr>
        <w:t>o for me</w:t>
      </w:r>
      <w:r w:rsidR="002E3E18">
        <w:rPr>
          <w:i/>
        </w:rPr>
        <w:t>,</w:t>
      </w:r>
      <w:r w:rsidRPr="00A348FE">
        <w:rPr>
          <w:i/>
        </w:rPr>
        <w:t xml:space="preserve"> I know I’m probably not even gonna read the text</w:t>
      </w:r>
      <w:r w:rsidR="002E3E18">
        <w:rPr>
          <w:i/>
        </w:rPr>
        <w:t>.</w:t>
      </w:r>
      <w:r w:rsidRPr="00A348FE">
        <w:rPr>
          <w:i/>
        </w:rPr>
        <w:t xml:space="preserve"> I’ll just look at the picture and assume that it’s another one. I know that sounds bad but there’s quite a few out there so…”</w:t>
      </w:r>
    </w:p>
    <w:p w14:paraId="0A771A91" w14:textId="0217C2FA" w:rsidR="00A8410D" w:rsidRDefault="00307D87" w:rsidP="002B6882">
      <w:r>
        <w:t xml:space="preserve">The evaluations of the nudges suggested that a social norm nudge, if properly configured, held the most potential for encouraging offsetting. </w:t>
      </w:r>
    </w:p>
    <w:p w14:paraId="1DC6738B" w14:textId="69E0B5D6" w:rsidR="00B952FB" w:rsidRDefault="001A6981" w:rsidP="002B6882">
      <w:pPr>
        <w:pStyle w:val="Heading3"/>
      </w:pPr>
      <w:r>
        <w:t xml:space="preserve">Substantive </w:t>
      </w:r>
      <w:r w:rsidR="002B6882">
        <w:t>issues</w:t>
      </w:r>
    </w:p>
    <w:p w14:paraId="3153A6BF" w14:textId="628CF3B5" w:rsidR="00987365" w:rsidRDefault="00D9167F" w:rsidP="0098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w:t>
      </w:r>
      <w:r w:rsidR="00307D87">
        <w:t xml:space="preserve">ider problems with carbon offsetting were </w:t>
      </w:r>
      <w:r>
        <w:t xml:space="preserve">also </w:t>
      </w:r>
      <w:r w:rsidR="00307D87">
        <w:t xml:space="preserve">identified in the focus groups. </w:t>
      </w:r>
      <w:r w:rsidR="001A6981">
        <w:t xml:space="preserve">Participants were broadly supportive of the concept of offsetting but </w:t>
      </w:r>
      <w:r w:rsidR="00A07377">
        <w:t xml:space="preserve">had concern with issues of accountability </w:t>
      </w:r>
      <w:r w:rsidR="00DF1B29">
        <w:t>–</w:t>
      </w:r>
      <w:r w:rsidR="001A6981">
        <w:t xml:space="preserve"> “where </w:t>
      </w:r>
      <w:r w:rsidR="00A07377">
        <w:t>does the offset money go?</w:t>
      </w:r>
      <w:r w:rsidR="001A6981">
        <w:t>” and “who oversees the projects</w:t>
      </w:r>
      <w:r w:rsidR="00A07377">
        <w:t>?</w:t>
      </w:r>
      <w:r w:rsidR="001A6981">
        <w:t>”</w:t>
      </w:r>
      <w:r w:rsidR="00A07377">
        <w:t xml:space="preserve"> were recurrent queries</w:t>
      </w:r>
      <w:r w:rsidR="002357F8">
        <w:t xml:space="preserve">, reflecting the fact that most participants had little experience of offsetting themselves. Linked to this was the fact that </w:t>
      </w:r>
      <w:r w:rsidR="00C77B03">
        <w:t>most participants felt the social norm message was ‘too distant’ and vague, and would be far more powerful if it could harness peer pressure</w:t>
      </w:r>
      <w:r w:rsidR="00987365">
        <w:t>. The proposition that social media could be used to inform someone that their peers offset was well-received by many participants.</w:t>
      </w:r>
    </w:p>
    <w:p w14:paraId="7130BF21" w14:textId="77777777" w:rsidR="00987365" w:rsidRPr="00BB1D36" w:rsidRDefault="00987365" w:rsidP="00BB1D36">
      <w:pPr>
        <w:ind w:left="425"/>
        <w:rPr>
          <w:i/>
          <w:iCs/>
        </w:rPr>
      </w:pPr>
      <w:r>
        <w:t xml:space="preserve">Frankie (UK Geography Undergrad): </w:t>
      </w:r>
      <w:r w:rsidRPr="00BB1D36">
        <w:rPr>
          <w:i/>
          <w:iCs/>
        </w:rPr>
        <w:t>“With a facebook link ‘your friends do this’. That would probably be better.”</w:t>
      </w:r>
    </w:p>
    <w:p w14:paraId="76215BB5" w14:textId="77777777" w:rsidR="00987365" w:rsidRDefault="00987365" w:rsidP="00987365">
      <w:pPr>
        <w:pStyle w:val="Quotation"/>
      </w:pPr>
      <w:r>
        <w:t xml:space="preserve">Chas (UK Geography Undergrad): </w:t>
      </w:r>
      <w:r w:rsidRPr="00D65736">
        <w:rPr>
          <w:i/>
          <w:iCs w:val="0"/>
        </w:rPr>
        <w:t>“I’d do it. I’d think if they're doing it then I should too!”</w:t>
      </w:r>
    </w:p>
    <w:p w14:paraId="78C81F38" w14:textId="0F44D66F" w:rsidR="00987365" w:rsidRDefault="00987365" w:rsidP="00987365">
      <w:pPr>
        <w:pStyle w:val="Quotation"/>
      </w:pPr>
      <w:r>
        <w:t xml:space="preserve">Frankie: </w:t>
      </w:r>
      <w:r w:rsidRPr="00D65736">
        <w:rPr>
          <w:i/>
          <w:iCs w:val="0"/>
        </w:rPr>
        <w:t xml:space="preserve">“Make me feel bad </w:t>
      </w:r>
      <w:r w:rsidRPr="00D65736">
        <w:t>(laughter)</w:t>
      </w:r>
      <w:r w:rsidR="00DF1B29">
        <w:t>.</w:t>
      </w:r>
      <w:r w:rsidRPr="00D65736">
        <w:rPr>
          <w:i/>
          <w:iCs w:val="0"/>
        </w:rPr>
        <w:t>”</w:t>
      </w:r>
    </w:p>
    <w:p w14:paraId="306299E9" w14:textId="77777777" w:rsidR="00987365" w:rsidRDefault="00987365" w:rsidP="00987365">
      <w:pPr>
        <w:pStyle w:val="Quotation"/>
      </w:pPr>
      <w:r>
        <w:t xml:space="preserve">Tess (UK Geography Undergrad): </w:t>
      </w:r>
      <w:r w:rsidRPr="00D65736">
        <w:rPr>
          <w:i/>
          <w:iCs w:val="0"/>
        </w:rPr>
        <w:t>“I think that’s more effective than any company.”</w:t>
      </w:r>
    </w:p>
    <w:p w14:paraId="12D858F8" w14:textId="2B6FA675" w:rsidR="003630C8" w:rsidRPr="003630C8" w:rsidRDefault="003630C8" w:rsidP="003630C8">
      <w:pPr>
        <w:rPr>
          <w:iCs/>
        </w:rPr>
      </w:pPr>
      <w:r>
        <w:rPr>
          <w:iCs/>
        </w:rPr>
        <w:t>Participants also likened the opportunity to purchase offsets with other annoying ‘extra’ services such as insurance, car hire or hotel rooms, which are often offered at the point of sale of flight tickets</w:t>
      </w:r>
      <w:r w:rsidR="002357F8">
        <w:rPr>
          <w:iCs/>
        </w:rPr>
        <w:t>.</w:t>
      </w:r>
    </w:p>
    <w:p w14:paraId="203728CC" w14:textId="5EE318BE" w:rsidR="00FF1C61" w:rsidRDefault="00FF1C61" w:rsidP="00FF1C61">
      <w:pPr>
        <w:ind w:left="720"/>
      </w:pPr>
      <w:r>
        <w:t xml:space="preserve">Pat (International Management Postgrad): </w:t>
      </w:r>
      <w:r w:rsidRPr="00FF1C61">
        <w:rPr>
          <w:i/>
          <w:iCs/>
        </w:rPr>
        <w:t>“Travel insurance, extra bags, and you’re like ‘skip, skip, skip’</w:t>
      </w:r>
      <w:r w:rsidR="00DF1B29">
        <w:rPr>
          <w:i/>
          <w:iCs/>
        </w:rPr>
        <w:t>.</w:t>
      </w:r>
      <w:r w:rsidRPr="00FF1C61">
        <w:rPr>
          <w:i/>
          <w:iCs/>
        </w:rPr>
        <w:t>”</w:t>
      </w:r>
      <w:r w:rsidRPr="00FF1C61">
        <w:t xml:space="preserve"> </w:t>
      </w:r>
    </w:p>
    <w:p w14:paraId="5ADD2087" w14:textId="6CACB75E" w:rsidR="00FF1C61" w:rsidRDefault="00FF1C61" w:rsidP="002B6882">
      <w:r>
        <w:t>For some participants, the main problem with offsetting was the fact that it costs money, time and may be an inconvenience, for which the passenger receives nothing tangible in return. This view was especially prevalent among the management students.</w:t>
      </w:r>
    </w:p>
    <w:p w14:paraId="7035BF85" w14:textId="546E4ADB" w:rsidR="00FF1C61" w:rsidRDefault="00FF1C61" w:rsidP="005629B1">
      <w:pPr>
        <w:ind w:left="720"/>
        <w:jc w:val="center"/>
        <w:rPr>
          <w:i/>
        </w:rPr>
      </w:pPr>
      <w:r>
        <w:t xml:space="preserve">Ann (UK Management Undergrad): </w:t>
      </w:r>
      <w:r w:rsidRPr="00307D87">
        <w:rPr>
          <w:i/>
        </w:rPr>
        <w:t>“</w:t>
      </w:r>
      <w:r w:rsidR="00BF3362">
        <w:rPr>
          <w:i/>
        </w:rPr>
        <w:t>I</w:t>
      </w:r>
      <w:r w:rsidRPr="00307D87">
        <w:rPr>
          <w:i/>
        </w:rPr>
        <w:t xml:space="preserve">f I was buying a flight and they’re like ‘donate ten extra pounds’ I’d be like </w:t>
      </w:r>
      <w:r>
        <w:rPr>
          <w:i/>
        </w:rPr>
        <w:t>‘</w:t>
      </w:r>
      <w:r w:rsidRPr="00307D87">
        <w:rPr>
          <w:i/>
        </w:rPr>
        <w:t xml:space="preserve">well the flight’s </w:t>
      </w:r>
      <w:r>
        <w:rPr>
          <w:i/>
        </w:rPr>
        <w:t xml:space="preserve">costing </w:t>
      </w:r>
      <w:r w:rsidRPr="00307D87">
        <w:rPr>
          <w:i/>
        </w:rPr>
        <w:t>enough already</w:t>
      </w:r>
      <w:r w:rsidR="00D9167F">
        <w:rPr>
          <w:i/>
        </w:rPr>
        <w:t>.</w:t>
      </w:r>
      <w:r>
        <w:rPr>
          <w:i/>
        </w:rPr>
        <w:t>’</w:t>
      </w:r>
      <w:r w:rsidRPr="00307D87">
        <w:rPr>
          <w:i/>
        </w:rPr>
        <w:t xml:space="preserve"> I wouldn’t really wanna pay that</w:t>
      </w:r>
      <w:r w:rsidR="005629B1">
        <w:rPr>
          <w:i/>
        </w:rPr>
        <w:t xml:space="preserve">, </w:t>
      </w:r>
      <w:r w:rsidRPr="00307D87">
        <w:rPr>
          <w:i/>
        </w:rPr>
        <w:t>that might be because of my financial situation at the moment but I don’t think I will.”</w:t>
      </w:r>
    </w:p>
    <w:p w14:paraId="4C3584EA" w14:textId="6DDBC474" w:rsidR="00075F20" w:rsidRDefault="00EC35B0" w:rsidP="009512C3">
      <w:r>
        <w:t xml:space="preserve">This is, of course, a key </w:t>
      </w:r>
      <w:r w:rsidR="009246C7">
        <w:t>challenge</w:t>
      </w:r>
      <w:r>
        <w:t xml:space="preserve"> of this </w:t>
      </w:r>
      <w:r w:rsidR="009512C3">
        <w:t>paper</w:t>
      </w:r>
      <w:r>
        <w:t xml:space="preserve">, that carbon offsetting </w:t>
      </w:r>
      <w:r w:rsidR="009246C7">
        <w:t xml:space="preserve">is a pro-social </w:t>
      </w:r>
      <w:r>
        <w:t xml:space="preserve">behaviour </w:t>
      </w:r>
      <w:r w:rsidR="002B6882">
        <w:t>which does not</w:t>
      </w:r>
      <w:r w:rsidR="00BF3362">
        <w:t xml:space="preserve"> immediately</w:t>
      </w:r>
      <w:r w:rsidR="002B6882">
        <w:t xml:space="preserve"> ‘</w:t>
      </w:r>
      <w:r>
        <w:t>benefit</w:t>
      </w:r>
      <w:r w:rsidR="002B6882">
        <w:t>’</w:t>
      </w:r>
      <w:r>
        <w:t xml:space="preserve"> the individual. However, many of the participants were surprised that carbon offsets were </w:t>
      </w:r>
      <w:r w:rsidR="0000757F">
        <w:t xml:space="preserve">much </w:t>
      </w:r>
      <w:r>
        <w:t>cheaper</w:t>
      </w:r>
      <w:r w:rsidR="002B6882">
        <w:t xml:space="preserve"> (on average comprising around 3% of a given flight ticket price) </w:t>
      </w:r>
      <w:r>
        <w:t xml:space="preserve">than they had imagined. </w:t>
      </w:r>
      <w:r w:rsidR="00075F20">
        <w:t xml:space="preserve">Expectations and willingness to pay have been shown to be affected by a numerical anchor given before a decision is made </w:t>
      </w:r>
      <w:r w:rsidR="00075F20">
        <w:fldChar w:fldCharType="begin" w:fldLock="1"/>
      </w:r>
      <w:r w:rsidR="00CB0271">
        <w:instrText>ADDIN CSL_CITATION { "citationItems" : [ { "id" : "ITEM-1", "itemData" : { "DOI" : "http://www.mitpressjournals.org/loi/qjec", "ISBN" : "00335533", "ISSN" : "00335533", "PMID" : "295939", "abstract" : "In six experiments we show that initial valuations of familiar products and simple hedonic experiences are strongly in\u008fuenced by arbitrary \u201canchors\u201d (some- times derived from a person\u2019s social security number). Because subsequent valua- tions are also coherent with respect to salient differences in perceived quality or quantity of these products and experiences, the entire pattern of valuations can easily create an illusion of order, as if it is being generated by stable underlying preferences. The experiments show that this combination of coherent arbitrariness (1) cannot be interpreted as a rational response to information, (2) does not decrease as a result of experience with a good, (3) is not necessarily reduced by market forces, and (4) is not unique to cash prices. The results imply that demand curves estimated from market data need not reveal true consumer preferences, in any normatively signi\u008ecant sense of the term.", "author" : [ { "dropping-particle" : "", "family" : "Ariely", "given" : "Dan", "non-dropping-particle" : "", "parse-names" : false, "suffix" : "" }, { "dropping-particle" : "", "family" : "Loewenstein", "given" : "George", "non-dropping-particle" : "", "parse-names" : false, "suffix" : "" }, { "dropping-particle" : "", "family" : "Prelec", "given" : "Drazen", "non-dropping-particle" : "", "parse-names" : false, "suffix" : "" } ], "container-title" : "Quarterly Journal of Technology", "id" : "ITEM-1", "issue" : "February", "issued" : { "date-parts" : [ [ "2003" ] ] }, "page" : "73-106", "title" : "\u201cCoherent Arbitrariness\u201d: Stable Demand Curves Without Stable Preferences", "type" : "article-journal" }, "uris" : [ "http://www.mendeley.com/documents/?uuid=1bbb11d9-3bd8-47a6-b949-e3fdb0fdb44a" ] }, { "id" : "ITEM-2", "itemData" : { "DOI" : "10.1177/0266382115592536", "ISSN" : "0266-3821", "abstract" : "A heuristic is a word from the Greek meaning  to discover'. It is an approach to problem-solving that takes one's personal experience into account. Heuristics provide strategies to scrutinize a limited number of signals and/or alternative choices in decision-making. Heuristics diminish the work of retrieving and storing information in memory and of streamlining the decision-making process by reducing the amount of integrated information necessary in making the choice or passing judgement. However, whilst heuristics can speed up our problem-solving and decision-making processes, they can introduce errors and bias judgements. This article looks at commonly used heuristics and their human psychology origins. Understanding how heuristics work can give us better insight into our personal biases and influences and (perhaps) lead to better problem-solving and decision-making.", "author" : [ { "dropping-particle" : "", "family" : "Dale", "given" : "S.", "non-dropping-particle" : "", "parse-names" : false, "suffix" : "" } ], "container-title" : "Business Information Review", "id" : "ITEM-2", "issue" : "2", "issued" : { "date-parts" : [ [ "2015" ] ] }, "page" : "93-99", "title" : "Heuristics and biases: The science of decision-making", "type" : "article-journal", "volume" : "32" }, "uris" : [ "http://www.mendeley.com/documents/?uuid=fcf7bf1f-2d5c-426d-9699-c04066a1cbe0", "http://www.mendeley.com/documents/?uuid=fd542e35-dd14-430d-9740-15fcc3203334" ] } ], "mendeley" : { "formattedCitation" : "(Ariely et al. 2003; Dale 2015)", "plainTextFormattedCitation" : "(Ariely et al. 2003; Dale 2015)", "previouslyFormattedCitation" : "(Ariely et al. 2003; Dale 2015)" }, "properties" : {  }, "schema" : "https://github.com/citation-style-language/schema/raw/master/csl-citation.json" }</w:instrText>
      </w:r>
      <w:r w:rsidR="00075F20">
        <w:fldChar w:fldCharType="separate"/>
      </w:r>
      <w:r w:rsidR="002B6882" w:rsidRPr="002B6882">
        <w:rPr>
          <w:noProof/>
        </w:rPr>
        <w:t>(Ariely et al. 2003; Dale 2015)</w:t>
      </w:r>
      <w:r w:rsidR="00075F20">
        <w:fldChar w:fldCharType="end"/>
      </w:r>
      <w:r w:rsidR="00075F20">
        <w:t>, and it is plausible that if participants knew roughly how expensive/cheap a carbon offset was in advance, they may have been more willing to buy one.</w:t>
      </w:r>
    </w:p>
    <w:p w14:paraId="5E92521D" w14:textId="4F802027" w:rsidR="00A26C52" w:rsidRDefault="00E313EE" w:rsidP="007969FA">
      <w:r>
        <w:t xml:space="preserve">The focus groups suggested that the </w:t>
      </w:r>
      <w:r w:rsidR="00007781">
        <w:t xml:space="preserve">descriptive </w:t>
      </w:r>
      <w:r>
        <w:t xml:space="preserve">social norm nudge </w:t>
      </w:r>
      <w:r w:rsidR="00877AAD">
        <w:t xml:space="preserve">was the design </w:t>
      </w:r>
      <w:r>
        <w:t xml:space="preserve">most likely to influence </w:t>
      </w:r>
      <w:r w:rsidR="00877AAD">
        <w:t xml:space="preserve">participants’ </w:t>
      </w:r>
      <w:r>
        <w:t>decision to offset</w:t>
      </w:r>
      <w:r w:rsidR="005629B1">
        <w:t xml:space="preserve">. </w:t>
      </w:r>
      <w:r w:rsidR="00BF4367">
        <w:t>This is why</w:t>
      </w:r>
      <w:r w:rsidR="00BF3362">
        <w:t xml:space="preserve"> </w:t>
      </w:r>
      <w:r w:rsidR="00A07377">
        <w:t xml:space="preserve">a social norm-style nudge was </w:t>
      </w:r>
      <w:r w:rsidR="00F952A3">
        <w:t>chosen</w:t>
      </w:r>
      <w:r w:rsidR="00A07377">
        <w:t xml:space="preserve"> for the second RCT</w:t>
      </w:r>
      <w:r w:rsidR="00007781">
        <w:t xml:space="preserve">, </w:t>
      </w:r>
      <w:r w:rsidR="00BF4367">
        <w:t>with new features</w:t>
      </w:r>
      <w:r w:rsidR="00B77596">
        <w:t xml:space="preserve"> intended to</w:t>
      </w:r>
      <w:r w:rsidR="00007781">
        <w:t xml:space="preserve"> address</w:t>
      </w:r>
      <w:r w:rsidR="002357F8">
        <w:t xml:space="preserve"> some of the </w:t>
      </w:r>
      <w:r w:rsidR="00EC2A65">
        <w:t>barriers</w:t>
      </w:r>
      <w:r w:rsidR="002357F8">
        <w:t xml:space="preserve"> which the focus groups highlighted. Firstly, </w:t>
      </w:r>
      <w:r w:rsidR="00007781">
        <w:t>as</w:t>
      </w:r>
      <w:r w:rsidR="002357F8">
        <w:t xml:space="preserve"> offsets were</w:t>
      </w:r>
      <w:r w:rsidR="00B77596">
        <w:t xml:space="preserve"> viewed as an unknown quantity</w:t>
      </w:r>
      <w:r w:rsidR="002357F8">
        <w:t xml:space="preserve">, </w:t>
      </w:r>
      <w:r w:rsidR="00B77596">
        <w:t>the ‘new’ nudge</w:t>
      </w:r>
      <w:r w:rsidR="002357F8">
        <w:t xml:space="preserve"> explained the concept of offsetting in greater detail, including the fact that offsets must comply with accreditation schemes such as </w:t>
      </w:r>
      <w:r w:rsidR="00B77596">
        <w:t>the</w:t>
      </w:r>
      <w:r w:rsidR="002357F8" w:rsidRPr="009C4C55">
        <w:t xml:space="preserve"> Verified Carbon Standard (VCS)</w:t>
      </w:r>
      <w:r w:rsidR="00B77596">
        <w:t xml:space="preserve">, </w:t>
      </w:r>
      <w:r w:rsidR="002357F8">
        <w:t xml:space="preserve">recognised by the United Nations </w:t>
      </w:r>
      <w:r w:rsidR="002357F8">
        <w:fldChar w:fldCharType="begin" w:fldLock="1"/>
      </w:r>
      <w:r w:rsidR="00CB0271">
        <w:instrText>ADDIN CSL_CITATION { "citationItems" : [ { "id" : "ITEM-1", "itemData" : { "author" : [ { "dropping-particle" : "", "family" : "Broderick", "given" : "J", "non-dropping-particle" : "", "parse-names" : false, "suffix" : "" } ], "chapter-number" : "15", "container-title" : "Climate Change and Aviation: Issues, Challenges and Solutions", "editor" : [ { "dropping-particle" : "", "family" : "G\u00f6ssling  Upham, P.,", "given" : "S", "non-dropping-particle" : "", "parse-names" : false, "suffix" : "" } ], "id" : "ITEM-1", "issued" : { "date-parts" : [ [ "2009" ] ] }, "publisher" : "Earthscan", "publisher-place" : "London", "title" : "Voluntary Carbon Offsetting for Air Travel", "type" : "chapter" }, "uris" : [ "http://www.mendeley.com/documents/?uuid=1babc692-0fc8-4439-9a3b-cf67cefcde03" ] } ], "mendeley" : { "formattedCitation" : "(Broderick 2009)", "plainTextFormattedCitation" : "(Broderick 2009)", "previouslyFormattedCitation" : "(Broderick 2009)" }, "properties" : {  }, "schema" : "https://github.com/citation-style-language/schema/raw/master/csl-citation.json" }</w:instrText>
      </w:r>
      <w:r w:rsidR="002357F8">
        <w:fldChar w:fldCharType="separate"/>
      </w:r>
      <w:r w:rsidR="00B77596" w:rsidRPr="00B77596">
        <w:rPr>
          <w:noProof/>
        </w:rPr>
        <w:t>(Broderick 2009)</w:t>
      </w:r>
      <w:r w:rsidR="002357F8">
        <w:fldChar w:fldCharType="end"/>
      </w:r>
      <w:r w:rsidR="002357F8">
        <w:t>.</w:t>
      </w:r>
      <w:r w:rsidR="00F0405E">
        <w:t xml:space="preserve"> </w:t>
      </w:r>
      <w:r w:rsidR="002357F8">
        <w:t xml:space="preserve">Secondly, the apparent assumption that offsets will be </w:t>
      </w:r>
      <w:r w:rsidR="00007781">
        <w:t>expensive</w:t>
      </w:r>
      <w:r w:rsidR="00B77596">
        <w:t xml:space="preserve"> </w:t>
      </w:r>
      <w:r w:rsidR="002357F8">
        <w:t>was addressed in the second RCT by including a price ‘anchor’</w:t>
      </w:r>
      <w:r w:rsidR="00BB1D36">
        <w:t xml:space="preserve"> (Figure </w:t>
      </w:r>
      <w:r w:rsidR="007969FA">
        <w:t>2</w:t>
      </w:r>
      <w:r w:rsidR="00BB1D36">
        <w:t>)</w:t>
      </w:r>
      <w:r w:rsidR="00987365">
        <w:t>.</w:t>
      </w:r>
      <w:r w:rsidR="002357F8">
        <w:t xml:space="preserve"> </w:t>
      </w:r>
    </w:p>
    <w:p w14:paraId="3A27768A" w14:textId="7920C396" w:rsidR="003C15B1" w:rsidRDefault="005867C1" w:rsidP="005867C1">
      <w:pPr>
        <w:pStyle w:val="Heading2"/>
        <w:tabs>
          <w:tab w:val="left" w:pos="1725"/>
        </w:tabs>
        <w:rPr>
          <w:lang w:eastAsia="zh-TW"/>
        </w:rPr>
      </w:pPr>
      <w:r>
        <w:rPr>
          <w:lang w:eastAsia="zh-TW"/>
        </w:rPr>
        <w:t>S</w:t>
      </w:r>
      <w:r w:rsidR="00C96EAE">
        <w:rPr>
          <w:lang w:eastAsia="zh-TW"/>
        </w:rPr>
        <w:t>tage 3</w:t>
      </w:r>
      <w:r>
        <w:rPr>
          <w:lang w:eastAsia="zh-TW"/>
        </w:rPr>
        <w:t xml:space="preserve"> -</w:t>
      </w:r>
      <w:r w:rsidRPr="005867C1">
        <w:t xml:space="preserve"> </w:t>
      </w:r>
      <w:r>
        <w:t xml:space="preserve">offset </w:t>
      </w:r>
      <w:r w:rsidR="00060B76">
        <w:t>i</w:t>
      </w:r>
      <w:r>
        <w:t>nterest and offset behaviour</w:t>
      </w:r>
    </w:p>
    <w:p w14:paraId="16FB5E08" w14:textId="1A12365B" w:rsidR="004807EC" w:rsidRDefault="006B302C" w:rsidP="006B302C">
      <w:pPr>
        <w:rPr>
          <w:lang w:eastAsia="zh-TW"/>
        </w:rPr>
      </w:pPr>
      <w:r w:rsidRPr="006B302C">
        <w:rPr>
          <w:lang w:eastAsia="zh-TW"/>
        </w:rPr>
        <w:t>Of those in the ‘Control’ group (who received no nudge), 679 people expressed interest in offsetting (57.6%). Of those in the treatment group (who received the nudge), 626 expressed interest in offsetting (53.1%)</w:t>
      </w:r>
      <w:r w:rsidR="00BF3362">
        <w:rPr>
          <w:lang w:eastAsia="zh-TW"/>
        </w:rPr>
        <w:t>. This means that instead of an expected increase, offsetting interest decreased by 4.5% in the treatment group compared to the control group</w:t>
      </w:r>
      <w:r w:rsidR="00674A61">
        <w:rPr>
          <w:lang w:eastAsia="zh-TW"/>
        </w:rPr>
        <w:t>.</w:t>
      </w:r>
    </w:p>
    <w:p w14:paraId="2CDC1E1C" w14:textId="77777777" w:rsidR="005867C1" w:rsidRDefault="005867C1" w:rsidP="006B302C">
      <w:pPr>
        <w:rPr>
          <w:lang w:eastAsia="zh-TW"/>
        </w:rPr>
      </w:pPr>
    </w:p>
    <w:p w14:paraId="445320D6" w14:textId="0C44E003" w:rsidR="004807EC" w:rsidRDefault="0015699C" w:rsidP="007369B4">
      <w:pPr>
        <w:pStyle w:val="Heading3"/>
        <w:rPr>
          <w:lang w:eastAsia="zh-TW"/>
        </w:rPr>
      </w:pPr>
      <w:r>
        <w:rPr>
          <w:lang w:eastAsia="zh-TW"/>
        </w:rPr>
        <w:t xml:space="preserve">Table </w:t>
      </w:r>
      <w:r w:rsidR="007369B4">
        <w:rPr>
          <w:lang w:eastAsia="zh-TW"/>
        </w:rPr>
        <w:t>4</w:t>
      </w:r>
      <w:r w:rsidR="00D65790">
        <w:rPr>
          <w:lang w:eastAsia="zh-TW"/>
        </w:rPr>
        <w:t>:</w:t>
      </w:r>
      <w:r w:rsidR="006B302C">
        <w:rPr>
          <w:lang w:eastAsia="zh-TW"/>
        </w:rPr>
        <w:t xml:space="preserve"> </w:t>
      </w:r>
      <w:r w:rsidR="006B302C" w:rsidRPr="006B302C">
        <w:t>Interest in offsetting by Treatment group</w:t>
      </w:r>
      <w:r w:rsidR="006B302C">
        <w:t xml:space="preserve"> (RCT2)</w:t>
      </w:r>
    </w:p>
    <w:tbl>
      <w:tblPr>
        <w:tblStyle w:val="LightShading"/>
        <w:tblW w:w="0" w:type="auto"/>
        <w:tblLook w:val="04A0" w:firstRow="1" w:lastRow="0" w:firstColumn="1" w:lastColumn="0" w:noHBand="0" w:noVBand="1"/>
      </w:tblPr>
      <w:tblGrid>
        <w:gridCol w:w="3018"/>
        <w:gridCol w:w="2996"/>
        <w:gridCol w:w="3012"/>
      </w:tblGrid>
      <w:tr w:rsidR="006B302C" w14:paraId="50E28471" w14:textId="77777777" w:rsidTr="00356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top w:val="single" w:sz="18" w:space="0" w:color="000000" w:themeColor="text1"/>
              <w:bottom w:val="single" w:sz="18" w:space="0" w:color="000000" w:themeColor="text1"/>
            </w:tcBorders>
            <w:shd w:val="clear" w:color="auto" w:fill="auto"/>
          </w:tcPr>
          <w:p w14:paraId="441F99F8" w14:textId="77777777" w:rsidR="006B302C" w:rsidRDefault="006B302C" w:rsidP="004807EC">
            <w:pPr>
              <w:rPr>
                <w:lang w:eastAsia="zh-TW"/>
              </w:rPr>
            </w:pPr>
            <w:r w:rsidRPr="00852299">
              <w:rPr>
                <w:i/>
                <w:iCs/>
              </w:rPr>
              <w:t>Intervention Group</w:t>
            </w:r>
          </w:p>
        </w:tc>
        <w:tc>
          <w:tcPr>
            <w:tcW w:w="3081" w:type="dxa"/>
            <w:tcBorders>
              <w:top w:val="single" w:sz="18" w:space="0" w:color="000000" w:themeColor="text1"/>
              <w:bottom w:val="single" w:sz="18" w:space="0" w:color="000000" w:themeColor="text1"/>
            </w:tcBorders>
            <w:shd w:val="clear" w:color="auto" w:fill="auto"/>
          </w:tcPr>
          <w:p w14:paraId="0B628BF9" w14:textId="77777777" w:rsidR="006B302C" w:rsidRDefault="006B302C" w:rsidP="006B302C">
            <w:pPr>
              <w:jc w:val="center"/>
              <w:cnfStyle w:val="100000000000" w:firstRow="1" w:lastRow="0" w:firstColumn="0" w:lastColumn="0" w:oddVBand="0" w:evenVBand="0" w:oddHBand="0" w:evenHBand="0" w:firstRowFirstColumn="0" w:firstRowLastColumn="0" w:lastRowFirstColumn="0" w:lastRowLastColumn="0"/>
              <w:rPr>
                <w:lang w:eastAsia="zh-TW"/>
              </w:rPr>
            </w:pPr>
            <w:r>
              <w:rPr>
                <w:lang w:eastAsia="zh-TW"/>
              </w:rPr>
              <w:t>N</w:t>
            </w:r>
          </w:p>
        </w:tc>
        <w:tc>
          <w:tcPr>
            <w:tcW w:w="3081" w:type="dxa"/>
            <w:tcBorders>
              <w:top w:val="single" w:sz="18" w:space="0" w:color="000000" w:themeColor="text1"/>
              <w:bottom w:val="single" w:sz="18" w:space="0" w:color="000000" w:themeColor="text1"/>
            </w:tcBorders>
            <w:shd w:val="clear" w:color="auto" w:fill="auto"/>
          </w:tcPr>
          <w:p w14:paraId="5EA090DE" w14:textId="77777777" w:rsidR="006B302C" w:rsidRDefault="006B302C" w:rsidP="006B302C">
            <w:pPr>
              <w:jc w:val="center"/>
              <w:cnfStyle w:val="100000000000" w:firstRow="1" w:lastRow="0" w:firstColumn="0" w:lastColumn="0" w:oddVBand="0" w:evenVBand="0" w:oddHBand="0" w:evenHBand="0" w:firstRowFirstColumn="0" w:firstRowLastColumn="0" w:lastRowFirstColumn="0" w:lastRowLastColumn="0"/>
              <w:rPr>
                <w:lang w:eastAsia="zh-TW"/>
              </w:rPr>
            </w:pPr>
            <w:r w:rsidRPr="00852299">
              <w:rPr>
                <w:i/>
                <w:iCs/>
              </w:rPr>
              <w:t>% Expressed ‘interest’ in Carbon offset within group</w:t>
            </w:r>
          </w:p>
        </w:tc>
      </w:tr>
      <w:tr w:rsidR="006B302C" w14:paraId="1FDB4CDE" w14:textId="77777777" w:rsidTr="00356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top w:val="single" w:sz="18" w:space="0" w:color="000000" w:themeColor="text1"/>
            </w:tcBorders>
            <w:shd w:val="clear" w:color="auto" w:fill="auto"/>
          </w:tcPr>
          <w:p w14:paraId="1CFFBD31" w14:textId="77777777" w:rsidR="006B302C" w:rsidRDefault="006B302C" w:rsidP="004807EC">
            <w:pPr>
              <w:rPr>
                <w:lang w:eastAsia="zh-TW"/>
              </w:rPr>
            </w:pPr>
            <w:r>
              <w:rPr>
                <w:lang w:eastAsia="zh-TW"/>
              </w:rPr>
              <w:t xml:space="preserve">Control </w:t>
            </w:r>
          </w:p>
        </w:tc>
        <w:tc>
          <w:tcPr>
            <w:tcW w:w="3081" w:type="dxa"/>
            <w:tcBorders>
              <w:top w:val="single" w:sz="18" w:space="0" w:color="000000" w:themeColor="text1"/>
            </w:tcBorders>
            <w:shd w:val="clear" w:color="auto" w:fill="auto"/>
          </w:tcPr>
          <w:p w14:paraId="1A09C7FC" w14:textId="77777777" w:rsidR="006B302C" w:rsidRDefault="006B302C" w:rsidP="006B302C">
            <w:pPr>
              <w:jc w:val="center"/>
              <w:cnfStyle w:val="000000100000" w:firstRow="0" w:lastRow="0" w:firstColumn="0" w:lastColumn="0" w:oddVBand="0" w:evenVBand="0" w:oddHBand="1" w:evenHBand="0" w:firstRowFirstColumn="0" w:firstRowLastColumn="0" w:lastRowFirstColumn="0" w:lastRowLastColumn="0"/>
              <w:rPr>
                <w:lang w:eastAsia="zh-TW"/>
              </w:rPr>
            </w:pPr>
            <w:r>
              <w:rPr>
                <w:lang w:eastAsia="zh-TW"/>
              </w:rPr>
              <w:t>1178</w:t>
            </w:r>
          </w:p>
        </w:tc>
        <w:tc>
          <w:tcPr>
            <w:tcW w:w="3081" w:type="dxa"/>
            <w:tcBorders>
              <w:top w:val="single" w:sz="18" w:space="0" w:color="000000" w:themeColor="text1"/>
            </w:tcBorders>
            <w:shd w:val="clear" w:color="auto" w:fill="auto"/>
          </w:tcPr>
          <w:p w14:paraId="0449D775" w14:textId="77777777" w:rsidR="006B302C" w:rsidRDefault="006B302C" w:rsidP="006B302C">
            <w:pPr>
              <w:jc w:val="center"/>
              <w:cnfStyle w:val="000000100000" w:firstRow="0" w:lastRow="0" w:firstColumn="0" w:lastColumn="0" w:oddVBand="0" w:evenVBand="0" w:oddHBand="1" w:evenHBand="0" w:firstRowFirstColumn="0" w:firstRowLastColumn="0" w:lastRowFirstColumn="0" w:lastRowLastColumn="0"/>
              <w:rPr>
                <w:lang w:eastAsia="zh-TW"/>
              </w:rPr>
            </w:pPr>
            <w:r>
              <w:rPr>
                <w:lang w:eastAsia="zh-TW"/>
              </w:rPr>
              <w:t>57.6</w:t>
            </w:r>
          </w:p>
        </w:tc>
      </w:tr>
      <w:tr w:rsidR="006B302C" w14:paraId="4873BBE0" w14:textId="77777777" w:rsidTr="006B302C">
        <w:tc>
          <w:tcPr>
            <w:cnfStyle w:val="001000000000" w:firstRow="0" w:lastRow="0" w:firstColumn="1" w:lastColumn="0" w:oddVBand="0" w:evenVBand="0" w:oddHBand="0" w:evenHBand="0" w:firstRowFirstColumn="0" w:firstRowLastColumn="0" w:lastRowFirstColumn="0" w:lastRowLastColumn="0"/>
            <w:tcW w:w="3080" w:type="dxa"/>
            <w:shd w:val="clear" w:color="auto" w:fill="auto"/>
          </w:tcPr>
          <w:p w14:paraId="3B209E51" w14:textId="77777777" w:rsidR="006B302C" w:rsidRDefault="006B302C" w:rsidP="004807EC">
            <w:pPr>
              <w:rPr>
                <w:lang w:eastAsia="zh-TW"/>
              </w:rPr>
            </w:pPr>
            <w:r>
              <w:rPr>
                <w:lang w:eastAsia="zh-TW"/>
              </w:rPr>
              <w:t>Social Norm Nudge</w:t>
            </w:r>
          </w:p>
        </w:tc>
        <w:tc>
          <w:tcPr>
            <w:tcW w:w="3081" w:type="dxa"/>
            <w:shd w:val="clear" w:color="auto" w:fill="auto"/>
          </w:tcPr>
          <w:p w14:paraId="6D664FB5" w14:textId="77777777" w:rsidR="006B302C" w:rsidRDefault="006B302C" w:rsidP="006B302C">
            <w:pPr>
              <w:jc w:val="center"/>
              <w:cnfStyle w:val="000000000000" w:firstRow="0" w:lastRow="0" w:firstColumn="0" w:lastColumn="0" w:oddVBand="0" w:evenVBand="0" w:oddHBand="0" w:evenHBand="0" w:firstRowFirstColumn="0" w:firstRowLastColumn="0" w:lastRowFirstColumn="0" w:lastRowLastColumn="0"/>
              <w:rPr>
                <w:lang w:eastAsia="zh-TW"/>
              </w:rPr>
            </w:pPr>
            <w:r>
              <w:rPr>
                <w:lang w:eastAsia="zh-TW"/>
              </w:rPr>
              <w:t>1178</w:t>
            </w:r>
          </w:p>
        </w:tc>
        <w:tc>
          <w:tcPr>
            <w:tcW w:w="3081" w:type="dxa"/>
            <w:shd w:val="clear" w:color="auto" w:fill="auto"/>
          </w:tcPr>
          <w:p w14:paraId="090CBB22" w14:textId="77777777" w:rsidR="006B302C" w:rsidRDefault="006B302C" w:rsidP="006B302C">
            <w:pPr>
              <w:jc w:val="center"/>
              <w:cnfStyle w:val="000000000000" w:firstRow="0" w:lastRow="0" w:firstColumn="0" w:lastColumn="0" w:oddVBand="0" w:evenVBand="0" w:oddHBand="0" w:evenHBand="0" w:firstRowFirstColumn="0" w:firstRowLastColumn="0" w:lastRowFirstColumn="0" w:lastRowLastColumn="0"/>
              <w:rPr>
                <w:lang w:eastAsia="zh-TW"/>
              </w:rPr>
            </w:pPr>
            <w:r>
              <w:rPr>
                <w:lang w:eastAsia="zh-TW"/>
              </w:rPr>
              <w:t>53.1</w:t>
            </w:r>
          </w:p>
        </w:tc>
      </w:tr>
      <w:tr w:rsidR="006B302C" w14:paraId="5846E8F1" w14:textId="77777777" w:rsidTr="006B3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bottom w:val="single" w:sz="8" w:space="0" w:color="000000" w:themeColor="text1"/>
            </w:tcBorders>
            <w:shd w:val="clear" w:color="auto" w:fill="auto"/>
          </w:tcPr>
          <w:p w14:paraId="1AFB66E1" w14:textId="77777777" w:rsidR="006B302C" w:rsidRDefault="006B302C" w:rsidP="004807EC">
            <w:pPr>
              <w:rPr>
                <w:lang w:eastAsia="zh-TW"/>
              </w:rPr>
            </w:pPr>
            <w:r>
              <w:rPr>
                <w:lang w:eastAsia="zh-TW"/>
              </w:rPr>
              <w:t>Total</w:t>
            </w:r>
          </w:p>
        </w:tc>
        <w:tc>
          <w:tcPr>
            <w:tcW w:w="3081" w:type="dxa"/>
            <w:tcBorders>
              <w:bottom w:val="single" w:sz="8" w:space="0" w:color="000000" w:themeColor="text1"/>
            </w:tcBorders>
            <w:shd w:val="clear" w:color="auto" w:fill="auto"/>
          </w:tcPr>
          <w:p w14:paraId="39A68BCC" w14:textId="77777777" w:rsidR="006B302C" w:rsidRDefault="006B302C" w:rsidP="006B302C">
            <w:pPr>
              <w:jc w:val="center"/>
              <w:cnfStyle w:val="000000100000" w:firstRow="0" w:lastRow="0" w:firstColumn="0" w:lastColumn="0" w:oddVBand="0" w:evenVBand="0" w:oddHBand="1" w:evenHBand="0" w:firstRowFirstColumn="0" w:firstRowLastColumn="0" w:lastRowFirstColumn="0" w:lastRowLastColumn="0"/>
              <w:rPr>
                <w:lang w:eastAsia="zh-TW"/>
              </w:rPr>
            </w:pPr>
            <w:r>
              <w:rPr>
                <w:lang w:eastAsia="zh-TW"/>
              </w:rPr>
              <w:t>2356</w:t>
            </w:r>
          </w:p>
        </w:tc>
        <w:tc>
          <w:tcPr>
            <w:tcW w:w="3081" w:type="dxa"/>
            <w:tcBorders>
              <w:bottom w:val="single" w:sz="8" w:space="0" w:color="000000" w:themeColor="text1"/>
            </w:tcBorders>
            <w:shd w:val="clear" w:color="auto" w:fill="auto"/>
          </w:tcPr>
          <w:p w14:paraId="454DE494" w14:textId="77777777" w:rsidR="006B302C" w:rsidRDefault="006B302C" w:rsidP="004807EC">
            <w:pPr>
              <w:cnfStyle w:val="000000100000" w:firstRow="0" w:lastRow="0" w:firstColumn="0" w:lastColumn="0" w:oddVBand="0" w:evenVBand="0" w:oddHBand="1" w:evenHBand="0" w:firstRowFirstColumn="0" w:firstRowLastColumn="0" w:lastRowFirstColumn="0" w:lastRowLastColumn="0"/>
              <w:rPr>
                <w:lang w:eastAsia="zh-TW"/>
              </w:rPr>
            </w:pPr>
          </w:p>
        </w:tc>
      </w:tr>
    </w:tbl>
    <w:p w14:paraId="65798DB0" w14:textId="77777777" w:rsidR="00A026D0" w:rsidRDefault="00A026D0" w:rsidP="00A026D0"/>
    <w:p w14:paraId="3271EBFC" w14:textId="6B443C83" w:rsidR="007363A3" w:rsidRDefault="007D4AE5" w:rsidP="00E5291D">
      <w:r>
        <w:t xml:space="preserve">A </w:t>
      </w:r>
      <w:r w:rsidR="005A2E22">
        <w:rPr>
          <w:rFonts w:cs="Times New Roman"/>
        </w:rPr>
        <w:t xml:space="preserve">Pearson’s </w:t>
      </w:r>
      <w:r w:rsidR="005A2E22" w:rsidRPr="004517D1">
        <w:rPr>
          <w:rFonts w:cs="Times New Roman"/>
        </w:rPr>
        <w:t>chi</w:t>
      </w:r>
      <w:r w:rsidR="005A2E22">
        <w:rPr>
          <w:rFonts w:cs="Times New Roman"/>
        </w:rPr>
        <w:t>-</w:t>
      </w:r>
      <w:r w:rsidR="005A2E22" w:rsidRPr="004517D1">
        <w:rPr>
          <w:rFonts w:cs="Times New Roman"/>
        </w:rPr>
        <w:t>square</w:t>
      </w:r>
      <w:r w:rsidR="005A2E22">
        <w:rPr>
          <w:rFonts w:cs="Times New Roman"/>
        </w:rPr>
        <w:t xml:space="preserve"> </w:t>
      </w:r>
      <w:r w:rsidRPr="006B302C">
        <w:t xml:space="preserve">test </w:t>
      </w:r>
      <w:r>
        <w:t xml:space="preserve">indicates that </w:t>
      </w:r>
      <w:r w:rsidR="00BF3362">
        <w:t xml:space="preserve">this </w:t>
      </w:r>
      <w:r>
        <w:t xml:space="preserve">effect </w:t>
      </w:r>
      <w:r w:rsidR="009D6317">
        <w:t xml:space="preserve">of the nudge </w:t>
      </w:r>
      <w:r w:rsidRPr="006B302C">
        <w:t>is significant</w:t>
      </w:r>
      <w:r w:rsidR="008319B5">
        <w:t xml:space="preserve"> at the 95% confidence level</w:t>
      </w:r>
      <w:r w:rsidR="00BF3362">
        <w:t xml:space="preserve"> (</w:t>
      </w:r>
      <w:r w:rsidR="007363A3">
        <w:rPr>
          <w:rFonts w:cs="Times New Roman"/>
        </w:rPr>
        <w:t xml:space="preserve">Pearson </w:t>
      </w:r>
      <w:r w:rsidR="007363A3" w:rsidRPr="00431AAF">
        <w:rPr>
          <w:i/>
        </w:rPr>
        <w:t>χ</w:t>
      </w:r>
      <w:r w:rsidR="007363A3" w:rsidRPr="00356AF0">
        <w:rPr>
          <w:i/>
          <w:vertAlign w:val="superscript"/>
        </w:rPr>
        <w:t>2</w:t>
      </w:r>
      <w:r w:rsidR="007363A3" w:rsidRPr="00431AAF">
        <w:rPr>
          <w:i/>
        </w:rPr>
        <w:t xml:space="preserve"> </w:t>
      </w:r>
      <w:r w:rsidR="007363A3" w:rsidRPr="00431AAF">
        <w:rPr>
          <w:iCs/>
        </w:rPr>
        <w:t>(</w:t>
      </w:r>
      <w:r w:rsidR="007363A3">
        <w:rPr>
          <w:rFonts w:cs="Times New Roman"/>
        </w:rPr>
        <w:t>1</w:t>
      </w:r>
      <w:r w:rsidR="007363A3" w:rsidRPr="00431AAF">
        <w:rPr>
          <w:rFonts w:cs="Times New Roman"/>
        </w:rPr>
        <w:t xml:space="preserve">, </w:t>
      </w:r>
      <w:r w:rsidR="007363A3">
        <w:rPr>
          <w:rFonts w:cs="Times New Roman"/>
        </w:rPr>
        <w:t>235</w:t>
      </w:r>
      <w:r w:rsidR="007363A3" w:rsidRPr="00431AAF">
        <w:rPr>
          <w:rFonts w:cs="Times New Roman"/>
        </w:rPr>
        <w:t xml:space="preserve">6) = </w:t>
      </w:r>
      <w:r w:rsidR="007363A3" w:rsidRPr="006B302C">
        <w:t>4.825</w:t>
      </w:r>
      <w:r w:rsidR="007363A3" w:rsidRPr="00431AAF">
        <w:rPr>
          <w:rFonts w:cs="Times New Roman"/>
        </w:rPr>
        <w:t xml:space="preserve">, </w:t>
      </w:r>
      <w:r w:rsidR="007363A3" w:rsidRPr="00431AAF">
        <w:rPr>
          <w:rFonts w:cs="Times New Roman"/>
          <w:i/>
          <w:iCs/>
        </w:rPr>
        <w:t xml:space="preserve">p </w:t>
      </w:r>
      <w:r w:rsidR="007363A3" w:rsidRPr="00431AAF">
        <w:rPr>
          <w:rFonts w:cs="Times New Roman"/>
        </w:rPr>
        <w:t xml:space="preserve">= </w:t>
      </w:r>
      <w:r w:rsidRPr="006B302C">
        <w:t>0.</w:t>
      </w:r>
      <w:r>
        <w:t>0</w:t>
      </w:r>
      <w:r w:rsidRPr="006B302C">
        <w:t>28</w:t>
      </w:r>
      <w:r w:rsidR="00BF3362">
        <w:t>)</w:t>
      </w:r>
      <w:r w:rsidR="007363A3">
        <w:t>, although with the control group being more likely to express interest in offsetting than those that received the nudge</w:t>
      </w:r>
      <w:r w:rsidRPr="006B302C">
        <w:t>.</w:t>
      </w:r>
      <w:r w:rsidR="009D6317">
        <w:t xml:space="preserve"> </w:t>
      </w:r>
      <w:r w:rsidR="007363A3">
        <w:t xml:space="preserve"> </w:t>
      </w:r>
    </w:p>
    <w:p w14:paraId="1F83417E" w14:textId="737357E9" w:rsidR="00540004" w:rsidRDefault="007363A3" w:rsidP="000E51EF">
      <w:pPr>
        <w:rPr>
          <w:rFonts w:eastAsiaTheme="majorEastAsia"/>
        </w:rPr>
      </w:pPr>
      <w:r w:rsidRPr="00540004">
        <w:rPr>
          <w:rFonts w:eastAsiaTheme="majorEastAsia"/>
        </w:rPr>
        <w:t>In order to determine which factors were influencing interest in offsetting, a logistic regression was conducted</w:t>
      </w:r>
      <w:r w:rsidR="000313EF" w:rsidRPr="00356AF0">
        <w:rPr>
          <w:rFonts w:eastAsiaTheme="majorEastAsia"/>
        </w:rPr>
        <w:t xml:space="preserve">, </w:t>
      </w:r>
      <w:r w:rsidRPr="00540004">
        <w:rPr>
          <w:rFonts w:eastAsiaTheme="majorEastAsia"/>
        </w:rPr>
        <w:t>entering in the variables ‘size of party on the last flight you took’</w:t>
      </w:r>
      <w:r w:rsidR="00A115B9">
        <w:rPr>
          <w:rFonts w:eastAsiaTheme="majorEastAsia"/>
        </w:rPr>
        <w:t xml:space="preserve"> (with the baseline being 4 or more people)</w:t>
      </w:r>
      <w:r w:rsidRPr="00540004">
        <w:rPr>
          <w:rFonts w:eastAsiaTheme="majorEastAsia"/>
        </w:rPr>
        <w:t>, and ‘climate change concern’</w:t>
      </w:r>
      <w:r w:rsidR="0076708F">
        <w:rPr>
          <w:rFonts w:eastAsiaTheme="majorEastAsia"/>
        </w:rPr>
        <w:t xml:space="preserve"> </w:t>
      </w:r>
      <w:r w:rsidR="00A115B9">
        <w:rPr>
          <w:rFonts w:eastAsiaTheme="majorEastAsia"/>
        </w:rPr>
        <w:t>(baseline being extremely concerned)</w:t>
      </w:r>
      <w:r w:rsidR="008319B5">
        <w:rPr>
          <w:rFonts w:eastAsiaTheme="majorEastAsia"/>
        </w:rPr>
        <w:t>.</w:t>
      </w:r>
      <w:r w:rsidR="00540004">
        <w:rPr>
          <w:rFonts w:eastAsiaTheme="majorEastAsia"/>
        </w:rPr>
        <w:t xml:space="preserve"> </w:t>
      </w:r>
      <w:r w:rsidR="00540004" w:rsidRPr="00540004">
        <w:t xml:space="preserve">Respondents who had not travelled by aeroplane in the last twelve months were excluded from this model. This model explained 12.5% of the variance in carbon offsetting (Pearson </w:t>
      </w:r>
      <w:r w:rsidR="00540004" w:rsidRPr="00356AF0">
        <w:rPr>
          <w:i/>
        </w:rPr>
        <w:t>χ</w:t>
      </w:r>
      <w:r w:rsidR="00540004" w:rsidRPr="00356AF0">
        <w:rPr>
          <w:i/>
          <w:vertAlign w:val="superscript"/>
        </w:rPr>
        <w:t>2</w:t>
      </w:r>
      <w:r w:rsidR="00540004" w:rsidRPr="00356AF0">
        <w:rPr>
          <w:i/>
        </w:rPr>
        <w:t xml:space="preserve"> </w:t>
      </w:r>
      <w:r w:rsidR="00540004" w:rsidRPr="00540004">
        <w:t xml:space="preserve">(8, 2199) = 214.164, </w:t>
      </w:r>
      <w:r w:rsidR="00540004" w:rsidRPr="00356AF0">
        <w:rPr>
          <w:i/>
        </w:rPr>
        <w:t>p</w:t>
      </w:r>
      <w:r w:rsidR="00240BA1">
        <w:rPr>
          <w:i/>
        </w:rPr>
        <w:t xml:space="preserve"> </w:t>
      </w:r>
      <w:r w:rsidR="00540004" w:rsidRPr="00540004">
        <w:t>=</w:t>
      </w:r>
      <w:r w:rsidR="00240BA1">
        <w:t xml:space="preserve"> </w:t>
      </w:r>
      <w:r w:rsidR="00540004" w:rsidRPr="00540004">
        <w:t xml:space="preserve">0.000, </w:t>
      </w:r>
      <w:r w:rsidR="00540004" w:rsidRPr="00356AF0">
        <w:rPr>
          <w:i/>
        </w:rPr>
        <w:t>r</w:t>
      </w:r>
      <w:r w:rsidR="00540004" w:rsidRPr="00356AF0">
        <w:rPr>
          <w:i/>
          <w:vertAlign w:val="superscript"/>
        </w:rPr>
        <w:t>2</w:t>
      </w:r>
      <w:r w:rsidR="00540004" w:rsidRPr="00540004">
        <w:t>= 0.125).</w:t>
      </w:r>
      <w:r w:rsidR="00540004">
        <w:rPr>
          <w:rFonts w:eastAsiaTheme="majorEastAsia"/>
        </w:rPr>
        <w:t xml:space="preserve"> </w:t>
      </w:r>
      <w:r w:rsidR="00C05F09">
        <w:rPr>
          <w:rFonts w:eastAsiaTheme="majorEastAsia"/>
        </w:rPr>
        <w:t>I</w:t>
      </w:r>
      <w:r w:rsidR="009246C7" w:rsidRPr="00540004">
        <w:rPr>
          <w:rFonts w:eastAsiaTheme="majorEastAsia"/>
        </w:rPr>
        <w:t xml:space="preserve">ncluding </w:t>
      </w:r>
      <w:r w:rsidR="00540004">
        <w:rPr>
          <w:rFonts w:eastAsiaTheme="majorEastAsia"/>
        </w:rPr>
        <w:t>these two variables</w:t>
      </w:r>
      <w:r w:rsidR="00C05F09">
        <w:rPr>
          <w:rFonts w:eastAsiaTheme="majorEastAsia"/>
        </w:rPr>
        <w:t xml:space="preserve"> in the regression shows that</w:t>
      </w:r>
      <w:r w:rsidR="009246C7" w:rsidRPr="00540004">
        <w:rPr>
          <w:rFonts w:eastAsiaTheme="majorEastAsia"/>
        </w:rPr>
        <w:t xml:space="preserve"> the intervention </w:t>
      </w:r>
      <w:r w:rsidR="00C05F09">
        <w:rPr>
          <w:rFonts w:eastAsiaTheme="majorEastAsia"/>
        </w:rPr>
        <w:t>is not a significant predictor of offset interest</w:t>
      </w:r>
      <w:r w:rsidR="009246C7" w:rsidRPr="00540004">
        <w:rPr>
          <w:rFonts w:eastAsiaTheme="majorEastAsia"/>
        </w:rPr>
        <w:t xml:space="preserve">, </w:t>
      </w:r>
      <w:r w:rsidR="00C05F09">
        <w:rPr>
          <w:rFonts w:eastAsiaTheme="majorEastAsia"/>
        </w:rPr>
        <w:t>but</w:t>
      </w:r>
      <w:r w:rsidR="00C05F09" w:rsidRPr="00540004">
        <w:rPr>
          <w:rFonts w:eastAsiaTheme="majorEastAsia"/>
        </w:rPr>
        <w:t xml:space="preserve"> </w:t>
      </w:r>
      <w:r w:rsidR="009246C7" w:rsidRPr="00540004">
        <w:rPr>
          <w:rFonts w:eastAsiaTheme="majorEastAsia"/>
        </w:rPr>
        <w:t>that the variance in the sample is explained by the participants’ concern over climate change or the size of the party when they last travelled, and not whether they received the nudge or not</w:t>
      </w:r>
      <w:r w:rsidR="00A026D0" w:rsidRPr="00540004">
        <w:rPr>
          <w:rFonts w:eastAsiaTheme="majorEastAsia"/>
        </w:rPr>
        <w:t xml:space="preserve"> (</w:t>
      </w:r>
      <w:r w:rsidR="000E51EF">
        <w:rPr>
          <w:rFonts w:eastAsiaTheme="majorEastAsia"/>
        </w:rPr>
        <w:t>see Table 5</w:t>
      </w:r>
      <w:r w:rsidR="00A026D0" w:rsidRPr="00540004">
        <w:rPr>
          <w:rFonts w:eastAsiaTheme="majorEastAsia"/>
        </w:rPr>
        <w:t>)</w:t>
      </w:r>
      <w:r w:rsidR="009246C7" w:rsidRPr="00540004">
        <w:rPr>
          <w:rFonts w:eastAsiaTheme="majorEastAsia"/>
        </w:rPr>
        <w:t>.</w:t>
      </w:r>
      <w:r w:rsidR="00540004">
        <w:rPr>
          <w:rFonts w:eastAsiaTheme="majorEastAsia"/>
        </w:rPr>
        <w:t xml:space="preserve"> Those who travelled in smaller groups or expressed greater concern over climate change were more likely to express interest in offsetting, confirming previous findings </w:t>
      </w:r>
      <w:r w:rsidR="006C4BF4">
        <w:rPr>
          <w:lang w:eastAsia="zh-TW"/>
        </w:rPr>
        <w:fldChar w:fldCharType="begin" w:fldLock="1"/>
      </w:r>
      <w:r w:rsidR="006C4BF4">
        <w:rPr>
          <w:lang w:eastAsia="zh-TW"/>
        </w:rPr>
        <w:instrText>ADDIN CSL_CITATION { "citationItems" : [ { "id" : "ITEM-1", "itemData" : { "DOI" : "10.1016/j.tourman.2014.04.009", "ISBN" : "0261-5177", "ISSN" : "02615177", "abstract" : "Voluntary carbon offsetting was popularised during the last decade, particularly by airlines, as a tool to 'neutralise' emissions associated with travel. Although there is a wide range of carbon offsetting schemes for tourism, the uptake of these programs has been reportedly low. Regardless, little research has explored the visitor segments who voluntarily undertake carbon offsetting. Consequently, this research investigates the prevalence of carbon offsetting amongst international tourists to Australia between 2008 and 2010 and, using cluster analysis, segments the carbon offsetters into three distinct markets. Findings reveal a stable carbon offsetting market, despite a Global Financial Crisis occurring during the reference period. Further, travellers from the United Kingdom/Europe were more likely to carbon offset, while those from Asia were less likely to participate in the schemes. Thus, this could indicate that the social marketing, public discourse and substantial media coverage in the United Kingdom/Europe had enhanced climate change mitigation behaviours. ?? 2014 Elsevier Ltd.", "author" : [ { "dropping-particle" : "", "family" : "McLennan", "given" : "Char Lee J", "non-dropping-particle" : "", "parse-names" : false, "suffix" : "" }, { "dropping-particle" : "", "family" : "Becken", "given" : "Susanne", "non-dropping-particle" : "", "parse-names" : false, "suffix" : "" }, { "dropping-particle" : "", "family" : "Battye", "given" : "Rod", "non-dropping-particle" : "", "parse-names" : false, "suffix" : "" }, { "dropping-particle" : "", "family" : "So", "given" : "Kevin Kam Fung", "non-dropping-particle" : "", "parse-names" : false, "suffix" : "" } ], "container-title" : "Tourism Management", "id" : "ITEM-1", "issued" : { "date-parts" : [ [ "2014" ] ] }, "page" : "194-198", "publisher" : "Elsevier Ltd", "title" : "Voluntary carbon offsetting: Who does it?", "type" : "article-journal", "volume" : "45" }, "uris" : [ "http://www.mendeley.com/documents/?uuid=a72d727a-eccc-4918-a50d-cd71fa508dc9" ] }, { "id" : "ITEM-2", "itemData" : { "author" : [ { "dropping-particle" : "", "family" : "Hooper", "given" : "Paul", "non-dropping-particle" : "", "parse-names" : false, "suffix" : "" }, { "dropping-particle" : "", "family" : "Daley", "given" : "Ben", "non-dropping-particle" : "", "parse-names" : false, "suffix" : "" }, { "dropping-particle" : "", "family" : "Preston", "given" : "Holly", "non-dropping-particle" : "", "parse-names" : false, "suffix" : "" }, { "dropping-particle" : "", "family" : "Thomas", "given" : "Callum", "non-dropping-particle" : "", "parse-names" : false, "suffix" : "" } ], "id" : "ITEM-2", "issued" : { "date-parts" : [ [ "2008" ] ] }, "publisher-place" : "Manchester", "title" : "Final OMEGA Project Report : An Assessment of the Potential of Carbon Offset Schemes to Mitigate the Climate Change Implications of Future Growth of UK Aviation", "type" : "report" }, "uris" : [ "http://www.mendeley.com/documents/?uuid=3e2477c0-0d9b-4f89-b181-a72e1cf88d2f" ] }, { "id" : "ITEM-3", "itemData" : { "author" : [ { "dropping-particle" : "", "family" : "MacKerron", "given" : "George J", "non-dropping-particle" : "", "parse-names" : false, "suffix" : "" }, { "dropping-particle" : "", "family" : "Egerton", "given" : "Catrin", "non-dropping-particle" : "", "parse-names" : false, "suffix" : "" }, { "dropping-particle" : "", "family" : "Gaskell", "given" : "Christopher", "non-dropping-particle" : "", "parse-names" : false, "suffix" : "" }, { "dropping-particle" : "", "family" : "Parpia", "given" : "Aimie", "non-dropping-particle" : "", "parse-names" : false, "suffix" : "" }, { "dropping-particle" : "", "family" : "Mouratoa", "given" : "Susana", "non-dropping-particle" : "", "parse-names" : false, "suffix" : "" } ], "container-title" : "Energy Policy", "id" : "ITEM-3", "issued" : { "date-parts" : [ [ "2009" ] ] }, "page" : "1372\u20131381", "title" : "Willingness to pay for carbon offset certification and co-benefits among (high-)flying young adults in the UK", "type" : "article-journal", "volume" : "37" }, "uris" : [ "http://www.mendeley.com/documents/?uuid=3dc8dc79-bee0-4eaf-97e9-9087b3252cda" ] } ], "mendeley" : { "formattedCitation" : "(McLennan et al. 2014; Hooper et al. 2008; MacKerron et al. 2009)", "plainTextFormattedCitation" : "(McLennan et al. 2014; Hooper et al. 2008; MacKerron et al. 2009)", "previouslyFormattedCitation" : "(McLennan et al. 2014; Hooper et al. 2008; MacKerron et al. 2009)" }, "properties" : {  }, "schema" : "https://github.com/citation-style-language/schema/raw/master/csl-citation.json" }</w:instrText>
      </w:r>
      <w:r w:rsidR="006C4BF4">
        <w:rPr>
          <w:lang w:eastAsia="zh-TW"/>
        </w:rPr>
        <w:fldChar w:fldCharType="separate"/>
      </w:r>
      <w:r w:rsidR="006C4BF4">
        <w:rPr>
          <w:noProof/>
          <w:lang w:eastAsia="zh-TW"/>
        </w:rPr>
        <w:t>(McLennan et al. 2014; Hooper et al. 2008; MacKerron et al. 2009)</w:t>
      </w:r>
      <w:r w:rsidR="006C4BF4">
        <w:rPr>
          <w:lang w:eastAsia="zh-TW"/>
        </w:rPr>
        <w:fldChar w:fldCharType="end"/>
      </w:r>
      <w:r w:rsidR="006C4BF4">
        <w:rPr>
          <w:rFonts w:eastAsiaTheme="majorEastAsia"/>
        </w:rPr>
        <w:t>.</w:t>
      </w:r>
    </w:p>
    <w:p w14:paraId="070282DA" w14:textId="77777777" w:rsidR="00540004" w:rsidRDefault="00540004">
      <w:pPr>
        <w:spacing w:after="200" w:line="276" w:lineRule="auto"/>
        <w:jc w:val="left"/>
        <w:rPr>
          <w:rFonts w:eastAsiaTheme="majorEastAsia"/>
        </w:rPr>
      </w:pPr>
      <w:r>
        <w:rPr>
          <w:rFonts w:eastAsiaTheme="majorEastAsia"/>
        </w:rPr>
        <w:br w:type="page"/>
      </w:r>
    </w:p>
    <w:p w14:paraId="7F8A6937" w14:textId="5FCC255F" w:rsidR="00BD21EF" w:rsidRDefault="00540004" w:rsidP="007369B4">
      <w:pPr>
        <w:pStyle w:val="Heading3"/>
        <w:ind w:left="720" w:hanging="720"/>
      </w:pPr>
      <w:bookmarkStart w:id="9" w:name="_Toc453611610"/>
      <w:r>
        <w:t>T</w:t>
      </w:r>
      <w:r w:rsidR="0015699C">
        <w:t xml:space="preserve">able </w:t>
      </w:r>
      <w:r w:rsidR="007369B4">
        <w:t>5</w:t>
      </w:r>
      <w:r w:rsidR="0015699C">
        <w:t>:</w:t>
      </w:r>
      <w:r w:rsidR="00BD21EF">
        <w:t xml:space="preserve">  Logistic Regression with intervention group, size of party and climate change concern</w:t>
      </w:r>
      <w:bookmarkEnd w:id="9"/>
    </w:p>
    <w:tbl>
      <w:tblPr>
        <w:tblStyle w:val="TableGrid"/>
        <w:tblW w:w="9747" w:type="dxa"/>
        <w:tblInd w:w="5" w:type="dxa"/>
        <w:tblLayout w:type="fixed"/>
        <w:tblLook w:val="04A0" w:firstRow="1" w:lastRow="0" w:firstColumn="1" w:lastColumn="0" w:noHBand="0" w:noVBand="1"/>
      </w:tblPr>
      <w:tblGrid>
        <w:gridCol w:w="2379"/>
        <w:gridCol w:w="1131"/>
        <w:gridCol w:w="955"/>
        <w:gridCol w:w="1529"/>
        <w:gridCol w:w="1202"/>
        <w:gridCol w:w="1296"/>
        <w:gridCol w:w="1255"/>
      </w:tblGrid>
      <w:tr w:rsidR="00540004" w14:paraId="3E2FFD61" w14:textId="77777777" w:rsidTr="007B543C">
        <w:trPr>
          <w:trHeight w:val="677"/>
        </w:trPr>
        <w:tc>
          <w:tcPr>
            <w:tcW w:w="2379" w:type="dxa"/>
            <w:vMerge w:val="restart"/>
            <w:tcBorders>
              <w:top w:val="single" w:sz="18" w:space="0" w:color="auto"/>
              <w:left w:val="nil"/>
              <w:right w:val="nil"/>
            </w:tcBorders>
          </w:tcPr>
          <w:p w14:paraId="5F4B8E0E" w14:textId="77777777" w:rsidR="00540004" w:rsidRPr="00A9113D" w:rsidRDefault="00540004" w:rsidP="007413AF">
            <w:pPr>
              <w:jc w:val="left"/>
              <w:rPr>
                <w:b/>
              </w:rPr>
            </w:pPr>
            <w:r w:rsidRPr="00A9113D">
              <w:rPr>
                <w:b/>
              </w:rPr>
              <w:t>Variables</w:t>
            </w:r>
          </w:p>
        </w:tc>
        <w:tc>
          <w:tcPr>
            <w:tcW w:w="1131" w:type="dxa"/>
            <w:vMerge w:val="restart"/>
            <w:tcBorders>
              <w:top w:val="single" w:sz="18" w:space="0" w:color="auto"/>
              <w:left w:val="nil"/>
              <w:right w:val="nil"/>
            </w:tcBorders>
          </w:tcPr>
          <w:p w14:paraId="7095AB64" w14:textId="0A1A5D60" w:rsidR="00540004" w:rsidRPr="00A9113D" w:rsidRDefault="00E96C34" w:rsidP="007413AF">
            <w:pPr>
              <w:jc w:val="left"/>
              <w:rPr>
                <w:b/>
              </w:rPr>
            </w:pPr>
            <w:r>
              <w:rPr>
                <w:b/>
                <w:i/>
              </w:rPr>
              <w:t>P</w:t>
            </w:r>
            <w:r w:rsidR="00540004" w:rsidRPr="00A9113D">
              <w:rPr>
                <w:b/>
              </w:rPr>
              <w:t xml:space="preserve"> value</w:t>
            </w:r>
          </w:p>
        </w:tc>
        <w:tc>
          <w:tcPr>
            <w:tcW w:w="955" w:type="dxa"/>
            <w:vMerge w:val="restart"/>
            <w:tcBorders>
              <w:top w:val="single" w:sz="18" w:space="0" w:color="auto"/>
              <w:left w:val="nil"/>
              <w:right w:val="nil"/>
            </w:tcBorders>
          </w:tcPr>
          <w:p w14:paraId="38DD0248" w14:textId="77777777" w:rsidR="00540004" w:rsidRPr="00A9113D" w:rsidRDefault="00540004" w:rsidP="007413AF">
            <w:pPr>
              <w:jc w:val="left"/>
              <w:rPr>
                <w:b/>
              </w:rPr>
            </w:pPr>
            <w:r w:rsidRPr="00A9113D">
              <w:rPr>
                <w:b/>
              </w:rPr>
              <w:t>Beta</w:t>
            </w:r>
          </w:p>
        </w:tc>
        <w:tc>
          <w:tcPr>
            <w:tcW w:w="1529" w:type="dxa"/>
            <w:vMerge w:val="restart"/>
            <w:tcBorders>
              <w:top w:val="single" w:sz="18" w:space="0" w:color="auto"/>
              <w:left w:val="nil"/>
              <w:right w:val="nil"/>
            </w:tcBorders>
          </w:tcPr>
          <w:p w14:paraId="11AD4DAA" w14:textId="77777777" w:rsidR="00540004" w:rsidRPr="00A9113D" w:rsidRDefault="00540004" w:rsidP="007413AF">
            <w:pPr>
              <w:jc w:val="left"/>
              <w:rPr>
                <w:b/>
              </w:rPr>
            </w:pPr>
            <w:r w:rsidRPr="00A9113D">
              <w:rPr>
                <w:b/>
              </w:rPr>
              <w:t>Expected Beta</w:t>
            </w:r>
          </w:p>
        </w:tc>
        <w:tc>
          <w:tcPr>
            <w:tcW w:w="1202" w:type="dxa"/>
            <w:vMerge w:val="restart"/>
            <w:tcBorders>
              <w:top w:val="single" w:sz="18" w:space="0" w:color="auto"/>
              <w:left w:val="nil"/>
              <w:right w:val="nil"/>
            </w:tcBorders>
          </w:tcPr>
          <w:p w14:paraId="40892D80" w14:textId="77777777" w:rsidR="00540004" w:rsidRPr="00A9113D" w:rsidRDefault="00540004" w:rsidP="007413AF">
            <w:pPr>
              <w:jc w:val="left"/>
              <w:rPr>
                <w:b/>
              </w:rPr>
            </w:pPr>
            <w:r w:rsidRPr="00A9113D">
              <w:rPr>
                <w:b/>
              </w:rPr>
              <w:t>Standard Error</w:t>
            </w:r>
          </w:p>
        </w:tc>
        <w:tc>
          <w:tcPr>
            <w:tcW w:w="2551" w:type="dxa"/>
            <w:gridSpan w:val="2"/>
            <w:tcBorders>
              <w:top w:val="single" w:sz="18" w:space="0" w:color="auto"/>
              <w:left w:val="nil"/>
              <w:right w:val="nil"/>
            </w:tcBorders>
          </w:tcPr>
          <w:p w14:paraId="69A370EC" w14:textId="77777777" w:rsidR="00540004" w:rsidRPr="00A9113D" w:rsidRDefault="00540004" w:rsidP="007413AF">
            <w:pPr>
              <w:jc w:val="left"/>
              <w:rPr>
                <w:b/>
              </w:rPr>
            </w:pPr>
            <w:r w:rsidRPr="00A9113D">
              <w:rPr>
                <w:b/>
              </w:rPr>
              <w:t>Confidence Interval (95%) for Expected Beta</w:t>
            </w:r>
          </w:p>
        </w:tc>
      </w:tr>
      <w:tr w:rsidR="00540004" w14:paraId="7643A70A" w14:textId="77777777" w:rsidTr="007B543C">
        <w:trPr>
          <w:trHeight w:val="185"/>
        </w:trPr>
        <w:tc>
          <w:tcPr>
            <w:tcW w:w="2379" w:type="dxa"/>
            <w:vMerge/>
            <w:tcBorders>
              <w:left w:val="nil"/>
              <w:bottom w:val="single" w:sz="18" w:space="0" w:color="auto"/>
              <w:right w:val="nil"/>
            </w:tcBorders>
          </w:tcPr>
          <w:p w14:paraId="52183E71" w14:textId="77777777" w:rsidR="00540004" w:rsidRPr="00A9113D" w:rsidRDefault="00540004" w:rsidP="007413AF">
            <w:pPr>
              <w:jc w:val="left"/>
              <w:rPr>
                <w:b/>
              </w:rPr>
            </w:pPr>
          </w:p>
        </w:tc>
        <w:tc>
          <w:tcPr>
            <w:tcW w:w="1131" w:type="dxa"/>
            <w:vMerge/>
            <w:tcBorders>
              <w:left w:val="nil"/>
              <w:bottom w:val="single" w:sz="18" w:space="0" w:color="auto"/>
              <w:right w:val="nil"/>
            </w:tcBorders>
          </w:tcPr>
          <w:p w14:paraId="0720447B" w14:textId="77777777" w:rsidR="00540004" w:rsidRPr="00A9113D" w:rsidRDefault="00540004" w:rsidP="007413AF">
            <w:pPr>
              <w:jc w:val="left"/>
              <w:rPr>
                <w:b/>
              </w:rPr>
            </w:pPr>
          </w:p>
        </w:tc>
        <w:tc>
          <w:tcPr>
            <w:tcW w:w="955" w:type="dxa"/>
            <w:vMerge/>
            <w:tcBorders>
              <w:left w:val="nil"/>
              <w:bottom w:val="single" w:sz="18" w:space="0" w:color="auto"/>
              <w:right w:val="nil"/>
            </w:tcBorders>
          </w:tcPr>
          <w:p w14:paraId="7BEFC479" w14:textId="77777777" w:rsidR="00540004" w:rsidRPr="00A9113D" w:rsidRDefault="00540004" w:rsidP="007413AF">
            <w:pPr>
              <w:jc w:val="left"/>
              <w:rPr>
                <w:b/>
              </w:rPr>
            </w:pPr>
          </w:p>
        </w:tc>
        <w:tc>
          <w:tcPr>
            <w:tcW w:w="1529" w:type="dxa"/>
            <w:vMerge/>
            <w:tcBorders>
              <w:left w:val="nil"/>
              <w:bottom w:val="single" w:sz="18" w:space="0" w:color="auto"/>
              <w:right w:val="nil"/>
            </w:tcBorders>
          </w:tcPr>
          <w:p w14:paraId="38515317" w14:textId="77777777" w:rsidR="00540004" w:rsidRPr="00A9113D" w:rsidRDefault="00540004" w:rsidP="007413AF">
            <w:pPr>
              <w:jc w:val="left"/>
              <w:rPr>
                <w:b/>
              </w:rPr>
            </w:pPr>
          </w:p>
        </w:tc>
        <w:tc>
          <w:tcPr>
            <w:tcW w:w="1202" w:type="dxa"/>
            <w:vMerge/>
            <w:tcBorders>
              <w:left w:val="nil"/>
              <w:bottom w:val="single" w:sz="18" w:space="0" w:color="auto"/>
              <w:right w:val="nil"/>
            </w:tcBorders>
          </w:tcPr>
          <w:p w14:paraId="22ED59DF" w14:textId="77777777" w:rsidR="00540004" w:rsidRPr="00A9113D" w:rsidRDefault="00540004" w:rsidP="007413AF">
            <w:pPr>
              <w:jc w:val="left"/>
              <w:rPr>
                <w:b/>
              </w:rPr>
            </w:pPr>
          </w:p>
        </w:tc>
        <w:tc>
          <w:tcPr>
            <w:tcW w:w="1296" w:type="dxa"/>
            <w:tcBorders>
              <w:left w:val="nil"/>
              <w:bottom w:val="single" w:sz="18" w:space="0" w:color="auto"/>
              <w:right w:val="nil"/>
            </w:tcBorders>
          </w:tcPr>
          <w:p w14:paraId="069D828D" w14:textId="77777777" w:rsidR="00540004" w:rsidRPr="00A9113D" w:rsidRDefault="00540004" w:rsidP="007413AF">
            <w:pPr>
              <w:jc w:val="left"/>
              <w:rPr>
                <w:b/>
              </w:rPr>
            </w:pPr>
            <w:r w:rsidRPr="00A9113D">
              <w:rPr>
                <w:b/>
              </w:rPr>
              <w:t>Lower</w:t>
            </w:r>
          </w:p>
        </w:tc>
        <w:tc>
          <w:tcPr>
            <w:tcW w:w="1255" w:type="dxa"/>
            <w:tcBorders>
              <w:left w:val="nil"/>
              <w:bottom w:val="single" w:sz="18" w:space="0" w:color="auto"/>
              <w:right w:val="nil"/>
            </w:tcBorders>
          </w:tcPr>
          <w:p w14:paraId="63A61A16" w14:textId="77777777" w:rsidR="00540004" w:rsidRPr="00A9113D" w:rsidRDefault="00540004" w:rsidP="007413AF">
            <w:pPr>
              <w:jc w:val="left"/>
              <w:rPr>
                <w:b/>
              </w:rPr>
            </w:pPr>
            <w:r w:rsidRPr="00A9113D">
              <w:rPr>
                <w:b/>
              </w:rPr>
              <w:t>Upper</w:t>
            </w:r>
          </w:p>
        </w:tc>
      </w:tr>
      <w:tr w:rsidR="00540004" w14:paraId="3774F27F" w14:textId="77777777" w:rsidTr="007B543C">
        <w:trPr>
          <w:trHeight w:val="455"/>
        </w:trPr>
        <w:tc>
          <w:tcPr>
            <w:tcW w:w="2379" w:type="dxa"/>
            <w:tcBorders>
              <w:top w:val="single" w:sz="18" w:space="0" w:color="auto"/>
              <w:left w:val="nil"/>
              <w:bottom w:val="nil"/>
              <w:right w:val="nil"/>
            </w:tcBorders>
          </w:tcPr>
          <w:p w14:paraId="1C6C1DCD" w14:textId="77777777" w:rsidR="00540004" w:rsidRPr="00D51552" w:rsidRDefault="00540004" w:rsidP="007413AF">
            <w:pPr>
              <w:jc w:val="left"/>
            </w:pPr>
            <w:r w:rsidRPr="00D51552">
              <w:t>Intervention group (nudge against control as baseline)</w:t>
            </w:r>
          </w:p>
        </w:tc>
        <w:tc>
          <w:tcPr>
            <w:tcW w:w="1131" w:type="dxa"/>
            <w:tcBorders>
              <w:top w:val="single" w:sz="18" w:space="0" w:color="auto"/>
              <w:left w:val="nil"/>
              <w:bottom w:val="nil"/>
              <w:right w:val="nil"/>
            </w:tcBorders>
          </w:tcPr>
          <w:p w14:paraId="7ABFFBFD" w14:textId="77777777" w:rsidR="00540004" w:rsidRPr="00D51552" w:rsidRDefault="00540004" w:rsidP="007413AF">
            <w:pPr>
              <w:jc w:val="left"/>
            </w:pPr>
            <w:r w:rsidRPr="00D51552">
              <w:t>0.196</w:t>
            </w:r>
          </w:p>
        </w:tc>
        <w:tc>
          <w:tcPr>
            <w:tcW w:w="955" w:type="dxa"/>
            <w:tcBorders>
              <w:top w:val="single" w:sz="18" w:space="0" w:color="auto"/>
              <w:left w:val="nil"/>
              <w:bottom w:val="nil"/>
              <w:right w:val="nil"/>
            </w:tcBorders>
          </w:tcPr>
          <w:p w14:paraId="323313CB" w14:textId="77777777" w:rsidR="00540004" w:rsidRPr="00D51552" w:rsidRDefault="00540004" w:rsidP="007413AF">
            <w:pPr>
              <w:jc w:val="left"/>
            </w:pPr>
            <w:r w:rsidRPr="00D51552">
              <w:t>0.118</w:t>
            </w:r>
          </w:p>
        </w:tc>
        <w:tc>
          <w:tcPr>
            <w:tcW w:w="1529" w:type="dxa"/>
            <w:tcBorders>
              <w:top w:val="single" w:sz="18" w:space="0" w:color="auto"/>
              <w:left w:val="nil"/>
              <w:bottom w:val="nil"/>
              <w:right w:val="nil"/>
            </w:tcBorders>
          </w:tcPr>
          <w:p w14:paraId="6C8B2863" w14:textId="77777777" w:rsidR="00540004" w:rsidRPr="00D51552" w:rsidRDefault="00540004" w:rsidP="007413AF">
            <w:pPr>
              <w:jc w:val="left"/>
            </w:pPr>
            <w:r w:rsidRPr="00D51552">
              <w:t>0.889</w:t>
            </w:r>
          </w:p>
        </w:tc>
        <w:tc>
          <w:tcPr>
            <w:tcW w:w="1202" w:type="dxa"/>
            <w:tcBorders>
              <w:top w:val="single" w:sz="18" w:space="0" w:color="auto"/>
              <w:left w:val="nil"/>
              <w:bottom w:val="nil"/>
              <w:right w:val="nil"/>
            </w:tcBorders>
          </w:tcPr>
          <w:p w14:paraId="31994F68" w14:textId="77777777" w:rsidR="00540004" w:rsidRDefault="00540004" w:rsidP="007413AF">
            <w:pPr>
              <w:jc w:val="left"/>
            </w:pPr>
            <w:r w:rsidRPr="00D51552">
              <w:t>0.091</w:t>
            </w:r>
          </w:p>
        </w:tc>
        <w:tc>
          <w:tcPr>
            <w:tcW w:w="1296" w:type="dxa"/>
            <w:tcBorders>
              <w:top w:val="single" w:sz="18" w:space="0" w:color="auto"/>
              <w:left w:val="nil"/>
              <w:bottom w:val="nil"/>
              <w:right w:val="nil"/>
            </w:tcBorders>
          </w:tcPr>
          <w:p w14:paraId="618822C5" w14:textId="77777777" w:rsidR="00540004" w:rsidRDefault="00540004" w:rsidP="007413AF">
            <w:pPr>
              <w:jc w:val="left"/>
            </w:pPr>
            <w:r>
              <w:t>0.941</w:t>
            </w:r>
          </w:p>
        </w:tc>
        <w:tc>
          <w:tcPr>
            <w:tcW w:w="1255" w:type="dxa"/>
            <w:tcBorders>
              <w:top w:val="single" w:sz="18" w:space="0" w:color="auto"/>
              <w:left w:val="nil"/>
              <w:bottom w:val="nil"/>
              <w:right w:val="nil"/>
            </w:tcBorders>
          </w:tcPr>
          <w:p w14:paraId="3EAABF2D" w14:textId="77777777" w:rsidR="00540004" w:rsidRDefault="00540004" w:rsidP="007413AF">
            <w:pPr>
              <w:jc w:val="left"/>
            </w:pPr>
            <w:r>
              <w:t>1.344</w:t>
            </w:r>
          </w:p>
        </w:tc>
      </w:tr>
      <w:tr w:rsidR="00540004" w14:paraId="1C251D11" w14:textId="77777777" w:rsidTr="007B543C">
        <w:trPr>
          <w:trHeight w:val="455"/>
        </w:trPr>
        <w:tc>
          <w:tcPr>
            <w:tcW w:w="2379" w:type="dxa"/>
            <w:tcBorders>
              <w:top w:val="nil"/>
              <w:left w:val="nil"/>
              <w:bottom w:val="nil"/>
              <w:right w:val="nil"/>
            </w:tcBorders>
          </w:tcPr>
          <w:p w14:paraId="1C87C11D" w14:textId="77777777" w:rsidR="00540004" w:rsidRPr="00D51552" w:rsidRDefault="00540004" w:rsidP="007413AF">
            <w:pPr>
              <w:jc w:val="left"/>
            </w:pPr>
            <w:r w:rsidRPr="00D51552">
              <w:t>Size of party – 4+ (baseline)</w:t>
            </w:r>
          </w:p>
        </w:tc>
        <w:tc>
          <w:tcPr>
            <w:tcW w:w="1131" w:type="dxa"/>
            <w:tcBorders>
              <w:top w:val="nil"/>
              <w:left w:val="nil"/>
              <w:bottom w:val="nil"/>
              <w:right w:val="nil"/>
            </w:tcBorders>
          </w:tcPr>
          <w:p w14:paraId="1F083A3F" w14:textId="77777777" w:rsidR="00540004" w:rsidRPr="00D51552" w:rsidRDefault="00540004" w:rsidP="007413AF">
            <w:pPr>
              <w:ind w:left="60"/>
              <w:jc w:val="left"/>
            </w:pPr>
            <w:r w:rsidRPr="00D51552">
              <w:t>0.004</w:t>
            </w:r>
          </w:p>
        </w:tc>
        <w:tc>
          <w:tcPr>
            <w:tcW w:w="955" w:type="dxa"/>
            <w:tcBorders>
              <w:top w:val="nil"/>
              <w:left w:val="nil"/>
              <w:bottom w:val="nil"/>
              <w:right w:val="nil"/>
            </w:tcBorders>
          </w:tcPr>
          <w:p w14:paraId="19AF4C05" w14:textId="77777777" w:rsidR="00540004" w:rsidRPr="00F678B4" w:rsidRDefault="00540004" w:rsidP="007413AF">
            <w:pPr>
              <w:jc w:val="left"/>
            </w:pPr>
          </w:p>
        </w:tc>
        <w:tc>
          <w:tcPr>
            <w:tcW w:w="1529" w:type="dxa"/>
            <w:tcBorders>
              <w:top w:val="nil"/>
              <w:left w:val="nil"/>
              <w:bottom w:val="nil"/>
              <w:right w:val="nil"/>
            </w:tcBorders>
          </w:tcPr>
          <w:p w14:paraId="75041A14" w14:textId="77777777" w:rsidR="00540004" w:rsidRPr="00F678B4" w:rsidRDefault="00540004" w:rsidP="007413AF">
            <w:pPr>
              <w:jc w:val="left"/>
            </w:pPr>
          </w:p>
        </w:tc>
        <w:tc>
          <w:tcPr>
            <w:tcW w:w="1202" w:type="dxa"/>
            <w:tcBorders>
              <w:top w:val="nil"/>
              <w:left w:val="nil"/>
              <w:bottom w:val="nil"/>
              <w:right w:val="nil"/>
            </w:tcBorders>
          </w:tcPr>
          <w:p w14:paraId="39696F4C" w14:textId="77777777" w:rsidR="00540004" w:rsidRDefault="00540004" w:rsidP="007413AF">
            <w:pPr>
              <w:jc w:val="left"/>
            </w:pPr>
          </w:p>
        </w:tc>
        <w:tc>
          <w:tcPr>
            <w:tcW w:w="1296" w:type="dxa"/>
            <w:tcBorders>
              <w:top w:val="nil"/>
              <w:left w:val="nil"/>
              <w:bottom w:val="nil"/>
              <w:right w:val="nil"/>
            </w:tcBorders>
          </w:tcPr>
          <w:p w14:paraId="1CDF7E05" w14:textId="77777777" w:rsidR="00540004" w:rsidRDefault="00540004" w:rsidP="007413AF">
            <w:pPr>
              <w:jc w:val="left"/>
            </w:pPr>
          </w:p>
        </w:tc>
        <w:tc>
          <w:tcPr>
            <w:tcW w:w="1255" w:type="dxa"/>
            <w:tcBorders>
              <w:top w:val="nil"/>
              <w:left w:val="nil"/>
              <w:bottom w:val="nil"/>
              <w:right w:val="nil"/>
            </w:tcBorders>
          </w:tcPr>
          <w:p w14:paraId="44F23D43" w14:textId="77777777" w:rsidR="00540004" w:rsidRDefault="00540004" w:rsidP="007413AF">
            <w:pPr>
              <w:jc w:val="left"/>
            </w:pPr>
          </w:p>
        </w:tc>
      </w:tr>
      <w:tr w:rsidR="00540004" w14:paraId="38632B7F" w14:textId="77777777" w:rsidTr="007B543C">
        <w:trPr>
          <w:trHeight w:val="455"/>
        </w:trPr>
        <w:tc>
          <w:tcPr>
            <w:tcW w:w="2379" w:type="dxa"/>
            <w:tcBorders>
              <w:top w:val="nil"/>
              <w:left w:val="nil"/>
              <w:bottom w:val="nil"/>
              <w:right w:val="nil"/>
            </w:tcBorders>
          </w:tcPr>
          <w:p w14:paraId="56D8D3F7" w14:textId="77777777" w:rsidR="00540004" w:rsidRPr="00D51552" w:rsidRDefault="00540004" w:rsidP="007413AF">
            <w:pPr>
              <w:jc w:val="left"/>
            </w:pPr>
            <w:r w:rsidRPr="00D51552">
              <w:t>Size of party – 1 (only you)</w:t>
            </w:r>
          </w:p>
        </w:tc>
        <w:tc>
          <w:tcPr>
            <w:tcW w:w="1131" w:type="dxa"/>
            <w:tcBorders>
              <w:top w:val="nil"/>
              <w:left w:val="nil"/>
              <w:bottom w:val="nil"/>
              <w:right w:val="nil"/>
            </w:tcBorders>
          </w:tcPr>
          <w:p w14:paraId="57488CCF" w14:textId="77777777" w:rsidR="00540004" w:rsidRPr="00D51552" w:rsidRDefault="00540004" w:rsidP="007413AF">
            <w:pPr>
              <w:ind w:left="60"/>
              <w:jc w:val="left"/>
            </w:pPr>
            <w:r w:rsidRPr="00D51552">
              <w:t>0.000</w:t>
            </w:r>
          </w:p>
        </w:tc>
        <w:tc>
          <w:tcPr>
            <w:tcW w:w="955" w:type="dxa"/>
            <w:tcBorders>
              <w:top w:val="nil"/>
              <w:left w:val="nil"/>
              <w:bottom w:val="nil"/>
              <w:right w:val="nil"/>
            </w:tcBorders>
          </w:tcPr>
          <w:p w14:paraId="154ED87D" w14:textId="77777777" w:rsidR="00540004" w:rsidRPr="00D51552" w:rsidRDefault="00540004" w:rsidP="007413AF">
            <w:pPr>
              <w:jc w:val="left"/>
            </w:pPr>
            <w:r w:rsidRPr="00D51552">
              <w:t>0.406</w:t>
            </w:r>
          </w:p>
        </w:tc>
        <w:tc>
          <w:tcPr>
            <w:tcW w:w="1529" w:type="dxa"/>
            <w:tcBorders>
              <w:top w:val="nil"/>
              <w:left w:val="nil"/>
              <w:bottom w:val="nil"/>
              <w:right w:val="nil"/>
            </w:tcBorders>
          </w:tcPr>
          <w:p w14:paraId="0CD3ED7C" w14:textId="77777777" w:rsidR="00540004" w:rsidRPr="00D51552" w:rsidRDefault="00540004" w:rsidP="007413AF">
            <w:pPr>
              <w:jc w:val="left"/>
            </w:pPr>
            <w:r w:rsidRPr="00D51552">
              <w:t>1.500</w:t>
            </w:r>
          </w:p>
        </w:tc>
        <w:tc>
          <w:tcPr>
            <w:tcW w:w="1202" w:type="dxa"/>
            <w:tcBorders>
              <w:top w:val="nil"/>
              <w:left w:val="nil"/>
              <w:bottom w:val="nil"/>
              <w:right w:val="nil"/>
            </w:tcBorders>
          </w:tcPr>
          <w:p w14:paraId="394A58C2" w14:textId="77777777" w:rsidR="00540004" w:rsidRDefault="00540004" w:rsidP="007413AF">
            <w:pPr>
              <w:jc w:val="left"/>
            </w:pPr>
            <w:r>
              <w:t>0.114</w:t>
            </w:r>
          </w:p>
        </w:tc>
        <w:tc>
          <w:tcPr>
            <w:tcW w:w="1296" w:type="dxa"/>
            <w:tcBorders>
              <w:top w:val="nil"/>
              <w:left w:val="nil"/>
              <w:bottom w:val="nil"/>
              <w:right w:val="nil"/>
            </w:tcBorders>
          </w:tcPr>
          <w:p w14:paraId="743BD27B" w14:textId="77777777" w:rsidR="00540004" w:rsidRDefault="00540004" w:rsidP="007413AF">
            <w:pPr>
              <w:jc w:val="left"/>
            </w:pPr>
            <w:r>
              <w:t>0.201</w:t>
            </w:r>
          </w:p>
        </w:tc>
        <w:tc>
          <w:tcPr>
            <w:tcW w:w="1255" w:type="dxa"/>
            <w:tcBorders>
              <w:top w:val="nil"/>
              <w:left w:val="nil"/>
              <w:bottom w:val="nil"/>
              <w:right w:val="nil"/>
            </w:tcBorders>
          </w:tcPr>
          <w:p w14:paraId="3606A7E1" w14:textId="77777777" w:rsidR="00540004" w:rsidRDefault="00540004" w:rsidP="007413AF">
            <w:pPr>
              <w:jc w:val="left"/>
            </w:pPr>
            <w:r>
              <w:t>1.875</w:t>
            </w:r>
          </w:p>
        </w:tc>
      </w:tr>
      <w:tr w:rsidR="00540004" w14:paraId="68481398" w14:textId="77777777" w:rsidTr="007B543C">
        <w:trPr>
          <w:trHeight w:val="455"/>
        </w:trPr>
        <w:tc>
          <w:tcPr>
            <w:tcW w:w="2379" w:type="dxa"/>
            <w:tcBorders>
              <w:top w:val="nil"/>
              <w:left w:val="nil"/>
              <w:bottom w:val="nil"/>
              <w:right w:val="nil"/>
            </w:tcBorders>
          </w:tcPr>
          <w:p w14:paraId="4F8868EC" w14:textId="77777777" w:rsidR="00540004" w:rsidRPr="00D51552" w:rsidRDefault="00540004" w:rsidP="007413AF">
            <w:pPr>
              <w:jc w:val="left"/>
            </w:pPr>
            <w:r w:rsidRPr="00D51552">
              <w:t>Size of party – 2 people (including you)</w:t>
            </w:r>
          </w:p>
        </w:tc>
        <w:tc>
          <w:tcPr>
            <w:tcW w:w="1131" w:type="dxa"/>
            <w:tcBorders>
              <w:top w:val="nil"/>
              <w:left w:val="nil"/>
              <w:bottom w:val="nil"/>
              <w:right w:val="nil"/>
            </w:tcBorders>
          </w:tcPr>
          <w:p w14:paraId="3F2E1202" w14:textId="77777777" w:rsidR="00540004" w:rsidRPr="00D51552" w:rsidRDefault="00540004" w:rsidP="007413AF">
            <w:pPr>
              <w:ind w:left="60"/>
              <w:jc w:val="left"/>
            </w:pPr>
            <w:r w:rsidRPr="00D51552">
              <w:t>0.098</w:t>
            </w:r>
          </w:p>
        </w:tc>
        <w:tc>
          <w:tcPr>
            <w:tcW w:w="955" w:type="dxa"/>
            <w:tcBorders>
              <w:top w:val="nil"/>
              <w:left w:val="nil"/>
              <w:bottom w:val="nil"/>
              <w:right w:val="nil"/>
            </w:tcBorders>
          </w:tcPr>
          <w:p w14:paraId="65759C42" w14:textId="77777777" w:rsidR="00540004" w:rsidRPr="00D51552" w:rsidRDefault="00540004" w:rsidP="007413AF">
            <w:pPr>
              <w:jc w:val="left"/>
            </w:pPr>
            <w:r w:rsidRPr="00D51552">
              <w:t>0.196</w:t>
            </w:r>
          </w:p>
        </w:tc>
        <w:tc>
          <w:tcPr>
            <w:tcW w:w="1529" w:type="dxa"/>
            <w:tcBorders>
              <w:top w:val="nil"/>
              <w:left w:val="nil"/>
              <w:bottom w:val="nil"/>
              <w:right w:val="nil"/>
            </w:tcBorders>
          </w:tcPr>
          <w:p w14:paraId="6BF87F64" w14:textId="77777777" w:rsidR="00540004" w:rsidRPr="00D51552" w:rsidRDefault="00540004" w:rsidP="007413AF">
            <w:pPr>
              <w:jc w:val="left"/>
            </w:pPr>
            <w:r w:rsidRPr="00D51552">
              <w:t>1.217</w:t>
            </w:r>
          </w:p>
        </w:tc>
        <w:tc>
          <w:tcPr>
            <w:tcW w:w="1202" w:type="dxa"/>
            <w:tcBorders>
              <w:top w:val="nil"/>
              <w:left w:val="nil"/>
              <w:bottom w:val="nil"/>
              <w:right w:val="nil"/>
            </w:tcBorders>
          </w:tcPr>
          <w:p w14:paraId="373C235A" w14:textId="77777777" w:rsidR="00540004" w:rsidRDefault="00540004" w:rsidP="007413AF">
            <w:pPr>
              <w:jc w:val="left"/>
            </w:pPr>
            <w:r>
              <w:t>0.118</w:t>
            </w:r>
          </w:p>
        </w:tc>
        <w:tc>
          <w:tcPr>
            <w:tcW w:w="1296" w:type="dxa"/>
            <w:tcBorders>
              <w:top w:val="nil"/>
              <w:left w:val="nil"/>
              <w:bottom w:val="nil"/>
              <w:right w:val="nil"/>
            </w:tcBorders>
          </w:tcPr>
          <w:p w14:paraId="19250F7C" w14:textId="77777777" w:rsidR="00540004" w:rsidRDefault="00540004" w:rsidP="007413AF">
            <w:pPr>
              <w:jc w:val="left"/>
            </w:pPr>
            <w:r>
              <w:t>0.965</w:t>
            </w:r>
          </w:p>
        </w:tc>
        <w:tc>
          <w:tcPr>
            <w:tcW w:w="1255" w:type="dxa"/>
            <w:tcBorders>
              <w:top w:val="nil"/>
              <w:left w:val="nil"/>
              <w:bottom w:val="nil"/>
              <w:right w:val="nil"/>
            </w:tcBorders>
          </w:tcPr>
          <w:p w14:paraId="3DCFCF14" w14:textId="77777777" w:rsidR="00540004" w:rsidRDefault="00540004" w:rsidP="007413AF">
            <w:pPr>
              <w:jc w:val="left"/>
            </w:pPr>
            <w:r>
              <w:t>1.535</w:t>
            </w:r>
          </w:p>
        </w:tc>
      </w:tr>
      <w:tr w:rsidR="00540004" w14:paraId="4C3DED30" w14:textId="77777777" w:rsidTr="007B543C">
        <w:trPr>
          <w:trHeight w:val="455"/>
        </w:trPr>
        <w:tc>
          <w:tcPr>
            <w:tcW w:w="2379" w:type="dxa"/>
            <w:tcBorders>
              <w:top w:val="nil"/>
              <w:left w:val="nil"/>
              <w:bottom w:val="nil"/>
              <w:right w:val="nil"/>
            </w:tcBorders>
          </w:tcPr>
          <w:p w14:paraId="3024AC8D" w14:textId="77777777" w:rsidR="00540004" w:rsidRPr="00D51552" w:rsidRDefault="00540004" w:rsidP="007413AF">
            <w:pPr>
              <w:jc w:val="left"/>
            </w:pPr>
            <w:r w:rsidRPr="00D51552">
              <w:t>Size of party – 3 people (including you)</w:t>
            </w:r>
          </w:p>
        </w:tc>
        <w:tc>
          <w:tcPr>
            <w:tcW w:w="1131" w:type="dxa"/>
            <w:tcBorders>
              <w:top w:val="nil"/>
              <w:left w:val="nil"/>
              <w:bottom w:val="nil"/>
              <w:right w:val="nil"/>
            </w:tcBorders>
          </w:tcPr>
          <w:p w14:paraId="09FC5A25" w14:textId="77777777" w:rsidR="00540004" w:rsidRPr="00D51552" w:rsidRDefault="00540004" w:rsidP="007413AF">
            <w:pPr>
              <w:ind w:left="60"/>
              <w:jc w:val="left"/>
            </w:pPr>
            <w:r w:rsidRPr="00D51552">
              <w:t>0.567</w:t>
            </w:r>
          </w:p>
        </w:tc>
        <w:tc>
          <w:tcPr>
            <w:tcW w:w="955" w:type="dxa"/>
            <w:tcBorders>
              <w:top w:val="nil"/>
              <w:left w:val="nil"/>
              <w:bottom w:val="nil"/>
              <w:right w:val="nil"/>
            </w:tcBorders>
          </w:tcPr>
          <w:p w14:paraId="311AE468" w14:textId="77777777" w:rsidR="00540004" w:rsidRPr="00D51552" w:rsidRDefault="00540004" w:rsidP="007413AF">
            <w:pPr>
              <w:jc w:val="left"/>
            </w:pPr>
            <w:r w:rsidRPr="00D51552">
              <w:t>0.096</w:t>
            </w:r>
          </w:p>
        </w:tc>
        <w:tc>
          <w:tcPr>
            <w:tcW w:w="1529" w:type="dxa"/>
            <w:tcBorders>
              <w:top w:val="nil"/>
              <w:left w:val="nil"/>
              <w:bottom w:val="nil"/>
              <w:right w:val="nil"/>
            </w:tcBorders>
          </w:tcPr>
          <w:p w14:paraId="6FB92EA3" w14:textId="77777777" w:rsidR="00540004" w:rsidRPr="00D51552" w:rsidRDefault="00540004" w:rsidP="007413AF">
            <w:pPr>
              <w:jc w:val="left"/>
            </w:pPr>
            <w:r w:rsidRPr="00D51552">
              <w:t>1.100</w:t>
            </w:r>
          </w:p>
        </w:tc>
        <w:tc>
          <w:tcPr>
            <w:tcW w:w="1202" w:type="dxa"/>
            <w:tcBorders>
              <w:top w:val="nil"/>
              <w:left w:val="nil"/>
              <w:bottom w:val="nil"/>
              <w:right w:val="nil"/>
            </w:tcBorders>
          </w:tcPr>
          <w:p w14:paraId="2E3F20A5" w14:textId="77777777" w:rsidR="00540004" w:rsidRDefault="00540004" w:rsidP="007413AF">
            <w:pPr>
              <w:jc w:val="left"/>
            </w:pPr>
            <w:r>
              <w:t>0.167</w:t>
            </w:r>
          </w:p>
        </w:tc>
        <w:tc>
          <w:tcPr>
            <w:tcW w:w="1296" w:type="dxa"/>
            <w:tcBorders>
              <w:top w:val="nil"/>
              <w:left w:val="nil"/>
              <w:bottom w:val="nil"/>
              <w:right w:val="nil"/>
            </w:tcBorders>
          </w:tcPr>
          <w:p w14:paraId="46D43654" w14:textId="77777777" w:rsidR="00540004" w:rsidRDefault="00540004" w:rsidP="007413AF">
            <w:pPr>
              <w:jc w:val="left"/>
            </w:pPr>
            <w:r>
              <w:t>0.793</w:t>
            </w:r>
          </w:p>
        </w:tc>
        <w:tc>
          <w:tcPr>
            <w:tcW w:w="1255" w:type="dxa"/>
            <w:tcBorders>
              <w:top w:val="nil"/>
              <w:left w:val="nil"/>
              <w:bottom w:val="nil"/>
              <w:right w:val="nil"/>
            </w:tcBorders>
          </w:tcPr>
          <w:p w14:paraId="56350CEE" w14:textId="77777777" w:rsidR="00540004" w:rsidRDefault="00540004" w:rsidP="007413AF">
            <w:pPr>
              <w:jc w:val="left"/>
            </w:pPr>
            <w:r>
              <w:t>1.528</w:t>
            </w:r>
          </w:p>
        </w:tc>
      </w:tr>
      <w:tr w:rsidR="00540004" w14:paraId="0ACB7510" w14:textId="77777777" w:rsidTr="007B543C">
        <w:trPr>
          <w:trHeight w:val="455"/>
        </w:trPr>
        <w:tc>
          <w:tcPr>
            <w:tcW w:w="2379" w:type="dxa"/>
            <w:tcBorders>
              <w:top w:val="nil"/>
              <w:left w:val="nil"/>
              <w:bottom w:val="nil"/>
              <w:right w:val="nil"/>
            </w:tcBorders>
          </w:tcPr>
          <w:p w14:paraId="7EC12566" w14:textId="77777777" w:rsidR="00540004" w:rsidRPr="00D51552" w:rsidRDefault="00540004" w:rsidP="007413AF">
            <w:pPr>
              <w:jc w:val="left"/>
            </w:pPr>
            <w:r w:rsidRPr="00D51552">
              <w:t>Climate Change Concern – 5 (Very concerned)  (baseline)</w:t>
            </w:r>
          </w:p>
        </w:tc>
        <w:tc>
          <w:tcPr>
            <w:tcW w:w="1131" w:type="dxa"/>
            <w:tcBorders>
              <w:top w:val="nil"/>
              <w:left w:val="nil"/>
              <w:bottom w:val="nil"/>
              <w:right w:val="nil"/>
            </w:tcBorders>
          </w:tcPr>
          <w:p w14:paraId="52C4A786" w14:textId="77777777" w:rsidR="00540004" w:rsidRPr="00D51552" w:rsidRDefault="00540004" w:rsidP="007413AF">
            <w:pPr>
              <w:ind w:left="60"/>
              <w:jc w:val="left"/>
            </w:pPr>
            <w:r w:rsidRPr="00D51552">
              <w:t>0.000</w:t>
            </w:r>
          </w:p>
        </w:tc>
        <w:tc>
          <w:tcPr>
            <w:tcW w:w="955" w:type="dxa"/>
            <w:tcBorders>
              <w:top w:val="nil"/>
              <w:left w:val="nil"/>
              <w:bottom w:val="nil"/>
              <w:right w:val="nil"/>
            </w:tcBorders>
          </w:tcPr>
          <w:p w14:paraId="5D5BA80E" w14:textId="77777777" w:rsidR="00540004" w:rsidRPr="00F678B4" w:rsidRDefault="00540004" w:rsidP="007413AF">
            <w:pPr>
              <w:jc w:val="left"/>
            </w:pPr>
          </w:p>
        </w:tc>
        <w:tc>
          <w:tcPr>
            <w:tcW w:w="1529" w:type="dxa"/>
            <w:tcBorders>
              <w:top w:val="nil"/>
              <w:left w:val="nil"/>
              <w:bottom w:val="nil"/>
              <w:right w:val="nil"/>
            </w:tcBorders>
          </w:tcPr>
          <w:p w14:paraId="204AFBE7" w14:textId="77777777" w:rsidR="00540004" w:rsidRPr="00F678B4" w:rsidRDefault="00540004" w:rsidP="007413AF">
            <w:pPr>
              <w:jc w:val="left"/>
            </w:pPr>
          </w:p>
        </w:tc>
        <w:tc>
          <w:tcPr>
            <w:tcW w:w="1202" w:type="dxa"/>
            <w:tcBorders>
              <w:top w:val="nil"/>
              <w:left w:val="nil"/>
              <w:bottom w:val="nil"/>
              <w:right w:val="nil"/>
            </w:tcBorders>
          </w:tcPr>
          <w:p w14:paraId="77AE8616" w14:textId="77777777" w:rsidR="00540004" w:rsidRDefault="00540004" w:rsidP="007413AF">
            <w:pPr>
              <w:jc w:val="left"/>
            </w:pPr>
          </w:p>
        </w:tc>
        <w:tc>
          <w:tcPr>
            <w:tcW w:w="1296" w:type="dxa"/>
            <w:tcBorders>
              <w:top w:val="nil"/>
              <w:left w:val="nil"/>
              <w:bottom w:val="nil"/>
              <w:right w:val="nil"/>
            </w:tcBorders>
          </w:tcPr>
          <w:p w14:paraId="7D5AEA88" w14:textId="77777777" w:rsidR="00540004" w:rsidRDefault="00540004" w:rsidP="007413AF">
            <w:pPr>
              <w:jc w:val="left"/>
            </w:pPr>
          </w:p>
        </w:tc>
        <w:tc>
          <w:tcPr>
            <w:tcW w:w="1255" w:type="dxa"/>
            <w:tcBorders>
              <w:top w:val="nil"/>
              <w:left w:val="nil"/>
              <w:bottom w:val="nil"/>
              <w:right w:val="nil"/>
            </w:tcBorders>
          </w:tcPr>
          <w:p w14:paraId="23E45CDE" w14:textId="77777777" w:rsidR="00540004" w:rsidRDefault="00540004" w:rsidP="007413AF">
            <w:pPr>
              <w:jc w:val="left"/>
            </w:pPr>
          </w:p>
        </w:tc>
      </w:tr>
      <w:tr w:rsidR="00540004" w14:paraId="05929ADD" w14:textId="77777777" w:rsidTr="007B543C">
        <w:trPr>
          <w:trHeight w:val="455"/>
        </w:trPr>
        <w:tc>
          <w:tcPr>
            <w:tcW w:w="2379" w:type="dxa"/>
            <w:tcBorders>
              <w:top w:val="nil"/>
              <w:left w:val="nil"/>
              <w:bottom w:val="nil"/>
              <w:right w:val="nil"/>
            </w:tcBorders>
          </w:tcPr>
          <w:p w14:paraId="3A569412" w14:textId="77777777" w:rsidR="00540004" w:rsidRPr="00D51552" w:rsidRDefault="00540004" w:rsidP="007413AF">
            <w:pPr>
              <w:jc w:val="left"/>
            </w:pPr>
            <w:r w:rsidRPr="00D51552">
              <w:t xml:space="preserve">Climate Change Concern – 1 (not concerned)  </w:t>
            </w:r>
          </w:p>
        </w:tc>
        <w:tc>
          <w:tcPr>
            <w:tcW w:w="1131" w:type="dxa"/>
            <w:tcBorders>
              <w:top w:val="nil"/>
              <w:left w:val="nil"/>
              <w:bottom w:val="nil"/>
              <w:right w:val="nil"/>
            </w:tcBorders>
          </w:tcPr>
          <w:p w14:paraId="267B454A" w14:textId="77777777" w:rsidR="00540004" w:rsidRPr="00D51552" w:rsidRDefault="00540004" w:rsidP="007413AF">
            <w:pPr>
              <w:ind w:left="60"/>
              <w:jc w:val="left"/>
            </w:pPr>
            <w:r w:rsidRPr="00D51552">
              <w:t>.000</w:t>
            </w:r>
          </w:p>
        </w:tc>
        <w:tc>
          <w:tcPr>
            <w:tcW w:w="955" w:type="dxa"/>
            <w:tcBorders>
              <w:top w:val="nil"/>
              <w:left w:val="nil"/>
              <w:bottom w:val="nil"/>
              <w:right w:val="nil"/>
            </w:tcBorders>
          </w:tcPr>
          <w:p w14:paraId="621DFE0C" w14:textId="77777777" w:rsidR="00540004" w:rsidRPr="00D51552" w:rsidRDefault="00540004" w:rsidP="007413AF">
            <w:pPr>
              <w:jc w:val="left"/>
            </w:pPr>
            <w:r w:rsidRPr="00D51552">
              <w:t>-2.271</w:t>
            </w:r>
          </w:p>
        </w:tc>
        <w:tc>
          <w:tcPr>
            <w:tcW w:w="1529" w:type="dxa"/>
            <w:tcBorders>
              <w:top w:val="nil"/>
              <w:left w:val="nil"/>
              <w:bottom w:val="nil"/>
              <w:right w:val="nil"/>
            </w:tcBorders>
          </w:tcPr>
          <w:p w14:paraId="33A80E38" w14:textId="77777777" w:rsidR="00540004" w:rsidRPr="00D51552" w:rsidRDefault="00540004" w:rsidP="007413AF">
            <w:pPr>
              <w:jc w:val="left"/>
            </w:pPr>
            <w:r w:rsidRPr="00D51552">
              <w:t>0.103</w:t>
            </w:r>
          </w:p>
        </w:tc>
        <w:tc>
          <w:tcPr>
            <w:tcW w:w="1202" w:type="dxa"/>
            <w:tcBorders>
              <w:top w:val="nil"/>
              <w:left w:val="nil"/>
              <w:bottom w:val="nil"/>
              <w:right w:val="nil"/>
            </w:tcBorders>
          </w:tcPr>
          <w:p w14:paraId="5136377C" w14:textId="77777777" w:rsidR="00540004" w:rsidRDefault="00540004" w:rsidP="007413AF">
            <w:pPr>
              <w:jc w:val="left"/>
            </w:pPr>
            <w:r>
              <w:t>0.297</w:t>
            </w:r>
          </w:p>
        </w:tc>
        <w:tc>
          <w:tcPr>
            <w:tcW w:w="1296" w:type="dxa"/>
            <w:tcBorders>
              <w:top w:val="nil"/>
              <w:left w:val="nil"/>
              <w:bottom w:val="nil"/>
              <w:right w:val="nil"/>
            </w:tcBorders>
          </w:tcPr>
          <w:p w14:paraId="27FB7248" w14:textId="77777777" w:rsidR="00540004" w:rsidRDefault="00540004" w:rsidP="007413AF">
            <w:pPr>
              <w:jc w:val="left"/>
            </w:pPr>
            <w:r>
              <w:t>0.058</w:t>
            </w:r>
          </w:p>
        </w:tc>
        <w:tc>
          <w:tcPr>
            <w:tcW w:w="1255" w:type="dxa"/>
            <w:tcBorders>
              <w:top w:val="nil"/>
              <w:left w:val="nil"/>
              <w:bottom w:val="nil"/>
              <w:right w:val="nil"/>
            </w:tcBorders>
          </w:tcPr>
          <w:p w14:paraId="745BECA6" w14:textId="77777777" w:rsidR="00540004" w:rsidRDefault="00540004" w:rsidP="007413AF">
            <w:pPr>
              <w:jc w:val="left"/>
            </w:pPr>
            <w:r>
              <w:t>0.185</w:t>
            </w:r>
          </w:p>
        </w:tc>
      </w:tr>
      <w:tr w:rsidR="00540004" w14:paraId="7D92CFA0" w14:textId="77777777" w:rsidTr="007B543C">
        <w:trPr>
          <w:trHeight w:val="442"/>
        </w:trPr>
        <w:tc>
          <w:tcPr>
            <w:tcW w:w="2379" w:type="dxa"/>
            <w:tcBorders>
              <w:top w:val="nil"/>
              <w:left w:val="nil"/>
              <w:bottom w:val="nil"/>
              <w:right w:val="nil"/>
            </w:tcBorders>
          </w:tcPr>
          <w:p w14:paraId="644BBBD1" w14:textId="77777777" w:rsidR="00540004" w:rsidRPr="00D51552" w:rsidRDefault="00540004" w:rsidP="007413AF">
            <w:pPr>
              <w:jc w:val="left"/>
            </w:pPr>
            <w:r w:rsidRPr="00D51552">
              <w:t xml:space="preserve">Climate Change Concern – 2 </w:t>
            </w:r>
          </w:p>
        </w:tc>
        <w:tc>
          <w:tcPr>
            <w:tcW w:w="1131" w:type="dxa"/>
            <w:tcBorders>
              <w:top w:val="nil"/>
              <w:left w:val="nil"/>
              <w:bottom w:val="nil"/>
              <w:right w:val="nil"/>
            </w:tcBorders>
          </w:tcPr>
          <w:p w14:paraId="48712F38" w14:textId="77777777" w:rsidR="00540004" w:rsidRPr="00D51552" w:rsidRDefault="00540004" w:rsidP="007413AF">
            <w:pPr>
              <w:ind w:left="60"/>
              <w:jc w:val="left"/>
            </w:pPr>
            <w:r w:rsidRPr="00D51552">
              <w:t>.000</w:t>
            </w:r>
          </w:p>
        </w:tc>
        <w:tc>
          <w:tcPr>
            <w:tcW w:w="955" w:type="dxa"/>
            <w:tcBorders>
              <w:top w:val="nil"/>
              <w:left w:val="nil"/>
              <w:bottom w:val="nil"/>
              <w:right w:val="nil"/>
            </w:tcBorders>
          </w:tcPr>
          <w:p w14:paraId="392D5F92" w14:textId="77777777" w:rsidR="00540004" w:rsidRPr="00D51552" w:rsidRDefault="00540004" w:rsidP="007413AF">
            <w:pPr>
              <w:jc w:val="left"/>
            </w:pPr>
            <w:r w:rsidRPr="00D51552">
              <w:t>-1.793</w:t>
            </w:r>
          </w:p>
        </w:tc>
        <w:tc>
          <w:tcPr>
            <w:tcW w:w="1529" w:type="dxa"/>
            <w:tcBorders>
              <w:top w:val="nil"/>
              <w:left w:val="nil"/>
              <w:bottom w:val="nil"/>
              <w:right w:val="nil"/>
            </w:tcBorders>
          </w:tcPr>
          <w:p w14:paraId="1CB830EB" w14:textId="77777777" w:rsidR="00540004" w:rsidRPr="00D51552" w:rsidRDefault="00540004" w:rsidP="007413AF">
            <w:pPr>
              <w:jc w:val="left"/>
            </w:pPr>
            <w:r w:rsidRPr="00D51552">
              <w:t>0.166</w:t>
            </w:r>
          </w:p>
        </w:tc>
        <w:tc>
          <w:tcPr>
            <w:tcW w:w="1202" w:type="dxa"/>
            <w:tcBorders>
              <w:top w:val="nil"/>
              <w:left w:val="nil"/>
              <w:bottom w:val="nil"/>
              <w:right w:val="nil"/>
            </w:tcBorders>
          </w:tcPr>
          <w:p w14:paraId="613968C8" w14:textId="77777777" w:rsidR="00540004" w:rsidRDefault="00540004" w:rsidP="007413AF">
            <w:pPr>
              <w:jc w:val="left"/>
            </w:pPr>
            <w:r>
              <w:t>0.178</w:t>
            </w:r>
          </w:p>
        </w:tc>
        <w:tc>
          <w:tcPr>
            <w:tcW w:w="1296" w:type="dxa"/>
            <w:tcBorders>
              <w:top w:val="nil"/>
              <w:left w:val="nil"/>
              <w:bottom w:val="nil"/>
              <w:right w:val="nil"/>
            </w:tcBorders>
          </w:tcPr>
          <w:p w14:paraId="7275B072" w14:textId="77777777" w:rsidR="00540004" w:rsidRDefault="00540004" w:rsidP="007413AF">
            <w:pPr>
              <w:jc w:val="left"/>
            </w:pPr>
            <w:r>
              <w:t>0.118</w:t>
            </w:r>
          </w:p>
        </w:tc>
        <w:tc>
          <w:tcPr>
            <w:tcW w:w="1255" w:type="dxa"/>
            <w:tcBorders>
              <w:top w:val="nil"/>
              <w:left w:val="nil"/>
              <w:bottom w:val="nil"/>
              <w:right w:val="nil"/>
            </w:tcBorders>
          </w:tcPr>
          <w:p w14:paraId="27FF05EB" w14:textId="77777777" w:rsidR="00540004" w:rsidRDefault="00540004" w:rsidP="007413AF">
            <w:pPr>
              <w:jc w:val="left"/>
            </w:pPr>
            <w:r>
              <w:t>0.236</w:t>
            </w:r>
          </w:p>
        </w:tc>
      </w:tr>
      <w:tr w:rsidR="00540004" w14:paraId="6B0FFA85" w14:textId="77777777" w:rsidTr="007B543C">
        <w:trPr>
          <w:trHeight w:val="455"/>
        </w:trPr>
        <w:tc>
          <w:tcPr>
            <w:tcW w:w="2379" w:type="dxa"/>
            <w:tcBorders>
              <w:top w:val="nil"/>
              <w:left w:val="nil"/>
              <w:bottom w:val="nil"/>
              <w:right w:val="nil"/>
            </w:tcBorders>
          </w:tcPr>
          <w:p w14:paraId="0434235E" w14:textId="77777777" w:rsidR="00540004" w:rsidRPr="00D51552" w:rsidRDefault="00540004" w:rsidP="007413AF">
            <w:pPr>
              <w:jc w:val="left"/>
            </w:pPr>
            <w:r w:rsidRPr="00D51552">
              <w:t xml:space="preserve">Climate Change Concern – 3 </w:t>
            </w:r>
          </w:p>
        </w:tc>
        <w:tc>
          <w:tcPr>
            <w:tcW w:w="1131" w:type="dxa"/>
            <w:tcBorders>
              <w:top w:val="nil"/>
              <w:left w:val="nil"/>
              <w:bottom w:val="nil"/>
              <w:right w:val="nil"/>
            </w:tcBorders>
          </w:tcPr>
          <w:p w14:paraId="5F3D7263" w14:textId="77777777" w:rsidR="00540004" w:rsidRPr="00D51552" w:rsidRDefault="00540004" w:rsidP="007413AF">
            <w:pPr>
              <w:ind w:left="60"/>
              <w:jc w:val="left"/>
            </w:pPr>
            <w:r w:rsidRPr="00D51552">
              <w:t>.000</w:t>
            </w:r>
          </w:p>
        </w:tc>
        <w:tc>
          <w:tcPr>
            <w:tcW w:w="955" w:type="dxa"/>
            <w:tcBorders>
              <w:top w:val="nil"/>
              <w:left w:val="nil"/>
              <w:bottom w:val="nil"/>
              <w:right w:val="nil"/>
            </w:tcBorders>
          </w:tcPr>
          <w:p w14:paraId="535A245E" w14:textId="77777777" w:rsidR="00540004" w:rsidRPr="00D51552" w:rsidRDefault="00540004" w:rsidP="007413AF">
            <w:pPr>
              <w:jc w:val="left"/>
            </w:pPr>
            <w:r w:rsidRPr="00D51552">
              <w:t>-1.468</w:t>
            </w:r>
          </w:p>
        </w:tc>
        <w:tc>
          <w:tcPr>
            <w:tcW w:w="1529" w:type="dxa"/>
            <w:tcBorders>
              <w:top w:val="nil"/>
              <w:left w:val="nil"/>
              <w:bottom w:val="nil"/>
              <w:right w:val="nil"/>
            </w:tcBorders>
          </w:tcPr>
          <w:p w14:paraId="44321346" w14:textId="77777777" w:rsidR="00540004" w:rsidRPr="00D51552" w:rsidRDefault="00540004" w:rsidP="007413AF">
            <w:pPr>
              <w:jc w:val="left"/>
            </w:pPr>
            <w:r w:rsidRPr="00D51552">
              <w:t>0.230</w:t>
            </w:r>
          </w:p>
        </w:tc>
        <w:tc>
          <w:tcPr>
            <w:tcW w:w="1202" w:type="dxa"/>
            <w:tcBorders>
              <w:top w:val="nil"/>
              <w:left w:val="nil"/>
              <w:bottom w:val="nil"/>
              <w:right w:val="nil"/>
            </w:tcBorders>
          </w:tcPr>
          <w:p w14:paraId="501A3833" w14:textId="77777777" w:rsidR="00540004" w:rsidRDefault="00540004" w:rsidP="007413AF">
            <w:pPr>
              <w:jc w:val="left"/>
            </w:pPr>
            <w:r>
              <w:t>0.148</w:t>
            </w:r>
          </w:p>
        </w:tc>
        <w:tc>
          <w:tcPr>
            <w:tcW w:w="1296" w:type="dxa"/>
            <w:tcBorders>
              <w:top w:val="nil"/>
              <w:left w:val="nil"/>
              <w:bottom w:val="nil"/>
              <w:right w:val="nil"/>
            </w:tcBorders>
          </w:tcPr>
          <w:p w14:paraId="18EAD937" w14:textId="77777777" w:rsidR="00540004" w:rsidRDefault="00540004" w:rsidP="007413AF">
            <w:pPr>
              <w:jc w:val="left"/>
            </w:pPr>
            <w:r>
              <w:t>0.172</w:t>
            </w:r>
          </w:p>
        </w:tc>
        <w:tc>
          <w:tcPr>
            <w:tcW w:w="1255" w:type="dxa"/>
            <w:tcBorders>
              <w:top w:val="nil"/>
              <w:left w:val="nil"/>
              <w:bottom w:val="nil"/>
              <w:right w:val="nil"/>
            </w:tcBorders>
          </w:tcPr>
          <w:p w14:paraId="049BE0E9" w14:textId="77777777" w:rsidR="00540004" w:rsidRDefault="00540004" w:rsidP="007413AF">
            <w:pPr>
              <w:jc w:val="left"/>
            </w:pPr>
            <w:r>
              <w:t>0.308</w:t>
            </w:r>
          </w:p>
        </w:tc>
      </w:tr>
      <w:tr w:rsidR="00540004" w14:paraId="49DFA7A0" w14:textId="77777777" w:rsidTr="007B543C">
        <w:trPr>
          <w:trHeight w:val="455"/>
        </w:trPr>
        <w:tc>
          <w:tcPr>
            <w:tcW w:w="2379" w:type="dxa"/>
            <w:tcBorders>
              <w:top w:val="nil"/>
              <w:left w:val="nil"/>
              <w:bottom w:val="nil"/>
              <w:right w:val="nil"/>
            </w:tcBorders>
          </w:tcPr>
          <w:p w14:paraId="5F0AC324" w14:textId="77777777" w:rsidR="00540004" w:rsidRPr="00D51552" w:rsidRDefault="00540004" w:rsidP="007413AF">
            <w:pPr>
              <w:jc w:val="left"/>
            </w:pPr>
            <w:r w:rsidRPr="00D51552">
              <w:t>Climate Change Concern – 4</w:t>
            </w:r>
          </w:p>
        </w:tc>
        <w:tc>
          <w:tcPr>
            <w:tcW w:w="1131" w:type="dxa"/>
            <w:tcBorders>
              <w:top w:val="nil"/>
              <w:left w:val="nil"/>
              <w:bottom w:val="nil"/>
              <w:right w:val="nil"/>
            </w:tcBorders>
          </w:tcPr>
          <w:p w14:paraId="3AED1B76" w14:textId="77777777" w:rsidR="00540004" w:rsidRPr="00D51552" w:rsidRDefault="00540004" w:rsidP="007413AF">
            <w:pPr>
              <w:ind w:left="60"/>
              <w:jc w:val="left"/>
            </w:pPr>
            <w:r w:rsidRPr="00D51552">
              <w:t>.000</w:t>
            </w:r>
          </w:p>
        </w:tc>
        <w:tc>
          <w:tcPr>
            <w:tcW w:w="955" w:type="dxa"/>
            <w:tcBorders>
              <w:top w:val="nil"/>
              <w:left w:val="nil"/>
              <w:bottom w:val="nil"/>
              <w:right w:val="nil"/>
            </w:tcBorders>
          </w:tcPr>
          <w:p w14:paraId="35436079" w14:textId="77777777" w:rsidR="00540004" w:rsidRPr="00D51552" w:rsidRDefault="00540004" w:rsidP="007413AF">
            <w:pPr>
              <w:jc w:val="left"/>
            </w:pPr>
            <w:r w:rsidRPr="00D51552">
              <w:t>-0.662</w:t>
            </w:r>
          </w:p>
        </w:tc>
        <w:tc>
          <w:tcPr>
            <w:tcW w:w="1529" w:type="dxa"/>
            <w:tcBorders>
              <w:top w:val="nil"/>
              <w:left w:val="nil"/>
              <w:bottom w:val="nil"/>
              <w:right w:val="nil"/>
            </w:tcBorders>
          </w:tcPr>
          <w:p w14:paraId="74D8DD4B" w14:textId="77777777" w:rsidR="00540004" w:rsidRPr="00D51552" w:rsidRDefault="00540004" w:rsidP="007413AF">
            <w:pPr>
              <w:jc w:val="left"/>
            </w:pPr>
            <w:r w:rsidRPr="00D51552">
              <w:t>0.516</w:t>
            </w:r>
          </w:p>
        </w:tc>
        <w:tc>
          <w:tcPr>
            <w:tcW w:w="1202" w:type="dxa"/>
            <w:tcBorders>
              <w:top w:val="nil"/>
              <w:left w:val="nil"/>
              <w:bottom w:val="nil"/>
              <w:right w:val="nil"/>
            </w:tcBorders>
          </w:tcPr>
          <w:p w14:paraId="3EAE7032" w14:textId="77777777" w:rsidR="00540004" w:rsidRDefault="00540004" w:rsidP="007413AF">
            <w:pPr>
              <w:jc w:val="left"/>
            </w:pPr>
            <w:r>
              <w:t>0.140</w:t>
            </w:r>
          </w:p>
        </w:tc>
        <w:tc>
          <w:tcPr>
            <w:tcW w:w="1296" w:type="dxa"/>
            <w:tcBorders>
              <w:top w:val="nil"/>
              <w:left w:val="nil"/>
              <w:bottom w:val="nil"/>
              <w:right w:val="nil"/>
            </w:tcBorders>
          </w:tcPr>
          <w:p w14:paraId="451301DC" w14:textId="77777777" w:rsidR="00540004" w:rsidRDefault="00540004" w:rsidP="007413AF">
            <w:pPr>
              <w:jc w:val="left"/>
            </w:pPr>
            <w:r>
              <w:t>0.392</w:t>
            </w:r>
          </w:p>
        </w:tc>
        <w:tc>
          <w:tcPr>
            <w:tcW w:w="1255" w:type="dxa"/>
            <w:tcBorders>
              <w:top w:val="nil"/>
              <w:left w:val="nil"/>
              <w:bottom w:val="nil"/>
              <w:right w:val="nil"/>
            </w:tcBorders>
          </w:tcPr>
          <w:p w14:paraId="053B2AA5" w14:textId="77777777" w:rsidR="00540004" w:rsidRDefault="00540004" w:rsidP="007413AF">
            <w:pPr>
              <w:jc w:val="left"/>
            </w:pPr>
            <w:r>
              <w:t>0.679</w:t>
            </w:r>
          </w:p>
        </w:tc>
      </w:tr>
      <w:tr w:rsidR="00540004" w14:paraId="2B301ABD" w14:textId="77777777" w:rsidTr="007B543C">
        <w:trPr>
          <w:trHeight w:val="455"/>
        </w:trPr>
        <w:tc>
          <w:tcPr>
            <w:tcW w:w="2379" w:type="dxa"/>
            <w:tcBorders>
              <w:top w:val="nil"/>
              <w:left w:val="nil"/>
              <w:right w:val="nil"/>
            </w:tcBorders>
          </w:tcPr>
          <w:p w14:paraId="242E7AFF" w14:textId="77777777" w:rsidR="00540004" w:rsidRPr="00D51552" w:rsidRDefault="00540004" w:rsidP="007413AF">
            <w:pPr>
              <w:jc w:val="left"/>
            </w:pPr>
            <w:r w:rsidRPr="00D51552">
              <w:t>Constant</w:t>
            </w:r>
          </w:p>
        </w:tc>
        <w:tc>
          <w:tcPr>
            <w:tcW w:w="1131" w:type="dxa"/>
            <w:tcBorders>
              <w:top w:val="nil"/>
              <w:left w:val="nil"/>
              <w:right w:val="nil"/>
            </w:tcBorders>
          </w:tcPr>
          <w:p w14:paraId="26314242" w14:textId="77777777" w:rsidR="00540004" w:rsidRPr="00D51552" w:rsidRDefault="00540004" w:rsidP="007413AF">
            <w:pPr>
              <w:ind w:left="60"/>
              <w:jc w:val="left"/>
            </w:pPr>
            <w:r w:rsidRPr="00D51552">
              <w:t>.000</w:t>
            </w:r>
          </w:p>
        </w:tc>
        <w:tc>
          <w:tcPr>
            <w:tcW w:w="955" w:type="dxa"/>
            <w:tcBorders>
              <w:top w:val="nil"/>
              <w:left w:val="nil"/>
              <w:right w:val="nil"/>
            </w:tcBorders>
          </w:tcPr>
          <w:p w14:paraId="4AC7AB9A" w14:textId="77777777" w:rsidR="00540004" w:rsidRPr="00D51552" w:rsidRDefault="00540004" w:rsidP="007413AF">
            <w:pPr>
              <w:jc w:val="left"/>
            </w:pPr>
            <w:r w:rsidRPr="00D51552">
              <w:t>1.132</w:t>
            </w:r>
          </w:p>
        </w:tc>
        <w:tc>
          <w:tcPr>
            <w:tcW w:w="1529" w:type="dxa"/>
            <w:tcBorders>
              <w:top w:val="nil"/>
              <w:left w:val="nil"/>
              <w:right w:val="nil"/>
            </w:tcBorders>
          </w:tcPr>
          <w:p w14:paraId="690F13AD" w14:textId="77777777" w:rsidR="00540004" w:rsidRPr="00D51552" w:rsidRDefault="00540004" w:rsidP="007413AF">
            <w:pPr>
              <w:jc w:val="left"/>
            </w:pPr>
            <w:r w:rsidRPr="00D51552">
              <w:t>3.101</w:t>
            </w:r>
          </w:p>
        </w:tc>
        <w:tc>
          <w:tcPr>
            <w:tcW w:w="1202" w:type="dxa"/>
            <w:tcBorders>
              <w:top w:val="nil"/>
              <w:left w:val="nil"/>
              <w:right w:val="nil"/>
            </w:tcBorders>
          </w:tcPr>
          <w:p w14:paraId="0272C0CC" w14:textId="77777777" w:rsidR="00540004" w:rsidRDefault="00540004" w:rsidP="007413AF">
            <w:pPr>
              <w:jc w:val="left"/>
            </w:pPr>
            <w:r>
              <w:t>0.145</w:t>
            </w:r>
          </w:p>
        </w:tc>
        <w:tc>
          <w:tcPr>
            <w:tcW w:w="1296" w:type="dxa"/>
            <w:tcBorders>
              <w:top w:val="nil"/>
              <w:left w:val="nil"/>
              <w:right w:val="nil"/>
            </w:tcBorders>
          </w:tcPr>
          <w:p w14:paraId="075B09A3" w14:textId="77777777" w:rsidR="00540004" w:rsidRDefault="00540004" w:rsidP="007413AF">
            <w:pPr>
              <w:jc w:val="left"/>
            </w:pPr>
          </w:p>
        </w:tc>
        <w:tc>
          <w:tcPr>
            <w:tcW w:w="1255" w:type="dxa"/>
            <w:tcBorders>
              <w:top w:val="nil"/>
              <w:left w:val="nil"/>
              <w:right w:val="nil"/>
            </w:tcBorders>
          </w:tcPr>
          <w:p w14:paraId="4A8D562F" w14:textId="77777777" w:rsidR="00540004" w:rsidRDefault="00540004" w:rsidP="007413AF">
            <w:pPr>
              <w:jc w:val="left"/>
            </w:pPr>
          </w:p>
        </w:tc>
      </w:tr>
    </w:tbl>
    <w:p w14:paraId="4D259691" w14:textId="77777777" w:rsidR="00BD21EF" w:rsidRDefault="00BD21EF" w:rsidP="009246C7">
      <w:pPr>
        <w:rPr>
          <w:rFonts w:eastAsiaTheme="majorEastAsia"/>
        </w:rPr>
      </w:pPr>
    </w:p>
    <w:p w14:paraId="193EB4ED" w14:textId="77777777" w:rsidR="00F229FC" w:rsidRDefault="00F229FC" w:rsidP="00F0405E">
      <w:r>
        <w:t>As in RCT1, a very small number of participants, 4 out of 2356, actually bought an offset. 2 of these were from the treatment group and 2 were from the control group.</w:t>
      </w:r>
    </w:p>
    <w:p w14:paraId="366E2414" w14:textId="62D5865C" w:rsidR="00BF4367" w:rsidRDefault="00BB1D36" w:rsidP="005A2E22">
      <w:pPr>
        <w:rPr>
          <w:rFonts w:eastAsiaTheme="majorEastAsia" w:cstheme="majorBidi"/>
          <w:b/>
          <w:bCs/>
          <w:sz w:val="28"/>
          <w:szCs w:val="28"/>
          <w:u w:val="single"/>
        </w:rPr>
      </w:pPr>
      <w:r>
        <w:t>In RCT2,</w:t>
      </w:r>
      <w:r w:rsidR="00F229FC">
        <w:t xml:space="preserve"> the nudge appears </w:t>
      </w:r>
      <w:r w:rsidR="00C70AC0">
        <w:t xml:space="preserve">to have no </w:t>
      </w:r>
      <w:r w:rsidR="00BD21EF">
        <w:t>influence</w:t>
      </w:r>
      <w:r w:rsidR="00C70AC0">
        <w:t xml:space="preserve"> on</w:t>
      </w:r>
      <w:r w:rsidR="00BD21EF">
        <w:t xml:space="preserve"> interest in offsetting, once ‘number of party’ and ‘concern over climate change’</w:t>
      </w:r>
      <w:r w:rsidR="00C70AC0">
        <w:t xml:space="preserve"> are controlled for</w:t>
      </w:r>
      <w:r w:rsidR="00F229FC">
        <w:t xml:space="preserve">. </w:t>
      </w:r>
      <w:r w:rsidR="00E0458E">
        <w:t>The data gathered from the three stages indicates either design flaws with the interventions</w:t>
      </w:r>
      <w:r w:rsidR="006C4BF4">
        <w:t xml:space="preserve">, </w:t>
      </w:r>
      <w:r w:rsidR="00E0458E">
        <w:t>more substantive</w:t>
      </w:r>
      <w:r w:rsidR="003630C8">
        <w:t xml:space="preserve"> </w:t>
      </w:r>
      <w:r w:rsidR="00EC2A65">
        <w:t xml:space="preserve">barriers </w:t>
      </w:r>
      <w:r w:rsidR="00F952A3">
        <w:t>which make</w:t>
      </w:r>
      <w:r w:rsidR="003630C8">
        <w:t xml:space="preserve"> </w:t>
      </w:r>
      <w:r w:rsidR="00F952A3">
        <w:t>carbon offsetting</w:t>
      </w:r>
      <w:r w:rsidR="003630C8">
        <w:t xml:space="preserve"> a behaviour which is not amenable to</w:t>
      </w:r>
      <w:r w:rsidR="00D34449">
        <w:t xml:space="preserve"> nudging</w:t>
      </w:r>
      <w:r w:rsidR="003630C8">
        <w:t xml:space="preserve">, or </w:t>
      </w:r>
      <w:r w:rsidR="00D34449">
        <w:t>both.</w:t>
      </w:r>
    </w:p>
    <w:p w14:paraId="055C3EDF" w14:textId="49E3778C" w:rsidR="00802B35" w:rsidRDefault="00802B35" w:rsidP="002D0F9C">
      <w:pPr>
        <w:pStyle w:val="Heading1"/>
      </w:pPr>
      <w:r>
        <w:t>Discussion</w:t>
      </w:r>
    </w:p>
    <w:p w14:paraId="2429FC9C" w14:textId="1978EC3B" w:rsidR="00B86541" w:rsidRDefault="004317D8">
      <w:r>
        <w:t>Past</w:t>
      </w:r>
      <w:r w:rsidR="0098020D">
        <w:t xml:space="preserve"> research indicat</w:t>
      </w:r>
      <w:r>
        <w:t>es</w:t>
      </w:r>
      <w:r w:rsidR="0098020D">
        <w:t xml:space="preserve"> the potential for initiating </w:t>
      </w:r>
      <w:r>
        <w:t xml:space="preserve">pro-social </w:t>
      </w:r>
      <w:r w:rsidR="0098020D">
        <w:t xml:space="preserve">behavioural change using </w:t>
      </w:r>
      <w:r>
        <w:t>sy</w:t>
      </w:r>
      <w:r w:rsidR="00A25D53">
        <w:t>stem 2</w:t>
      </w:r>
      <w:r w:rsidR="0098020D">
        <w:t xml:space="preserve"> nudges, </w:t>
      </w:r>
      <w:r>
        <w:t>yet the findings here show</w:t>
      </w:r>
      <w:r w:rsidR="0098020D">
        <w:t xml:space="preserve"> the limitations of such an approach</w:t>
      </w:r>
      <w:r w:rsidR="00922729">
        <w:t>. In both RCTs, the nudges did not significantly increase interest in carbon offsetting</w:t>
      </w:r>
      <w:r w:rsidR="00BD21EF">
        <w:t>.</w:t>
      </w:r>
      <w:r w:rsidR="00922729">
        <w:t xml:space="preserve"> </w:t>
      </w:r>
      <w:r w:rsidR="00BB1D36">
        <w:t>For</w:t>
      </w:r>
      <w:r w:rsidR="00922729">
        <w:t xml:space="preserve"> actual offset behaviour, the extremely low number of offset purchases points to a technical weakness</w:t>
      </w:r>
      <w:r w:rsidR="0069667C">
        <w:t xml:space="preserve"> of the RCT design</w:t>
      </w:r>
      <w:r w:rsidR="003630C8">
        <w:t xml:space="preserve"> – particularly the fact that the offset website was </w:t>
      </w:r>
      <w:r w:rsidR="00674A61">
        <w:t>not perceived as</w:t>
      </w:r>
      <w:r w:rsidR="003630C8">
        <w:t xml:space="preserve"> especially user-friendly </w:t>
      </w:r>
      <w:r w:rsidR="00674A61">
        <w:t>and</w:t>
      </w:r>
      <w:r w:rsidR="00674A61" w:rsidRPr="00674A61">
        <w:t xml:space="preserve"> participants were asked to purchase the offset long after they had purchased the flight </w:t>
      </w:r>
      <w:r w:rsidR="00A25D53">
        <w:t>–</w:t>
      </w:r>
      <w:r w:rsidR="00922729">
        <w:t xml:space="preserve"> rather than a generalizable finding</w:t>
      </w:r>
      <w:r w:rsidR="00431EAB">
        <w:t xml:space="preserve">. </w:t>
      </w:r>
      <w:r w:rsidR="008319B5">
        <w:t xml:space="preserve">The fact that around half of respondents expressed interest in offsetting but almost none purchased any </w:t>
      </w:r>
      <w:r w:rsidR="00E96A3A">
        <w:t xml:space="preserve">could also be </w:t>
      </w:r>
      <w:r w:rsidR="00431EAB">
        <w:t>seen</w:t>
      </w:r>
      <w:r w:rsidR="00E96A3A">
        <w:t xml:space="preserve"> as </w:t>
      </w:r>
      <w:r w:rsidR="00890567">
        <w:t xml:space="preserve">further </w:t>
      </w:r>
      <w:r w:rsidR="00E96A3A" w:rsidRPr="00E100A5">
        <w:t xml:space="preserve">evidence </w:t>
      </w:r>
      <w:r w:rsidR="00890567" w:rsidRPr="00E100A5">
        <w:t xml:space="preserve">for </w:t>
      </w:r>
      <w:r w:rsidR="00431EAB" w:rsidRPr="00E100A5">
        <w:t>the</w:t>
      </w:r>
      <w:r w:rsidR="00E96A3A" w:rsidRPr="00E100A5">
        <w:t xml:space="preserve"> </w:t>
      </w:r>
      <w:r w:rsidR="00431EAB" w:rsidRPr="00E100A5">
        <w:t>well-known attitude-behaviour gap</w:t>
      </w:r>
      <w:r w:rsidR="0098020D" w:rsidRPr="00E100A5">
        <w:t xml:space="preserve"> </w:t>
      </w:r>
      <w:r w:rsidR="0098020D" w:rsidRPr="00E100A5">
        <w:fldChar w:fldCharType="begin" w:fldLock="1"/>
      </w:r>
      <w:r w:rsidR="00CB0271" w:rsidRPr="00E100A5">
        <w:instrText>ADDIN CSL_CITATION { "citationItems" : [ { "id" : "ITEM-1", "itemData" : { "DOI" : "10.1080/09669582.2013.826232", "ISSN" : "0966-9582", "author" : [ { "dropping-particle" : "", "family" : "Hibbert", "given" : "Julia F.", "non-dropping-particle" : "", "parse-names" : false, "suffix" : "" }, { "dropping-particle" : "", "family" : "Dickinson", "given" : "Janet E.", "non-dropping-particle" : "", "parse-names" : false, "suffix" : "" }, { "dropping-particle" : "", "family" : "G\u00f6ssling", "given" : "Stefan", "non-dropping-particle" : "", "parse-names" : false, "suffix" : "" }, { "dropping-particle" : "", "family" : "Curtin", "given" : "Susanna", "non-dropping-particle" : "", "parse-names" : false, "suffix" : "" } ], "container-title" : "Journal of Sustainable Tourism", "id" : "ITEM-1", "issue" : "7", "issued" : { "date-parts" : [ [ "2013", "9" ] ] }, "page" : "999-1016", "title" : "Identity and tourism mobility: an exploration of the attitude\u2013behaviour gap", "type" : "article-journal", "volume" : "21" }, "uris" : [ "http://www.mendeley.com/documents/?uuid=6c7d7de6-8f66-4223-9d64-651a6f082648" ] } ], "mendeley" : { "formattedCitation" : "(Hibbert et al. 2013)", "manualFormatting" : "(e.g. Hibbert et al. 2013)", "plainTextFormattedCitation" : "(Hibbert et al. 2013)", "previouslyFormattedCitation" : "(Hibbert et al. 2013)" }, "properties" : {  }, "schema" : "https://github.com/citation-style-language/schema/raw/master/csl-citation.json" }</w:instrText>
      </w:r>
      <w:r w:rsidR="0098020D" w:rsidRPr="00E100A5">
        <w:fldChar w:fldCharType="separate"/>
      </w:r>
      <w:r w:rsidR="0098020D" w:rsidRPr="00E100A5">
        <w:rPr>
          <w:noProof/>
        </w:rPr>
        <w:t>(e.g. Hibbert et al. 2013)</w:t>
      </w:r>
      <w:r w:rsidR="0098020D" w:rsidRPr="00E100A5">
        <w:fldChar w:fldCharType="end"/>
      </w:r>
      <w:r w:rsidR="00FB01E9" w:rsidRPr="00E100A5">
        <w:t>,</w:t>
      </w:r>
      <w:r w:rsidR="00E96A3A" w:rsidRPr="00E100A5">
        <w:t xml:space="preserve"> </w:t>
      </w:r>
      <w:r w:rsidR="00DA7EE9" w:rsidRPr="00E100A5">
        <w:t>a gap which may be particularly ‘wide’</w:t>
      </w:r>
      <w:r w:rsidR="00890567" w:rsidRPr="00E100A5">
        <w:t xml:space="preserve"> </w:t>
      </w:r>
      <w:r w:rsidR="00E96A3A" w:rsidRPr="00E100A5">
        <w:t xml:space="preserve">when the </w:t>
      </w:r>
      <w:r w:rsidR="00431EAB" w:rsidRPr="00E100A5">
        <w:t>target</w:t>
      </w:r>
      <w:r w:rsidR="00E96A3A" w:rsidRPr="00E100A5">
        <w:t xml:space="preserve"> </w:t>
      </w:r>
      <w:r w:rsidR="00431EAB" w:rsidRPr="00E100A5">
        <w:t>behaviour</w:t>
      </w:r>
      <w:r w:rsidR="00E96A3A" w:rsidRPr="00E100A5">
        <w:t xml:space="preserve"> involves </w:t>
      </w:r>
      <w:r w:rsidR="00431EAB" w:rsidRPr="00E100A5">
        <w:t xml:space="preserve">a </w:t>
      </w:r>
      <w:r w:rsidR="00E96A3A" w:rsidRPr="00E100A5">
        <w:t xml:space="preserve">financial </w:t>
      </w:r>
      <w:r w:rsidR="00431EAB" w:rsidRPr="00E100A5">
        <w:t>cost</w:t>
      </w:r>
      <w:r w:rsidR="00986D7C" w:rsidRPr="00356AF0">
        <w:t xml:space="preserve">. </w:t>
      </w:r>
      <w:r w:rsidR="00E100A5">
        <w:t>Indeed, c</w:t>
      </w:r>
      <w:r w:rsidR="00986D7C" w:rsidRPr="00356AF0">
        <w:t xml:space="preserve">ost, </w:t>
      </w:r>
      <w:r w:rsidR="00E100A5">
        <w:t xml:space="preserve">a </w:t>
      </w:r>
      <w:r w:rsidR="00986D7C" w:rsidRPr="00356AF0">
        <w:t xml:space="preserve">lack of faith in </w:t>
      </w:r>
      <w:r w:rsidR="00E100A5">
        <w:t>the</w:t>
      </w:r>
      <w:r w:rsidR="00986D7C" w:rsidRPr="00356AF0">
        <w:t xml:space="preserve"> efficacy</w:t>
      </w:r>
      <w:r w:rsidR="00E100A5">
        <w:t xml:space="preserve"> of offsets</w:t>
      </w:r>
      <w:r w:rsidR="00986D7C" w:rsidRPr="00356AF0">
        <w:t xml:space="preserve">, and concern about ‘free-riders’ have </w:t>
      </w:r>
      <w:r w:rsidR="00E100A5">
        <w:t>previously</w:t>
      </w:r>
      <w:r w:rsidR="00986D7C" w:rsidRPr="00356AF0">
        <w:t xml:space="preserve"> been identified as explaining the gap between reported willingness to offset, and an observed lack of offset</w:t>
      </w:r>
      <w:r w:rsidR="00E100A5" w:rsidRPr="00356AF0">
        <w:t>t</w:t>
      </w:r>
      <w:r w:rsidR="00986D7C" w:rsidRPr="00356AF0">
        <w:t xml:space="preserve">ing behaviour </w:t>
      </w:r>
      <w:r w:rsidR="00AE4C2D" w:rsidRPr="00F82DDC">
        <w:t xml:space="preserve"> </w:t>
      </w:r>
      <w:r w:rsidR="00AE4C2D" w:rsidRPr="002700D2">
        <w:fldChar w:fldCharType="begin" w:fldLock="1"/>
      </w:r>
      <w:r w:rsidR="00F82DDC">
        <w:instrText>ADDIN CSL_CITATION { "citationItems" : [ { "id" : "ITEM-1", "itemData" : { "author" : [ { "dropping-particle" : "", "family" : "Eijgelaar", "given" : "E", "non-dropping-particle" : "", "parse-names" : false, "suffix" : "" } ], "container-title" : "European Journal of Transport and Infrastructure \u2026", "id" : "ITEM-1", "issue" : "11", "issued" : { "date-parts" : [ [ "2011" ] ] }, "page" : "281-296", "title" : "Voluntary carbon offsets a solution for reducing tourism emissions? Assessment of communication aspects and mitigation potential", "type" : "article-journal", "volume" : "11" }, "uris" : [ "http://www.mendeley.com/documents/?uuid=9bdca1d4-9f19-47a5-9119-60fdc78d6a4f" ] }, { "id" : "ITEM-2", "itemData" : { "author" : [ { "dropping-particle" : "", "family" : "Hooper", "given" : "Paul", "non-dropping-particle" : "", "parse-names" : false, "suffix" : "" }, { "dropping-particle" : "", "family" : "Daley", "given" : "Ben", "non-dropping-particle" : "", "parse-names" : false, "suffix" : "" }, { "dropping-particle" : "", "family" : "Preston", "given" : "Holly", "non-dropping-particle" : "", "parse-names" : false, "suffix" : "" }, { "dropping-particle" : "", "family" : "Thomas", "given" : "Callum", "non-dropping-particle" : "", "parse-names" : false, "suffix" : "" } ], "id" : "ITEM-2", "issued" : { "date-parts" : [ [ "2008" ] ] }, "publisher-place" : "Manchester", "title" : "Final OMEGA Project Report : An Assessment of the Potential of Carbon Offset Schemes to Mitigate the Climate Change Implications of Future Growth of UK Aviation", "type" : "report" }, "uris" : [ "http://www.mendeley.com/documents/?uuid=3e2477c0-0d9b-4f89-b181-a72e1cf88d2f" ] }, { "id" : "ITEM-3", "itemData" : { "author" : [ { "dropping-particle" : "", "family" : "MacKerron", "given" : "George J", "non-dropping-particle" : "", "parse-names" : false, "suffix" : "" }, { "dropping-particle" : "", "family" : "Egerton", "given" : "Catrin", "non-dropping-particle" : "", "parse-names" : false, "suffix" : "" }, { "dropping-particle" : "", "family" : "Gaskell", "given" : "Christopher", "non-dropping-particle" : "", "parse-names" : false, "suffix" : "" }, { "dropping-particle" : "", "family" : "Parpia", "given" : "Aimie", "non-dropping-particle" : "", "parse-names" : false, "suffix" : "" }, { "dropping-particle" : "", "family" : "Mouratoa", "given" : "Susana", "non-dropping-particle" : "", "parse-names" : false, "suffix" : "" } ], "container-title" : "Energy Policy", "id" : "ITEM-3", "issued" : { "date-parts" : [ [ "2009" ] ] }, "page" : "1372\u20131381", "title" : "Willingness to pay for carbon offset certification and co-benefits among (high-)flying young adults in the UK", "type" : "article-journal", "volume" : "37" }, "uris" : [ "http://www.mendeley.com/documents/?uuid=3dc8dc79-bee0-4eaf-97e9-9087b3252cda" ] } ], "mendeley" : { "formattedCitation" : "(Eijgelaar 2011; Hooper et al. 2008; MacKerron et al. 2009)", "plainTextFormattedCitation" : "(Eijgelaar 2011; Hooper et al. 2008; MacKerron et al. 2009)", "previouslyFormattedCitation" : "(Eijgelaar 2011; Hooper et al. 2008; MacKerron et al. 2009)" }, "properties" : {  }, "schema" : "https://github.com/citation-style-language/schema/raw/master/csl-citation.json" }</w:instrText>
      </w:r>
      <w:r w:rsidR="00AE4C2D" w:rsidRPr="002700D2">
        <w:fldChar w:fldCharType="separate"/>
      </w:r>
      <w:r w:rsidR="00E100A5" w:rsidRPr="00356AF0">
        <w:rPr>
          <w:noProof/>
        </w:rPr>
        <w:t>(Eijgelaar 2011; Hooper et al. 2008; MacKerron et al. 2009)</w:t>
      </w:r>
      <w:r w:rsidR="00AE4C2D" w:rsidRPr="002700D2">
        <w:fldChar w:fldCharType="end"/>
      </w:r>
      <w:r w:rsidR="00A700C0" w:rsidRPr="00F82DDC">
        <w:t>.</w:t>
      </w:r>
      <w:r w:rsidR="00922729" w:rsidRPr="00E100A5">
        <w:t xml:space="preserve"> </w:t>
      </w:r>
      <w:r w:rsidR="005D4DE2" w:rsidRPr="00E100A5">
        <w:t>The reasons why</w:t>
      </w:r>
      <w:r w:rsidR="005D4DE2">
        <w:t xml:space="preserve"> the nudges also failed to influence interest in offsetting require deeper examination. </w:t>
      </w:r>
      <w:r w:rsidR="00A70E56">
        <w:t xml:space="preserve">Here </w:t>
      </w:r>
      <w:r w:rsidR="00A7410A">
        <w:t xml:space="preserve">there is an acknowledgement </w:t>
      </w:r>
      <w:r w:rsidR="00AB72F3">
        <w:t xml:space="preserve">firstly </w:t>
      </w:r>
      <w:r w:rsidR="00A7410A">
        <w:t xml:space="preserve">of </w:t>
      </w:r>
      <w:r w:rsidR="00A70E56">
        <w:t xml:space="preserve">the problems in the design of the nudges tested, followed by more substantive barriers which may render carbon offsetting as unamenable to system 2 nudges in any case, and </w:t>
      </w:r>
      <w:r w:rsidR="006C4BF4">
        <w:t xml:space="preserve">thus </w:t>
      </w:r>
      <w:r w:rsidR="00A70E56">
        <w:t xml:space="preserve">the need for an alternative policy </w:t>
      </w:r>
      <w:r w:rsidR="00EE6ED6">
        <w:t>approaches.</w:t>
      </w:r>
    </w:p>
    <w:p w14:paraId="6F10CCC3" w14:textId="0937C052" w:rsidR="003630C8" w:rsidRDefault="003630C8" w:rsidP="00EC2A65">
      <w:pPr>
        <w:pStyle w:val="Heading2"/>
      </w:pPr>
      <w:r>
        <w:t xml:space="preserve">Design problems </w:t>
      </w:r>
    </w:p>
    <w:p w14:paraId="728C3E1D" w14:textId="65D773CE" w:rsidR="003630C8" w:rsidRDefault="00A7410A" w:rsidP="00B840D7">
      <w:pPr>
        <w:rPr>
          <w:rFonts w:eastAsiaTheme="majorEastAsia"/>
          <w:lang w:eastAsia="en-GB"/>
        </w:rPr>
      </w:pPr>
      <w:r>
        <w:rPr>
          <w:rFonts w:eastAsiaTheme="majorEastAsia"/>
          <w:lang w:eastAsia="en-GB"/>
        </w:rPr>
        <w:t xml:space="preserve">There are </w:t>
      </w:r>
      <w:r w:rsidR="00E96A3A">
        <w:rPr>
          <w:rFonts w:eastAsiaTheme="majorEastAsia"/>
          <w:lang w:eastAsia="en-GB"/>
        </w:rPr>
        <w:t xml:space="preserve">three potential design issues with the second RCT, which, even though it was adapted and ‘improved’ </w:t>
      </w:r>
      <w:r w:rsidR="000027F1">
        <w:rPr>
          <w:rFonts w:eastAsiaTheme="majorEastAsia"/>
          <w:lang w:eastAsia="en-GB"/>
        </w:rPr>
        <w:t>following the previous stages</w:t>
      </w:r>
      <w:r w:rsidR="00E96A3A">
        <w:rPr>
          <w:rFonts w:eastAsiaTheme="majorEastAsia"/>
          <w:lang w:eastAsia="en-GB"/>
        </w:rPr>
        <w:t xml:space="preserve">, still failed to generate interest in offsetting. </w:t>
      </w:r>
    </w:p>
    <w:p w14:paraId="7EAC2364" w14:textId="158284D9" w:rsidR="00E96A3A" w:rsidRDefault="00635DFA" w:rsidP="00AB72F3">
      <w:pPr>
        <w:rPr>
          <w:rFonts w:eastAsiaTheme="majorEastAsia"/>
          <w:lang w:eastAsia="en-GB"/>
        </w:rPr>
      </w:pPr>
      <w:r>
        <w:rPr>
          <w:rFonts w:eastAsiaTheme="majorEastAsia"/>
          <w:lang w:eastAsia="en-GB"/>
        </w:rPr>
        <w:t>Firstly, d</w:t>
      </w:r>
      <w:r w:rsidR="00AB72F3" w:rsidRPr="00E96A3A">
        <w:rPr>
          <w:rFonts w:eastAsiaTheme="majorEastAsia"/>
          <w:lang w:eastAsia="en-GB"/>
        </w:rPr>
        <w:t>espite the focus group data suggest</w:t>
      </w:r>
      <w:r w:rsidR="00AB72F3">
        <w:rPr>
          <w:rFonts w:eastAsiaTheme="majorEastAsia"/>
          <w:lang w:eastAsia="en-GB"/>
        </w:rPr>
        <w:t>ing</w:t>
      </w:r>
      <w:r w:rsidR="00AB72F3" w:rsidRPr="00E96A3A">
        <w:rPr>
          <w:rFonts w:eastAsiaTheme="majorEastAsia"/>
          <w:lang w:eastAsia="en-GB"/>
        </w:rPr>
        <w:t xml:space="preserve"> participants would </w:t>
      </w:r>
      <w:r w:rsidR="00AB72F3">
        <w:rPr>
          <w:rFonts w:eastAsiaTheme="majorEastAsia"/>
          <w:lang w:eastAsia="en-GB"/>
        </w:rPr>
        <w:t xml:space="preserve">welcome </w:t>
      </w:r>
      <w:r w:rsidR="00AB72F3" w:rsidRPr="00E96A3A">
        <w:rPr>
          <w:rFonts w:eastAsiaTheme="majorEastAsia"/>
          <w:lang w:eastAsia="en-GB"/>
        </w:rPr>
        <w:t>more information</w:t>
      </w:r>
      <w:r w:rsidR="00AB72F3">
        <w:rPr>
          <w:rFonts w:eastAsiaTheme="majorEastAsia"/>
          <w:lang w:eastAsia="en-GB"/>
        </w:rPr>
        <w:t xml:space="preserve">, </w:t>
      </w:r>
      <w:r w:rsidR="00E96A3A" w:rsidRPr="00E96A3A">
        <w:rPr>
          <w:rFonts w:eastAsiaTheme="majorEastAsia"/>
          <w:lang w:eastAsia="en-GB"/>
        </w:rPr>
        <w:t>including more</w:t>
      </w:r>
      <w:r w:rsidR="00AB72F3">
        <w:rPr>
          <w:rFonts w:eastAsiaTheme="majorEastAsia"/>
          <w:lang w:eastAsia="en-GB"/>
        </w:rPr>
        <w:t xml:space="preserve"> information in the second RCT may have made </w:t>
      </w:r>
      <w:r w:rsidR="00E96A3A" w:rsidRPr="00E96A3A">
        <w:rPr>
          <w:rFonts w:eastAsiaTheme="majorEastAsia"/>
          <w:lang w:eastAsia="en-GB"/>
        </w:rPr>
        <w:t xml:space="preserve">the </w:t>
      </w:r>
      <w:r w:rsidR="00AB72F3">
        <w:rPr>
          <w:rFonts w:eastAsiaTheme="majorEastAsia"/>
          <w:lang w:eastAsia="en-GB"/>
        </w:rPr>
        <w:t xml:space="preserve">content of the </w:t>
      </w:r>
      <w:r w:rsidR="00E96A3A" w:rsidRPr="00E96A3A">
        <w:rPr>
          <w:rFonts w:eastAsiaTheme="majorEastAsia"/>
          <w:lang w:eastAsia="en-GB"/>
        </w:rPr>
        <w:t xml:space="preserve">nudge overwhelming or uninteresting. Previous research into the effect of energy efficiency labelling for domestic appliances found that there was a ‘sweet spot’ in terms of how much information had a significant effect on purchasing behaviour. Too little or too much information </w:t>
      </w:r>
      <w:r w:rsidR="00AB72F3">
        <w:rPr>
          <w:rFonts w:eastAsiaTheme="majorEastAsia"/>
          <w:lang w:eastAsia="en-GB"/>
        </w:rPr>
        <w:t>was</w:t>
      </w:r>
      <w:r w:rsidR="00E96A3A" w:rsidRPr="00E96A3A">
        <w:rPr>
          <w:rFonts w:eastAsiaTheme="majorEastAsia"/>
          <w:lang w:eastAsia="en-GB"/>
        </w:rPr>
        <w:t xml:space="preserve"> counterproductive (IPSOS &amp; London Economics 2014), and the same may be true of this intervention. </w:t>
      </w:r>
      <w:r w:rsidR="00FF1C61">
        <w:rPr>
          <w:rFonts w:eastAsiaTheme="majorEastAsia"/>
          <w:lang w:eastAsia="en-GB"/>
        </w:rPr>
        <w:t>Adapting the amount of information provided to create a</w:t>
      </w:r>
      <w:r w:rsidR="00E96A3A" w:rsidRPr="00E96A3A">
        <w:rPr>
          <w:rFonts w:eastAsiaTheme="majorEastAsia"/>
          <w:lang w:eastAsia="en-GB"/>
        </w:rPr>
        <w:t xml:space="preserve"> nudge which hit the ‘sweet spot’ for information provision might conceivably be more effective.</w:t>
      </w:r>
    </w:p>
    <w:p w14:paraId="558F04E4" w14:textId="191024A3" w:rsidR="00E96A3A" w:rsidRDefault="00E96A3A" w:rsidP="005A2E22">
      <w:pPr>
        <w:rPr>
          <w:rFonts w:eastAsiaTheme="majorEastAsia"/>
          <w:lang w:eastAsia="en-GB"/>
        </w:rPr>
      </w:pPr>
      <w:r>
        <w:rPr>
          <w:rFonts w:eastAsiaTheme="majorEastAsia"/>
          <w:lang w:eastAsia="en-GB"/>
        </w:rPr>
        <w:t xml:space="preserve">The social norm message may have been ineffective because it was too ‘distant’ from the participants. The message that ‘many other people already offset’, </w:t>
      </w:r>
      <w:r w:rsidR="00635DFA">
        <w:rPr>
          <w:rFonts w:eastAsiaTheme="majorEastAsia"/>
          <w:lang w:eastAsia="en-GB"/>
        </w:rPr>
        <w:t xml:space="preserve">even accompanied </w:t>
      </w:r>
      <w:r>
        <w:rPr>
          <w:rFonts w:eastAsiaTheme="majorEastAsia"/>
          <w:lang w:eastAsia="en-GB"/>
        </w:rPr>
        <w:t xml:space="preserve">with </w:t>
      </w:r>
      <w:r w:rsidR="00635DFA">
        <w:rPr>
          <w:rFonts w:eastAsiaTheme="majorEastAsia"/>
          <w:lang w:eastAsia="en-GB"/>
        </w:rPr>
        <w:t>relevant</w:t>
      </w:r>
      <w:r>
        <w:rPr>
          <w:rFonts w:eastAsiaTheme="majorEastAsia"/>
          <w:lang w:eastAsia="en-GB"/>
        </w:rPr>
        <w:t xml:space="preserve"> statistics, may have </w:t>
      </w:r>
      <w:r w:rsidR="00635DFA">
        <w:rPr>
          <w:rFonts w:eastAsiaTheme="majorEastAsia"/>
          <w:lang w:eastAsia="en-GB"/>
        </w:rPr>
        <w:t xml:space="preserve">seemed </w:t>
      </w:r>
      <w:r>
        <w:rPr>
          <w:rFonts w:eastAsiaTheme="majorEastAsia"/>
          <w:lang w:eastAsia="en-GB"/>
        </w:rPr>
        <w:t>too abstract, as the focus groups suggested. Participants may also have thought that because they didn’t know of many people who bought offsets in their own lives – i.e. using their ‘availability heuristic’ –</w:t>
      </w:r>
      <w:r w:rsidR="00AB72F3">
        <w:rPr>
          <w:rFonts w:eastAsiaTheme="majorEastAsia"/>
          <w:lang w:eastAsia="en-GB"/>
        </w:rPr>
        <w:t xml:space="preserve"> </w:t>
      </w:r>
      <w:r>
        <w:rPr>
          <w:rFonts w:eastAsiaTheme="majorEastAsia"/>
          <w:lang w:eastAsia="en-GB"/>
        </w:rPr>
        <w:t xml:space="preserve">it </w:t>
      </w:r>
      <w:r w:rsidR="006C4BF4">
        <w:rPr>
          <w:rFonts w:eastAsiaTheme="majorEastAsia"/>
          <w:lang w:eastAsia="en-GB"/>
        </w:rPr>
        <w:t xml:space="preserve">felt </w:t>
      </w:r>
      <w:r>
        <w:rPr>
          <w:rFonts w:eastAsiaTheme="majorEastAsia"/>
          <w:lang w:eastAsia="en-GB"/>
        </w:rPr>
        <w:t xml:space="preserve">probable that almost no-one buys offsets </w:t>
      </w:r>
      <w:r>
        <w:rPr>
          <w:rFonts w:eastAsiaTheme="majorEastAsia"/>
          <w:lang w:eastAsia="en-GB"/>
        </w:rPr>
        <w:fldChar w:fldCharType="begin" w:fldLock="1"/>
      </w:r>
      <w:r w:rsidR="00CB0271">
        <w:rPr>
          <w:rFonts w:eastAsiaTheme="majorEastAsia"/>
          <w:lang w:eastAsia="en-GB"/>
        </w:rPr>
        <w:instrText>ADDIN CSL_CITATION { "citationItems" : [ { "id" : "ITEM-1", "itemData" : { "author" : [ { "dropping-particle" : "", "family" : "Tversky", "given" : "Amos", "non-dropping-particle" : "", "parse-names" : false, "suffix" : "" }, { "dropping-particle" : "", "family" : "Kahneman", "given" : "Daniel", "non-dropping-particle" : "", "parse-names" : false, "suffix" : "" } ], "container-title" : "Science", "id" : "ITEM-1", "issue" : "4157", "issued" : { "date-parts" : [ [ "1974" ] ] }, "page" : "1124-1131", "title" : "Judgement under Uncertainty: Heuristics and Biases", "type" : "article-journal", "volume" : "185" }, "uris" : [ "http://www.mendeley.com/documents/?uuid=e053a0f7-5b40-47c7-9e5c-40239458c97e" ] } ], "mendeley" : { "formattedCitation" : "(Tversky &amp; Kahneman 1974)", "plainTextFormattedCitation" : "(Tversky &amp; Kahneman 1974)", "previouslyFormattedCitation" : "(Tversky &amp; Kahneman 1974)" }, "properties" : {  }, "schema" : "https://github.com/citation-style-language/schema/raw/master/csl-citation.json" }</w:instrText>
      </w:r>
      <w:r>
        <w:rPr>
          <w:rFonts w:eastAsiaTheme="majorEastAsia"/>
          <w:lang w:eastAsia="en-GB"/>
        </w:rPr>
        <w:fldChar w:fldCharType="separate"/>
      </w:r>
      <w:r>
        <w:rPr>
          <w:rFonts w:eastAsiaTheme="majorEastAsia"/>
          <w:noProof/>
          <w:lang w:eastAsia="en-GB"/>
        </w:rPr>
        <w:t>(Tversky &amp; Kahneman 1974)</w:t>
      </w:r>
      <w:r>
        <w:rPr>
          <w:rFonts w:eastAsiaTheme="majorEastAsia"/>
          <w:lang w:eastAsia="en-GB"/>
        </w:rPr>
        <w:fldChar w:fldCharType="end"/>
      </w:r>
      <w:r>
        <w:rPr>
          <w:rFonts w:eastAsiaTheme="majorEastAsia"/>
          <w:lang w:eastAsia="en-GB"/>
        </w:rPr>
        <w:t xml:space="preserve">. This may have given them licence to ignore the call to offset, because they ‘knew’ from their own experience that it was not </w:t>
      </w:r>
      <w:r w:rsidR="00F952A3">
        <w:rPr>
          <w:rFonts w:eastAsiaTheme="majorEastAsia"/>
          <w:lang w:eastAsia="en-GB"/>
        </w:rPr>
        <w:t>a common behaviour</w:t>
      </w:r>
      <w:r>
        <w:rPr>
          <w:rFonts w:eastAsiaTheme="majorEastAsia"/>
          <w:lang w:eastAsia="en-GB"/>
        </w:rPr>
        <w:t>. As carbon offsetting is a marginal activity</w:t>
      </w:r>
      <w:r w:rsidR="00AB72F3">
        <w:rPr>
          <w:rFonts w:eastAsiaTheme="majorEastAsia"/>
          <w:lang w:eastAsia="en-GB"/>
        </w:rPr>
        <w:t xml:space="preserve"> (for now, at least)</w:t>
      </w:r>
      <w:r>
        <w:rPr>
          <w:rFonts w:eastAsiaTheme="majorEastAsia"/>
          <w:lang w:eastAsia="en-GB"/>
        </w:rPr>
        <w:t>, using a social norm nudge is unlikely to be effective in encouraging it.</w:t>
      </w:r>
      <w:r w:rsidR="00AB72F3">
        <w:rPr>
          <w:rFonts w:eastAsiaTheme="majorEastAsia"/>
          <w:lang w:eastAsia="en-GB"/>
        </w:rPr>
        <w:t xml:space="preserve"> </w:t>
      </w:r>
    </w:p>
    <w:p w14:paraId="6ABB7EF5" w14:textId="1B5A3F42" w:rsidR="00E96A3A" w:rsidRDefault="00E96A3A" w:rsidP="00986D7C">
      <w:pPr>
        <w:rPr>
          <w:rFonts w:eastAsiaTheme="majorEastAsia"/>
          <w:lang w:eastAsia="en-GB"/>
        </w:rPr>
      </w:pPr>
      <w:r>
        <w:rPr>
          <w:rFonts w:eastAsiaTheme="majorEastAsia"/>
          <w:lang w:eastAsia="en-GB"/>
        </w:rPr>
        <w:t xml:space="preserve">Another possible issue with the nudge was that it was framed in terms of what Compton </w:t>
      </w:r>
      <w:r w:rsidR="00AB72F3">
        <w:rPr>
          <w:rFonts w:eastAsiaTheme="majorEastAsia"/>
          <w:lang w:eastAsia="en-GB"/>
        </w:rPr>
        <w:fldChar w:fldCharType="begin" w:fldLock="1"/>
      </w:r>
      <w:r w:rsidR="00CB0271">
        <w:rPr>
          <w:rFonts w:eastAsiaTheme="majorEastAsia"/>
          <w:lang w:eastAsia="en-GB"/>
        </w:rPr>
        <w:instrText>ADDIN CSL_CITATION { "citationItems" : [ { "id" : "ITEM-1", "itemData" : { "author" : [ { "dropping-particle" : "", "family" : "Crompton", "given" : "Tom", "non-dropping-particle" : "", "parse-names" : false, "suffix" : "" } ], "chapter-number" : "11", "container-title" : "Beyond Behaviour Change: Key Issues, Interdisciplinary Approaches and Future Directions", "editor" : [ { "dropping-particle" : "", "family" : "Spotswood", "given" : "Fiona", "non-dropping-particle" : "", "parse-names" : false, "suffix" : "" } ], "id" : "ITEM-1", "issued" : { "date-parts" : [ [ "2016" ] ] }, "page" : "217-235", "publisher" : "Policy Press", "publisher-place" : "Bristol", "title" : "Values and public expressions of concern", "type" : "chapter" }, "uris" : [ "http://www.mendeley.com/documents/?uuid=fb3ca8c0-385b-4ec5-b571-80d958f721e8" ] } ], "mendeley" : { "formattedCitation" : "(Crompton 2016)", "manualFormatting" : "(2016)", "plainTextFormattedCitation" : "(Crompton 2016)", "previouslyFormattedCitation" : "(Crompton 2016)" }, "properties" : {  }, "schema" : "https://github.com/citation-style-language/schema/raw/master/csl-citation.json" }</w:instrText>
      </w:r>
      <w:r w:rsidR="00AB72F3">
        <w:rPr>
          <w:rFonts w:eastAsiaTheme="majorEastAsia"/>
          <w:lang w:eastAsia="en-GB"/>
        </w:rPr>
        <w:fldChar w:fldCharType="separate"/>
      </w:r>
      <w:r w:rsidR="00AB72F3">
        <w:rPr>
          <w:rFonts w:eastAsiaTheme="majorEastAsia"/>
          <w:noProof/>
          <w:lang w:eastAsia="en-GB"/>
        </w:rPr>
        <w:t>(2016)</w:t>
      </w:r>
      <w:r w:rsidR="00AB72F3">
        <w:rPr>
          <w:rFonts w:eastAsiaTheme="majorEastAsia"/>
          <w:lang w:eastAsia="en-GB"/>
        </w:rPr>
        <w:fldChar w:fldCharType="end"/>
      </w:r>
      <w:r w:rsidR="00AB72F3">
        <w:rPr>
          <w:rFonts w:eastAsiaTheme="majorEastAsia"/>
          <w:lang w:eastAsia="en-GB"/>
        </w:rPr>
        <w:t xml:space="preserve"> calls</w:t>
      </w:r>
      <w:r>
        <w:rPr>
          <w:rFonts w:eastAsiaTheme="majorEastAsia"/>
          <w:lang w:eastAsia="en-GB"/>
        </w:rPr>
        <w:t xml:space="preserve"> ‘extrinsic values</w:t>
      </w:r>
      <w:r w:rsidR="00E5089F">
        <w:rPr>
          <w:rFonts w:eastAsiaTheme="majorEastAsia"/>
          <w:lang w:eastAsia="en-GB"/>
        </w:rPr>
        <w:t>,</w:t>
      </w:r>
      <w:r>
        <w:rPr>
          <w:rFonts w:eastAsiaTheme="majorEastAsia"/>
          <w:lang w:eastAsia="en-GB"/>
        </w:rPr>
        <w:t>’ that is, referring to issues of social status or wealth, as opposed to ‘intrinsic values’ such as care for the environment, benevolence and universalism. Previous research has found that for campaigns which are aimed at ‘intrinsic goals</w:t>
      </w:r>
      <w:r w:rsidR="00E5089F">
        <w:rPr>
          <w:rFonts w:eastAsiaTheme="majorEastAsia"/>
          <w:lang w:eastAsia="en-GB"/>
        </w:rPr>
        <w:t>,</w:t>
      </w:r>
      <w:r>
        <w:rPr>
          <w:rFonts w:eastAsiaTheme="majorEastAsia"/>
          <w:lang w:eastAsia="en-GB"/>
        </w:rPr>
        <w:t xml:space="preserve">’ such as social justice or care for the environment, using intrinsic value frames foster a far more positive response than using extrinsic ones </w:t>
      </w:r>
      <w:r>
        <w:rPr>
          <w:rFonts w:eastAsiaTheme="majorEastAsia"/>
          <w:lang w:eastAsia="en-GB"/>
        </w:rPr>
        <w:fldChar w:fldCharType="begin" w:fldLock="1"/>
      </w:r>
      <w:r w:rsidR="00CB0271">
        <w:rPr>
          <w:rFonts w:eastAsiaTheme="majorEastAsia"/>
          <w:lang w:eastAsia="en-GB"/>
        </w:rPr>
        <w:instrText>ADDIN CSL_CITATION { "citationItems" : [ { "id" : "ITEM-1", "itemData" : { "author" : [ { "dropping-particle" : "", "family" : "Crompton", "given" : "Tom", "non-dropping-particle" : "", "parse-names" : false, "suffix" : "" }, { "dropping-particle" : "", "family" : "Weinstein", "given" : "Netta", "non-dropping-particle" : "", "parse-names" : false, "suffix" : "" }, { "dropping-particle" : "", "family" : "Sanderson", "given" : "Bec", "non-dropping-particle" : "", "parse-names" : false, "suffix" : "" }, { "dropping-particle" : "", "family" : "Kasser", "given" : "Tim", "non-dropping-particle" : "", "parse-names" : false, "suffix" : "" }, { "dropping-particle" : "", "family" : "Maio", "given" : "Greg", "non-dropping-particle" : "", "parse-names" : false, "suffix" : "" }, { "dropping-particle" : "", "family" : "Henderson", "given" : "Spencer", "non-dropping-particle" : "", "parse-names" : false, "suffix" : "" } ], "id" : "ITEM-1", "issued" : { "date-parts" : [ [ "2014" ] ] }, "number-of-pages" : "31", "publisher-place" : "London", "title" : "No Cause is an Island: How People are Influenced by Values Regardless of the Cause", "type" : "report" }, "uris" : [ "http://www.mendeley.com/documents/?uuid=c0a02e3b-5f4d-4b5f-98b3-1f4dcdc706f8" ] }, { "id" : "ITEM-2", "itemData" : { "DOI" : "10.1080/09669582.2016.1195838", "ISSN" : "0966-9582", "author" : [ { "dropping-particle" : "", "family" : "B\u00fcchs", "given" : "Milena", "non-dropping-particle" : "", "parse-names" : false, "suffix" : "" } ], "container-title" : "Journal of Sustainable Tourism", "id" : "ITEM-2", "issue" : "0", "issued" : { "date-parts" : [ [ "2016" ] ] }, "page" : "1-17", "publisher" : "Taylor &amp; Francis", "title" : "The role of values for voluntary reductions of holiday air travel", "type" : "article-journal", "volume" : "0" }, "uris" : [ "http://www.mendeley.com/documents/?uuid=0ab75ab7-e00e-4f73-b15c-8f35d23e70ac" ] } ], "mendeley" : { "formattedCitation" : "(Crompton et al. 2014; B\u00fcchs 2016)", "plainTextFormattedCitation" : "(Crompton et al. 2014; B\u00fcchs 2016)", "previouslyFormattedCitation" : "(Crompton et al. 2014; B\u00fcchs 2016)" }, "properties" : {  }, "schema" : "https://github.com/citation-style-language/schema/raw/master/csl-citation.json" }</w:instrText>
      </w:r>
      <w:r>
        <w:rPr>
          <w:rFonts w:eastAsiaTheme="majorEastAsia"/>
          <w:lang w:eastAsia="en-GB"/>
        </w:rPr>
        <w:fldChar w:fldCharType="separate"/>
      </w:r>
      <w:r w:rsidR="00086563" w:rsidRPr="00086563">
        <w:rPr>
          <w:rFonts w:eastAsiaTheme="majorEastAsia"/>
          <w:noProof/>
          <w:lang w:eastAsia="en-GB"/>
        </w:rPr>
        <w:t>(Crompton et al. 2014; Büchs 2016)</w:t>
      </w:r>
      <w:r>
        <w:rPr>
          <w:rFonts w:eastAsiaTheme="majorEastAsia"/>
          <w:lang w:eastAsia="en-GB"/>
        </w:rPr>
        <w:fldChar w:fldCharType="end"/>
      </w:r>
      <w:r w:rsidR="00A700C0">
        <w:rPr>
          <w:rFonts w:eastAsiaTheme="majorEastAsia"/>
          <w:lang w:eastAsia="en-GB"/>
        </w:rPr>
        <w:t xml:space="preserve">, and Mair and Wong </w:t>
      </w:r>
      <w:r w:rsidR="00986D7C">
        <w:rPr>
          <w:rFonts w:eastAsiaTheme="majorEastAsia"/>
          <w:lang w:eastAsia="en-GB"/>
        </w:rPr>
        <w:fldChar w:fldCharType="begin" w:fldLock="1"/>
      </w:r>
      <w:r w:rsidR="00986D7C">
        <w:rPr>
          <w:rFonts w:eastAsiaTheme="majorEastAsia"/>
          <w:lang w:eastAsia="en-GB"/>
        </w:rPr>
        <w:instrText>ADDIN CSL_CITATION { "citationItems" : [ { "id" : "ITEM-1", "itemData" : { "ISBN" : "9781862955608", "abstract" : "This study explores Australian residents' attitudes towards purchasing carbon offsets for flights using the Theory of Planned Behaviour (TPB) methodology (Ajzen and Driver, 1992). Voluntary carbon offsetting is the purchase of carbon credits and allowances to offset emissions (commonly from air travel). Airlines around the world use a variety of ways to become involved with offsetting. However, there is no widely recognized standard as to what constitutes a valid offset and there has been some criticism of the offset schemes currently available (Goessling et al., 2007). It has also been suggested that consumers are less knowledgeable about carbon offsets than they are about general environmental issues and that further research in this area is warranted (Polonsky and Garma, 2008). Primary data were gathered from 14 structured interviews held with residents of Melbourne. The findings provide new insight into consumers' purchase and non-purchase behaviours and suggest that those who are highly aware of and interested in environmental issues are less likely to purchase offsets for flights than those who feel that they are making a moral contribution, but who in fact have less understanding of the carbon offset schemes and what they can, and cannot, contribute to mitigating carbon emissions.", "author" : [ { "dropping-particle" : "", "family" : "Mair", "given" : "Judith", "non-dropping-particle" : "", "parse-names" : false, "suffix" : "" }, { "dropping-particle" : "", "family" : "Wong", "given" : "Emma P Y", "non-dropping-particle" : "", "parse-names" : false, "suffix" : "" } ], "id" : "ITEM-1", "issued" : { "date-parts" : [ [ "2010" ] ] }, "language" : "English", "note" : "Conference: Council for Australian University Tourism and Hospitality Education (20th : 2010 : Hobart, Tas.) Source: In: CAUTHE 2010: Tourism and Hospitality: Challenge the Limits. Hobart, Tas.: University of Tasmania. School of Management, 2010: [925]-[943]. Document Type: Conference Paper ; Research . Accession Number: 816423249797650", "page" : "[925]-[943]", "publisher" : "University of Tasmania. School of Management", "title" : "An Elicitation Study to Explore Attitudes towards Purchasing Carbon Offsets for Flights", "type" : "article" }, "uris" : [ "http://www.mendeley.com/documents/?uuid=b39837e2-2a54-4a09-af4f-5e038b4831bb" ] } ], "mendeley" : { "formattedCitation" : "(Mair &amp; Wong 2010)", "manualFormatting" : "(2010)", "plainTextFormattedCitation" : "(Mair &amp; Wong 2010)", "previouslyFormattedCitation" : "(Mair &amp; Wong 2010)" }, "properties" : {  }, "schema" : "https://github.com/citation-style-language/schema/raw/master/csl-citation.json" }</w:instrText>
      </w:r>
      <w:r w:rsidR="00986D7C">
        <w:rPr>
          <w:rFonts w:eastAsiaTheme="majorEastAsia"/>
          <w:lang w:eastAsia="en-GB"/>
        </w:rPr>
        <w:fldChar w:fldCharType="separate"/>
      </w:r>
      <w:r w:rsidR="00986D7C">
        <w:rPr>
          <w:rFonts w:eastAsiaTheme="majorEastAsia"/>
          <w:noProof/>
          <w:lang w:eastAsia="en-GB"/>
        </w:rPr>
        <w:t>(</w:t>
      </w:r>
      <w:r w:rsidR="00986D7C" w:rsidRPr="00A700C0">
        <w:rPr>
          <w:rFonts w:eastAsiaTheme="majorEastAsia"/>
          <w:noProof/>
          <w:lang w:eastAsia="en-GB"/>
        </w:rPr>
        <w:t>2010)</w:t>
      </w:r>
      <w:r w:rsidR="00986D7C">
        <w:rPr>
          <w:rFonts w:eastAsiaTheme="majorEastAsia"/>
          <w:lang w:eastAsia="en-GB"/>
        </w:rPr>
        <w:fldChar w:fldCharType="end"/>
      </w:r>
      <w:r w:rsidR="00986D7C">
        <w:rPr>
          <w:rFonts w:eastAsiaTheme="majorEastAsia"/>
          <w:lang w:eastAsia="en-GB"/>
        </w:rPr>
        <w:t xml:space="preserve"> </w:t>
      </w:r>
      <w:r w:rsidR="00A700C0">
        <w:rPr>
          <w:rFonts w:eastAsiaTheme="majorEastAsia"/>
          <w:lang w:eastAsia="en-GB"/>
        </w:rPr>
        <w:t>suggest that moral obligation is more likely to predict the take-up of offsets than awareness of the mechanisms by which offsets operate</w:t>
      </w:r>
      <w:r>
        <w:rPr>
          <w:rFonts w:eastAsiaTheme="majorEastAsia"/>
          <w:lang w:eastAsia="en-GB"/>
        </w:rPr>
        <w:t>. As the nudge in the second RCT focussed on issues of cost, transparency, and a technical explanation of offsetting, rather than on the broader cause of environmental protection, there may have been a ‘values mis-match’</w:t>
      </w:r>
      <w:r w:rsidR="00AB72F3">
        <w:rPr>
          <w:rFonts w:eastAsiaTheme="majorEastAsia"/>
          <w:lang w:eastAsia="en-GB"/>
        </w:rPr>
        <w:t>.</w:t>
      </w:r>
      <w:r w:rsidR="00F952A3">
        <w:rPr>
          <w:rFonts w:eastAsiaTheme="majorEastAsia"/>
          <w:lang w:eastAsia="en-GB"/>
        </w:rPr>
        <w:t xml:space="preserve"> </w:t>
      </w:r>
      <w:r>
        <w:rPr>
          <w:rFonts w:eastAsiaTheme="majorEastAsia"/>
          <w:lang w:eastAsia="en-GB"/>
        </w:rPr>
        <w:t>Given that the participants most likely to be interested in offsetting were those who held higher concern about climate change, addressing their pro-environmental ‘intrinsic’ attitudes might be a way to improve the eff</w:t>
      </w:r>
      <w:r w:rsidR="00A77F73">
        <w:rPr>
          <w:rFonts w:eastAsiaTheme="majorEastAsia"/>
          <w:lang w:eastAsia="en-GB"/>
        </w:rPr>
        <w:t>ectiveness of this intervention.</w:t>
      </w:r>
    </w:p>
    <w:p w14:paraId="10DE89C4" w14:textId="77EFAB51" w:rsidR="000027F1" w:rsidRDefault="000027F1" w:rsidP="00055FFE">
      <w:pPr>
        <w:rPr>
          <w:rFonts w:eastAsiaTheme="majorEastAsia"/>
          <w:lang w:eastAsia="en-GB"/>
        </w:rPr>
      </w:pPr>
      <w:r>
        <w:rPr>
          <w:rFonts w:eastAsiaTheme="majorEastAsia"/>
          <w:lang w:eastAsia="en-GB"/>
        </w:rPr>
        <w:t xml:space="preserve">These issues are identified here because they may contribute to a fuller understanding of when nudges may fail. </w:t>
      </w:r>
      <w:r w:rsidR="00FD375C">
        <w:rPr>
          <w:rFonts w:eastAsiaTheme="majorEastAsia"/>
          <w:lang w:eastAsia="en-GB"/>
        </w:rPr>
        <w:t>Future research could test whether addressi</w:t>
      </w:r>
      <w:r w:rsidR="00055FFE">
        <w:rPr>
          <w:rFonts w:eastAsiaTheme="majorEastAsia"/>
          <w:lang w:eastAsia="en-GB"/>
        </w:rPr>
        <w:t>ng these design issues might remove barriers to the target behaviour</w:t>
      </w:r>
      <w:r w:rsidR="00FD375C">
        <w:rPr>
          <w:rFonts w:eastAsiaTheme="majorEastAsia"/>
          <w:lang w:eastAsia="en-GB"/>
        </w:rPr>
        <w:t xml:space="preserve">. </w:t>
      </w:r>
      <w:r>
        <w:rPr>
          <w:rFonts w:eastAsiaTheme="majorEastAsia"/>
          <w:lang w:eastAsia="en-GB"/>
        </w:rPr>
        <w:t>However, these issues of design appear secondary to more substantive barriers to carbon offsetting which may mean it is simply not amenable to system 2 nudges, however they might be constr</w:t>
      </w:r>
      <w:r w:rsidR="00A70E56">
        <w:rPr>
          <w:rFonts w:eastAsiaTheme="majorEastAsia"/>
          <w:lang w:eastAsia="en-GB"/>
        </w:rPr>
        <w:t>ucted</w:t>
      </w:r>
      <w:r>
        <w:rPr>
          <w:rFonts w:eastAsiaTheme="majorEastAsia"/>
          <w:lang w:eastAsia="en-GB"/>
        </w:rPr>
        <w:t>.</w:t>
      </w:r>
    </w:p>
    <w:p w14:paraId="6CFA4748" w14:textId="5888CDE2" w:rsidR="003630C8" w:rsidRDefault="003630C8" w:rsidP="00EC2A65">
      <w:pPr>
        <w:pStyle w:val="Heading2"/>
        <w:rPr>
          <w:lang w:eastAsia="en-GB"/>
        </w:rPr>
      </w:pPr>
      <w:r>
        <w:rPr>
          <w:lang w:eastAsia="en-GB"/>
        </w:rPr>
        <w:t xml:space="preserve">Substantive </w:t>
      </w:r>
      <w:r w:rsidR="00EC2A65">
        <w:rPr>
          <w:lang w:eastAsia="en-GB"/>
        </w:rPr>
        <w:t>barriers</w:t>
      </w:r>
    </w:p>
    <w:p w14:paraId="494BEBBE" w14:textId="6D68E8F8" w:rsidR="003630C8" w:rsidRDefault="00F952A3" w:rsidP="00B840D7">
      <w:pPr>
        <w:rPr>
          <w:rFonts w:eastAsiaTheme="majorEastAsia"/>
          <w:lang w:eastAsia="en-US"/>
        </w:rPr>
      </w:pPr>
      <w:r>
        <w:rPr>
          <w:rFonts w:eastAsiaTheme="majorEastAsia"/>
          <w:lang w:eastAsia="en-US"/>
        </w:rPr>
        <w:t>It is possible</w:t>
      </w:r>
      <w:r w:rsidR="00E96A3A">
        <w:rPr>
          <w:rFonts w:eastAsiaTheme="majorEastAsia"/>
          <w:lang w:eastAsia="en-US"/>
        </w:rPr>
        <w:t xml:space="preserve"> that </w:t>
      </w:r>
      <w:r w:rsidR="00E5089F">
        <w:rPr>
          <w:rFonts w:eastAsiaTheme="majorEastAsia"/>
          <w:lang w:eastAsia="en-US"/>
        </w:rPr>
        <w:t xml:space="preserve">if </w:t>
      </w:r>
      <w:r>
        <w:rPr>
          <w:rFonts w:eastAsiaTheme="majorEastAsia"/>
          <w:lang w:eastAsia="en-US"/>
        </w:rPr>
        <w:t>the design issues</w:t>
      </w:r>
      <w:r w:rsidR="00E5089F">
        <w:rPr>
          <w:rFonts w:eastAsiaTheme="majorEastAsia"/>
          <w:lang w:eastAsia="en-US"/>
        </w:rPr>
        <w:t xml:space="preserve"> uncovered in RCT2 were </w:t>
      </w:r>
      <w:r>
        <w:rPr>
          <w:rFonts w:eastAsiaTheme="majorEastAsia"/>
          <w:lang w:eastAsia="en-US"/>
        </w:rPr>
        <w:t>addressed</w:t>
      </w:r>
      <w:r w:rsidR="00E96A3A">
        <w:rPr>
          <w:rFonts w:eastAsiaTheme="majorEastAsia"/>
          <w:lang w:eastAsia="en-US"/>
        </w:rPr>
        <w:t xml:space="preserve"> </w:t>
      </w:r>
      <w:r w:rsidR="00E5089F">
        <w:rPr>
          <w:rFonts w:eastAsiaTheme="majorEastAsia"/>
          <w:lang w:eastAsia="en-US"/>
        </w:rPr>
        <w:t>for</w:t>
      </w:r>
      <w:r w:rsidR="00E96A3A">
        <w:rPr>
          <w:rFonts w:eastAsiaTheme="majorEastAsia"/>
          <w:lang w:eastAsia="en-US"/>
        </w:rPr>
        <w:t xml:space="preserve"> a </w:t>
      </w:r>
      <w:r>
        <w:rPr>
          <w:rFonts w:eastAsiaTheme="majorEastAsia"/>
          <w:lang w:eastAsia="en-US"/>
        </w:rPr>
        <w:t>third iteration of the nudge</w:t>
      </w:r>
      <w:r w:rsidR="00E96A3A">
        <w:rPr>
          <w:rFonts w:eastAsiaTheme="majorEastAsia"/>
          <w:lang w:eastAsia="en-US"/>
        </w:rPr>
        <w:t>, then the outcome may have been more positive. However, the findings from the three</w:t>
      </w:r>
      <w:r w:rsidR="00FF1C61">
        <w:rPr>
          <w:rFonts w:eastAsiaTheme="majorEastAsia"/>
          <w:lang w:eastAsia="en-US"/>
        </w:rPr>
        <w:t xml:space="preserve"> data collection stages suggest</w:t>
      </w:r>
      <w:r w:rsidR="00E96A3A">
        <w:rPr>
          <w:rFonts w:eastAsiaTheme="majorEastAsia"/>
          <w:lang w:eastAsia="en-US"/>
        </w:rPr>
        <w:t xml:space="preserve"> </w:t>
      </w:r>
      <w:r w:rsidR="00616903">
        <w:rPr>
          <w:rFonts w:eastAsiaTheme="majorEastAsia"/>
          <w:lang w:eastAsia="en-US"/>
        </w:rPr>
        <w:t xml:space="preserve">more </w:t>
      </w:r>
      <w:r w:rsidR="00E96A3A">
        <w:rPr>
          <w:rFonts w:eastAsiaTheme="majorEastAsia"/>
          <w:lang w:eastAsia="en-US"/>
        </w:rPr>
        <w:t>substantiv</w:t>
      </w:r>
      <w:r>
        <w:rPr>
          <w:rFonts w:eastAsiaTheme="majorEastAsia"/>
          <w:lang w:eastAsia="en-US"/>
        </w:rPr>
        <w:t>e barriers to carbon offsetting</w:t>
      </w:r>
      <w:r w:rsidR="00EC2A65">
        <w:rPr>
          <w:rFonts w:eastAsiaTheme="majorEastAsia"/>
          <w:lang w:eastAsia="en-US"/>
        </w:rPr>
        <w:t xml:space="preserve">. Four barriers are identified: </w:t>
      </w:r>
      <w:r w:rsidR="003630C8">
        <w:rPr>
          <w:rFonts w:eastAsiaTheme="majorEastAsia"/>
          <w:lang w:eastAsia="en-US"/>
        </w:rPr>
        <w:t xml:space="preserve">ignorance over offsetting and a lack of social support for it; the fact that offsetting is an ‘invisible’ behaviour and so is less subject to social monitoring or peer pressure; </w:t>
      </w:r>
      <w:r w:rsidR="00B840D7">
        <w:rPr>
          <w:rFonts w:eastAsiaTheme="majorEastAsia"/>
          <w:lang w:eastAsia="en-US"/>
        </w:rPr>
        <w:t>the negative associations which accompany carbon offsets</w:t>
      </w:r>
      <w:r w:rsidR="003630C8">
        <w:rPr>
          <w:rFonts w:eastAsiaTheme="majorEastAsia"/>
          <w:lang w:eastAsia="en-US"/>
        </w:rPr>
        <w:t>; and a lack of incentives to offset.</w:t>
      </w:r>
      <w:r w:rsidR="00DA7EE9">
        <w:rPr>
          <w:rFonts w:eastAsiaTheme="majorEastAsia"/>
          <w:lang w:eastAsia="en-US"/>
        </w:rPr>
        <w:t xml:space="preserve"> These barriers may be relevant to other pro-social </w:t>
      </w:r>
      <w:r w:rsidR="00616903">
        <w:rPr>
          <w:rFonts w:eastAsiaTheme="majorEastAsia"/>
          <w:lang w:eastAsia="en-US"/>
        </w:rPr>
        <w:t>behaviours</w:t>
      </w:r>
      <w:r w:rsidR="00CF70BF">
        <w:rPr>
          <w:rFonts w:eastAsiaTheme="majorEastAsia"/>
          <w:lang w:eastAsia="en-US"/>
        </w:rPr>
        <w:t xml:space="preserve"> as well, particularly when system 2 nudge</w:t>
      </w:r>
      <w:r w:rsidR="00B840D7">
        <w:rPr>
          <w:rFonts w:eastAsiaTheme="majorEastAsia"/>
          <w:lang w:eastAsia="en-US"/>
        </w:rPr>
        <w:t>s are</w:t>
      </w:r>
      <w:r w:rsidR="00CF70BF">
        <w:rPr>
          <w:rFonts w:eastAsiaTheme="majorEastAsia"/>
          <w:lang w:eastAsia="en-US"/>
        </w:rPr>
        <w:t xml:space="preserve"> employed.</w:t>
      </w:r>
      <w:r w:rsidR="00F02F1D">
        <w:rPr>
          <w:rFonts w:eastAsiaTheme="majorEastAsia"/>
          <w:lang w:eastAsia="en-US"/>
        </w:rPr>
        <w:t xml:space="preserve"> </w:t>
      </w:r>
      <w:r w:rsidR="00F02F1D">
        <w:t>These barriers suggest a more enduring mismatch between the target behaviour and nudging, and the need for an alternative approach to the policy problem of aviation emissions.</w:t>
      </w:r>
    </w:p>
    <w:p w14:paraId="74B8C87F" w14:textId="0C083307" w:rsidR="00EC2A65" w:rsidRDefault="00EC2A65" w:rsidP="00463A11">
      <w:r>
        <w:rPr>
          <w:rFonts w:eastAsiaTheme="majorEastAsia"/>
          <w:lang w:eastAsia="en-US"/>
        </w:rPr>
        <w:t>In the previous section</w:t>
      </w:r>
      <w:r w:rsidR="00E5089F">
        <w:rPr>
          <w:rFonts w:eastAsiaTheme="majorEastAsia"/>
          <w:lang w:eastAsia="en-US"/>
        </w:rPr>
        <w:t xml:space="preserve">, </w:t>
      </w:r>
      <w:r w:rsidR="00A7410A">
        <w:rPr>
          <w:rFonts w:eastAsiaTheme="majorEastAsia"/>
          <w:lang w:eastAsia="en-US"/>
        </w:rPr>
        <w:t xml:space="preserve">it was </w:t>
      </w:r>
      <w:r>
        <w:rPr>
          <w:rFonts w:eastAsiaTheme="majorEastAsia"/>
          <w:lang w:eastAsia="en-US"/>
        </w:rPr>
        <w:t>argued that nudges could potentially be used if they avoided harnessing social norm messages which might inadvertently highlight the fact that offsetting is a fringe activity, by activating participants’ ‘availability heuristic</w:t>
      </w:r>
      <w:r w:rsidR="002700D2">
        <w:rPr>
          <w:rFonts w:eastAsiaTheme="majorEastAsia"/>
          <w:lang w:eastAsia="en-US"/>
        </w:rPr>
        <w:t>’.</w:t>
      </w:r>
      <w:r>
        <w:rPr>
          <w:rFonts w:eastAsiaTheme="majorEastAsia"/>
          <w:lang w:eastAsia="en-US"/>
        </w:rPr>
        <w:t xml:space="preserve"> But even if nudging were to take a different form, the fact that carbon offsetting is something which most people have not heard of </w:t>
      </w:r>
      <w:r w:rsidR="002700D2">
        <w:rPr>
          <w:rFonts w:eastAsiaTheme="majorEastAsia"/>
          <w:lang w:eastAsia="en-US"/>
        </w:rPr>
        <w:t xml:space="preserve">– as seen in this and previous studies (see </w:t>
      </w:r>
      <w:r w:rsidR="002700D2">
        <w:rPr>
          <w:rFonts w:eastAsiaTheme="majorEastAsia"/>
          <w:lang w:eastAsia="en-US"/>
        </w:rPr>
        <w:fldChar w:fldCharType="begin" w:fldLock="1"/>
      </w:r>
      <w:r w:rsidR="002700D2">
        <w:rPr>
          <w:rFonts w:eastAsiaTheme="majorEastAsia"/>
          <w:lang w:eastAsia="en-US"/>
        </w:rPr>
        <w:instrText>ADDIN CSL_CITATION { "citationItems" : [ { "id" : "ITEM-1", "itemData" : { "DOI" : "10.1080/09669582.2014.894518", "ISSN" : "0966-9582", "author" : [ { "dropping-particle" : "", "family" : "Choi", "given" : "Andy S.", "non-dropping-particle" : "", "parse-names" : false, "suffix" : "" }, { "dropping-particle" : "", "family" : "Ritchie", "given" : "Brent W.", "non-dropping-particle" : "", "parse-names" : false, "suffix" : "" } ], "container-title" : "Journal of Sustainable Tourism", "id" : "ITEM-1", "issue" : "8", "issued" : { "date-parts" : [ [ "2014", "3", "13" ] ] }, "page" : "1236-1256", "title" : "Willingness to pay for flying carbon neutral in Australia: an exploratory study of offsetter profiles", "type" : "article-journal", "volume" : "22" }, "uris" : [ "http://www.mendeley.com/documents/?uuid=2cf74fe7-dd7f-4ae2-b191-2ea9eb3078fc" ] }, { "id" : "ITEM-2", "itemData" : { "author" : [ { "dropping-particle" : "", "family" : "Hooper", "given" : "Paul", "non-dropping-particle" : "", "parse-names" : false, "suffix" : "" }, { "dropping-particle" : "", "family" : "Daley", "given" : "Ben", "non-dropping-particle" : "", "parse-names" : false, "suffix" : "" }, { "dropping-particle" : "", "family" : "Preston", "given" : "Holly", "non-dropping-particle" : "", "parse-names" : false, "suffix" : "" }, { "dropping-particle" : "", "family" : "Thomas", "given" : "Callum", "non-dropping-particle" : "", "parse-names" : false, "suffix" : "" } ], "id" : "ITEM-2", "issued" : { "date-parts" : [ [ "2008" ] ] }, "publisher-place" : "Manchester", "title" : "Final OMEGA Project Report : An Assessment of the Potential of Carbon Offset Schemes to Mitigate the Climate Change Implications of Future Growth of UK Aviation", "type" : "report" }, "uris" : [ "http://www.mendeley.com/documents/?uuid=3e2477c0-0d9b-4f89-b181-a72e1cf88d2f" ] } ], "mendeley" : { "formattedCitation" : "(Choi &amp; Ritchie 2014; Hooper et al. 2008)", "manualFormatting" : "Choi &amp; Ritchie 2014; Hooper et al. 2008)", "plainTextFormattedCitation" : "(Choi &amp; Ritchie 2014; Hooper et al. 2008)", "previouslyFormattedCitation" : "(Choi &amp; Ritchie 2014; Hooper et al. 2008)" }, "properties" : {  }, "schema" : "https://github.com/citation-style-language/schema/raw/master/csl-citation.json" }</w:instrText>
      </w:r>
      <w:r w:rsidR="002700D2">
        <w:rPr>
          <w:rFonts w:eastAsiaTheme="majorEastAsia"/>
          <w:lang w:eastAsia="en-US"/>
        </w:rPr>
        <w:fldChar w:fldCharType="separate"/>
      </w:r>
      <w:r w:rsidR="002700D2" w:rsidRPr="002700D2">
        <w:rPr>
          <w:rFonts w:eastAsiaTheme="majorEastAsia"/>
          <w:noProof/>
          <w:lang w:eastAsia="en-US"/>
        </w:rPr>
        <w:t>Choi &amp; Ritchie 2014; Hooper et al. 2008)</w:t>
      </w:r>
      <w:r w:rsidR="002700D2">
        <w:rPr>
          <w:rFonts w:eastAsiaTheme="majorEastAsia"/>
          <w:lang w:eastAsia="en-US"/>
        </w:rPr>
        <w:fldChar w:fldCharType="end"/>
      </w:r>
      <w:r w:rsidR="002700D2">
        <w:rPr>
          <w:rFonts w:eastAsiaTheme="majorEastAsia"/>
          <w:lang w:eastAsia="en-US"/>
        </w:rPr>
        <w:t xml:space="preserve"> – </w:t>
      </w:r>
      <w:r w:rsidR="00A976FC">
        <w:rPr>
          <w:rFonts w:eastAsiaTheme="majorEastAsia"/>
          <w:lang w:eastAsia="en-US"/>
        </w:rPr>
        <w:t>is unlikely to change</w:t>
      </w:r>
      <w:r w:rsidR="00126E1A">
        <w:rPr>
          <w:rFonts w:eastAsiaTheme="majorEastAsia"/>
          <w:lang w:eastAsia="en-US"/>
        </w:rPr>
        <w:t>,</w:t>
      </w:r>
      <w:r w:rsidR="00A976FC">
        <w:rPr>
          <w:rFonts w:eastAsiaTheme="majorEastAsia"/>
          <w:lang w:eastAsia="en-US"/>
        </w:rPr>
        <w:t xml:space="preserve"> at least in the short</w:t>
      </w:r>
      <w:r w:rsidR="00126E1A">
        <w:rPr>
          <w:rFonts w:eastAsiaTheme="majorEastAsia"/>
          <w:lang w:eastAsia="en-US"/>
        </w:rPr>
        <w:t xml:space="preserve"> </w:t>
      </w:r>
      <w:r w:rsidR="00A976FC">
        <w:rPr>
          <w:rFonts w:eastAsiaTheme="majorEastAsia"/>
          <w:lang w:eastAsia="en-US"/>
        </w:rPr>
        <w:t>term</w:t>
      </w:r>
      <w:r>
        <w:rPr>
          <w:rFonts w:eastAsiaTheme="majorEastAsia"/>
          <w:lang w:eastAsia="en-US"/>
        </w:rPr>
        <w:t xml:space="preserve">. </w:t>
      </w:r>
      <w:r w:rsidR="00FB01E9">
        <w:rPr>
          <w:rFonts w:eastAsiaTheme="majorEastAsia"/>
          <w:lang w:eastAsia="en-US"/>
        </w:rPr>
        <w:t>Unlike recycling, organ</w:t>
      </w:r>
      <w:r w:rsidR="00B81D92">
        <w:rPr>
          <w:rFonts w:eastAsiaTheme="majorEastAsia"/>
          <w:lang w:eastAsia="en-US"/>
        </w:rPr>
        <w:t xml:space="preserve"> donation or charitable giving</w:t>
      </w:r>
      <w:r w:rsidR="00086563">
        <w:rPr>
          <w:rFonts w:eastAsiaTheme="majorEastAsia"/>
          <w:lang w:eastAsia="en-US"/>
        </w:rPr>
        <w:t xml:space="preserve"> which </w:t>
      </w:r>
      <w:r w:rsidR="00086563" w:rsidRPr="00086563">
        <w:rPr>
          <w:rFonts w:eastAsiaTheme="majorEastAsia"/>
          <w:lang w:eastAsia="en-US"/>
        </w:rPr>
        <w:t xml:space="preserve">have </w:t>
      </w:r>
      <w:r w:rsidR="00086563">
        <w:rPr>
          <w:rFonts w:eastAsiaTheme="majorEastAsia"/>
          <w:lang w:eastAsia="en-US"/>
        </w:rPr>
        <w:t xml:space="preserve">been </w:t>
      </w:r>
      <w:r w:rsidR="00086563" w:rsidRPr="00086563">
        <w:rPr>
          <w:rFonts w:eastAsiaTheme="majorEastAsia"/>
          <w:lang w:eastAsia="en-US"/>
        </w:rPr>
        <w:t>shown to be behaviours that nudging can effectively encourage</w:t>
      </w:r>
      <w:r w:rsidR="00B840D7">
        <w:rPr>
          <w:rFonts w:eastAsiaTheme="majorEastAsia"/>
          <w:lang w:eastAsia="en-US"/>
        </w:rPr>
        <w:t xml:space="preserve"> </w:t>
      </w:r>
      <w:r w:rsidR="00B840D7">
        <w:rPr>
          <w:rFonts w:eastAsiaTheme="majorEastAsia"/>
          <w:lang w:eastAsia="en-US"/>
        </w:rPr>
        <w:fldChar w:fldCharType="begin" w:fldLock="1"/>
      </w:r>
      <w:r w:rsidR="00B840D7">
        <w:rPr>
          <w:rFonts w:eastAsiaTheme="majorEastAsia"/>
          <w:lang w:eastAsia="en-US"/>
        </w:rPr>
        <w:instrText>ADDIN CSL_CITATION { "citationItems" : [ { "id" : "ITEM-1", "itemData" : { "DOI" : "10.1111/ecoj.12114", "ISSN" : "14680297", "abstract" : "There is a widespread belief that peer effects are important in charitable giving, but little evidence on how donors respond to their peers. Analysing a unique dataset of donations to online fundraising pages, we find positive and sizeable peer effects: a \u00a310 increase in the mean of past donations increases giving by \u00a32.50, on average. Donations respond to both very large and very small amounts and to changes in the mode. We find little evidence that donations signal charity quality \u2013 our preferred explanation is that donors use information on earlier donations to decide what is appropriate for them to give. This article is protected by copyright. All rights reserved.", "author" : [ { "dropping-particle" : "", "family" : "Smith", "given" : "Sarah", "non-dropping-particle" : "", "parse-names" : false, "suffix" : "" }, { "dropping-particle" : "", "family" : "Windmeijer", "given" : "Frank", "non-dropping-particle" : "", "parse-names" : false, "suffix" : "" }, { "dropping-particle" : "", "family" : "Wright", "given" : "Edmund", "non-dropping-particle" : "", "parse-names" : false, "suffix" : "" } ], "container-title" : "Economic Journal", "id" : "ITEM-1", "issue" : "585", "issued" : { "date-parts" : [ [ "2015" ] ] }, "page" : "1053-1071", "title" : "Peer effects in charitable giving: Evidence from the (Running) field", "type" : "article-journal", "volume" : "125" }, "uris" : [ "http://www.mendeley.com/documents/?uuid=7d364c54-8f81-4218-8022-612a1486736a" ] }, { "id" : "ITEM-2", "itemData" : { "author" : [ { "dropping-particle" : "", "family" : "Behavioural Insights Team", "given" : "", "non-dropping-particle" : "", "parse-names" : false, "suffix" : "" } ], "id" : "ITEM-2", "issued" : { "date-parts" : [ [ "2013" ] ] }, "title" : "Applying behavioural insights to charitable giving", "type" : "report" }, "uris" : [ "http://www.mendeley.com/documents/?uuid=bf8d2e86-eeaa-4922-a843-68039fa418b5" ] } ], "mendeley" : { "formattedCitation" : "(Smith et al. 2015; Behavioural Insights Team 2013a)", "manualFormatting" : "(see Smith et al. 2015; Behavioural Insights Team 2013a)", "plainTextFormattedCitation" : "(Smith et al. 2015; Behavioural Insights Team 2013a)", "previouslyFormattedCitation" : "(Smith et al. 2015; Behavioural Insights Team 2013a)" }, "properties" : {  }, "schema" : "https://github.com/citation-style-language/schema/raw/master/csl-citation.json" }</w:instrText>
      </w:r>
      <w:r w:rsidR="00B840D7">
        <w:rPr>
          <w:rFonts w:eastAsiaTheme="majorEastAsia"/>
          <w:lang w:eastAsia="en-US"/>
        </w:rPr>
        <w:fldChar w:fldCharType="separate"/>
      </w:r>
      <w:r w:rsidR="00B840D7" w:rsidRPr="00B840D7">
        <w:rPr>
          <w:rFonts w:eastAsiaTheme="majorEastAsia"/>
          <w:noProof/>
          <w:lang w:eastAsia="en-US"/>
        </w:rPr>
        <w:t>(</w:t>
      </w:r>
      <w:r w:rsidR="00B840D7">
        <w:rPr>
          <w:rFonts w:eastAsiaTheme="majorEastAsia"/>
          <w:noProof/>
          <w:lang w:eastAsia="en-US"/>
        </w:rPr>
        <w:t xml:space="preserve">see </w:t>
      </w:r>
      <w:r w:rsidR="00B840D7" w:rsidRPr="00B840D7">
        <w:rPr>
          <w:rFonts w:eastAsiaTheme="majorEastAsia"/>
          <w:noProof/>
          <w:lang w:eastAsia="en-US"/>
        </w:rPr>
        <w:t>Smith et al. 2015; Behavioural Insights Team 2013a)</w:t>
      </w:r>
      <w:r w:rsidR="00B840D7">
        <w:rPr>
          <w:rFonts w:eastAsiaTheme="majorEastAsia"/>
          <w:lang w:eastAsia="en-US"/>
        </w:rPr>
        <w:fldChar w:fldCharType="end"/>
      </w:r>
      <w:r w:rsidR="00B81D92">
        <w:rPr>
          <w:rFonts w:eastAsiaTheme="majorEastAsia"/>
          <w:lang w:eastAsia="en-US"/>
        </w:rPr>
        <w:t xml:space="preserve">, </w:t>
      </w:r>
      <w:r>
        <w:t>carbon offsetting was an unfamiliar concept</w:t>
      </w:r>
      <w:r w:rsidR="00E5089F">
        <w:t xml:space="preserve"> to focus group participants</w:t>
      </w:r>
      <w:r>
        <w:t xml:space="preserve">, and therefore expecting people to </w:t>
      </w:r>
      <w:r w:rsidR="00E5089F">
        <w:t xml:space="preserve">adopt carbon offsetting </w:t>
      </w:r>
      <w:r>
        <w:t xml:space="preserve">on the basis of one nudge might </w:t>
      </w:r>
      <w:r w:rsidR="00E5089F">
        <w:t>be overambitious</w:t>
      </w:r>
      <w:r>
        <w:t xml:space="preserve">. </w:t>
      </w:r>
    </w:p>
    <w:p w14:paraId="6FF0B8A7" w14:textId="0EE8B795" w:rsidR="00EC2A65" w:rsidRDefault="00EC2A65" w:rsidP="005A2E22">
      <w:pPr>
        <w:rPr>
          <w:lang w:eastAsia="zh-TW"/>
        </w:rPr>
      </w:pPr>
      <w:r>
        <w:t>A second substantive barrier</w:t>
      </w:r>
      <w:r w:rsidR="00FB01E9">
        <w:t xml:space="preserve"> relates to the virtual space</w:t>
      </w:r>
      <w:r>
        <w:t xml:space="preserve"> in which offset behaviour occurs. Harnessing the power of social norms for online behaviours such as buying flights or offsets is difficult because much online behaviour is often effectively ‘invisible’ to others </w:t>
      </w:r>
      <w:r w:rsidR="00B81D92">
        <w:t>and lies beyond the gaze of one’</w:t>
      </w:r>
      <w:r>
        <w:t xml:space="preserve">s peers. </w:t>
      </w:r>
      <w:r>
        <w:rPr>
          <w:lang w:eastAsia="zh-TW"/>
        </w:rPr>
        <w:t>If our behaviour is not exposed to others, then the power of social norm nudging is</w:t>
      </w:r>
      <w:r w:rsidR="00140132">
        <w:rPr>
          <w:lang w:eastAsia="zh-TW"/>
        </w:rPr>
        <w:t xml:space="preserve"> greatly</w:t>
      </w:r>
      <w:r>
        <w:rPr>
          <w:lang w:eastAsia="zh-TW"/>
        </w:rPr>
        <w:t xml:space="preserve"> diminished. </w:t>
      </w:r>
      <w:r w:rsidR="006C4BF4">
        <w:rPr>
          <w:lang w:eastAsia="zh-TW"/>
        </w:rPr>
        <w:t>Some focus group</w:t>
      </w:r>
      <w:r>
        <w:rPr>
          <w:lang w:eastAsia="zh-TW"/>
        </w:rPr>
        <w:t xml:space="preserve"> participants said that if social media outlets such as Facebo</w:t>
      </w:r>
      <w:r w:rsidR="00FB5793">
        <w:rPr>
          <w:lang w:eastAsia="zh-TW"/>
        </w:rPr>
        <w:t>ok were</w:t>
      </w:r>
      <w:r>
        <w:rPr>
          <w:lang w:eastAsia="zh-TW"/>
        </w:rPr>
        <w:t xml:space="preserve"> used to show that one’s friends had purchased an offset, then they might be motivated to follow suit. Indeed, research into charitable giving has shown that people are </w:t>
      </w:r>
      <w:r w:rsidR="00FB5793">
        <w:rPr>
          <w:lang w:eastAsia="zh-TW"/>
        </w:rPr>
        <w:t xml:space="preserve">more </w:t>
      </w:r>
      <w:r>
        <w:rPr>
          <w:lang w:eastAsia="zh-TW"/>
        </w:rPr>
        <w:t xml:space="preserve">likely to donate, and to donate more, if they can see that their peers have </w:t>
      </w:r>
      <w:r w:rsidR="00FB5793">
        <w:rPr>
          <w:lang w:eastAsia="zh-TW"/>
        </w:rPr>
        <w:t>previously</w:t>
      </w:r>
      <w:r>
        <w:rPr>
          <w:lang w:eastAsia="zh-TW"/>
        </w:rPr>
        <w:t xml:space="preserve"> donated to a specific fundraising campaign online </w:t>
      </w:r>
      <w:r>
        <w:rPr>
          <w:lang w:eastAsia="zh-TW"/>
        </w:rPr>
        <w:fldChar w:fldCharType="begin" w:fldLock="1"/>
      </w:r>
      <w:r w:rsidR="00CB0271">
        <w:rPr>
          <w:lang w:eastAsia="zh-TW"/>
        </w:rPr>
        <w:instrText>ADDIN CSL_CITATION { "citationItems" : [ { "id" : "ITEM-1", "itemData" : { "DOI" : "10.1111/ecoj.12114", "ISSN" : "14680297", "abstract" : "There is a widespread belief that peer effects are important in charitable giving, but little evidence on how donors respond to their peers. Analysing a unique dataset of donations to online fundraising pages, we find positive and sizeable peer effects: a \u00a310 increase in the mean of past donations increases giving by \u00a32.50, on average. Donations respond to both very large and very small amounts and to changes in the mode. We find little evidence that donations signal charity quality \u2013 our preferred explanation is that donors use information on earlier donations to decide what is appropriate for them to give. This article is protected by copyright. All rights reserved.", "author" : [ { "dropping-particle" : "", "family" : "Smith", "given" : "Sarah", "non-dropping-particle" : "", "parse-names" : false, "suffix" : "" }, { "dropping-particle" : "", "family" : "Windmeijer", "given" : "Frank", "non-dropping-particle" : "", "parse-names" : false, "suffix" : "" }, { "dropping-particle" : "", "family" : "Wright", "given" : "Edmund", "non-dropping-particle" : "", "parse-names" : false, "suffix" : "" } ], "container-title" : "Economic Journal", "id" : "ITEM-1", "issue" : "585", "issued" : { "date-parts" : [ [ "2015" ] ] }, "page" : "1053-1071", "title" : "Peer effects in charitable giving: Evidence from the (Running) field", "type" : "article-journal", "volume" : "125" }, "uris" : [ "http://www.mendeley.com/documents/?uuid=7d364c54-8f81-4218-8022-612a1486736a" ] } ], "mendeley" : { "formattedCitation" : "(Smith et al. 2015)", "plainTextFormattedCitation" : "(Smith et al. 2015)", "previouslyFormattedCitation" : "(Smith et al. 2015)" }, "properties" : {  }, "schema" : "https://github.com/citation-style-language/schema/raw/master/csl-citation.json" }</w:instrText>
      </w:r>
      <w:r>
        <w:rPr>
          <w:lang w:eastAsia="zh-TW"/>
        </w:rPr>
        <w:fldChar w:fldCharType="separate"/>
      </w:r>
      <w:r>
        <w:rPr>
          <w:noProof/>
          <w:lang w:eastAsia="zh-TW"/>
        </w:rPr>
        <w:t>(Smith et al. 2015)</w:t>
      </w:r>
      <w:r>
        <w:rPr>
          <w:lang w:eastAsia="zh-TW"/>
        </w:rPr>
        <w:fldChar w:fldCharType="end"/>
      </w:r>
      <w:r>
        <w:rPr>
          <w:lang w:eastAsia="zh-TW"/>
        </w:rPr>
        <w:t>. Future work into harnessing social media to make online behaviours more amenable to social norm-</w:t>
      </w:r>
      <w:r w:rsidR="004608C3">
        <w:rPr>
          <w:lang w:eastAsia="zh-TW"/>
        </w:rPr>
        <w:t>based</w:t>
      </w:r>
      <w:r>
        <w:rPr>
          <w:lang w:eastAsia="zh-TW"/>
        </w:rPr>
        <w:t xml:space="preserve"> nudges might thus provide more fruitful results. </w:t>
      </w:r>
    </w:p>
    <w:p w14:paraId="00E8DCED" w14:textId="7DAD3FAA" w:rsidR="00EC2A65" w:rsidRDefault="00EC2A65">
      <w:pPr>
        <w:rPr>
          <w:lang w:eastAsia="zh-TW"/>
        </w:rPr>
      </w:pPr>
      <w:r>
        <w:rPr>
          <w:lang w:eastAsia="zh-TW"/>
        </w:rPr>
        <w:t xml:space="preserve">Thirdly, a more specific problem is that </w:t>
      </w:r>
      <w:r w:rsidR="00B840D7">
        <w:rPr>
          <w:lang w:eastAsia="zh-TW"/>
        </w:rPr>
        <w:t xml:space="preserve">carbon offsets may have negative connotations. </w:t>
      </w:r>
      <w:r>
        <w:rPr>
          <w:lang w:eastAsia="zh-TW"/>
        </w:rPr>
        <w:t xml:space="preserve">Focus group participants commented that there were many annoying ‘additional charges’ at the point of booking a flight online for </w:t>
      </w:r>
      <w:r w:rsidR="00FB5793">
        <w:rPr>
          <w:lang w:eastAsia="zh-TW"/>
        </w:rPr>
        <w:t>extra services such as car hire or</w:t>
      </w:r>
      <w:r>
        <w:rPr>
          <w:lang w:eastAsia="zh-TW"/>
        </w:rPr>
        <w:t xml:space="preserve"> travel insurance</w:t>
      </w:r>
      <w:r w:rsidR="00FB5793">
        <w:rPr>
          <w:lang w:eastAsia="zh-TW"/>
        </w:rPr>
        <w:t>.</w:t>
      </w:r>
      <w:r>
        <w:rPr>
          <w:lang w:eastAsia="zh-TW"/>
        </w:rPr>
        <w:t xml:space="preserve"> Including carbon offsetting as </w:t>
      </w:r>
      <w:r w:rsidR="006C4BF4">
        <w:rPr>
          <w:lang w:eastAsia="zh-TW"/>
        </w:rPr>
        <w:t xml:space="preserve">just </w:t>
      </w:r>
      <w:r>
        <w:rPr>
          <w:lang w:eastAsia="zh-TW"/>
        </w:rPr>
        <w:t>another ‘additional service’ might mean that it is overlooked or actively dismissed y customers</w:t>
      </w:r>
      <w:r w:rsidR="0085048B">
        <w:rPr>
          <w:lang w:eastAsia="zh-TW"/>
        </w:rPr>
        <w:t>.</w:t>
      </w:r>
    </w:p>
    <w:p w14:paraId="69734BAD" w14:textId="00AE35C4" w:rsidR="00EC2A65" w:rsidRDefault="00FF1C61">
      <w:pPr>
        <w:rPr>
          <w:lang w:eastAsia="zh-TW"/>
        </w:rPr>
      </w:pPr>
      <w:r>
        <w:rPr>
          <w:lang w:eastAsia="zh-TW"/>
        </w:rPr>
        <w:t>The</w:t>
      </w:r>
      <w:r w:rsidR="00EC2A65">
        <w:rPr>
          <w:lang w:eastAsia="zh-TW"/>
        </w:rPr>
        <w:t xml:space="preserve"> fourth and perhaps most important substantive barrier to carbon offsetting</w:t>
      </w:r>
      <w:r>
        <w:rPr>
          <w:lang w:eastAsia="zh-TW"/>
        </w:rPr>
        <w:t xml:space="preserve"> is that there is no tangible incentive for customers to purchase them</w:t>
      </w:r>
      <w:r w:rsidR="00367F64">
        <w:rPr>
          <w:lang w:eastAsia="zh-TW"/>
        </w:rPr>
        <w:t xml:space="preserve">. </w:t>
      </w:r>
      <w:r w:rsidR="00EC2A65">
        <w:rPr>
          <w:lang w:eastAsia="zh-TW"/>
        </w:rPr>
        <w:t xml:space="preserve">Pro-social nudges have been effective in other scenarios such as recycling, reducing unnecessary laundry, </w:t>
      </w:r>
      <w:r w:rsidR="00FB01E9">
        <w:rPr>
          <w:lang w:eastAsia="zh-TW"/>
        </w:rPr>
        <w:t xml:space="preserve">and </w:t>
      </w:r>
      <w:r w:rsidR="00EC2A65">
        <w:rPr>
          <w:lang w:eastAsia="zh-TW"/>
        </w:rPr>
        <w:t xml:space="preserve">charitable donations. For these behaviours, there is also no </w:t>
      </w:r>
      <w:r w:rsidR="00FB5793">
        <w:rPr>
          <w:lang w:eastAsia="zh-TW"/>
        </w:rPr>
        <w:t>tangible</w:t>
      </w:r>
      <w:r w:rsidR="00EC2A65">
        <w:rPr>
          <w:lang w:eastAsia="zh-TW"/>
        </w:rPr>
        <w:t xml:space="preserve"> incentive for individuals to comply. The difference may be that the other confounding problems outlined above, which specifically affect carbon offsetting, do not affect these other behaviours. That is, when pro-social behaviours are already ‘</w:t>
      </w:r>
      <w:r w:rsidR="00EC2A65">
        <w:rPr>
          <w:i/>
          <w:iCs/>
          <w:lang w:eastAsia="zh-TW"/>
        </w:rPr>
        <w:t>common’</w:t>
      </w:r>
      <w:r w:rsidR="00EC2A65">
        <w:rPr>
          <w:lang w:eastAsia="zh-TW"/>
        </w:rPr>
        <w:t xml:space="preserve"> (and individuals can refer to their prevalence through their availability heuristic), </w:t>
      </w:r>
      <w:r w:rsidR="00EC2A65">
        <w:rPr>
          <w:i/>
          <w:iCs/>
          <w:lang w:eastAsia="zh-TW"/>
        </w:rPr>
        <w:t xml:space="preserve">‘visible’ </w:t>
      </w:r>
      <w:r w:rsidR="00EC2A65">
        <w:rPr>
          <w:lang w:eastAsia="zh-TW"/>
        </w:rPr>
        <w:t xml:space="preserve">(i.e. others can see them being done), and they </w:t>
      </w:r>
      <w:r w:rsidR="00B840D7">
        <w:rPr>
          <w:lang w:eastAsia="zh-TW"/>
        </w:rPr>
        <w:t xml:space="preserve">do not carry negative connotations </w:t>
      </w:r>
      <w:r w:rsidR="00EC2A65">
        <w:rPr>
          <w:lang w:eastAsia="zh-TW"/>
        </w:rPr>
        <w:t xml:space="preserve">(as carbon offsetting is associated with annoying ‘extra’ services), then </w:t>
      </w:r>
      <w:r w:rsidR="0008123A">
        <w:rPr>
          <w:lang w:eastAsia="zh-TW"/>
        </w:rPr>
        <w:t xml:space="preserve">pro-social </w:t>
      </w:r>
      <w:r w:rsidR="00140132">
        <w:rPr>
          <w:lang w:eastAsia="zh-TW"/>
        </w:rPr>
        <w:t xml:space="preserve">system 2 </w:t>
      </w:r>
      <w:r w:rsidR="00EC2A65">
        <w:rPr>
          <w:lang w:eastAsia="zh-TW"/>
        </w:rPr>
        <w:t>nudges might work. If these other problems are present, then it is likely they will not.</w:t>
      </w:r>
      <w:r w:rsidR="00140132">
        <w:rPr>
          <w:lang w:eastAsia="zh-TW"/>
        </w:rPr>
        <w:t xml:space="preserve"> Interestingly, many focus group participants said that they could </w:t>
      </w:r>
      <w:r w:rsidR="00DE4C3E">
        <w:rPr>
          <w:lang w:eastAsia="zh-TW"/>
        </w:rPr>
        <w:t>appreciate</w:t>
      </w:r>
      <w:r w:rsidR="00140132">
        <w:rPr>
          <w:lang w:eastAsia="zh-TW"/>
        </w:rPr>
        <w:t xml:space="preserve"> the problem of aviation emissions</w:t>
      </w:r>
      <w:r w:rsidR="00DC6C15">
        <w:rPr>
          <w:lang w:eastAsia="zh-TW"/>
        </w:rPr>
        <w:t>,</w:t>
      </w:r>
      <w:r w:rsidR="00140132">
        <w:rPr>
          <w:lang w:eastAsia="zh-TW"/>
        </w:rPr>
        <w:t xml:space="preserve"> and that </w:t>
      </w:r>
      <w:r w:rsidR="00DC6C15">
        <w:rPr>
          <w:lang w:eastAsia="zh-TW"/>
        </w:rPr>
        <w:t xml:space="preserve">presenting </w:t>
      </w:r>
      <w:r w:rsidR="00140132">
        <w:rPr>
          <w:lang w:eastAsia="zh-TW"/>
        </w:rPr>
        <w:t>offsettin</w:t>
      </w:r>
      <w:r w:rsidR="00DC6C15">
        <w:rPr>
          <w:lang w:eastAsia="zh-TW"/>
        </w:rPr>
        <w:t>g as a default option (</w:t>
      </w:r>
      <w:r w:rsidR="00140132">
        <w:rPr>
          <w:lang w:eastAsia="zh-TW"/>
        </w:rPr>
        <w:t>i.e. a system 1 nudge</w:t>
      </w:r>
      <w:r w:rsidR="00DC6C15">
        <w:rPr>
          <w:lang w:eastAsia="zh-TW"/>
        </w:rPr>
        <w:t>, which they could opt out of)</w:t>
      </w:r>
      <w:r w:rsidR="00140132">
        <w:rPr>
          <w:lang w:eastAsia="zh-TW"/>
        </w:rPr>
        <w:t>, or even a</w:t>
      </w:r>
      <w:r w:rsidR="00DC6C15">
        <w:rPr>
          <w:lang w:eastAsia="zh-TW"/>
        </w:rPr>
        <w:t>s</w:t>
      </w:r>
      <w:r w:rsidR="00140132">
        <w:rPr>
          <w:lang w:eastAsia="zh-TW"/>
        </w:rPr>
        <w:t xml:space="preserve"> mandatory </w:t>
      </w:r>
      <w:r w:rsidR="00DC6C15">
        <w:rPr>
          <w:lang w:eastAsia="zh-TW"/>
        </w:rPr>
        <w:t>(a ‘shove’ in the form of a carbon tax) would be acceptable to them.</w:t>
      </w:r>
    </w:p>
    <w:p w14:paraId="7E2027E8" w14:textId="5B879148" w:rsidR="002D0F9C" w:rsidRDefault="002D0F9C" w:rsidP="002D0F9C">
      <w:pPr>
        <w:pStyle w:val="Heading1"/>
        <w:rPr>
          <w:lang w:eastAsia="zh-TW"/>
        </w:rPr>
      </w:pPr>
      <w:r>
        <w:rPr>
          <w:lang w:eastAsia="zh-TW"/>
        </w:rPr>
        <w:t>Conclusion</w:t>
      </w:r>
    </w:p>
    <w:p w14:paraId="4555427D" w14:textId="553F0FB8" w:rsidR="009E1965" w:rsidRDefault="00AA2450" w:rsidP="000E4830">
      <w:pPr>
        <w:rPr>
          <w:lang w:eastAsia="zh-TW"/>
        </w:rPr>
      </w:pPr>
      <w:r>
        <w:t>I</w:t>
      </w:r>
      <w:r w:rsidRPr="00C80B41">
        <w:t xml:space="preserve">n this paper, the RCT findings shows system 2 nudges to be ineffective in encouraging the pro-social behaviour of carbon offsetting among this sample. </w:t>
      </w:r>
      <w:r>
        <w:t>Conceptually</w:t>
      </w:r>
      <w:r w:rsidR="00C80B41" w:rsidRPr="00C80B41">
        <w:t xml:space="preserve">, this paper attempts to delineate, in </w:t>
      </w:r>
      <w:r w:rsidR="009E1965" w:rsidRPr="00C80B41">
        <w:t xml:space="preserve">greater detail than has previously been established </w:t>
      </w:r>
      <w:r w:rsidR="009E1965" w:rsidRPr="00C80B41">
        <w:fldChar w:fldCharType="begin" w:fldLock="1"/>
      </w:r>
      <w:r w:rsidR="009E1965">
        <w:instrText>ADDIN CSL_CITATION { "citationItems" : [ { "id" : "ITEM-1", "itemData" : { "DOI" : "10.1017/CBO9781107415324.004", "ISBN" : "9788578110796", "ISSN" : "1098-6596", "PMID" : "25246403", "author" : [ { "dropping-particle" : "", "family" : "Sunstein", "given" : "Cass R.", "non-dropping-particle" : "", "parse-names" : false, "suffix" : "" } ], "container-title" : "Duke Law Journal", "id" : "ITEM-1", "issued" : { "date-parts" : [ [ "2016" ] ] }, "page" : "1-36", "title" : "People Prefer System 2 Nudges (Kind Of)", "type" : "article-journal", "volume" : "66" }, "uris" : [ "http://www.mendeley.com/documents/?uuid=2778626c-7994-4b17-8fcc-a2f54540ac2d" ] }, { "id" : "ITEM-2", "itemData" : { "author" : [ { "dropping-particle" : "", "family" : "Sunstein", "given" : "Cass R.", "non-dropping-particle" : "", "parse-names" : false, "suffix" : "" } ], "container-title" : "Social Science Research Network", "id" : "ITEM-2", "issued" : { "date-parts" : [ [ "2016" ] ] }, "page" : "1-20", "title" : "Nudges That Fail", "type" : "article-journal" }, "uris" : [ "http://www.mendeley.com/documents/?uuid=a9321737-53dc-4139-acd0-ca605329e4fd" ] }, { "id" : "ITEM-3", "itemData" : { "DOI" : "10.1007/s13164-015-0263-2", "ISBN" : "1316401502", "ISSN" : "1878-5158", "author" : [ { "dropping-particle" : "", "family" : "Hagman", "given" : "William", "non-dropping-particle" : "", "parse-names" : false, "suffix" : "" }, { "dropping-particle" : "", "family" : "Andersson", "given" : "David", "non-dropping-particle" : "", "parse-names" : false, "suffix" : "" }, { "dropping-particle" : "", "family" : "V\u00e4stfj\u00e4ll", "given" : "Daniel", "non-dropping-particle" : "", "parse-names" : false, "suffix" : "" }, { "dropping-particle" : "", "family" : "Tingh\u00f6g", "given" : "Gustav", "non-dropping-particle" : "", "parse-names" : false, "suffix" : "" } ], "container-title" : "Review of Philosophy and Psychology", "id" : "ITEM-3", "issued" : { "date-parts" : [ [ "2015" ] ] }, "page" : "439-453", "title" : "Public Views on Policies Involving Nudges", "type" : "article-journal" }, "uris" : [ "http://www.mendeley.com/documents/?uuid=6cd9b60d-3c49-49d4-a62c-2055098127d4" ] } ], "mendeley" : { "formattedCitation" : "(Sunstein 2016b; Sunstein 2016a; Hagman et al. 2015)", "plainTextFormattedCitation" : "(Sunstein 2016b; Sunstein 2016a; Hagman et al. 2015)", "previouslyFormattedCitation" : "(Sunstein 2016b; Sunstein 2016a; Hagman et al. 2015)" }, "properties" : {  }, "schema" : "https://github.com/citation-style-language/schema/raw/master/csl-citation.json" }</w:instrText>
      </w:r>
      <w:r w:rsidR="009E1965" w:rsidRPr="00C80B41">
        <w:fldChar w:fldCharType="separate"/>
      </w:r>
      <w:r w:rsidR="009E1965" w:rsidRPr="00C80B41">
        <w:rPr>
          <w:noProof/>
        </w:rPr>
        <w:t>(Sunstein 2016b; Sunstein 2016a; Hagman et al. 2015)</w:t>
      </w:r>
      <w:r w:rsidR="009E1965" w:rsidRPr="00C80B41">
        <w:fldChar w:fldCharType="end"/>
      </w:r>
      <w:r w:rsidR="009E1965" w:rsidRPr="00C80B41">
        <w:t xml:space="preserve">, some limits to using nudges for pro-social behaviours. As discussed in the introduction, there are instances when, for practical, legal, and/or ethical reasons, ‘weaker’ system 2 nudges are employed over stronger system 1 nudges such as default-options. </w:t>
      </w:r>
      <w:r w:rsidR="009E1965">
        <w:t>Despite this ‘weakness’, s</w:t>
      </w:r>
      <w:r w:rsidR="009E1965" w:rsidRPr="00C80B41">
        <w:t xml:space="preserve">ystem 2 nudges have been shown to be effective in encouraging some pro-social behaviours such as charitable giving, or voting </w:t>
      </w:r>
      <w:r w:rsidR="009E1965" w:rsidRPr="00C80B41">
        <w:fldChar w:fldCharType="begin" w:fldLock="1"/>
      </w:r>
      <w:r w:rsidR="009E1965">
        <w:instrText>ADDIN CSL_CITATION { "citationItems" : [ { "id" : "ITEM-1", "itemData" : { "author" : [ { "dropping-particle" : "", "family" : "John", "given" : "Peter", "non-dropping-particle" : "", "parse-names" : false, "suffix" : "" }, { "dropping-particle" : "", "family" : "Cotterill", "given" : "Sarah", "non-dropping-particle" : "", "parse-names" : false, "suffix" : "" }, { "dropping-particle" : "", "family" : "Moseley", "given" : "Alice", "non-dropping-particle" : "", "parse-names" : false, "suffix" : "" }, { "dropping-particle" : "", "family" : "Richardson", "given" : "Liz", "non-dropping-particle" : "", "parse-names" : false, "suffix" : "" }, { "dropping-particle" : "", "family" : "Smith", "given" : "Graham", "non-dropping-particle" : "", "parse-names" : false, "suffix" : "" }, { "dropping-particle" : "", "family" : "Gerry", "given" : "Stoker", "non-dropping-particle" : "", "parse-names" : false, "suffix" : "" }, { "dropping-particle" : "", "family" : "Corinne", "given" : "Wales", "non-dropping-particle" : "", "parse-names" : false, "suffix" : "" } ], "id" : "ITEM-1", "issued" : { "date-parts" : [ [ "2011" ] ] }, "publisher" : "Bloomsbury Academic", "publisher-place" : "London", "title" : "Nudge, nudge, think, think : experimenting with ways to change civic behaviour", "type" : "book" }, "uris" : [ "http://www.mendeley.com/documents/?uuid=07c9f778-caf5-44fa-8cfe-805bde6b6696" ] } ], "mendeley" : { "formattedCitation" : "(John et al. 2011)", "plainTextFormattedCitation" : "(John et al. 2011)", "previouslyFormattedCitation" : "(John et al. 2011)" }, "properties" : {  }, "schema" : "https://github.com/citation-style-language/schema/raw/master/csl-citation.json" }</w:instrText>
      </w:r>
      <w:r w:rsidR="009E1965" w:rsidRPr="00C80B41">
        <w:fldChar w:fldCharType="separate"/>
      </w:r>
      <w:r w:rsidR="009E1965" w:rsidRPr="00C80B41">
        <w:rPr>
          <w:noProof/>
        </w:rPr>
        <w:t>(John et al. 2011)</w:t>
      </w:r>
      <w:r w:rsidR="009E1965" w:rsidRPr="00C80B41">
        <w:fldChar w:fldCharType="end"/>
      </w:r>
      <w:r w:rsidR="009E1965" w:rsidRPr="00C80B41">
        <w:t xml:space="preserve">. </w:t>
      </w:r>
      <w:r w:rsidR="009E1965">
        <w:t xml:space="preserve">For carbon offsetting, however, the </w:t>
      </w:r>
      <w:r w:rsidR="009E1965" w:rsidRPr="00C80B41">
        <w:t xml:space="preserve">focus group data identifies some </w:t>
      </w:r>
      <w:r w:rsidR="009E1965">
        <w:t>specific</w:t>
      </w:r>
      <w:r w:rsidR="009E1965" w:rsidRPr="00C80B41">
        <w:t xml:space="preserve"> substantive barriers</w:t>
      </w:r>
      <w:r w:rsidR="000E4830">
        <w:t xml:space="preserve"> which mean that </w:t>
      </w:r>
      <w:r w:rsidR="00016DD4" w:rsidRPr="00016DD4">
        <w:rPr>
          <w:lang w:eastAsia="zh-TW"/>
        </w:rPr>
        <w:t>system 2 nudges are unlikely to work.</w:t>
      </w:r>
    </w:p>
    <w:p w14:paraId="0010DE10" w14:textId="0B5C4A4B" w:rsidR="00016DD4" w:rsidRDefault="00016DD4" w:rsidP="000E4830">
      <w:pPr>
        <w:rPr>
          <w:lang w:eastAsia="zh-TW"/>
        </w:rPr>
      </w:pPr>
      <w:r>
        <w:rPr>
          <w:lang w:eastAsia="zh-TW"/>
        </w:rPr>
        <w:t xml:space="preserve">The typology </w:t>
      </w:r>
      <w:r w:rsidR="000E4830">
        <w:rPr>
          <w:lang w:eastAsia="zh-TW"/>
        </w:rPr>
        <w:t>presented</w:t>
      </w:r>
      <w:r>
        <w:rPr>
          <w:lang w:eastAsia="zh-TW"/>
        </w:rPr>
        <w:t xml:space="preserve"> in </w:t>
      </w:r>
      <w:r w:rsidR="000E4830">
        <w:rPr>
          <w:lang w:eastAsia="zh-TW"/>
        </w:rPr>
        <w:t>Figure 3</w:t>
      </w:r>
      <w:r>
        <w:rPr>
          <w:lang w:eastAsia="zh-TW"/>
        </w:rPr>
        <w:t xml:space="preserve"> illustrates how different nudges might suit particular combinations of target behaviours and systems of thinking, whilst also showing how these different combinations have consequences in terms of likely effectiveness of a nudge, and its ethical acceptability. The nudges tested in this project relate to quadrant (4) as they target a pro-social behaviour (carbon offsetting) and attend to system 2 thinking (by providing information). This means that as an intervention, we might assume ethical acceptability to be high, but effectiveness to be low.</w:t>
      </w:r>
    </w:p>
    <w:p w14:paraId="3C8F0E58" w14:textId="77777777" w:rsidR="000E4830" w:rsidRDefault="000E4830" w:rsidP="000E4830">
      <w:r>
        <w:t xml:space="preserve">Policy implications arise from these findings. Rather than reject behavioural insights outright, such findings may demonstrate the shortcomings of </w:t>
      </w:r>
      <w:r w:rsidRPr="00356AF0">
        <w:t>individualised</w:t>
      </w:r>
      <w:r>
        <w:t xml:space="preserve"> behavioural policies, which have been criticised as ineffective, slow, and distracting </w:t>
      </w:r>
      <w:r>
        <w:fldChar w:fldCharType="begin" w:fldLock="1"/>
      </w:r>
      <w:r>
        <w:instrText>ADDIN CSL_CITATION { "citationItems" : [ { "id" : "ITEM-1", "itemData" : { "DOI" : "10.1068/c1201", "ISBN" : "0263-774X; 1472-3425", "ISSN" : "0263774X", "abstract" : "This paper explores some of the limitations of individualistic approaches towards the study and promotion of environmentally sustainable practices within the context of efforts by states to tackle global climate change. Using the example of government attempts to promote sustainable mobility through behavioural shifts amongst citizens in the UK, the paper argues that an overreliance on individualistic approaches poses three major challenges through the ways in which: (1) mobility is intricately entwined with social practices and consumption settings; (2) practices of (un)sustainable mobility are related to the structure and organisation of physical environments; and (3) solutions for sustainable mobility are framed through narrow political lenses that fail to address the potential social transformations needed to tackle climate change. Accordingly, the paper argues that both researchers and policy makers need to revisit the assumptions made concerning the role of individuals and their relationship to underlying sociostructural and political challenges for reducing carbon emissions from transport.", "author" : [ { "dropping-particle" : "", "family" : "Barr", "given" : "Stewart", "non-dropping-particle" : "", "parse-names" : false, "suffix" : "" }, { "dropping-particle" : "", "family" : "Prillwitz", "given" : "Jan", "non-dropping-particle" : "", "parse-names" : false, "suffix" : "" } ], "container-title" : "Environment and Planning C: Government and Policy", "id" : "ITEM-1", "issue" : "1", "issued" : { "date-parts" : [ [ "2014" ] ] }, "page" : "1-19", "title" : "A smarter choice? exploring the behaviour change agenda for environmentally sustainable mobility", "type" : "article-journal", "volume" : "32" }, "uris" : [ "http://www.mendeley.com/documents/?uuid=11dcb454-2fac-4cbc-b20c-ce6e7f52af45" ] }, { "id" : "ITEM-2", "itemData" : { "abstract" : "In this short and deliberately provocative paper I reflect on what seems to be a yawning gulf between the potential contribution of the social sciences and the typically restricted models and concepts of social change embedded in contemporary environmental policy in the UK, and in other countries too. As well as making a strong case for going beyond what I refer to as the dominant paradigm of 'ABC'-attitude, behaviour, and choice-I discuss the attractions of this model, the blind spots it creates, and the forms of governance it sustains. This exercise provides some insight into why so much relevant social theory remains so marginalised, and helps identify opportunities for making better use of existing intellectual resources.", "author" : [ { "dropping-particle" : "", "family" : "Shove", "given" : "E", "non-dropping-particle" : "", "parse-names" : false, "suffix" : "" } ], "container-title" : "Environment and Planning", "id" : "ITEM-2", "issued" : { "date-parts" : [ [ "2010" ] ] }, "page" : "1273-1285", "title" : "Beyond the ABC: climate change policy and theories of social change", "type" : "article-journal", "volume" : "42" }, "uris" : [ "http://www.mendeley.com/documents/?uuid=c3d3675c-a260-46f3-a09c-efbbd8956de4" ] }, { "id" : "ITEM-3", "itemData" : { "abstract" : "Three different sets of approaches to understanding behaviour with respect to sustainable tourism mobility and consumption are identified in this paper: the utilitarian, social/psychological and the systems of provision/institutional approach. Each is based on different sets of assumptions on the factors that affect consumer sustainability behaviour. These assumptions not only affect the selection of policy tools to change behaviours but are also related to different modes of governance. Assumptions with respect to human behaviour and behavioural change and modes of intervention and governance are interrelated and mutually reinforcing and act as policy paradigms. Failure to recognise the importance of social structures in affecting behaviour has created a path dependency in which solutions to sustainable tourism mobility are only accepted within the dominant governance and behavioural paradigm. Other policy options and academic research that identify structures and institutions in systems of provision as a sustainability problem that requires non-market intervention and/or significant system change are regarded as marginal to the policy process or are ignored. It is concluded that all three different ways of approaching consumer behaviour are required if a sustainable transition to the socio-technological system of tourism mobility is to be made in a timely manner. [ABSTRACT FROM AUTHOR]]]&gt;&amp;#xD;&lt;![CDATA[Copyright of Journal of Sustainable Tourism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"Hall", "given" : "C Michael", "non-dropping-particle" : "", "parse-names" : false, "suffix" : "" } ], "container-title" : "Journal of Sustainable Tourism", "id" : "ITEM-3", "issue" : "7", "issued" : { "date-parts" : [ [ "2013" ] ] }, "page" : "1091-1109", "title" : "Framing behavioural approaches to understanding and governing sustainable tourism consumption: beyond neoliberalism, \"nudging\" and \"green growth\"?", "type" : "article-journal", "volume" : "21" }, "uris" : [ "http://www.mendeley.com/documents/?uuid=e0480953-254e-4138-a136-0e8e9071e9b9" ] } ], "mendeley" : { "formattedCitation" : "(Barr &amp; Prillwitz 2014; Shove 2010; Hall 2013)", "plainTextFormattedCitation" : "(Barr &amp; Prillwitz 2014; Shove 2010; Hall 2013)", "previouslyFormattedCitation" : "(Barr &amp; Prillwitz 2014; Shove 2010; Hall 2013)" }, "properties" : {  }, "schema" : "https://github.com/citation-style-language/schema/raw/master/csl-citation.json" }</w:instrText>
      </w:r>
      <w:r>
        <w:fldChar w:fldCharType="separate"/>
      </w:r>
      <w:r w:rsidRPr="00737D1C">
        <w:rPr>
          <w:noProof/>
        </w:rPr>
        <w:t>(Barr &amp; Prillwitz 2014; Shove 2010; Hall 2013)</w:t>
      </w:r>
      <w:r>
        <w:fldChar w:fldCharType="end"/>
      </w:r>
      <w:r>
        <w:t xml:space="preserve">, and to stimulate greater </w:t>
      </w:r>
      <w:r w:rsidRPr="00356AF0">
        <w:t>industrial</w:t>
      </w:r>
      <w:r>
        <w:t xml:space="preserve"> regulation and accountability instead </w:t>
      </w:r>
      <w:r>
        <w:fldChar w:fldCharType="begin" w:fldLock="1"/>
      </w:r>
      <w:r>
        <w:instrText>ADDIN CSL_CITATION { "citationItems" : [ { "id" : "ITEM-1", "itemData" : { "DOI" : "10.1080/1523908X.2017.1304209", "ISSN" : "15227200", "author" : [ { "dropping-particle" : "", "family" : "Moyle", "given" : "B D", "non-dropping-particle" : "", "parse-names" : false, "suffix" : "" }, { "dropping-particle" : "", "family" : "Bec", "given" : "A", "non-dropping-particle" : "", "parse-names" : false, "suffix" : "" }, { "dropping-particle" : "", "family" : "Moyle", "given" : "C.-L.", "non-dropping-particle" : "", "parse-names" : false, "suffix" : "" } ], "container-title" : "Journal of Environmental Policy and Planning", "id" : "ITEM-1", "issue" : "1", "issued" : { "date-parts" : [ [ "2017" ] ] }, "page" : "1-14", "publisher" : "Taylor &amp; Francis", "title" : "A responsibility\u2013accountability framework for private sector use of a World Heritage Area", "type" : "article-journal", "volume" : "20" }, "uris" : [ "http://www.mendeley.com/documents/?uuid=ce29d625-6fdb-4485-b771-45452809a959" ] } ], "mendeley" : { "formattedCitation" : "(Moyle et al. 2017)", "plainTextFormattedCitation" : "(Moyle et al. 2017)", "previouslyFormattedCitation" : "(Moyle et al. 2017)" }, "properties" : {  }, "schema" : "https://github.com/citation-style-language/schema/raw/master/csl-citation.json" }</w:instrText>
      </w:r>
      <w:r>
        <w:fldChar w:fldCharType="separate"/>
      </w:r>
      <w:r w:rsidRPr="001A5099">
        <w:rPr>
          <w:noProof/>
        </w:rPr>
        <w:t>(Moyle et al. 2017)</w:t>
      </w:r>
      <w:r>
        <w:fldChar w:fldCharType="end"/>
      </w:r>
      <w:r>
        <w:t xml:space="preserve">. In this case, that might be a carbon tax applied on all flights, to replace voluntary offsets purchased by a small minority who, for the reasons illustrated here, will likely not respond to nudges. As Oliver argues, “the most effective way of preventing people or organisations harming others is to regulate their activities. Nudge is anti-regulation, but behavioural economics is not” (2014, 698). Oliver calls this approach ‘budging’, or “behavioural economic-informed regulation designed to budge the private sector away from socially harmful acts” (Oliver, 2015, 698). This suggests an interesting way for governments to assert their authority to intervene on a ‘macro’ industry/regulatory level, rather than (solely) on a ‘micro’ citizen/behaviour one. </w:t>
      </w:r>
    </w:p>
    <w:p w14:paraId="42D9E766" w14:textId="77777777" w:rsidR="000E4830" w:rsidRDefault="000E4830" w:rsidP="000E4830"/>
    <w:p w14:paraId="5C85B72F" w14:textId="0AFA011D" w:rsidR="00E97F4A" w:rsidRDefault="000E4830" w:rsidP="00055FFE">
      <w:r>
        <w:rPr>
          <w:noProof/>
          <w:lang w:eastAsia="en-GB"/>
        </w:rPr>
        <mc:AlternateContent>
          <mc:Choice Requires="wps">
            <w:drawing>
              <wp:anchor distT="45720" distB="45720" distL="114300" distR="114300" simplePos="0" relativeHeight="251659264" behindDoc="0" locked="0" layoutInCell="1" allowOverlap="1" wp14:anchorId="7F43E4CD" wp14:editId="5D836A21">
                <wp:simplePos x="0" y="0"/>
                <wp:positionH relativeFrom="column">
                  <wp:posOffset>0</wp:posOffset>
                </wp:positionH>
                <wp:positionV relativeFrom="page">
                  <wp:posOffset>1314450</wp:posOffset>
                </wp:positionV>
                <wp:extent cx="5772150" cy="4876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876800"/>
                        </a:xfrm>
                        <a:prstGeom prst="rect">
                          <a:avLst/>
                        </a:prstGeom>
                        <a:solidFill>
                          <a:srgbClr val="FFFFFF"/>
                        </a:solidFill>
                        <a:ln w="9525">
                          <a:noFill/>
                          <a:miter lim="800000"/>
                          <a:headEnd/>
                          <a:tailEnd/>
                        </a:ln>
                      </wps:spPr>
                      <wps:txbx>
                        <w:txbxContent>
                          <w:tbl>
                            <w:tblPr>
                              <w:tblStyle w:val="TableGrid"/>
                              <w:tblOverlap w:val="never"/>
                              <w:tblW w:w="8894" w:type="dxa"/>
                              <w:tblBorders>
                                <w:left w:val="none" w:sz="0" w:space="0" w:color="auto"/>
                                <w:right w:val="none" w:sz="0" w:space="0" w:color="auto"/>
                                <w:insideV w:val="none" w:sz="0" w:space="0" w:color="auto"/>
                              </w:tblBorders>
                              <w:tblLook w:val="04A0" w:firstRow="1" w:lastRow="0" w:firstColumn="1" w:lastColumn="0" w:noHBand="0" w:noVBand="1"/>
                            </w:tblPr>
                            <w:tblGrid>
                              <w:gridCol w:w="2330"/>
                              <w:gridCol w:w="3022"/>
                              <w:gridCol w:w="3542"/>
                            </w:tblGrid>
                            <w:tr w:rsidR="000E51EF" w:rsidRPr="007413AF" w14:paraId="5993355C" w14:textId="77777777" w:rsidTr="00E97F4A">
                              <w:trPr>
                                <w:cantSplit/>
                                <w:trHeight w:val="675"/>
                              </w:trPr>
                              <w:tc>
                                <w:tcPr>
                                  <w:tcW w:w="2330" w:type="dxa"/>
                                  <w:tcBorders>
                                    <w:top w:val="single" w:sz="18" w:space="0" w:color="auto"/>
                                    <w:bottom w:val="single" w:sz="18" w:space="0" w:color="auto"/>
                                  </w:tcBorders>
                                  <w:hideMark/>
                                </w:tcPr>
                                <w:p w14:paraId="0FC93026" w14:textId="77777777" w:rsidR="000E51EF" w:rsidRPr="00FB6E5E" w:rsidRDefault="000E51EF" w:rsidP="00E97F4A">
                                  <w:pPr>
                                    <w:spacing w:before="40"/>
                                    <w:suppressOverlap/>
                                    <w:rPr>
                                      <w:rFonts w:eastAsia="Malgun Gothic"/>
                                      <w:b/>
                                      <w:bCs/>
                                      <w:sz w:val="20"/>
                                      <w:szCs w:val="20"/>
                                      <w:lang w:eastAsia="ko-KR"/>
                                    </w:rPr>
                                  </w:pPr>
                                  <w:r w:rsidRPr="00FB6E5E">
                                    <w:rPr>
                                      <w:rFonts w:eastAsia="Malgun Gothic"/>
                                      <w:b/>
                                      <w:bCs/>
                                      <w:sz w:val="20"/>
                                      <w:szCs w:val="20"/>
                                      <w:lang w:eastAsia="ko-KR"/>
                                    </w:rPr>
                                    <w:t>Target behaviour/</w:t>
                                  </w:r>
                                </w:p>
                                <w:p w14:paraId="3448C938" w14:textId="77777777" w:rsidR="000E51EF" w:rsidRPr="005A2E22" w:rsidRDefault="000E51EF" w:rsidP="00E97F4A">
                                  <w:pPr>
                                    <w:spacing w:before="40" w:line="360" w:lineRule="auto"/>
                                    <w:suppressOverlap/>
                                    <w:rPr>
                                      <w:rFonts w:eastAsia="Malgun Gothic"/>
                                      <w:sz w:val="20"/>
                                      <w:szCs w:val="20"/>
                                      <w:lang w:eastAsia="ko-KR"/>
                                    </w:rPr>
                                  </w:pPr>
                                  <w:r w:rsidRPr="005A2E22">
                                    <w:rPr>
                                      <w:rFonts w:eastAsia="Malgun Gothic"/>
                                      <w:b/>
                                      <w:bCs/>
                                      <w:sz w:val="20"/>
                                      <w:szCs w:val="20"/>
                                      <w:lang w:eastAsia="ko-KR"/>
                                    </w:rPr>
                                    <w:t>System of thinking</w:t>
                                  </w:r>
                                </w:p>
                              </w:tc>
                              <w:tc>
                                <w:tcPr>
                                  <w:tcW w:w="3022" w:type="dxa"/>
                                  <w:tcBorders>
                                    <w:top w:val="single" w:sz="18" w:space="0" w:color="auto"/>
                                    <w:bottom w:val="single" w:sz="18" w:space="0" w:color="auto"/>
                                  </w:tcBorders>
                                  <w:hideMark/>
                                </w:tcPr>
                                <w:p w14:paraId="675C31A6" w14:textId="77777777" w:rsidR="000E51EF" w:rsidRPr="00547B81" w:rsidRDefault="000E51EF" w:rsidP="00E97F4A">
                                  <w:pPr>
                                    <w:spacing w:before="40" w:line="360" w:lineRule="auto"/>
                                    <w:suppressOverlap/>
                                    <w:rPr>
                                      <w:rFonts w:eastAsia="Malgun Gothic"/>
                                      <w:b/>
                                      <w:bCs/>
                                      <w:sz w:val="20"/>
                                      <w:szCs w:val="20"/>
                                      <w:lang w:eastAsia="ko-KR"/>
                                    </w:rPr>
                                  </w:pPr>
                                  <w:r w:rsidRPr="00E5291D">
                                    <w:rPr>
                                      <w:rFonts w:eastAsia="Malgun Gothic"/>
                                      <w:b/>
                                      <w:bCs/>
                                      <w:sz w:val="20"/>
                                      <w:szCs w:val="20"/>
                                      <w:lang w:eastAsia="ko-KR"/>
                                    </w:rPr>
                                    <w:t>Pro-self</w:t>
                                  </w:r>
                                </w:p>
                              </w:tc>
                              <w:tc>
                                <w:tcPr>
                                  <w:tcW w:w="3542" w:type="dxa"/>
                                  <w:tcBorders>
                                    <w:top w:val="single" w:sz="18" w:space="0" w:color="auto"/>
                                    <w:bottom w:val="single" w:sz="18" w:space="0" w:color="auto"/>
                                  </w:tcBorders>
                                  <w:hideMark/>
                                </w:tcPr>
                                <w:p w14:paraId="56E99202" w14:textId="77777777" w:rsidR="000E51EF" w:rsidRPr="00FB6E5E" w:rsidRDefault="000E51EF" w:rsidP="00E97F4A">
                                  <w:pPr>
                                    <w:spacing w:before="40" w:line="360" w:lineRule="auto"/>
                                    <w:suppressOverlap/>
                                    <w:rPr>
                                      <w:rFonts w:eastAsia="Malgun Gothic"/>
                                      <w:b/>
                                      <w:bCs/>
                                      <w:sz w:val="20"/>
                                      <w:szCs w:val="20"/>
                                      <w:lang w:eastAsia="ko-KR"/>
                                    </w:rPr>
                                  </w:pPr>
                                  <w:r w:rsidRPr="00FB6E5E">
                                    <w:rPr>
                                      <w:rFonts w:eastAsia="Malgun Gothic"/>
                                      <w:b/>
                                      <w:bCs/>
                                      <w:sz w:val="20"/>
                                      <w:szCs w:val="20"/>
                                      <w:lang w:eastAsia="ko-KR"/>
                                    </w:rPr>
                                    <w:t>Pro-social</w:t>
                                  </w:r>
                                </w:p>
                              </w:tc>
                            </w:tr>
                            <w:tr w:rsidR="000E51EF" w:rsidRPr="007413AF" w14:paraId="676E1A10" w14:textId="77777777" w:rsidTr="00E97F4A">
                              <w:trPr>
                                <w:cantSplit/>
                                <w:trHeight w:val="172"/>
                              </w:trPr>
                              <w:tc>
                                <w:tcPr>
                                  <w:tcW w:w="2330" w:type="dxa"/>
                                  <w:tcBorders>
                                    <w:top w:val="single" w:sz="18" w:space="0" w:color="auto"/>
                                  </w:tcBorders>
                                  <w:hideMark/>
                                </w:tcPr>
                                <w:p w14:paraId="7F72F411" w14:textId="77777777" w:rsidR="000E51EF" w:rsidRPr="007413AF" w:rsidRDefault="000E51EF" w:rsidP="00E97F4A">
                                  <w:pPr>
                                    <w:tabs>
                                      <w:tab w:val="right" w:pos="2189"/>
                                    </w:tabs>
                                    <w:spacing w:before="40" w:line="360" w:lineRule="auto"/>
                                    <w:suppressOverlap/>
                                    <w:rPr>
                                      <w:rFonts w:eastAsia="Malgun Gothic"/>
                                      <w:b/>
                                      <w:bCs/>
                                      <w:sz w:val="20"/>
                                      <w:szCs w:val="20"/>
                                      <w:lang w:eastAsia="ko-KR"/>
                                    </w:rPr>
                                  </w:pPr>
                                  <w:r w:rsidRPr="007413AF">
                                    <w:rPr>
                                      <w:rFonts w:eastAsia="Malgun Gothic"/>
                                      <w:b/>
                                      <w:bCs/>
                                      <w:sz w:val="20"/>
                                      <w:szCs w:val="20"/>
                                      <w:lang w:eastAsia="ko-KR"/>
                                    </w:rPr>
                                    <w:t>System 1</w:t>
                                  </w:r>
                                  <w:r>
                                    <w:rPr>
                                      <w:rFonts w:eastAsia="Malgun Gothic"/>
                                      <w:b/>
                                      <w:bCs/>
                                      <w:sz w:val="20"/>
                                      <w:szCs w:val="20"/>
                                      <w:lang w:eastAsia="ko-KR"/>
                                    </w:rPr>
                                    <w:tab/>
                                  </w:r>
                                </w:p>
                              </w:tc>
                              <w:tc>
                                <w:tcPr>
                                  <w:tcW w:w="3022" w:type="dxa"/>
                                  <w:tcBorders>
                                    <w:top w:val="single" w:sz="18" w:space="0" w:color="auto"/>
                                  </w:tcBorders>
                                </w:tcPr>
                                <w:p w14:paraId="780A34B9" w14:textId="77777777" w:rsidR="000E51EF" w:rsidRPr="007413AF" w:rsidRDefault="000E51EF" w:rsidP="00E97F4A">
                                  <w:pPr>
                                    <w:spacing w:before="40"/>
                                    <w:suppressOverlap/>
                                    <w:rPr>
                                      <w:rFonts w:eastAsia="Malgun Gothic"/>
                                      <w:sz w:val="18"/>
                                      <w:szCs w:val="18"/>
                                      <w:lang w:eastAsia="ko-KR"/>
                                    </w:rPr>
                                  </w:pPr>
                                  <w:r w:rsidRPr="007413AF">
                                    <w:rPr>
                                      <w:rFonts w:eastAsia="Malgun Gothic"/>
                                      <w:sz w:val="18"/>
                                      <w:szCs w:val="18"/>
                                      <w:lang w:eastAsia="ko-KR"/>
                                    </w:rPr>
                                    <w:t>(1)</w:t>
                                  </w:r>
                                </w:p>
                                <w:p w14:paraId="3A95837C" w14:textId="77777777" w:rsidR="000E51EF" w:rsidRPr="00356AF0" w:rsidRDefault="000E51EF" w:rsidP="00E97F4A">
                                  <w:pPr>
                                    <w:pStyle w:val="ListParagraph"/>
                                    <w:ind w:left="289" w:hanging="284"/>
                                    <w:suppressOverlap/>
                                    <w:rPr>
                                      <w:sz w:val="18"/>
                                      <w:szCs w:val="18"/>
                                      <w:lang w:eastAsia="ko-KR"/>
                                    </w:rPr>
                                  </w:pPr>
                                  <w:r>
                                    <w:rPr>
                                      <w:sz w:val="18"/>
                                      <w:szCs w:val="18"/>
                                      <w:lang w:eastAsia="ko-KR"/>
                                    </w:rPr>
                                    <w:t xml:space="preserve">1. </w:t>
                                  </w:r>
                                  <w:r w:rsidRPr="00356AF0">
                                    <w:rPr>
                                      <w:sz w:val="18"/>
                                      <w:szCs w:val="18"/>
                                      <w:lang w:eastAsia="ko-KR"/>
                                    </w:rPr>
                                    <w:t>‘Save More Tomorrow’ scheme</w:t>
                                  </w:r>
                                </w:p>
                                <w:p w14:paraId="14E203A4" w14:textId="77777777" w:rsidR="000E51EF" w:rsidRPr="00356AF0" w:rsidRDefault="000E51EF" w:rsidP="00E97F4A">
                                  <w:pPr>
                                    <w:pStyle w:val="ListParagraph"/>
                                    <w:ind w:left="289" w:hanging="284"/>
                                    <w:suppressOverlap/>
                                    <w:rPr>
                                      <w:sz w:val="18"/>
                                      <w:szCs w:val="18"/>
                                      <w:lang w:eastAsia="ko-KR"/>
                                    </w:rPr>
                                  </w:pPr>
                                  <w:r>
                                    <w:rPr>
                                      <w:sz w:val="18"/>
                                      <w:szCs w:val="18"/>
                                      <w:lang w:eastAsia="ko-KR"/>
                                    </w:rPr>
                                    <w:t xml:space="preserve">2. </w:t>
                                  </w:r>
                                  <w:r w:rsidRPr="00356AF0">
                                    <w:rPr>
                                      <w:sz w:val="18"/>
                                      <w:szCs w:val="18"/>
                                      <w:lang w:eastAsia="ko-KR"/>
                                    </w:rPr>
                                    <w:t>Auto-enrolment into pension schemes</w:t>
                                  </w:r>
                                </w:p>
                                <w:p w14:paraId="3DB26B04" w14:textId="77777777" w:rsidR="000E51EF" w:rsidRPr="00547B81" w:rsidRDefault="000E51EF" w:rsidP="00E97F4A">
                                  <w:pPr>
                                    <w:spacing w:before="40"/>
                                    <w:suppressOverlap/>
                                    <w:rPr>
                                      <w:rFonts w:eastAsia="Malgun Gothic"/>
                                      <w:sz w:val="18"/>
                                      <w:szCs w:val="18"/>
                                      <w:lang w:eastAsia="ko-KR"/>
                                    </w:rPr>
                                  </w:pPr>
                                </w:p>
                                <w:p w14:paraId="00C05A63" w14:textId="77777777" w:rsidR="000E51EF" w:rsidRDefault="000E51EF" w:rsidP="00E97F4A">
                                  <w:pPr>
                                    <w:spacing w:before="40"/>
                                    <w:suppressOverlap/>
                                    <w:rPr>
                                      <w:rFonts w:eastAsia="Malgun Gothic"/>
                                      <w:sz w:val="18"/>
                                      <w:szCs w:val="18"/>
                                      <w:lang w:eastAsia="ko-KR"/>
                                    </w:rPr>
                                  </w:pPr>
                                </w:p>
                                <w:p w14:paraId="6E584AF3" w14:textId="77777777" w:rsidR="000E51EF" w:rsidRDefault="000E51EF" w:rsidP="00E97F4A">
                                  <w:pPr>
                                    <w:spacing w:before="40"/>
                                    <w:suppressOverlap/>
                                    <w:rPr>
                                      <w:rFonts w:eastAsia="Malgun Gothic"/>
                                      <w:sz w:val="18"/>
                                      <w:szCs w:val="18"/>
                                      <w:lang w:eastAsia="ko-KR"/>
                                    </w:rPr>
                                  </w:pPr>
                                </w:p>
                                <w:p w14:paraId="4C4034F4" w14:textId="77777777" w:rsidR="000E51EF" w:rsidRPr="00E97F4A" w:rsidRDefault="000E51EF" w:rsidP="00E97F4A">
                                  <w:pPr>
                                    <w:spacing w:before="40"/>
                                    <w:suppressOverlap/>
                                    <w:rPr>
                                      <w:rFonts w:eastAsia="Malgun Gothic"/>
                                      <w:sz w:val="6"/>
                                      <w:szCs w:val="6"/>
                                      <w:lang w:eastAsia="ko-KR"/>
                                    </w:rPr>
                                  </w:pPr>
                                </w:p>
                                <w:p w14:paraId="563C5094" w14:textId="77777777" w:rsidR="000E51EF" w:rsidRPr="007413AF" w:rsidRDefault="000E51EF" w:rsidP="00E97F4A">
                                  <w:pPr>
                                    <w:spacing w:before="40" w:line="360" w:lineRule="auto"/>
                                    <w:suppressOverlap/>
                                    <w:rPr>
                                      <w:rFonts w:eastAsia="Malgun Gothic"/>
                                      <w:sz w:val="18"/>
                                      <w:szCs w:val="18"/>
                                      <w:lang w:eastAsia="ko-KR"/>
                                    </w:rPr>
                                  </w:pPr>
                                  <w:r w:rsidRPr="007413AF">
                                    <w:rPr>
                                      <w:rFonts w:eastAsia="Malgun Gothic"/>
                                      <w:i/>
                                      <w:iCs/>
                                      <w:sz w:val="18"/>
                                      <w:szCs w:val="18"/>
                                      <w:lang w:eastAsia="ko-KR"/>
                                    </w:rPr>
                                    <w:t>(Nudging may be more effective and less ethically problematic)</w:t>
                                  </w:r>
                                </w:p>
                              </w:tc>
                              <w:tc>
                                <w:tcPr>
                                  <w:tcW w:w="3542" w:type="dxa"/>
                                  <w:tcBorders>
                                    <w:top w:val="single" w:sz="18" w:space="0" w:color="auto"/>
                                  </w:tcBorders>
                                </w:tcPr>
                                <w:p w14:paraId="62EC12BC" w14:textId="77777777" w:rsidR="000E51EF" w:rsidRPr="007413AF" w:rsidRDefault="000E51EF" w:rsidP="00E97F4A">
                                  <w:pPr>
                                    <w:spacing w:before="40"/>
                                    <w:suppressOverlap/>
                                    <w:rPr>
                                      <w:rFonts w:eastAsia="Malgun Gothic"/>
                                      <w:sz w:val="18"/>
                                      <w:szCs w:val="18"/>
                                      <w:lang w:eastAsia="ko-KR"/>
                                    </w:rPr>
                                  </w:pPr>
                                  <w:r w:rsidRPr="007413AF">
                                    <w:rPr>
                                      <w:rFonts w:eastAsia="Malgun Gothic"/>
                                      <w:sz w:val="18"/>
                                      <w:szCs w:val="18"/>
                                      <w:lang w:eastAsia="ko-KR"/>
                                    </w:rPr>
                                    <w:t>(2)</w:t>
                                  </w:r>
                                </w:p>
                                <w:p w14:paraId="15978F64" w14:textId="77777777" w:rsidR="000E51EF" w:rsidRPr="007413AF" w:rsidRDefault="000E51EF" w:rsidP="000E4830">
                                  <w:pPr>
                                    <w:pStyle w:val="ListParagraph"/>
                                    <w:numPr>
                                      <w:ilvl w:val="0"/>
                                      <w:numId w:val="14"/>
                                    </w:numPr>
                                    <w:spacing w:before="40"/>
                                    <w:ind w:left="427"/>
                                    <w:suppressOverlap/>
                                    <w:rPr>
                                      <w:rFonts w:eastAsia="Malgun Gothic"/>
                                      <w:sz w:val="18"/>
                                      <w:szCs w:val="18"/>
                                      <w:lang w:eastAsia="ko-KR"/>
                                    </w:rPr>
                                  </w:pPr>
                                  <w:r w:rsidRPr="007413AF">
                                    <w:rPr>
                                      <w:rFonts w:eastAsia="Malgun Gothic"/>
                                      <w:sz w:val="18"/>
                                      <w:szCs w:val="18"/>
                                      <w:lang w:eastAsia="ko-KR"/>
                                    </w:rPr>
                                    <w:t>Smiley/sad faces to encourage recycling</w:t>
                                  </w:r>
                                </w:p>
                                <w:p w14:paraId="7264A1AD" w14:textId="77777777" w:rsidR="000E51EF" w:rsidRPr="007413AF" w:rsidRDefault="000E51EF" w:rsidP="000E4830">
                                  <w:pPr>
                                    <w:pStyle w:val="ListParagraph"/>
                                    <w:numPr>
                                      <w:ilvl w:val="0"/>
                                      <w:numId w:val="14"/>
                                    </w:numPr>
                                    <w:spacing w:before="40"/>
                                    <w:ind w:left="427"/>
                                    <w:suppressOverlap/>
                                    <w:rPr>
                                      <w:rFonts w:eastAsia="Malgun Gothic"/>
                                      <w:sz w:val="18"/>
                                      <w:szCs w:val="18"/>
                                      <w:lang w:eastAsia="ko-KR"/>
                                    </w:rPr>
                                  </w:pPr>
                                  <w:r w:rsidRPr="007413AF">
                                    <w:rPr>
                                      <w:rFonts w:eastAsia="Malgun Gothic"/>
                                      <w:sz w:val="18"/>
                                      <w:szCs w:val="18"/>
                                      <w:lang w:eastAsia="ko-KR"/>
                                    </w:rPr>
                                    <w:t>Changing letters to increase honesty/compliance</w:t>
                                  </w:r>
                                </w:p>
                                <w:p w14:paraId="199B6C73" w14:textId="77777777" w:rsidR="000E51EF" w:rsidRPr="007413AF" w:rsidRDefault="000E51EF" w:rsidP="000E4830">
                                  <w:pPr>
                                    <w:pStyle w:val="ListParagraph"/>
                                    <w:numPr>
                                      <w:ilvl w:val="0"/>
                                      <w:numId w:val="14"/>
                                    </w:numPr>
                                    <w:spacing w:before="40"/>
                                    <w:ind w:left="427"/>
                                    <w:suppressOverlap/>
                                    <w:rPr>
                                      <w:rFonts w:eastAsia="Malgun Gothic"/>
                                      <w:sz w:val="18"/>
                                      <w:szCs w:val="18"/>
                                      <w:lang w:eastAsia="ko-KR"/>
                                    </w:rPr>
                                  </w:pPr>
                                  <w:r w:rsidRPr="007413AF">
                                    <w:rPr>
                                      <w:rFonts w:eastAsia="Malgun Gothic"/>
                                      <w:sz w:val="18"/>
                                      <w:szCs w:val="18"/>
                                      <w:lang w:eastAsia="ko-KR"/>
                                    </w:rPr>
                                    <w:t>Donating to charity from payroll by default</w:t>
                                  </w:r>
                                </w:p>
                                <w:p w14:paraId="7A9C4254" w14:textId="77777777" w:rsidR="000E51EF" w:rsidRPr="007413AF" w:rsidRDefault="000E51EF" w:rsidP="000E4830">
                                  <w:pPr>
                                    <w:pStyle w:val="ListParagraph"/>
                                    <w:numPr>
                                      <w:ilvl w:val="0"/>
                                      <w:numId w:val="14"/>
                                    </w:numPr>
                                    <w:spacing w:before="40"/>
                                    <w:ind w:left="427"/>
                                    <w:suppressOverlap/>
                                    <w:rPr>
                                      <w:rFonts w:eastAsia="Malgun Gothic"/>
                                      <w:sz w:val="18"/>
                                      <w:szCs w:val="18"/>
                                      <w:lang w:eastAsia="ko-KR"/>
                                    </w:rPr>
                                  </w:pPr>
                                  <w:r w:rsidRPr="007413AF">
                                    <w:rPr>
                                      <w:rFonts w:eastAsia="Malgun Gothic"/>
                                      <w:sz w:val="18"/>
                                      <w:szCs w:val="18"/>
                                      <w:lang w:eastAsia="ko-KR"/>
                                    </w:rPr>
                                    <w:t>Carbon offsets  as a default</w:t>
                                  </w:r>
                                </w:p>
                                <w:p w14:paraId="57A98674" w14:textId="77777777" w:rsidR="000E51EF" w:rsidRDefault="000E51EF" w:rsidP="00E97F4A">
                                  <w:pPr>
                                    <w:spacing w:before="40" w:line="360" w:lineRule="auto"/>
                                    <w:suppressOverlap/>
                                    <w:rPr>
                                      <w:rFonts w:eastAsia="Malgun Gothic"/>
                                      <w:i/>
                                      <w:iCs/>
                                      <w:sz w:val="18"/>
                                      <w:szCs w:val="18"/>
                                      <w:lang w:eastAsia="ko-KR"/>
                                    </w:rPr>
                                  </w:pPr>
                                </w:p>
                                <w:p w14:paraId="1D97E663" w14:textId="77777777" w:rsidR="000E51EF" w:rsidRPr="007413AF" w:rsidRDefault="000E51EF" w:rsidP="00E97F4A">
                                  <w:pPr>
                                    <w:spacing w:before="40" w:line="360" w:lineRule="auto"/>
                                    <w:suppressOverlap/>
                                    <w:rPr>
                                      <w:rFonts w:eastAsia="Malgun Gothic"/>
                                      <w:sz w:val="18"/>
                                      <w:szCs w:val="18"/>
                                      <w:lang w:eastAsia="ko-KR"/>
                                    </w:rPr>
                                  </w:pPr>
                                  <w:r w:rsidRPr="007413AF">
                                    <w:rPr>
                                      <w:rFonts w:eastAsia="Malgun Gothic"/>
                                      <w:i/>
                                      <w:iCs/>
                                      <w:sz w:val="18"/>
                                      <w:szCs w:val="18"/>
                                      <w:lang w:eastAsia="ko-KR"/>
                                    </w:rPr>
                                    <w:t>(Nudging may be more effective and more ethically problematic)</w:t>
                                  </w:r>
                                </w:p>
                              </w:tc>
                            </w:tr>
                            <w:tr w:rsidR="000E51EF" w:rsidRPr="007413AF" w14:paraId="430F8E91" w14:textId="77777777" w:rsidTr="00E97F4A">
                              <w:trPr>
                                <w:cantSplit/>
                                <w:trHeight w:val="2252"/>
                              </w:trPr>
                              <w:tc>
                                <w:tcPr>
                                  <w:tcW w:w="2330" w:type="dxa"/>
                                  <w:tcBorders>
                                    <w:bottom w:val="single" w:sz="4" w:space="0" w:color="auto"/>
                                  </w:tcBorders>
                                  <w:hideMark/>
                                </w:tcPr>
                                <w:p w14:paraId="05EAB733" w14:textId="77777777" w:rsidR="000E51EF" w:rsidRPr="007413AF" w:rsidRDefault="000E51EF" w:rsidP="00E97F4A">
                                  <w:pPr>
                                    <w:spacing w:before="40" w:line="360" w:lineRule="auto"/>
                                    <w:suppressOverlap/>
                                    <w:rPr>
                                      <w:rFonts w:eastAsia="Malgun Gothic"/>
                                      <w:b/>
                                      <w:bCs/>
                                      <w:sz w:val="20"/>
                                      <w:szCs w:val="20"/>
                                      <w:lang w:eastAsia="ko-KR"/>
                                    </w:rPr>
                                  </w:pPr>
                                  <w:r w:rsidRPr="007413AF">
                                    <w:rPr>
                                      <w:rFonts w:eastAsia="Malgun Gothic"/>
                                      <w:b/>
                                      <w:bCs/>
                                      <w:sz w:val="20"/>
                                      <w:szCs w:val="20"/>
                                      <w:lang w:eastAsia="ko-KR"/>
                                    </w:rPr>
                                    <w:t>System 2</w:t>
                                  </w:r>
                                </w:p>
                              </w:tc>
                              <w:tc>
                                <w:tcPr>
                                  <w:tcW w:w="3022" w:type="dxa"/>
                                  <w:tcBorders>
                                    <w:bottom w:val="single" w:sz="4" w:space="0" w:color="auto"/>
                                  </w:tcBorders>
                                </w:tcPr>
                                <w:p w14:paraId="1882DBC6" w14:textId="77777777" w:rsidR="000E51EF" w:rsidRPr="007413AF" w:rsidRDefault="000E51EF" w:rsidP="00E97F4A">
                                  <w:pPr>
                                    <w:spacing w:before="40"/>
                                    <w:suppressOverlap/>
                                    <w:rPr>
                                      <w:rFonts w:eastAsia="Malgun Gothic"/>
                                      <w:sz w:val="18"/>
                                      <w:szCs w:val="18"/>
                                      <w:lang w:eastAsia="ko-KR"/>
                                    </w:rPr>
                                  </w:pPr>
                                  <w:r w:rsidRPr="007413AF">
                                    <w:rPr>
                                      <w:rFonts w:eastAsia="Malgun Gothic"/>
                                      <w:sz w:val="18"/>
                                      <w:szCs w:val="18"/>
                                      <w:lang w:eastAsia="ko-KR"/>
                                    </w:rPr>
                                    <w:t>(3)</w:t>
                                  </w:r>
                                </w:p>
                                <w:p w14:paraId="6F35EFE7" w14:textId="77777777" w:rsidR="000E51EF" w:rsidRPr="00356AF0" w:rsidRDefault="000E51EF" w:rsidP="00E97F4A">
                                  <w:pPr>
                                    <w:pStyle w:val="ListParagraph"/>
                                    <w:ind w:left="289" w:hanging="284"/>
                                    <w:suppressOverlap/>
                                    <w:rPr>
                                      <w:sz w:val="18"/>
                                      <w:szCs w:val="18"/>
                                      <w:lang w:eastAsia="ko-KR"/>
                                    </w:rPr>
                                  </w:pPr>
                                  <w:r w:rsidRPr="00356AF0">
                                    <w:rPr>
                                      <w:sz w:val="18"/>
                                      <w:szCs w:val="18"/>
                                      <w:lang w:eastAsia="ko-KR"/>
                                    </w:rPr>
                                    <w:t>1. Information provision to Army candidates</w:t>
                                  </w:r>
                                </w:p>
                                <w:p w14:paraId="03415ADF" w14:textId="77777777" w:rsidR="000E51EF" w:rsidRPr="00356AF0" w:rsidRDefault="000E51EF" w:rsidP="00E97F4A">
                                  <w:pPr>
                                    <w:pStyle w:val="ListParagraph"/>
                                    <w:ind w:left="289" w:hanging="284"/>
                                    <w:suppressOverlap/>
                                    <w:rPr>
                                      <w:sz w:val="18"/>
                                      <w:szCs w:val="18"/>
                                      <w:lang w:eastAsia="ko-KR"/>
                                    </w:rPr>
                                  </w:pPr>
                                  <w:r w:rsidRPr="00356AF0">
                                    <w:rPr>
                                      <w:sz w:val="18"/>
                                      <w:szCs w:val="18"/>
                                      <w:lang w:eastAsia="ko-KR"/>
                                    </w:rPr>
                                    <w:t>2. Providing personalised information to make switching healthcare providers easier</w:t>
                                  </w:r>
                                </w:p>
                                <w:p w14:paraId="7D47CA7D" w14:textId="77777777" w:rsidR="000E51EF" w:rsidRPr="00E97F4A" w:rsidRDefault="000E51EF" w:rsidP="00E97F4A">
                                  <w:pPr>
                                    <w:pStyle w:val="ListParagraph"/>
                                    <w:ind w:left="289" w:hanging="284"/>
                                    <w:suppressOverlap/>
                                    <w:rPr>
                                      <w:i/>
                                      <w:iCs/>
                                      <w:sz w:val="18"/>
                                      <w:szCs w:val="18"/>
                                      <w:lang w:eastAsia="ko-KR"/>
                                    </w:rPr>
                                  </w:pPr>
                                </w:p>
                                <w:p w14:paraId="4630276E" w14:textId="77777777" w:rsidR="000E51EF" w:rsidRPr="007413AF" w:rsidRDefault="000E51EF" w:rsidP="00E97F4A">
                                  <w:pPr>
                                    <w:suppressOverlap/>
                                    <w:rPr>
                                      <w:lang w:eastAsia="ko-KR"/>
                                    </w:rPr>
                                  </w:pPr>
                                  <w:r w:rsidRPr="00356AF0">
                                    <w:rPr>
                                      <w:rFonts w:ascii="Calibri" w:hAnsi="Calibri"/>
                                      <w:i/>
                                      <w:iCs/>
                                      <w:sz w:val="18"/>
                                      <w:szCs w:val="18"/>
                                      <w:lang w:eastAsia="ko-KR"/>
                                    </w:rPr>
                                    <w:t xml:space="preserve">(Nudging may be less effective and </w:t>
                                  </w:r>
                                  <w:r>
                                    <w:rPr>
                                      <w:rFonts w:ascii="Calibri" w:hAnsi="Calibri"/>
                                      <w:i/>
                                      <w:iCs/>
                                      <w:sz w:val="18"/>
                                      <w:szCs w:val="18"/>
                                      <w:lang w:eastAsia="ko-KR"/>
                                    </w:rPr>
                                    <w:t>more</w:t>
                                  </w:r>
                                  <w:r w:rsidRPr="00356AF0">
                                    <w:rPr>
                                      <w:rFonts w:ascii="Calibri" w:hAnsi="Calibri"/>
                                      <w:i/>
                                      <w:iCs/>
                                      <w:sz w:val="18"/>
                                      <w:szCs w:val="18"/>
                                      <w:lang w:eastAsia="ko-KR"/>
                                    </w:rPr>
                                    <w:t xml:space="preserve"> ethically problematic)</w:t>
                                  </w:r>
                                </w:p>
                              </w:tc>
                              <w:tc>
                                <w:tcPr>
                                  <w:tcW w:w="3542" w:type="dxa"/>
                                  <w:tcBorders>
                                    <w:bottom w:val="single" w:sz="4" w:space="0" w:color="auto"/>
                                  </w:tcBorders>
                                </w:tcPr>
                                <w:p w14:paraId="406587D8" w14:textId="77777777" w:rsidR="000E51EF" w:rsidRPr="007413AF" w:rsidRDefault="000E51EF" w:rsidP="00E97F4A">
                                  <w:pPr>
                                    <w:spacing w:before="40"/>
                                    <w:suppressOverlap/>
                                    <w:rPr>
                                      <w:rFonts w:eastAsia="Malgun Gothic"/>
                                      <w:sz w:val="18"/>
                                      <w:szCs w:val="18"/>
                                      <w:lang w:eastAsia="ko-KR"/>
                                    </w:rPr>
                                  </w:pPr>
                                  <w:r w:rsidRPr="007413AF">
                                    <w:rPr>
                                      <w:rFonts w:eastAsia="Malgun Gothic"/>
                                      <w:sz w:val="18"/>
                                      <w:szCs w:val="18"/>
                                      <w:lang w:eastAsia="ko-KR"/>
                                    </w:rPr>
                                    <w:t>(4)</w:t>
                                  </w:r>
                                </w:p>
                                <w:p w14:paraId="12193DFE" w14:textId="77777777" w:rsidR="000E51EF" w:rsidRPr="007C372F" w:rsidRDefault="000E51EF" w:rsidP="000E4830">
                                  <w:pPr>
                                    <w:pStyle w:val="ListParagraph"/>
                                    <w:numPr>
                                      <w:ilvl w:val="0"/>
                                      <w:numId w:val="16"/>
                                    </w:numPr>
                                    <w:spacing w:before="40"/>
                                    <w:ind w:left="427"/>
                                    <w:suppressOverlap/>
                                    <w:rPr>
                                      <w:rFonts w:eastAsia="Malgun Gothic"/>
                                      <w:sz w:val="18"/>
                                      <w:szCs w:val="18"/>
                                      <w:lang w:eastAsia="ko-KR"/>
                                    </w:rPr>
                                  </w:pPr>
                                  <w:r w:rsidRPr="007C372F">
                                    <w:rPr>
                                      <w:rFonts w:eastAsia="Malgun Gothic"/>
                                      <w:sz w:val="18"/>
                                      <w:szCs w:val="18"/>
                                      <w:lang w:eastAsia="ko-KR"/>
                                    </w:rPr>
                                    <w:t>Providing information to encourage charitable giving</w:t>
                                  </w:r>
                                </w:p>
                                <w:p w14:paraId="6D6BE88D" w14:textId="77777777" w:rsidR="000E51EF" w:rsidRDefault="000E51EF" w:rsidP="000E4830">
                                  <w:pPr>
                                    <w:pStyle w:val="ListParagraph"/>
                                    <w:numPr>
                                      <w:ilvl w:val="0"/>
                                      <w:numId w:val="16"/>
                                    </w:numPr>
                                    <w:spacing w:before="40"/>
                                    <w:ind w:left="427"/>
                                    <w:suppressOverlap/>
                                    <w:rPr>
                                      <w:rFonts w:eastAsia="Malgun Gothic"/>
                                      <w:sz w:val="18"/>
                                      <w:szCs w:val="18"/>
                                      <w:lang w:eastAsia="ko-KR"/>
                                    </w:rPr>
                                  </w:pPr>
                                  <w:r w:rsidRPr="007413AF">
                                    <w:rPr>
                                      <w:rFonts w:eastAsia="Malgun Gothic"/>
                                      <w:sz w:val="18"/>
                                      <w:szCs w:val="18"/>
                                      <w:lang w:eastAsia="ko-KR"/>
                                    </w:rPr>
                                    <w:t>Targeted conversations to encourage voter registration</w:t>
                                  </w:r>
                                </w:p>
                                <w:p w14:paraId="5FC55AAA" w14:textId="77777777" w:rsidR="000E51EF" w:rsidRDefault="000E51EF" w:rsidP="00E97F4A">
                                  <w:pPr>
                                    <w:pStyle w:val="ListParagraph"/>
                                    <w:spacing w:before="40"/>
                                    <w:ind w:left="427"/>
                                    <w:suppressOverlap/>
                                    <w:rPr>
                                      <w:rFonts w:eastAsia="Malgun Gothic"/>
                                      <w:sz w:val="18"/>
                                      <w:szCs w:val="18"/>
                                      <w:lang w:eastAsia="ko-KR"/>
                                    </w:rPr>
                                  </w:pPr>
                                </w:p>
                                <w:p w14:paraId="313405E6" w14:textId="77777777" w:rsidR="000E51EF" w:rsidRDefault="000E51EF" w:rsidP="00E97F4A">
                                  <w:pPr>
                                    <w:pStyle w:val="ListParagraph"/>
                                    <w:spacing w:before="40"/>
                                    <w:ind w:left="427"/>
                                    <w:suppressOverlap/>
                                    <w:rPr>
                                      <w:rFonts w:eastAsia="Malgun Gothic"/>
                                      <w:sz w:val="18"/>
                                      <w:szCs w:val="18"/>
                                      <w:lang w:eastAsia="ko-KR"/>
                                    </w:rPr>
                                  </w:pPr>
                                </w:p>
                                <w:p w14:paraId="33D30FBD" w14:textId="77777777" w:rsidR="000E51EF" w:rsidRPr="005A2E22" w:rsidRDefault="000E51EF" w:rsidP="00E97F4A">
                                  <w:pPr>
                                    <w:keepNext/>
                                    <w:spacing w:before="40" w:line="360" w:lineRule="auto"/>
                                    <w:suppressOverlap/>
                                    <w:rPr>
                                      <w:rFonts w:eastAsia="Malgun Gothic"/>
                                      <w:sz w:val="18"/>
                                      <w:szCs w:val="18"/>
                                      <w:lang w:eastAsia="ko-KR"/>
                                    </w:rPr>
                                  </w:pPr>
                                  <w:r w:rsidRPr="003B5B07">
                                    <w:rPr>
                                      <w:rFonts w:ascii="Calibri" w:hAnsi="Calibri"/>
                                      <w:i/>
                                      <w:iCs/>
                                      <w:sz w:val="18"/>
                                      <w:szCs w:val="18"/>
                                      <w:lang w:eastAsia="ko-KR"/>
                                    </w:rPr>
                                    <w:t xml:space="preserve">(Nudging may be less effective and </w:t>
                                  </w:r>
                                  <w:r>
                                    <w:rPr>
                                      <w:rFonts w:ascii="Calibri" w:hAnsi="Calibri"/>
                                      <w:i/>
                                      <w:iCs/>
                                      <w:sz w:val="18"/>
                                      <w:szCs w:val="18"/>
                                      <w:lang w:eastAsia="ko-KR"/>
                                    </w:rPr>
                                    <w:t>less</w:t>
                                  </w:r>
                                  <w:r w:rsidRPr="003B5B07">
                                    <w:rPr>
                                      <w:rFonts w:ascii="Calibri" w:hAnsi="Calibri"/>
                                      <w:i/>
                                      <w:iCs/>
                                      <w:sz w:val="18"/>
                                      <w:szCs w:val="18"/>
                                      <w:lang w:eastAsia="ko-KR"/>
                                    </w:rPr>
                                    <w:t xml:space="preserve"> ethically problematic)</w:t>
                                  </w:r>
                                </w:p>
                              </w:tc>
                            </w:tr>
                          </w:tbl>
                          <w:p w14:paraId="46DD2066" w14:textId="77777777" w:rsidR="000E51EF" w:rsidRPr="007E09D8" w:rsidRDefault="000E51EF" w:rsidP="000E4830">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3E4CD" id="_x0000_t202" coordsize="21600,21600" o:spt="202" path="m,l,21600r21600,l21600,xe">
                <v:stroke joinstyle="miter"/>
                <v:path gradientshapeok="t" o:connecttype="rect"/>
              </v:shapetype>
              <v:shape id="Text Box 2" o:spid="_x0000_s1026" type="#_x0000_t202" style="position:absolute;left:0;text-align:left;margin-left:0;margin-top:103.5pt;width:454.5pt;height:3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" stroked="f">
                <v:textbox>
                  <w:txbxContent>
                    <w:tbl>
                      <w:tblPr>
                        <w:tblStyle w:val="TableGrid"/>
                        <w:tblOverlap w:val="never"/>
                        <w:tblW w:w="8894" w:type="dxa"/>
                        <w:tblBorders>
                          <w:left w:val="none" w:sz="0" w:space="0" w:color="auto"/>
                          <w:right w:val="none" w:sz="0" w:space="0" w:color="auto"/>
                          <w:insideV w:val="none" w:sz="0" w:space="0" w:color="auto"/>
                        </w:tblBorders>
                        <w:tblLook w:val="04A0" w:firstRow="1" w:lastRow="0" w:firstColumn="1" w:lastColumn="0" w:noHBand="0" w:noVBand="1"/>
                      </w:tblPr>
                      <w:tblGrid>
                        <w:gridCol w:w="2330"/>
                        <w:gridCol w:w="3022"/>
                        <w:gridCol w:w="3542"/>
                      </w:tblGrid>
                      <w:tr w:rsidR="000E51EF" w:rsidRPr="007413AF" w14:paraId="5993355C" w14:textId="77777777" w:rsidTr="00E97F4A">
                        <w:trPr>
                          <w:cantSplit/>
                          <w:trHeight w:val="675"/>
                        </w:trPr>
                        <w:tc>
                          <w:tcPr>
                            <w:tcW w:w="2330" w:type="dxa"/>
                            <w:tcBorders>
                              <w:top w:val="single" w:sz="18" w:space="0" w:color="auto"/>
                              <w:bottom w:val="single" w:sz="18" w:space="0" w:color="auto"/>
                            </w:tcBorders>
                            <w:hideMark/>
                          </w:tcPr>
                          <w:p w14:paraId="0FC93026" w14:textId="77777777" w:rsidR="000E51EF" w:rsidRPr="00FB6E5E" w:rsidRDefault="000E51EF" w:rsidP="00E97F4A">
                            <w:pPr>
                              <w:spacing w:before="40"/>
                              <w:suppressOverlap/>
                              <w:rPr>
                                <w:rFonts w:eastAsia="Malgun Gothic"/>
                                <w:b/>
                                <w:bCs/>
                                <w:sz w:val="20"/>
                                <w:szCs w:val="20"/>
                                <w:lang w:eastAsia="ko-KR"/>
                              </w:rPr>
                            </w:pPr>
                            <w:r w:rsidRPr="00FB6E5E">
                              <w:rPr>
                                <w:rFonts w:eastAsia="Malgun Gothic"/>
                                <w:b/>
                                <w:bCs/>
                                <w:sz w:val="20"/>
                                <w:szCs w:val="20"/>
                                <w:lang w:eastAsia="ko-KR"/>
                              </w:rPr>
                              <w:t>Target behaviour/</w:t>
                            </w:r>
                          </w:p>
                          <w:p w14:paraId="3448C938" w14:textId="77777777" w:rsidR="000E51EF" w:rsidRPr="005A2E22" w:rsidRDefault="000E51EF" w:rsidP="00E97F4A">
                            <w:pPr>
                              <w:spacing w:before="40" w:line="360" w:lineRule="auto"/>
                              <w:suppressOverlap/>
                              <w:rPr>
                                <w:rFonts w:eastAsia="Malgun Gothic"/>
                                <w:sz w:val="20"/>
                                <w:szCs w:val="20"/>
                                <w:lang w:eastAsia="ko-KR"/>
                              </w:rPr>
                            </w:pPr>
                            <w:r w:rsidRPr="005A2E22">
                              <w:rPr>
                                <w:rFonts w:eastAsia="Malgun Gothic"/>
                                <w:b/>
                                <w:bCs/>
                                <w:sz w:val="20"/>
                                <w:szCs w:val="20"/>
                                <w:lang w:eastAsia="ko-KR"/>
                              </w:rPr>
                              <w:t>System of thinking</w:t>
                            </w:r>
                          </w:p>
                        </w:tc>
                        <w:tc>
                          <w:tcPr>
                            <w:tcW w:w="3022" w:type="dxa"/>
                            <w:tcBorders>
                              <w:top w:val="single" w:sz="18" w:space="0" w:color="auto"/>
                              <w:bottom w:val="single" w:sz="18" w:space="0" w:color="auto"/>
                            </w:tcBorders>
                            <w:hideMark/>
                          </w:tcPr>
                          <w:p w14:paraId="675C31A6" w14:textId="77777777" w:rsidR="000E51EF" w:rsidRPr="00547B81" w:rsidRDefault="000E51EF" w:rsidP="00E97F4A">
                            <w:pPr>
                              <w:spacing w:before="40" w:line="360" w:lineRule="auto"/>
                              <w:suppressOverlap/>
                              <w:rPr>
                                <w:rFonts w:eastAsia="Malgun Gothic"/>
                                <w:b/>
                                <w:bCs/>
                                <w:sz w:val="20"/>
                                <w:szCs w:val="20"/>
                                <w:lang w:eastAsia="ko-KR"/>
                              </w:rPr>
                            </w:pPr>
                            <w:r w:rsidRPr="00E5291D">
                              <w:rPr>
                                <w:rFonts w:eastAsia="Malgun Gothic"/>
                                <w:b/>
                                <w:bCs/>
                                <w:sz w:val="20"/>
                                <w:szCs w:val="20"/>
                                <w:lang w:eastAsia="ko-KR"/>
                              </w:rPr>
                              <w:t>Pro-self</w:t>
                            </w:r>
                          </w:p>
                        </w:tc>
                        <w:tc>
                          <w:tcPr>
                            <w:tcW w:w="3542" w:type="dxa"/>
                            <w:tcBorders>
                              <w:top w:val="single" w:sz="18" w:space="0" w:color="auto"/>
                              <w:bottom w:val="single" w:sz="18" w:space="0" w:color="auto"/>
                            </w:tcBorders>
                            <w:hideMark/>
                          </w:tcPr>
                          <w:p w14:paraId="56E99202" w14:textId="77777777" w:rsidR="000E51EF" w:rsidRPr="00FB6E5E" w:rsidRDefault="000E51EF" w:rsidP="00E97F4A">
                            <w:pPr>
                              <w:spacing w:before="40" w:line="360" w:lineRule="auto"/>
                              <w:suppressOverlap/>
                              <w:rPr>
                                <w:rFonts w:eastAsia="Malgun Gothic"/>
                                <w:b/>
                                <w:bCs/>
                                <w:sz w:val="20"/>
                                <w:szCs w:val="20"/>
                                <w:lang w:eastAsia="ko-KR"/>
                              </w:rPr>
                            </w:pPr>
                            <w:r w:rsidRPr="00FB6E5E">
                              <w:rPr>
                                <w:rFonts w:eastAsia="Malgun Gothic"/>
                                <w:b/>
                                <w:bCs/>
                                <w:sz w:val="20"/>
                                <w:szCs w:val="20"/>
                                <w:lang w:eastAsia="ko-KR"/>
                              </w:rPr>
                              <w:t>Pro-social</w:t>
                            </w:r>
                          </w:p>
                        </w:tc>
                      </w:tr>
                      <w:tr w:rsidR="000E51EF" w:rsidRPr="007413AF" w14:paraId="676E1A10" w14:textId="77777777" w:rsidTr="00E97F4A">
                        <w:trPr>
                          <w:cantSplit/>
                          <w:trHeight w:val="172"/>
                        </w:trPr>
                        <w:tc>
                          <w:tcPr>
                            <w:tcW w:w="2330" w:type="dxa"/>
                            <w:tcBorders>
                              <w:top w:val="single" w:sz="18" w:space="0" w:color="auto"/>
                            </w:tcBorders>
                            <w:hideMark/>
                          </w:tcPr>
                          <w:p w14:paraId="7F72F411" w14:textId="77777777" w:rsidR="000E51EF" w:rsidRPr="007413AF" w:rsidRDefault="000E51EF" w:rsidP="00E97F4A">
                            <w:pPr>
                              <w:tabs>
                                <w:tab w:val="right" w:pos="2189"/>
                              </w:tabs>
                              <w:spacing w:before="40" w:line="360" w:lineRule="auto"/>
                              <w:suppressOverlap/>
                              <w:rPr>
                                <w:rFonts w:eastAsia="Malgun Gothic"/>
                                <w:b/>
                                <w:bCs/>
                                <w:sz w:val="20"/>
                                <w:szCs w:val="20"/>
                                <w:lang w:eastAsia="ko-KR"/>
                              </w:rPr>
                            </w:pPr>
                            <w:r w:rsidRPr="007413AF">
                              <w:rPr>
                                <w:rFonts w:eastAsia="Malgun Gothic"/>
                                <w:b/>
                                <w:bCs/>
                                <w:sz w:val="20"/>
                                <w:szCs w:val="20"/>
                                <w:lang w:eastAsia="ko-KR"/>
                              </w:rPr>
                              <w:t>System 1</w:t>
                            </w:r>
                            <w:r>
                              <w:rPr>
                                <w:rFonts w:eastAsia="Malgun Gothic"/>
                                <w:b/>
                                <w:bCs/>
                                <w:sz w:val="20"/>
                                <w:szCs w:val="20"/>
                                <w:lang w:eastAsia="ko-KR"/>
                              </w:rPr>
                              <w:tab/>
                            </w:r>
                          </w:p>
                        </w:tc>
                        <w:tc>
                          <w:tcPr>
                            <w:tcW w:w="3022" w:type="dxa"/>
                            <w:tcBorders>
                              <w:top w:val="single" w:sz="18" w:space="0" w:color="auto"/>
                            </w:tcBorders>
                          </w:tcPr>
                          <w:p w14:paraId="780A34B9" w14:textId="77777777" w:rsidR="000E51EF" w:rsidRPr="007413AF" w:rsidRDefault="000E51EF" w:rsidP="00E97F4A">
                            <w:pPr>
                              <w:spacing w:before="40"/>
                              <w:suppressOverlap/>
                              <w:rPr>
                                <w:rFonts w:eastAsia="Malgun Gothic"/>
                                <w:sz w:val="18"/>
                                <w:szCs w:val="18"/>
                                <w:lang w:eastAsia="ko-KR"/>
                              </w:rPr>
                            </w:pPr>
                            <w:r w:rsidRPr="007413AF">
                              <w:rPr>
                                <w:rFonts w:eastAsia="Malgun Gothic"/>
                                <w:sz w:val="18"/>
                                <w:szCs w:val="18"/>
                                <w:lang w:eastAsia="ko-KR"/>
                              </w:rPr>
                              <w:t>(1)</w:t>
                            </w:r>
                          </w:p>
                          <w:p w14:paraId="3A95837C" w14:textId="77777777" w:rsidR="000E51EF" w:rsidRPr="00356AF0" w:rsidRDefault="000E51EF" w:rsidP="00E97F4A">
                            <w:pPr>
                              <w:pStyle w:val="ListParagraph"/>
                              <w:ind w:left="289" w:hanging="284"/>
                              <w:suppressOverlap/>
                              <w:rPr>
                                <w:sz w:val="18"/>
                                <w:szCs w:val="18"/>
                                <w:lang w:eastAsia="ko-KR"/>
                              </w:rPr>
                            </w:pPr>
                            <w:r>
                              <w:rPr>
                                <w:sz w:val="18"/>
                                <w:szCs w:val="18"/>
                                <w:lang w:eastAsia="ko-KR"/>
                              </w:rPr>
                              <w:t xml:space="preserve">1. </w:t>
                            </w:r>
                            <w:r w:rsidRPr="00356AF0">
                              <w:rPr>
                                <w:sz w:val="18"/>
                                <w:szCs w:val="18"/>
                                <w:lang w:eastAsia="ko-KR"/>
                              </w:rPr>
                              <w:t>‘Save More Tomorrow’ scheme</w:t>
                            </w:r>
                          </w:p>
                          <w:p w14:paraId="14E203A4" w14:textId="77777777" w:rsidR="000E51EF" w:rsidRPr="00356AF0" w:rsidRDefault="000E51EF" w:rsidP="00E97F4A">
                            <w:pPr>
                              <w:pStyle w:val="ListParagraph"/>
                              <w:ind w:left="289" w:hanging="284"/>
                              <w:suppressOverlap/>
                              <w:rPr>
                                <w:sz w:val="18"/>
                                <w:szCs w:val="18"/>
                                <w:lang w:eastAsia="ko-KR"/>
                              </w:rPr>
                            </w:pPr>
                            <w:r>
                              <w:rPr>
                                <w:sz w:val="18"/>
                                <w:szCs w:val="18"/>
                                <w:lang w:eastAsia="ko-KR"/>
                              </w:rPr>
                              <w:t xml:space="preserve">2. </w:t>
                            </w:r>
                            <w:r w:rsidRPr="00356AF0">
                              <w:rPr>
                                <w:sz w:val="18"/>
                                <w:szCs w:val="18"/>
                                <w:lang w:eastAsia="ko-KR"/>
                              </w:rPr>
                              <w:t>Auto-enrolment into pension schemes</w:t>
                            </w:r>
                          </w:p>
                          <w:p w14:paraId="3DB26B04" w14:textId="77777777" w:rsidR="000E51EF" w:rsidRPr="00547B81" w:rsidRDefault="000E51EF" w:rsidP="00E97F4A">
                            <w:pPr>
                              <w:spacing w:before="40"/>
                              <w:suppressOverlap/>
                              <w:rPr>
                                <w:rFonts w:eastAsia="Malgun Gothic"/>
                                <w:sz w:val="18"/>
                                <w:szCs w:val="18"/>
                                <w:lang w:eastAsia="ko-KR"/>
                              </w:rPr>
                            </w:pPr>
                          </w:p>
                          <w:p w14:paraId="00C05A63" w14:textId="77777777" w:rsidR="000E51EF" w:rsidRDefault="000E51EF" w:rsidP="00E97F4A">
                            <w:pPr>
                              <w:spacing w:before="40"/>
                              <w:suppressOverlap/>
                              <w:rPr>
                                <w:rFonts w:eastAsia="Malgun Gothic"/>
                                <w:sz w:val="18"/>
                                <w:szCs w:val="18"/>
                                <w:lang w:eastAsia="ko-KR"/>
                              </w:rPr>
                            </w:pPr>
                          </w:p>
                          <w:p w14:paraId="6E584AF3" w14:textId="77777777" w:rsidR="000E51EF" w:rsidRDefault="000E51EF" w:rsidP="00E97F4A">
                            <w:pPr>
                              <w:spacing w:before="40"/>
                              <w:suppressOverlap/>
                              <w:rPr>
                                <w:rFonts w:eastAsia="Malgun Gothic"/>
                                <w:sz w:val="18"/>
                                <w:szCs w:val="18"/>
                                <w:lang w:eastAsia="ko-KR"/>
                              </w:rPr>
                            </w:pPr>
                          </w:p>
                          <w:p w14:paraId="4C4034F4" w14:textId="77777777" w:rsidR="000E51EF" w:rsidRPr="00E97F4A" w:rsidRDefault="000E51EF" w:rsidP="00E97F4A">
                            <w:pPr>
                              <w:spacing w:before="40"/>
                              <w:suppressOverlap/>
                              <w:rPr>
                                <w:rFonts w:eastAsia="Malgun Gothic"/>
                                <w:sz w:val="6"/>
                                <w:szCs w:val="6"/>
                                <w:lang w:eastAsia="ko-KR"/>
                              </w:rPr>
                            </w:pPr>
                          </w:p>
                          <w:p w14:paraId="563C5094" w14:textId="77777777" w:rsidR="000E51EF" w:rsidRPr="007413AF" w:rsidRDefault="000E51EF" w:rsidP="00E97F4A">
                            <w:pPr>
                              <w:spacing w:before="40" w:line="360" w:lineRule="auto"/>
                              <w:suppressOverlap/>
                              <w:rPr>
                                <w:rFonts w:eastAsia="Malgun Gothic"/>
                                <w:sz w:val="18"/>
                                <w:szCs w:val="18"/>
                                <w:lang w:eastAsia="ko-KR"/>
                              </w:rPr>
                            </w:pPr>
                            <w:r w:rsidRPr="007413AF">
                              <w:rPr>
                                <w:rFonts w:eastAsia="Malgun Gothic"/>
                                <w:i/>
                                <w:iCs/>
                                <w:sz w:val="18"/>
                                <w:szCs w:val="18"/>
                                <w:lang w:eastAsia="ko-KR"/>
                              </w:rPr>
                              <w:t>(Nudging may be more effective and less ethically problematic)</w:t>
                            </w:r>
                          </w:p>
                        </w:tc>
                        <w:tc>
                          <w:tcPr>
                            <w:tcW w:w="3542" w:type="dxa"/>
                            <w:tcBorders>
                              <w:top w:val="single" w:sz="18" w:space="0" w:color="auto"/>
                            </w:tcBorders>
                          </w:tcPr>
                          <w:p w14:paraId="62EC12BC" w14:textId="77777777" w:rsidR="000E51EF" w:rsidRPr="007413AF" w:rsidRDefault="000E51EF" w:rsidP="00E97F4A">
                            <w:pPr>
                              <w:spacing w:before="40"/>
                              <w:suppressOverlap/>
                              <w:rPr>
                                <w:rFonts w:eastAsia="Malgun Gothic"/>
                                <w:sz w:val="18"/>
                                <w:szCs w:val="18"/>
                                <w:lang w:eastAsia="ko-KR"/>
                              </w:rPr>
                            </w:pPr>
                            <w:r w:rsidRPr="007413AF">
                              <w:rPr>
                                <w:rFonts w:eastAsia="Malgun Gothic"/>
                                <w:sz w:val="18"/>
                                <w:szCs w:val="18"/>
                                <w:lang w:eastAsia="ko-KR"/>
                              </w:rPr>
                              <w:t>(2)</w:t>
                            </w:r>
                          </w:p>
                          <w:p w14:paraId="15978F64" w14:textId="77777777" w:rsidR="000E51EF" w:rsidRPr="007413AF" w:rsidRDefault="000E51EF" w:rsidP="000E4830">
                            <w:pPr>
                              <w:pStyle w:val="ListParagraph"/>
                              <w:numPr>
                                <w:ilvl w:val="0"/>
                                <w:numId w:val="14"/>
                              </w:numPr>
                              <w:spacing w:before="40"/>
                              <w:ind w:left="427"/>
                              <w:suppressOverlap/>
                              <w:rPr>
                                <w:rFonts w:eastAsia="Malgun Gothic"/>
                                <w:sz w:val="18"/>
                                <w:szCs w:val="18"/>
                                <w:lang w:eastAsia="ko-KR"/>
                              </w:rPr>
                            </w:pPr>
                            <w:r w:rsidRPr="007413AF">
                              <w:rPr>
                                <w:rFonts w:eastAsia="Malgun Gothic"/>
                                <w:sz w:val="18"/>
                                <w:szCs w:val="18"/>
                                <w:lang w:eastAsia="ko-KR"/>
                              </w:rPr>
                              <w:t>Smiley/sad faces to encourage recycling</w:t>
                            </w:r>
                          </w:p>
                          <w:p w14:paraId="7264A1AD" w14:textId="77777777" w:rsidR="000E51EF" w:rsidRPr="007413AF" w:rsidRDefault="000E51EF" w:rsidP="000E4830">
                            <w:pPr>
                              <w:pStyle w:val="ListParagraph"/>
                              <w:numPr>
                                <w:ilvl w:val="0"/>
                                <w:numId w:val="14"/>
                              </w:numPr>
                              <w:spacing w:before="40"/>
                              <w:ind w:left="427"/>
                              <w:suppressOverlap/>
                              <w:rPr>
                                <w:rFonts w:eastAsia="Malgun Gothic"/>
                                <w:sz w:val="18"/>
                                <w:szCs w:val="18"/>
                                <w:lang w:eastAsia="ko-KR"/>
                              </w:rPr>
                            </w:pPr>
                            <w:r w:rsidRPr="007413AF">
                              <w:rPr>
                                <w:rFonts w:eastAsia="Malgun Gothic"/>
                                <w:sz w:val="18"/>
                                <w:szCs w:val="18"/>
                                <w:lang w:eastAsia="ko-KR"/>
                              </w:rPr>
                              <w:t>Changing letters to increase honesty/compliance</w:t>
                            </w:r>
                          </w:p>
                          <w:p w14:paraId="199B6C73" w14:textId="77777777" w:rsidR="000E51EF" w:rsidRPr="007413AF" w:rsidRDefault="000E51EF" w:rsidP="000E4830">
                            <w:pPr>
                              <w:pStyle w:val="ListParagraph"/>
                              <w:numPr>
                                <w:ilvl w:val="0"/>
                                <w:numId w:val="14"/>
                              </w:numPr>
                              <w:spacing w:before="40"/>
                              <w:ind w:left="427"/>
                              <w:suppressOverlap/>
                              <w:rPr>
                                <w:rFonts w:eastAsia="Malgun Gothic"/>
                                <w:sz w:val="18"/>
                                <w:szCs w:val="18"/>
                                <w:lang w:eastAsia="ko-KR"/>
                              </w:rPr>
                            </w:pPr>
                            <w:r w:rsidRPr="007413AF">
                              <w:rPr>
                                <w:rFonts w:eastAsia="Malgun Gothic"/>
                                <w:sz w:val="18"/>
                                <w:szCs w:val="18"/>
                                <w:lang w:eastAsia="ko-KR"/>
                              </w:rPr>
                              <w:t>Donating to charity from payroll by default</w:t>
                            </w:r>
                          </w:p>
                          <w:p w14:paraId="7A9C4254" w14:textId="77777777" w:rsidR="000E51EF" w:rsidRPr="007413AF" w:rsidRDefault="000E51EF" w:rsidP="000E4830">
                            <w:pPr>
                              <w:pStyle w:val="ListParagraph"/>
                              <w:numPr>
                                <w:ilvl w:val="0"/>
                                <w:numId w:val="14"/>
                              </w:numPr>
                              <w:spacing w:before="40"/>
                              <w:ind w:left="427"/>
                              <w:suppressOverlap/>
                              <w:rPr>
                                <w:rFonts w:eastAsia="Malgun Gothic"/>
                                <w:sz w:val="18"/>
                                <w:szCs w:val="18"/>
                                <w:lang w:eastAsia="ko-KR"/>
                              </w:rPr>
                            </w:pPr>
                            <w:r w:rsidRPr="007413AF">
                              <w:rPr>
                                <w:rFonts w:eastAsia="Malgun Gothic"/>
                                <w:sz w:val="18"/>
                                <w:szCs w:val="18"/>
                                <w:lang w:eastAsia="ko-KR"/>
                              </w:rPr>
                              <w:t>Carbon offsets  as a default</w:t>
                            </w:r>
                          </w:p>
                          <w:p w14:paraId="57A98674" w14:textId="77777777" w:rsidR="000E51EF" w:rsidRDefault="000E51EF" w:rsidP="00E97F4A">
                            <w:pPr>
                              <w:spacing w:before="40" w:line="360" w:lineRule="auto"/>
                              <w:suppressOverlap/>
                              <w:rPr>
                                <w:rFonts w:eastAsia="Malgun Gothic"/>
                                <w:i/>
                                <w:iCs/>
                                <w:sz w:val="18"/>
                                <w:szCs w:val="18"/>
                                <w:lang w:eastAsia="ko-KR"/>
                              </w:rPr>
                            </w:pPr>
                          </w:p>
                          <w:p w14:paraId="1D97E663" w14:textId="77777777" w:rsidR="000E51EF" w:rsidRPr="007413AF" w:rsidRDefault="000E51EF" w:rsidP="00E97F4A">
                            <w:pPr>
                              <w:spacing w:before="40" w:line="360" w:lineRule="auto"/>
                              <w:suppressOverlap/>
                              <w:rPr>
                                <w:rFonts w:eastAsia="Malgun Gothic"/>
                                <w:sz w:val="18"/>
                                <w:szCs w:val="18"/>
                                <w:lang w:eastAsia="ko-KR"/>
                              </w:rPr>
                            </w:pPr>
                            <w:r w:rsidRPr="007413AF">
                              <w:rPr>
                                <w:rFonts w:eastAsia="Malgun Gothic"/>
                                <w:i/>
                                <w:iCs/>
                                <w:sz w:val="18"/>
                                <w:szCs w:val="18"/>
                                <w:lang w:eastAsia="ko-KR"/>
                              </w:rPr>
                              <w:t>(Nudging may be more effective and more ethically problematic)</w:t>
                            </w:r>
                          </w:p>
                        </w:tc>
                      </w:tr>
                      <w:tr w:rsidR="000E51EF" w:rsidRPr="007413AF" w14:paraId="430F8E91" w14:textId="77777777" w:rsidTr="00E97F4A">
                        <w:trPr>
                          <w:cantSplit/>
                          <w:trHeight w:val="2252"/>
                        </w:trPr>
                        <w:tc>
                          <w:tcPr>
                            <w:tcW w:w="2330" w:type="dxa"/>
                            <w:tcBorders>
                              <w:bottom w:val="single" w:sz="4" w:space="0" w:color="auto"/>
                            </w:tcBorders>
                            <w:hideMark/>
                          </w:tcPr>
                          <w:p w14:paraId="05EAB733" w14:textId="77777777" w:rsidR="000E51EF" w:rsidRPr="007413AF" w:rsidRDefault="000E51EF" w:rsidP="00E97F4A">
                            <w:pPr>
                              <w:spacing w:before="40" w:line="360" w:lineRule="auto"/>
                              <w:suppressOverlap/>
                              <w:rPr>
                                <w:rFonts w:eastAsia="Malgun Gothic"/>
                                <w:b/>
                                <w:bCs/>
                                <w:sz w:val="20"/>
                                <w:szCs w:val="20"/>
                                <w:lang w:eastAsia="ko-KR"/>
                              </w:rPr>
                            </w:pPr>
                            <w:r w:rsidRPr="007413AF">
                              <w:rPr>
                                <w:rFonts w:eastAsia="Malgun Gothic"/>
                                <w:b/>
                                <w:bCs/>
                                <w:sz w:val="20"/>
                                <w:szCs w:val="20"/>
                                <w:lang w:eastAsia="ko-KR"/>
                              </w:rPr>
                              <w:t>System 2</w:t>
                            </w:r>
                          </w:p>
                        </w:tc>
                        <w:tc>
                          <w:tcPr>
                            <w:tcW w:w="3022" w:type="dxa"/>
                            <w:tcBorders>
                              <w:bottom w:val="single" w:sz="4" w:space="0" w:color="auto"/>
                            </w:tcBorders>
                          </w:tcPr>
                          <w:p w14:paraId="1882DBC6" w14:textId="77777777" w:rsidR="000E51EF" w:rsidRPr="007413AF" w:rsidRDefault="000E51EF" w:rsidP="00E97F4A">
                            <w:pPr>
                              <w:spacing w:before="40"/>
                              <w:suppressOverlap/>
                              <w:rPr>
                                <w:rFonts w:eastAsia="Malgun Gothic"/>
                                <w:sz w:val="18"/>
                                <w:szCs w:val="18"/>
                                <w:lang w:eastAsia="ko-KR"/>
                              </w:rPr>
                            </w:pPr>
                            <w:r w:rsidRPr="007413AF">
                              <w:rPr>
                                <w:rFonts w:eastAsia="Malgun Gothic"/>
                                <w:sz w:val="18"/>
                                <w:szCs w:val="18"/>
                                <w:lang w:eastAsia="ko-KR"/>
                              </w:rPr>
                              <w:t>(3)</w:t>
                            </w:r>
                          </w:p>
                          <w:p w14:paraId="6F35EFE7" w14:textId="77777777" w:rsidR="000E51EF" w:rsidRPr="00356AF0" w:rsidRDefault="000E51EF" w:rsidP="00E97F4A">
                            <w:pPr>
                              <w:pStyle w:val="ListParagraph"/>
                              <w:ind w:left="289" w:hanging="284"/>
                              <w:suppressOverlap/>
                              <w:rPr>
                                <w:sz w:val="18"/>
                                <w:szCs w:val="18"/>
                                <w:lang w:eastAsia="ko-KR"/>
                              </w:rPr>
                            </w:pPr>
                            <w:r w:rsidRPr="00356AF0">
                              <w:rPr>
                                <w:sz w:val="18"/>
                                <w:szCs w:val="18"/>
                                <w:lang w:eastAsia="ko-KR"/>
                              </w:rPr>
                              <w:t>1. Information provision to Army candidates</w:t>
                            </w:r>
                          </w:p>
                          <w:p w14:paraId="03415ADF" w14:textId="77777777" w:rsidR="000E51EF" w:rsidRPr="00356AF0" w:rsidRDefault="000E51EF" w:rsidP="00E97F4A">
                            <w:pPr>
                              <w:pStyle w:val="ListParagraph"/>
                              <w:ind w:left="289" w:hanging="284"/>
                              <w:suppressOverlap/>
                              <w:rPr>
                                <w:sz w:val="18"/>
                                <w:szCs w:val="18"/>
                                <w:lang w:eastAsia="ko-KR"/>
                              </w:rPr>
                            </w:pPr>
                            <w:r w:rsidRPr="00356AF0">
                              <w:rPr>
                                <w:sz w:val="18"/>
                                <w:szCs w:val="18"/>
                                <w:lang w:eastAsia="ko-KR"/>
                              </w:rPr>
                              <w:t>2. Providing personalised information to make switching healthcare providers easier</w:t>
                            </w:r>
                          </w:p>
                          <w:p w14:paraId="7D47CA7D" w14:textId="77777777" w:rsidR="000E51EF" w:rsidRPr="00E97F4A" w:rsidRDefault="000E51EF" w:rsidP="00E97F4A">
                            <w:pPr>
                              <w:pStyle w:val="ListParagraph"/>
                              <w:ind w:left="289" w:hanging="284"/>
                              <w:suppressOverlap/>
                              <w:rPr>
                                <w:i/>
                                <w:iCs/>
                                <w:sz w:val="18"/>
                                <w:szCs w:val="18"/>
                                <w:lang w:eastAsia="ko-KR"/>
                              </w:rPr>
                            </w:pPr>
                          </w:p>
                          <w:p w14:paraId="4630276E" w14:textId="77777777" w:rsidR="000E51EF" w:rsidRPr="007413AF" w:rsidRDefault="000E51EF" w:rsidP="00E97F4A">
                            <w:pPr>
                              <w:suppressOverlap/>
                              <w:rPr>
                                <w:lang w:eastAsia="ko-KR"/>
                              </w:rPr>
                            </w:pPr>
                            <w:r w:rsidRPr="00356AF0">
                              <w:rPr>
                                <w:rFonts w:ascii="Calibri" w:hAnsi="Calibri"/>
                                <w:i/>
                                <w:iCs/>
                                <w:sz w:val="18"/>
                                <w:szCs w:val="18"/>
                                <w:lang w:eastAsia="ko-KR"/>
                              </w:rPr>
                              <w:t xml:space="preserve">(Nudging may be less effective and </w:t>
                            </w:r>
                            <w:r>
                              <w:rPr>
                                <w:rFonts w:ascii="Calibri" w:hAnsi="Calibri"/>
                                <w:i/>
                                <w:iCs/>
                                <w:sz w:val="18"/>
                                <w:szCs w:val="18"/>
                                <w:lang w:eastAsia="ko-KR"/>
                              </w:rPr>
                              <w:t>more</w:t>
                            </w:r>
                            <w:r w:rsidRPr="00356AF0">
                              <w:rPr>
                                <w:rFonts w:ascii="Calibri" w:hAnsi="Calibri"/>
                                <w:i/>
                                <w:iCs/>
                                <w:sz w:val="18"/>
                                <w:szCs w:val="18"/>
                                <w:lang w:eastAsia="ko-KR"/>
                              </w:rPr>
                              <w:t xml:space="preserve"> ethically problematic)</w:t>
                            </w:r>
                          </w:p>
                        </w:tc>
                        <w:tc>
                          <w:tcPr>
                            <w:tcW w:w="3542" w:type="dxa"/>
                            <w:tcBorders>
                              <w:bottom w:val="single" w:sz="4" w:space="0" w:color="auto"/>
                            </w:tcBorders>
                          </w:tcPr>
                          <w:p w14:paraId="406587D8" w14:textId="77777777" w:rsidR="000E51EF" w:rsidRPr="007413AF" w:rsidRDefault="000E51EF" w:rsidP="00E97F4A">
                            <w:pPr>
                              <w:spacing w:before="40"/>
                              <w:suppressOverlap/>
                              <w:rPr>
                                <w:rFonts w:eastAsia="Malgun Gothic"/>
                                <w:sz w:val="18"/>
                                <w:szCs w:val="18"/>
                                <w:lang w:eastAsia="ko-KR"/>
                              </w:rPr>
                            </w:pPr>
                            <w:r w:rsidRPr="007413AF">
                              <w:rPr>
                                <w:rFonts w:eastAsia="Malgun Gothic"/>
                                <w:sz w:val="18"/>
                                <w:szCs w:val="18"/>
                                <w:lang w:eastAsia="ko-KR"/>
                              </w:rPr>
                              <w:t>(4)</w:t>
                            </w:r>
                          </w:p>
                          <w:p w14:paraId="12193DFE" w14:textId="77777777" w:rsidR="000E51EF" w:rsidRPr="007C372F" w:rsidRDefault="000E51EF" w:rsidP="000E4830">
                            <w:pPr>
                              <w:pStyle w:val="ListParagraph"/>
                              <w:numPr>
                                <w:ilvl w:val="0"/>
                                <w:numId w:val="16"/>
                              </w:numPr>
                              <w:spacing w:before="40"/>
                              <w:ind w:left="427"/>
                              <w:suppressOverlap/>
                              <w:rPr>
                                <w:rFonts w:eastAsia="Malgun Gothic"/>
                                <w:sz w:val="18"/>
                                <w:szCs w:val="18"/>
                                <w:lang w:eastAsia="ko-KR"/>
                              </w:rPr>
                            </w:pPr>
                            <w:r w:rsidRPr="007C372F">
                              <w:rPr>
                                <w:rFonts w:eastAsia="Malgun Gothic"/>
                                <w:sz w:val="18"/>
                                <w:szCs w:val="18"/>
                                <w:lang w:eastAsia="ko-KR"/>
                              </w:rPr>
                              <w:t>Providing information to encourage charitable giving</w:t>
                            </w:r>
                          </w:p>
                          <w:p w14:paraId="6D6BE88D" w14:textId="77777777" w:rsidR="000E51EF" w:rsidRDefault="000E51EF" w:rsidP="000E4830">
                            <w:pPr>
                              <w:pStyle w:val="ListParagraph"/>
                              <w:numPr>
                                <w:ilvl w:val="0"/>
                                <w:numId w:val="16"/>
                              </w:numPr>
                              <w:spacing w:before="40"/>
                              <w:ind w:left="427"/>
                              <w:suppressOverlap/>
                              <w:rPr>
                                <w:rFonts w:eastAsia="Malgun Gothic"/>
                                <w:sz w:val="18"/>
                                <w:szCs w:val="18"/>
                                <w:lang w:eastAsia="ko-KR"/>
                              </w:rPr>
                            </w:pPr>
                            <w:r w:rsidRPr="007413AF">
                              <w:rPr>
                                <w:rFonts w:eastAsia="Malgun Gothic"/>
                                <w:sz w:val="18"/>
                                <w:szCs w:val="18"/>
                                <w:lang w:eastAsia="ko-KR"/>
                              </w:rPr>
                              <w:t>Targeted conversations to encourage voter registration</w:t>
                            </w:r>
                          </w:p>
                          <w:p w14:paraId="5FC55AAA" w14:textId="77777777" w:rsidR="000E51EF" w:rsidRDefault="000E51EF" w:rsidP="00E97F4A">
                            <w:pPr>
                              <w:pStyle w:val="ListParagraph"/>
                              <w:spacing w:before="40"/>
                              <w:ind w:left="427"/>
                              <w:suppressOverlap/>
                              <w:rPr>
                                <w:rFonts w:eastAsia="Malgun Gothic"/>
                                <w:sz w:val="18"/>
                                <w:szCs w:val="18"/>
                                <w:lang w:eastAsia="ko-KR"/>
                              </w:rPr>
                            </w:pPr>
                          </w:p>
                          <w:p w14:paraId="313405E6" w14:textId="77777777" w:rsidR="000E51EF" w:rsidRDefault="000E51EF" w:rsidP="00E97F4A">
                            <w:pPr>
                              <w:pStyle w:val="ListParagraph"/>
                              <w:spacing w:before="40"/>
                              <w:ind w:left="427"/>
                              <w:suppressOverlap/>
                              <w:rPr>
                                <w:rFonts w:eastAsia="Malgun Gothic"/>
                                <w:sz w:val="18"/>
                                <w:szCs w:val="18"/>
                                <w:lang w:eastAsia="ko-KR"/>
                              </w:rPr>
                            </w:pPr>
                          </w:p>
                          <w:p w14:paraId="33D30FBD" w14:textId="77777777" w:rsidR="000E51EF" w:rsidRPr="005A2E22" w:rsidRDefault="000E51EF" w:rsidP="00E97F4A">
                            <w:pPr>
                              <w:keepNext/>
                              <w:spacing w:before="40" w:line="360" w:lineRule="auto"/>
                              <w:suppressOverlap/>
                              <w:rPr>
                                <w:rFonts w:eastAsia="Malgun Gothic"/>
                                <w:sz w:val="18"/>
                                <w:szCs w:val="18"/>
                                <w:lang w:eastAsia="ko-KR"/>
                              </w:rPr>
                            </w:pPr>
                            <w:r w:rsidRPr="003B5B07">
                              <w:rPr>
                                <w:rFonts w:ascii="Calibri" w:hAnsi="Calibri"/>
                                <w:i/>
                                <w:iCs/>
                                <w:sz w:val="18"/>
                                <w:szCs w:val="18"/>
                                <w:lang w:eastAsia="ko-KR"/>
                              </w:rPr>
                              <w:t xml:space="preserve">(Nudging may be less effective and </w:t>
                            </w:r>
                            <w:r>
                              <w:rPr>
                                <w:rFonts w:ascii="Calibri" w:hAnsi="Calibri"/>
                                <w:i/>
                                <w:iCs/>
                                <w:sz w:val="18"/>
                                <w:szCs w:val="18"/>
                                <w:lang w:eastAsia="ko-KR"/>
                              </w:rPr>
                              <w:t>less</w:t>
                            </w:r>
                            <w:r w:rsidRPr="003B5B07">
                              <w:rPr>
                                <w:rFonts w:ascii="Calibri" w:hAnsi="Calibri"/>
                                <w:i/>
                                <w:iCs/>
                                <w:sz w:val="18"/>
                                <w:szCs w:val="18"/>
                                <w:lang w:eastAsia="ko-KR"/>
                              </w:rPr>
                              <w:t xml:space="preserve"> ethically problematic)</w:t>
                            </w:r>
                          </w:p>
                        </w:tc>
                      </w:tr>
                    </w:tbl>
                    <w:p w14:paraId="46DD2066" w14:textId="77777777" w:rsidR="000E51EF" w:rsidRPr="007E09D8" w:rsidRDefault="000E51EF" w:rsidP="000E4830">
                      <w:pPr>
                        <w:rPr>
                          <w:b/>
                          <w:bCs/>
                        </w:rPr>
                      </w:pPr>
                    </w:p>
                  </w:txbxContent>
                </v:textbox>
                <w10:wrap type="square" anchory="page"/>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F1FF8D7" wp14:editId="34096305">
                <wp:simplePos x="0" y="0"/>
                <wp:positionH relativeFrom="column">
                  <wp:posOffset>0</wp:posOffset>
                </wp:positionH>
                <wp:positionV relativeFrom="paragraph">
                  <wp:posOffset>38100</wp:posOffset>
                </wp:positionV>
                <wp:extent cx="5772150" cy="2476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72150" cy="247650"/>
                        </a:xfrm>
                        <a:prstGeom prst="rect">
                          <a:avLst/>
                        </a:prstGeom>
                        <a:solidFill>
                          <a:prstClr val="white"/>
                        </a:solidFill>
                        <a:ln>
                          <a:noFill/>
                        </a:ln>
                        <a:effectLst/>
                      </wps:spPr>
                      <wps:txbx>
                        <w:txbxContent>
                          <w:p w14:paraId="2C30CD16" w14:textId="77777777" w:rsidR="000E51EF" w:rsidRPr="00E97F4A" w:rsidRDefault="000E51EF" w:rsidP="000E4830">
                            <w:pPr>
                              <w:pStyle w:val="Caption"/>
                              <w:rPr>
                                <w:i/>
                                <w:iCs/>
                                <w:noProof/>
                                <w:u w:val="single"/>
                              </w:rPr>
                            </w:pPr>
                            <w:r w:rsidRPr="00E97F4A">
                              <w:rPr>
                                <w:i/>
                                <w:iCs/>
                                <w:u w:val="single"/>
                              </w:rPr>
                              <w:t>Figure 3: A typology of nudges by target behaviours and systems of thinking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1FF8D7" id="Text Box 1" o:spid="_x0000_s1027" type="#_x0000_t202" style="position:absolute;left:0;text-align:left;margin-left:0;margin-top:3pt;width:454.5pt;height: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" stroked="f">
                <v:textbox inset="0,0,0,0">
                  <w:txbxContent>
                    <w:p w14:paraId="2C30CD16" w14:textId="77777777" w:rsidR="000E51EF" w:rsidRPr="00E97F4A" w:rsidRDefault="000E51EF" w:rsidP="000E4830">
                      <w:pPr>
                        <w:pStyle w:val="Caption"/>
                        <w:rPr>
                          <w:i/>
                          <w:iCs/>
                          <w:noProof/>
                          <w:u w:val="single"/>
                        </w:rPr>
                      </w:pPr>
                      <w:r w:rsidRPr="00E97F4A">
                        <w:rPr>
                          <w:i/>
                          <w:iCs/>
                          <w:u w:val="single"/>
                        </w:rPr>
                        <w:t>Figure 3: A typology of nudges by target behaviours and systems of thinking</w:t>
                      </w:r>
                    </w:p>
                  </w:txbxContent>
                </v:textbox>
                <w10:wrap type="square"/>
              </v:shape>
            </w:pict>
          </mc:Fallback>
        </mc:AlternateContent>
      </w:r>
    </w:p>
    <w:p w14:paraId="3E2DCAF0" w14:textId="17953B63" w:rsidR="000566AF" w:rsidRDefault="00864C5C">
      <w:r>
        <w:t>There are other instances of a fledging move towards ‘budging</w:t>
      </w:r>
      <w:r w:rsidR="002F7A17">
        <w:t>.</w:t>
      </w:r>
      <w:r>
        <w:t>’</w:t>
      </w:r>
      <w:r w:rsidR="000C0189">
        <w:t xml:space="preserve"> As previously mentioned, EU legislation banning pre-ticked boxes on websites was itself informed partly by the behavioural insight that consumers are often prone to inertia and ‘default bias’ (European Commission 2014a; European Commission 2014b), and may therefore unwittingly opt into receiving services or communications they do not actually want. The 2018 introduction of the General Data Protection Rules (GDPR) across the EU, where consumers have to actively opt into their data being processed by companies or websites</w:t>
      </w:r>
      <w:r w:rsidR="00D337A0">
        <w:t xml:space="preserve"> and “privacy is by design and default” </w:t>
      </w:r>
      <w:r w:rsidR="00D337A0">
        <w:fldChar w:fldCharType="begin" w:fldLock="1"/>
      </w:r>
      <w:r w:rsidR="001A5099">
        <w:instrText>ADDIN CSL_CITATION { "citationItems" : [ { "id" : "ITEM-1", "itemData" : { "URL" : "https://ico.org.uk/for-organisations/guide-to-the-general-data-protection-regulation-gdpr/accountability-and-governance/data-protection-by-design-and-default/", "accessed" : { "date-parts" : [ [ "2018", "2", "20" ] ] }, "author" : [ { "dropping-particle" : "", "family" : "Information Commissioner's Office", "given" : "", "non-dropping-particle" : "", "parse-names" : false, "suffix" : "" } ], "id" : "ITEM-1", "issued" : { "date-parts" : [ [ "2018" ] ] }, "publisher" : "ICO", "title" : "Data protection by design and default", "type" : "webpage" }, "uris" : [ "http://www.mendeley.com/documents/?uuid=3528c2b2-ad20-3d91-84da-b58f1e9996f3" ] } ], "mendeley" : { "formattedCitation" : "(Information Commissioner\u2019s Office 2018)", "plainTextFormattedCitation" : "(Information Commissioner\u2019s Office 2018)", "previouslyFormattedCitation" : "(Information Commissioner\u2019s Office 2018)" }, "properties" : {  }, "schema" : "https://github.com/citation-style-language/schema/raw/master/csl-citation.json" }</w:instrText>
      </w:r>
      <w:r w:rsidR="00D337A0">
        <w:fldChar w:fldCharType="separate"/>
      </w:r>
      <w:r w:rsidR="00D337A0" w:rsidRPr="00D337A0">
        <w:rPr>
          <w:noProof/>
        </w:rPr>
        <w:t>(Information Commissioner’s Office 2018)</w:t>
      </w:r>
      <w:r w:rsidR="00D337A0">
        <w:fldChar w:fldCharType="end"/>
      </w:r>
      <w:r w:rsidR="000C0189">
        <w:t>, might also be seen as a form of behavioura</w:t>
      </w:r>
      <w:r w:rsidR="00D337A0">
        <w:t>lly informed reg</w:t>
      </w:r>
      <w:r w:rsidR="000C0189">
        <w:t>ulation</w:t>
      </w:r>
      <w:r w:rsidR="00D337A0">
        <w:t xml:space="preserve">. </w:t>
      </w:r>
      <w:r w:rsidR="001A5099">
        <w:t xml:space="preserve">Without such </w:t>
      </w:r>
      <w:r w:rsidR="00AE4C2D">
        <w:t>a pro-self budge</w:t>
      </w:r>
      <w:r w:rsidR="00D337A0">
        <w:t xml:space="preserve">, there </w:t>
      </w:r>
      <w:r w:rsidR="008319B5">
        <w:t>is</w:t>
      </w:r>
      <w:r w:rsidR="00D337A0">
        <w:t xml:space="preserve"> no incentive for companies to seek to actively change consumer behaviou</w:t>
      </w:r>
      <w:r w:rsidR="001A5099">
        <w:t>r</w:t>
      </w:r>
      <w:r w:rsidR="00D337A0">
        <w:t xml:space="preserve">, even if that change might </w:t>
      </w:r>
      <w:r w:rsidR="008319B5">
        <w:t>be</w:t>
      </w:r>
      <w:r w:rsidR="00D337A0">
        <w:t xml:space="preserve"> in the</w:t>
      </w:r>
      <w:r w:rsidR="001A5099">
        <w:t xml:space="preserve"> customers’</w:t>
      </w:r>
      <w:r w:rsidR="00D337A0">
        <w:t xml:space="preserve"> </w:t>
      </w:r>
      <w:r w:rsidR="001A5099">
        <w:t xml:space="preserve">interests. </w:t>
      </w:r>
      <w:r w:rsidR="002D0F9C">
        <w:t xml:space="preserve">Similarly, </w:t>
      </w:r>
      <w:r w:rsidR="001A5099">
        <w:t>airlines</w:t>
      </w:r>
      <w:r w:rsidR="002D0F9C">
        <w:t xml:space="preserve"> </w:t>
      </w:r>
      <w:r w:rsidR="001A5099">
        <w:t xml:space="preserve">currently </w:t>
      </w:r>
      <w:r w:rsidR="002D0F9C">
        <w:t xml:space="preserve">also have little or no incentive to change </w:t>
      </w:r>
      <w:r>
        <w:t xml:space="preserve">their customers’ </w:t>
      </w:r>
      <w:r w:rsidR="008319B5">
        <w:t xml:space="preserve">interest or </w:t>
      </w:r>
      <w:r>
        <w:t>behaviour</w:t>
      </w:r>
      <w:r w:rsidR="001A5099">
        <w:t xml:space="preserve"> regarding offsetting</w:t>
      </w:r>
      <w:r w:rsidR="002D0F9C">
        <w:t xml:space="preserve">. These findings might </w:t>
      </w:r>
      <w:r>
        <w:t>therefore illustrate the</w:t>
      </w:r>
      <w:r w:rsidR="002D0F9C">
        <w:t xml:space="preserve"> need for behavioural</w:t>
      </w:r>
      <w:r w:rsidR="001A5099">
        <w:t xml:space="preserve">ly </w:t>
      </w:r>
      <w:r w:rsidR="002D0F9C">
        <w:t>informed regulation</w:t>
      </w:r>
      <w:r w:rsidR="005A2E22">
        <w:t>, or a pro-social budge such as a mandatory carbon tax on flights</w:t>
      </w:r>
      <w:r w:rsidR="002D0F9C">
        <w:t>. If</w:t>
      </w:r>
      <w:r w:rsidR="00B734E9">
        <w:t>, a</w:t>
      </w:r>
      <w:r w:rsidR="002D0F9C">
        <w:t xml:space="preserve">s </w:t>
      </w:r>
      <w:r w:rsidR="00B734E9">
        <w:t>this</w:t>
      </w:r>
      <w:r w:rsidR="002F7A17">
        <w:t xml:space="preserve"> </w:t>
      </w:r>
      <w:r w:rsidR="009512C3">
        <w:t xml:space="preserve">paper </w:t>
      </w:r>
      <w:r w:rsidR="002F7A17">
        <w:t>demonstrate</w:t>
      </w:r>
      <w:r w:rsidR="00B734E9">
        <w:t xml:space="preserve">s, </w:t>
      </w:r>
      <w:r w:rsidR="002D0F9C">
        <w:t xml:space="preserve">a sample of people </w:t>
      </w:r>
      <w:r w:rsidR="00AE4C2D">
        <w:t xml:space="preserve">which previous literature identifies as </w:t>
      </w:r>
      <w:r w:rsidR="002D0F9C">
        <w:t>likely to offset cannot be motivated to take interest in offsetting across two different experimental settings, then it is highly unlikely that offsetting is a suitable behaviour to be subject to nudge-style interventions, and so attention ought to shift towards a budge-style intervention instead.</w:t>
      </w:r>
      <w:r w:rsidR="00D65736">
        <w:t xml:space="preserve"> As emissions from air travel </w:t>
      </w:r>
      <w:r w:rsidR="00B911E2">
        <w:t xml:space="preserve">increasingly </w:t>
      </w:r>
      <w:r w:rsidR="00D65736">
        <w:t xml:space="preserve">contribute to climate change, this </w:t>
      </w:r>
      <w:r w:rsidR="002A7DD9">
        <w:t xml:space="preserve">is </w:t>
      </w:r>
      <w:r w:rsidR="006A30B4">
        <w:t>a</w:t>
      </w:r>
      <w:r w:rsidR="00D65736">
        <w:t xml:space="preserve"> topic with </w:t>
      </w:r>
      <w:r w:rsidR="006A30B4">
        <w:t>growing</w:t>
      </w:r>
      <w:r w:rsidR="00D65736">
        <w:t xml:space="preserve"> </w:t>
      </w:r>
      <w:r w:rsidR="006A30B4">
        <w:t>importance</w:t>
      </w:r>
      <w:r w:rsidR="00D65736">
        <w:t xml:space="preserve"> for environmental </w:t>
      </w:r>
      <w:r w:rsidR="006A30B4">
        <w:t>regulation.</w:t>
      </w:r>
    </w:p>
    <w:p w14:paraId="73E4BCFE" w14:textId="77777777" w:rsidR="000E4830" w:rsidRDefault="000E4830" w:rsidP="000E4830">
      <w:r>
        <w:t xml:space="preserve">Future research might test if addressing the design barriers identified here might help in promoting offsetting. For example, </w:t>
      </w:r>
      <w:r>
        <w:rPr>
          <w:lang w:eastAsia="zh-TW"/>
        </w:rPr>
        <w:t xml:space="preserve">it might be interesting to test offering carbon offsets at a separate point in time from the booking process, e.g. during or after a given flight, to remove the negative connotations customers have when offsetting at the point of purchase online. Testing the use of social media in promoting offsetting within peer networks could also be an interesting avenue. </w:t>
      </w:r>
      <w:r>
        <w:t>While such research might prove fruitful, this paper’s</w:t>
      </w:r>
      <w:r w:rsidRPr="00C80B41">
        <w:t xml:space="preserve"> findings </w:t>
      </w:r>
      <w:r>
        <w:t>highlight</w:t>
      </w:r>
      <w:r w:rsidRPr="00C80B41">
        <w:t xml:space="preserve"> </w:t>
      </w:r>
      <w:r>
        <w:t>some enduring, substantive barriers which</w:t>
      </w:r>
      <w:r w:rsidRPr="00C80B41">
        <w:t xml:space="preserve"> </w:t>
      </w:r>
      <w:r>
        <w:t xml:space="preserve">suggest that </w:t>
      </w:r>
      <w:r w:rsidRPr="00C80B41">
        <w:t xml:space="preserve">carbon offsetting does not belong to </w:t>
      </w:r>
      <w:r>
        <w:t>a</w:t>
      </w:r>
      <w:r w:rsidRPr="00C80B41">
        <w:t xml:space="preserve"> category of behaviours that </w:t>
      </w:r>
      <w:r>
        <w:t>are</w:t>
      </w:r>
      <w:r w:rsidRPr="00C80B41">
        <w:t xml:space="preserve"> </w:t>
      </w:r>
      <w:r>
        <w:t>suitable</w:t>
      </w:r>
      <w:r w:rsidRPr="00C80B41">
        <w:t xml:space="preserve"> for</w:t>
      </w:r>
      <w:r>
        <w:t xml:space="preserve"> a</w:t>
      </w:r>
      <w:r w:rsidRPr="00C80B41">
        <w:t xml:space="preserve"> nudge.</w:t>
      </w:r>
    </w:p>
    <w:p w14:paraId="39790C97" w14:textId="77777777" w:rsidR="000E4830" w:rsidRDefault="000E4830"/>
    <w:p w14:paraId="27A5914C" w14:textId="506061A5" w:rsidR="000E4830" w:rsidRDefault="000E4830">
      <w:pPr>
        <w:spacing w:after="200" w:line="276" w:lineRule="auto"/>
        <w:jc w:val="left"/>
      </w:pPr>
      <w:r>
        <w:br w:type="page"/>
      </w:r>
    </w:p>
    <w:p w14:paraId="0F999ED0" w14:textId="77777777" w:rsidR="00831AD6" w:rsidRDefault="00831AD6" w:rsidP="00831AD6">
      <w:pPr>
        <w:pStyle w:val="Heading1"/>
      </w:pPr>
      <w:r>
        <w:t>A</w:t>
      </w:r>
      <w:r w:rsidRPr="00831AD6">
        <w:t>cknowledgments</w:t>
      </w:r>
    </w:p>
    <w:p w14:paraId="2BFDF71A" w14:textId="21430DA5" w:rsidR="00831AD6" w:rsidRDefault="00831AD6" w:rsidP="008342E3">
      <w:r>
        <w:t xml:space="preserve">Sincere gratitude to Milena Buchs, Nick Clarke, Gerry Stoker, and Louise Leyland for their support and guidance in preparing this paper, and thanks to anonymous reviewers for their useful comments on earlier drafts </w:t>
      </w:r>
      <w:r w:rsidR="00EA78F6">
        <w:t>prior to publication</w:t>
      </w:r>
      <w:r>
        <w:t>. Cre</w:t>
      </w:r>
      <w:r w:rsidR="008342E3">
        <w:t xml:space="preserve">dit and appreciation also go to John Buckley and </w:t>
      </w:r>
      <w:r w:rsidR="00EA78F6">
        <w:t>colleagues</w:t>
      </w:r>
      <w:r>
        <w:t xml:space="preserve"> at CarbonFootprint.com for collaborating as a partner in the trial</w:t>
      </w:r>
      <w:r w:rsidR="00EA78F6">
        <w:t>s</w:t>
      </w:r>
      <w:r>
        <w:t xml:space="preserve">. </w:t>
      </w:r>
      <w:r w:rsidR="000E51EF" w:rsidRPr="000E51EF">
        <w:t>This res</w:t>
      </w:r>
      <w:r w:rsidR="000E51EF">
        <w:t xml:space="preserve">earch was supported by the UK Economic and Social Research Council </w:t>
      </w:r>
      <w:r w:rsidR="000E51EF" w:rsidRPr="000E51EF">
        <w:t>(grant reference number ES/J500161/1).</w:t>
      </w:r>
    </w:p>
    <w:p w14:paraId="62EAA20B" w14:textId="77777777" w:rsidR="00831AD6" w:rsidRDefault="00831AD6">
      <w:pPr>
        <w:spacing w:after="200" w:line="276" w:lineRule="auto"/>
        <w:jc w:val="left"/>
      </w:pPr>
      <w:r>
        <w:br w:type="page"/>
      </w:r>
    </w:p>
    <w:p w14:paraId="3602DBA5" w14:textId="4B5F8F01" w:rsidR="005E08D5" w:rsidRPr="00356AF0" w:rsidRDefault="005E08D5" w:rsidP="005E08D5">
      <w:pPr>
        <w:pStyle w:val="Heading1"/>
      </w:pPr>
      <w:r w:rsidRPr="00356AF0">
        <w:t>References</w:t>
      </w:r>
    </w:p>
    <w:p w14:paraId="2D6797FA" w14:textId="25809D98" w:rsidR="00E5291D" w:rsidRPr="00E5291D" w:rsidRDefault="00E62DA0">
      <w:pPr>
        <w:widowControl w:val="0"/>
        <w:autoSpaceDE w:val="0"/>
        <w:autoSpaceDN w:val="0"/>
        <w:adjustRightInd w:val="0"/>
        <w:spacing w:line="240" w:lineRule="auto"/>
        <w:ind w:left="480" w:hanging="480"/>
        <w:rPr>
          <w:rFonts w:ascii="Calibri" w:hAnsi="Calibri" w:cs="Times New Roman"/>
          <w:noProof/>
          <w:szCs w:val="24"/>
        </w:rPr>
      </w:pPr>
      <w:r>
        <w:fldChar w:fldCharType="begin" w:fldLock="1"/>
      </w:r>
      <w:r w:rsidRPr="00356AF0">
        <w:instrText xml:space="preserve">ADDIN Mendeley Bibliography CSL_BIBLIOGRAPHY </w:instrText>
      </w:r>
      <w:r>
        <w:fldChar w:fldCharType="separate"/>
      </w:r>
      <w:r w:rsidR="00E5291D" w:rsidRPr="00E5291D">
        <w:rPr>
          <w:rFonts w:ascii="Calibri" w:hAnsi="Calibri" w:cs="Times New Roman"/>
          <w:noProof/>
          <w:szCs w:val="24"/>
        </w:rPr>
        <w:t xml:space="preserve">Ajzen, I., 1991. The theory of planned behavior. </w:t>
      </w:r>
      <w:r w:rsidR="00E5291D" w:rsidRPr="00E5291D">
        <w:rPr>
          <w:rFonts w:ascii="Calibri" w:hAnsi="Calibri" w:cs="Times New Roman"/>
          <w:i/>
          <w:iCs/>
          <w:noProof/>
          <w:szCs w:val="24"/>
        </w:rPr>
        <w:t>Organizational behavior and human decision</w:t>
      </w:r>
      <w:r w:rsidR="005B15A1">
        <w:rPr>
          <w:rFonts w:ascii="Calibri" w:hAnsi="Calibri" w:cs="Times New Roman"/>
          <w:i/>
          <w:iCs/>
          <w:noProof/>
          <w:szCs w:val="24"/>
        </w:rPr>
        <w:t xml:space="preserve">-making processes, </w:t>
      </w:r>
      <w:r w:rsidR="005B15A1">
        <w:rPr>
          <w:rFonts w:ascii="Calibri" w:hAnsi="Calibri" w:cs="Times New Roman"/>
          <w:noProof/>
          <w:szCs w:val="24"/>
        </w:rPr>
        <w:t xml:space="preserve">50, pp.179-211. </w:t>
      </w:r>
    </w:p>
    <w:p w14:paraId="7A3E0E95"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5B15A1">
        <w:rPr>
          <w:rFonts w:ascii="Calibri" w:hAnsi="Calibri" w:cs="Times New Roman"/>
          <w:noProof/>
          <w:szCs w:val="24"/>
        </w:rPr>
        <w:t xml:space="preserve">Araña, J.E. &amp; León, C.J., 2013. </w:t>
      </w:r>
      <w:r w:rsidRPr="00E5291D">
        <w:rPr>
          <w:rFonts w:ascii="Calibri" w:hAnsi="Calibri" w:cs="Times New Roman"/>
          <w:noProof/>
          <w:szCs w:val="24"/>
        </w:rPr>
        <w:t xml:space="preserve">Can Defaults Save the Climate? Evidence from a Field Experiment on Carbon Offsetting Programs. </w:t>
      </w:r>
      <w:r w:rsidRPr="00E5291D">
        <w:rPr>
          <w:rFonts w:ascii="Calibri" w:hAnsi="Calibri" w:cs="Times New Roman"/>
          <w:i/>
          <w:iCs/>
          <w:noProof/>
          <w:szCs w:val="24"/>
        </w:rPr>
        <w:t>Environmental and Resource Economics</w:t>
      </w:r>
      <w:r w:rsidRPr="00E5291D">
        <w:rPr>
          <w:rFonts w:ascii="Calibri" w:hAnsi="Calibri" w:cs="Times New Roman"/>
          <w:noProof/>
          <w:szCs w:val="24"/>
        </w:rPr>
        <w:t>, 54, pp.613–626.</w:t>
      </w:r>
    </w:p>
    <w:p w14:paraId="39C2763F" w14:textId="522A96E0"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Ariely, D., Loewenstein, G. &amp; Prelec, D., 2003. “Coherent Arbitrariness”: Stable Demand Curves Without Stable Preferences. </w:t>
      </w:r>
      <w:r w:rsidRPr="00E5291D">
        <w:rPr>
          <w:rFonts w:ascii="Calibri" w:hAnsi="Calibri" w:cs="Times New Roman"/>
          <w:i/>
          <w:iCs/>
          <w:noProof/>
          <w:szCs w:val="24"/>
        </w:rPr>
        <w:t>Quarterly Journal of Technology</w:t>
      </w:r>
      <w:r w:rsidRPr="00E5291D">
        <w:rPr>
          <w:rFonts w:ascii="Calibri" w:hAnsi="Calibri" w:cs="Times New Roman"/>
          <w:noProof/>
          <w:szCs w:val="24"/>
        </w:rPr>
        <w:t xml:space="preserve">, (February), pp.73–106. </w:t>
      </w:r>
    </w:p>
    <w:p w14:paraId="743F1C23"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Barr, S. &amp; Prillwitz, J., 2014. A smarter choice? exploring the behaviour change agenda for environmentally sustainable mobility. </w:t>
      </w:r>
      <w:r w:rsidRPr="00E5291D">
        <w:rPr>
          <w:rFonts w:ascii="Calibri" w:hAnsi="Calibri" w:cs="Times New Roman"/>
          <w:i/>
          <w:iCs/>
          <w:noProof/>
          <w:szCs w:val="24"/>
        </w:rPr>
        <w:t>Environment and Planning C: Government and Policy</w:t>
      </w:r>
      <w:r w:rsidRPr="00E5291D">
        <w:rPr>
          <w:rFonts w:ascii="Calibri" w:hAnsi="Calibri" w:cs="Times New Roman"/>
          <w:noProof/>
          <w:szCs w:val="24"/>
        </w:rPr>
        <w:t>, 32(1), pp.1–19.</w:t>
      </w:r>
    </w:p>
    <w:p w14:paraId="34274EF8" w14:textId="46EAF43A"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Behavioural Insights Team, 2013a. </w:t>
      </w:r>
      <w:r w:rsidRPr="00E5291D">
        <w:rPr>
          <w:rFonts w:ascii="Calibri" w:hAnsi="Calibri" w:cs="Times New Roman"/>
          <w:i/>
          <w:iCs/>
          <w:noProof/>
          <w:szCs w:val="24"/>
        </w:rPr>
        <w:t>Applying behavioural insights to charitable giving</w:t>
      </w:r>
      <w:r w:rsidR="005B15A1">
        <w:rPr>
          <w:rFonts w:ascii="Calibri" w:hAnsi="Calibri" w:cs="Times New Roman"/>
          <w:noProof/>
          <w:szCs w:val="24"/>
        </w:rPr>
        <w:t xml:space="preserve">. Available at: </w:t>
      </w:r>
      <w:r w:rsidR="005B15A1" w:rsidRPr="005B15A1">
        <w:rPr>
          <w:rFonts w:ascii="Calibri" w:hAnsi="Calibri" w:cs="Times New Roman"/>
          <w:noProof/>
          <w:szCs w:val="24"/>
        </w:rPr>
        <w:t>http://38r8om2xjhhl25mw24492dir.wpengine.netdna-cdn.com/wp-content/uploads/2015/07/BIT_Charitable_Giving_Paper-1.pdf</w:t>
      </w:r>
    </w:p>
    <w:p w14:paraId="630D5B6E"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Behavioural Insights Team, 2013b. Pensions policy shows the power of defaults. Available at: http://www.behaviouralinsights.co.uk/uncategorized/pensions-policy-shows-the-power-of-defaults/.</w:t>
      </w:r>
    </w:p>
    <w:p w14:paraId="127974EA" w14:textId="3EA841A4"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Behavioural Insights Team, 2015. </w:t>
      </w:r>
      <w:r w:rsidRPr="00356AF0">
        <w:rPr>
          <w:rFonts w:ascii="Calibri" w:hAnsi="Calibri" w:cs="Times New Roman"/>
          <w:noProof/>
          <w:szCs w:val="24"/>
        </w:rPr>
        <w:t>The Behavioural Insights Team Update report 2013-2015</w:t>
      </w:r>
      <w:r w:rsidR="005B15A1">
        <w:rPr>
          <w:rFonts w:ascii="Calibri" w:hAnsi="Calibri" w:cs="Times New Roman"/>
          <w:noProof/>
          <w:szCs w:val="24"/>
        </w:rPr>
        <w:t xml:space="preserve">. Available at: </w:t>
      </w:r>
      <w:r w:rsidR="005B15A1" w:rsidRPr="005B15A1">
        <w:rPr>
          <w:rFonts w:ascii="Calibri" w:hAnsi="Calibri" w:cs="Times New Roman"/>
          <w:noProof/>
          <w:szCs w:val="24"/>
        </w:rPr>
        <w:t>http://www.behaviouralinsights.co.uk/publications/the-behavioural-insights-team-update-report-2013-2015/</w:t>
      </w:r>
    </w:p>
    <w:p w14:paraId="5886E257"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Boeing, 2014. Boeing: Long Term Market. Available at: http://www.boeing.com/commercial/market/long-term-market/ [Accessed April 9, 2015].</w:t>
      </w:r>
    </w:p>
    <w:p w14:paraId="49A5F953"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Broderick, J., 2009. Voluntary Carbon Offsetting for Air Travel. In S. Gössling  Upham, P., ed. </w:t>
      </w:r>
      <w:r w:rsidRPr="00E5291D">
        <w:rPr>
          <w:rFonts w:ascii="Calibri" w:hAnsi="Calibri" w:cs="Times New Roman"/>
          <w:i/>
          <w:iCs/>
          <w:noProof/>
          <w:szCs w:val="24"/>
        </w:rPr>
        <w:t>Climate Change and Aviation: Issues, Challenges and Solutions</w:t>
      </w:r>
      <w:r w:rsidRPr="00E5291D">
        <w:rPr>
          <w:rFonts w:ascii="Calibri" w:hAnsi="Calibri" w:cs="Times New Roman"/>
          <w:noProof/>
          <w:szCs w:val="24"/>
        </w:rPr>
        <w:t>. London: Earthscan.</w:t>
      </w:r>
    </w:p>
    <w:p w14:paraId="7F5AB732" w14:textId="701DCF7A"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Brouwer, R., Brander, L. &amp; Van Beukering, P., 2008. “A convenient truth”: air travel passengers’ willingness to pay to offset their CO(2) emissions. </w:t>
      </w:r>
      <w:r w:rsidRPr="00E5291D">
        <w:rPr>
          <w:rFonts w:ascii="Calibri" w:hAnsi="Calibri" w:cs="Times New Roman"/>
          <w:i/>
          <w:iCs/>
          <w:noProof/>
          <w:szCs w:val="24"/>
        </w:rPr>
        <w:t>Climatic Change</w:t>
      </w:r>
      <w:r w:rsidRPr="00E5291D">
        <w:rPr>
          <w:rFonts w:ascii="Calibri" w:hAnsi="Calibri" w:cs="Times New Roman"/>
          <w:noProof/>
          <w:szCs w:val="24"/>
        </w:rPr>
        <w:t>, 90(3), pp.299–313. A</w:t>
      </w:r>
    </w:p>
    <w:p w14:paraId="5632F565"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Büchs, M., 2016. The role of values for voluntary reductions of holiday air travel. </w:t>
      </w:r>
      <w:r w:rsidRPr="00E5291D">
        <w:rPr>
          <w:rFonts w:ascii="Calibri" w:hAnsi="Calibri" w:cs="Times New Roman"/>
          <w:i/>
          <w:iCs/>
          <w:noProof/>
          <w:szCs w:val="24"/>
        </w:rPr>
        <w:t>Journal of Sustainable Tourism</w:t>
      </w:r>
      <w:r w:rsidRPr="00E5291D">
        <w:rPr>
          <w:rFonts w:ascii="Calibri" w:hAnsi="Calibri" w:cs="Times New Roman"/>
          <w:noProof/>
          <w:szCs w:val="24"/>
        </w:rPr>
        <w:t>, 0(0), pp.1–17. Available at: https://www.tandfonline.com/doi/full/10.1080/09669582.2016.1195838.</w:t>
      </w:r>
    </w:p>
    <w:p w14:paraId="7BFD03D2"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Chatterton, T., 2016. An introduction to theories of behaviour. In </w:t>
      </w:r>
      <w:r w:rsidRPr="00E5291D">
        <w:rPr>
          <w:rFonts w:ascii="Calibri" w:hAnsi="Calibri" w:cs="Times New Roman"/>
          <w:i/>
          <w:iCs/>
          <w:noProof/>
          <w:szCs w:val="24"/>
        </w:rPr>
        <w:t>Beyond Behaviour Change: Key Issues, Interdisciplinary Approaches and Future Directions</w:t>
      </w:r>
      <w:r w:rsidRPr="00E5291D">
        <w:rPr>
          <w:rFonts w:ascii="Calibri" w:hAnsi="Calibri" w:cs="Times New Roman"/>
          <w:noProof/>
          <w:szCs w:val="24"/>
        </w:rPr>
        <w:t>. Bristol: Policy Press, pp. 27–48.</w:t>
      </w:r>
    </w:p>
    <w:p w14:paraId="34889137" w14:textId="42AD80D8"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Choi, A.S. &amp; Ritchie, B.W., 2014. Willingness to pay for flying carbon neutral in Australia: an exploratory study of offsetter profiles. </w:t>
      </w:r>
      <w:r w:rsidRPr="00E5291D">
        <w:rPr>
          <w:rFonts w:ascii="Calibri" w:hAnsi="Calibri" w:cs="Times New Roman"/>
          <w:i/>
          <w:iCs/>
          <w:noProof/>
          <w:szCs w:val="24"/>
        </w:rPr>
        <w:t>Journal of Sustainable Tourism</w:t>
      </w:r>
      <w:r w:rsidRPr="00E5291D">
        <w:rPr>
          <w:rFonts w:ascii="Calibri" w:hAnsi="Calibri" w:cs="Times New Roman"/>
          <w:noProof/>
          <w:szCs w:val="24"/>
        </w:rPr>
        <w:t xml:space="preserve">, 22(8), pp.1236–1256. </w:t>
      </w:r>
    </w:p>
    <w:p w14:paraId="7637C39E" w14:textId="1534AC52"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Corfman, K., 1995. The Importance of Member Homogeneity to Focus Group Quality. </w:t>
      </w:r>
      <w:r w:rsidRPr="00E5291D">
        <w:rPr>
          <w:rFonts w:ascii="Calibri" w:hAnsi="Calibri" w:cs="Times New Roman"/>
          <w:i/>
          <w:iCs/>
          <w:noProof/>
          <w:szCs w:val="24"/>
        </w:rPr>
        <w:t>Advances in Consumer Research</w:t>
      </w:r>
      <w:r w:rsidRPr="00E5291D">
        <w:rPr>
          <w:rFonts w:ascii="Calibri" w:hAnsi="Calibri" w:cs="Times New Roman"/>
          <w:noProof/>
          <w:szCs w:val="24"/>
        </w:rPr>
        <w:t xml:space="preserve">, pp.354–359. </w:t>
      </w:r>
    </w:p>
    <w:p w14:paraId="54588007"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Crompton, T. et al., 2014. </w:t>
      </w:r>
      <w:r w:rsidRPr="00E5291D">
        <w:rPr>
          <w:rFonts w:ascii="Calibri" w:hAnsi="Calibri" w:cs="Times New Roman"/>
          <w:i/>
          <w:iCs/>
          <w:noProof/>
          <w:szCs w:val="24"/>
        </w:rPr>
        <w:t>No Cause is an Island: How People are Influenced by Values Regardless of the Cause</w:t>
      </w:r>
      <w:r w:rsidRPr="00E5291D">
        <w:rPr>
          <w:rFonts w:ascii="Calibri" w:hAnsi="Calibri" w:cs="Times New Roman"/>
          <w:noProof/>
          <w:szCs w:val="24"/>
        </w:rPr>
        <w:t>, London. Available at: http://valuesandframes.org/download/reports/No Cause is an Island.pdf.</w:t>
      </w:r>
    </w:p>
    <w:p w14:paraId="623481A7"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Crompton, T., 2016. Values and public expressions of concern. In F. Spotswood, ed. </w:t>
      </w:r>
      <w:r w:rsidRPr="00E5291D">
        <w:rPr>
          <w:rFonts w:ascii="Calibri" w:hAnsi="Calibri" w:cs="Times New Roman"/>
          <w:i/>
          <w:iCs/>
          <w:noProof/>
          <w:szCs w:val="24"/>
        </w:rPr>
        <w:t>Beyond Behaviour Change: Key Issues, Interdisciplinary Approaches and Future Directions</w:t>
      </w:r>
      <w:r w:rsidRPr="00E5291D">
        <w:rPr>
          <w:rFonts w:ascii="Calibri" w:hAnsi="Calibri" w:cs="Times New Roman"/>
          <w:noProof/>
          <w:szCs w:val="24"/>
        </w:rPr>
        <w:t>. Bristol: Policy Press, pp. 217–235.</w:t>
      </w:r>
    </w:p>
    <w:p w14:paraId="135EE034" w14:textId="20C39511"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Curtis, V.A., Scott, B. &amp; Garbrah-Aidoo, N., 2007. Masters of Marketing: Bringing Private Sector Skills to Public Health Partnerships. </w:t>
      </w:r>
      <w:r w:rsidRPr="00E5291D">
        <w:rPr>
          <w:rFonts w:ascii="Calibri" w:hAnsi="Calibri" w:cs="Times New Roman"/>
          <w:i/>
          <w:iCs/>
          <w:noProof/>
          <w:szCs w:val="24"/>
        </w:rPr>
        <w:t>American Journal of Public Health</w:t>
      </w:r>
      <w:r w:rsidRPr="00E5291D">
        <w:rPr>
          <w:rFonts w:ascii="Calibri" w:hAnsi="Calibri" w:cs="Times New Roman"/>
          <w:noProof/>
          <w:szCs w:val="24"/>
        </w:rPr>
        <w:t>, 92(4), pp.634–641.</w:t>
      </w:r>
    </w:p>
    <w:p w14:paraId="39CBDA05"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Dale, S., 2015. Heuristics and biases: The science of decision-making. </w:t>
      </w:r>
      <w:r w:rsidRPr="00E5291D">
        <w:rPr>
          <w:rFonts w:ascii="Calibri" w:hAnsi="Calibri" w:cs="Times New Roman"/>
          <w:i/>
          <w:iCs/>
          <w:noProof/>
          <w:szCs w:val="24"/>
        </w:rPr>
        <w:t>Business Information Review</w:t>
      </w:r>
      <w:r w:rsidRPr="00E5291D">
        <w:rPr>
          <w:rFonts w:ascii="Calibri" w:hAnsi="Calibri" w:cs="Times New Roman"/>
          <w:noProof/>
          <w:szCs w:val="24"/>
        </w:rPr>
        <w:t>, 32(2), pp.93–99. Available at: http://bir.sagepub.com/content/32/2/93.abstract?rss=1.</w:t>
      </w:r>
    </w:p>
    <w:p w14:paraId="5C77D552"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Dolan, P. et al., 2012. Influencing behaviour: The mindspace way. </w:t>
      </w:r>
      <w:r w:rsidRPr="00E5291D">
        <w:rPr>
          <w:rFonts w:ascii="Calibri" w:hAnsi="Calibri" w:cs="Times New Roman"/>
          <w:i/>
          <w:iCs/>
          <w:noProof/>
          <w:szCs w:val="24"/>
        </w:rPr>
        <w:t>Journal of Economic Psychology</w:t>
      </w:r>
      <w:r w:rsidRPr="00E5291D">
        <w:rPr>
          <w:rFonts w:ascii="Calibri" w:hAnsi="Calibri" w:cs="Times New Roman"/>
          <w:noProof/>
          <w:szCs w:val="24"/>
        </w:rPr>
        <w:t>, 33(264–277).</w:t>
      </w:r>
    </w:p>
    <w:p w14:paraId="7C3F8D04" w14:textId="7D9D6CB2"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Eijgelaar, E., 2011. Voluntary carbon offsets a solution for reducing tourism emissions? Assessment of communication aspects and mitigation potential. </w:t>
      </w:r>
      <w:r w:rsidRPr="00E5291D">
        <w:rPr>
          <w:rFonts w:ascii="Calibri" w:hAnsi="Calibri" w:cs="Times New Roman"/>
          <w:i/>
          <w:iCs/>
          <w:noProof/>
          <w:szCs w:val="24"/>
        </w:rPr>
        <w:t>European Journal of Transport and Infrastructure …</w:t>
      </w:r>
      <w:r w:rsidRPr="00E5291D">
        <w:rPr>
          <w:rFonts w:ascii="Calibri" w:hAnsi="Calibri" w:cs="Times New Roman"/>
          <w:noProof/>
          <w:szCs w:val="24"/>
        </w:rPr>
        <w:t xml:space="preserve">, 11(11), pp.281–296. </w:t>
      </w:r>
    </w:p>
    <w:p w14:paraId="2D11D7AD"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European Commission, 2014. Taking consumer rights into the digital age. Available at: http://europa.eu/rapid/press-release_IP-14-655_en.htm [Accessed June 15, 2016].</w:t>
      </w:r>
    </w:p>
    <w:p w14:paraId="208BE031"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Ewert, A. &amp; Baker, D., 2001. Standing for Where You Sit: An Exploratory Analysis of the Relationship between Academic Major and Environment Beliefs. </w:t>
      </w:r>
      <w:r w:rsidRPr="00E5291D">
        <w:rPr>
          <w:rFonts w:ascii="Calibri" w:hAnsi="Calibri" w:cs="Times New Roman"/>
          <w:i/>
          <w:iCs/>
          <w:noProof/>
          <w:szCs w:val="24"/>
        </w:rPr>
        <w:t>Environment and Behavior</w:t>
      </w:r>
      <w:r w:rsidRPr="00E5291D">
        <w:rPr>
          <w:rFonts w:ascii="Calibri" w:hAnsi="Calibri" w:cs="Times New Roman"/>
          <w:noProof/>
          <w:szCs w:val="24"/>
        </w:rPr>
        <w:t>, 33, pp.687–707.</w:t>
      </w:r>
    </w:p>
    <w:p w14:paraId="31247132" w14:textId="77777777" w:rsidR="00E5291D" w:rsidRPr="00356AF0" w:rsidRDefault="00E5291D" w:rsidP="00E5291D">
      <w:pPr>
        <w:widowControl w:val="0"/>
        <w:autoSpaceDE w:val="0"/>
        <w:autoSpaceDN w:val="0"/>
        <w:adjustRightInd w:val="0"/>
        <w:spacing w:line="240" w:lineRule="auto"/>
        <w:ind w:left="480" w:hanging="480"/>
        <w:rPr>
          <w:rFonts w:ascii="Calibri" w:hAnsi="Calibri" w:cs="Times New Roman"/>
          <w:noProof/>
          <w:szCs w:val="24"/>
          <w:lang w:val="fr-FR"/>
        </w:rPr>
      </w:pPr>
      <w:r w:rsidRPr="00E5291D">
        <w:rPr>
          <w:rFonts w:ascii="Calibri" w:hAnsi="Calibri" w:cs="Times New Roman"/>
          <w:noProof/>
          <w:szCs w:val="24"/>
        </w:rPr>
        <w:t xml:space="preserve">Goodwin, T., 2012. Why We Should Reject “Nudge.” </w:t>
      </w:r>
      <w:r w:rsidRPr="00356AF0">
        <w:rPr>
          <w:rFonts w:ascii="Calibri" w:hAnsi="Calibri" w:cs="Times New Roman"/>
          <w:i/>
          <w:iCs/>
          <w:noProof/>
          <w:szCs w:val="24"/>
          <w:lang w:val="fr-FR"/>
        </w:rPr>
        <w:t>Politics</w:t>
      </w:r>
      <w:r w:rsidRPr="00356AF0">
        <w:rPr>
          <w:rFonts w:ascii="Calibri" w:hAnsi="Calibri" w:cs="Times New Roman"/>
          <w:noProof/>
          <w:szCs w:val="24"/>
          <w:lang w:val="fr-FR"/>
        </w:rPr>
        <w:t>, 32(2), pp.85–92.</w:t>
      </w:r>
    </w:p>
    <w:p w14:paraId="5E176A3F" w14:textId="4B4CC92F"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356AF0">
        <w:rPr>
          <w:rFonts w:ascii="Calibri" w:hAnsi="Calibri" w:cs="Times New Roman"/>
          <w:noProof/>
          <w:szCs w:val="24"/>
          <w:lang w:val="fr-FR"/>
        </w:rPr>
        <w:t xml:space="preserve">Gössling, S. et al., 2009. </w:t>
      </w:r>
      <w:r w:rsidRPr="00E5291D">
        <w:rPr>
          <w:rFonts w:ascii="Calibri" w:hAnsi="Calibri" w:cs="Times New Roman"/>
          <w:noProof/>
          <w:szCs w:val="24"/>
        </w:rPr>
        <w:t xml:space="preserve">Swedish air travellers and voluntary carbon offsets: towards the co-creation of environmental value? </w:t>
      </w:r>
      <w:r w:rsidRPr="00E5291D">
        <w:rPr>
          <w:rFonts w:ascii="Calibri" w:hAnsi="Calibri" w:cs="Times New Roman"/>
          <w:i/>
          <w:iCs/>
          <w:noProof/>
          <w:szCs w:val="24"/>
        </w:rPr>
        <w:t>Current Issues in Tourism</w:t>
      </w:r>
      <w:r w:rsidRPr="00E5291D">
        <w:rPr>
          <w:rFonts w:ascii="Calibri" w:hAnsi="Calibri" w:cs="Times New Roman"/>
          <w:noProof/>
          <w:szCs w:val="24"/>
        </w:rPr>
        <w:t xml:space="preserve">, 12(1), pp.1–19. </w:t>
      </w:r>
    </w:p>
    <w:p w14:paraId="4353DFFC"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Gössling, S. &amp; Upham, P. eds., 2008. </w:t>
      </w:r>
      <w:r w:rsidRPr="00E5291D">
        <w:rPr>
          <w:rFonts w:ascii="Calibri" w:hAnsi="Calibri" w:cs="Times New Roman"/>
          <w:i/>
          <w:iCs/>
          <w:noProof/>
          <w:szCs w:val="24"/>
        </w:rPr>
        <w:t>Climate Change and Aviation</w:t>
      </w:r>
      <w:r w:rsidRPr="00E5291D">
        <w:rPr>
          <w:rFonts w:ascii="Calibri" w:hAnsi="Calibri" w:cs="Times New Roman"/>
          <w:noProof/>
          <w:szCs w:val="24"/>
        </w:rPr>
        <w:t>, London. Available at: http://medcontent.metapress.com/index/A65RM03P4874243N.pdf.</w:t>
      </w:r>
    </w:p>
    <w:p w14:paraId="03C48C02" w14:textId="5BCEFF1E"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Grote, M., Williams, I. &amp; Preston, J., 2014. Direct carbon dioxide emissions from civil aircraft. </w:t>
      </w:r>
      <w:r w:rsidRPr="00E5291D">
        <w:rPr>
          <w:rFonts w:ascii="Calibri" w:hAnsi="Calibri" w:cs="Times New Roman"/>
          <w:i/>
          <w:iCs/>
          <w:noProof/>
          <w:szCs w:val="24"/>
        </w:rPr>
        <w:t>Atmospheric Environment</w:t>
      </w:r>
      <w:r w:rsidRPr="00E5291D">
        <w:rPr>
          <w:rFonts w:ascii="Calibri" w:hAnsi="Calibri" w:cs="Times New Roman"/>
          <w:noProof/>
          <w:szCs w:val="24"/>
        </w:rPr>
        <w:t xml:space="preserve">, 95, pp.214–224. </w:t>
      </w:r>
    </w:p>
    <w:p w14:paraId="263BEAD1" w14:textId="2F1E0315"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Hagman, W. et al., 2015. Public Views on Policies Involving Nudges. </w:t>
      </w:r>
      <w:r w:rsidRPr="00E5291D">
        <w:rPr>
          <w:rFonts w:ascii="Calibri" w:hAnsi="Calibri" w:cs="Times New Roman"/>
          <w:i/>
          <w:iCs/>
          <w:noProof/>
          <w:szCs w:val="24"/>
        </w:rPr>
        <w:t>Review of Philosophy and Psychology</w:t>
      </w:r>
      <w:r w:rsidRPr="00E5291D">
        <w:rPr>
          <w:rFonts w:ascii="Calibri" w:hAnsi="Calibri" w:cs="Times New Roman"/>
          <w:noProof/>
          <w:szCs w:val="24"/>
        </w:rPr>
        <w:t xml:space="preserve">, pp.439–453. </w:t>
      </w:r>
    </w:p>
    <w:p w14:paraId="63AC0F58"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Hall, C.M., 2013. Framing behavioural approaches to understanding and governing sustainable tourism consumption: beyond neoliberalism, “nudging” and “green growth”? </w:t>
      </w:r>
      <w:r w:rsidRPr="00E5291D">
        <w:rPr>
          <w:rFonts w:ascii="Calibri" w:hAnsi="Calibri" w:cs="Times New Roman"/>
          <w:i/>
          <w:iCs/>
          <w:noProof/>
          <w:szCs w:val="24"/>
        </w:rPr>
        <w:t>Journal of Sustainable Tourism</w:t>
      </w:r>
      <w:r w:rsidRPr="00E5291D">
        <w:rPr>
          <w:rFonts w:ascii="Calibri" w:hAnsi="Calibri" w:cs="Times New Roman"/>
          <w:noProof/>
          <w:szCs w:val="24"/>
        </w:rPr>
        <w:t>, 21(7), pp.1091–1109.</w:t>
      </w:r>
    </w:p>
    <w:p w14:paraId="5AD57E61"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Hardin, G., 1968. The tragedy of the commons. </w:t>
      </w:r>
      <w:r w:rsidRPr="00E5291D">
        <w:rPr>
          <w:rFonts w:ascii="Calibri" w:hAnsi="Calibri" w:cs="Times New Roman"/>
          <w:i/>
          <w:iCs/>
          <w:noProof/>
          <w:szCs w:val="24"/>
        </w:rPr>
        <w:t>Science</w:t>
      </w:r>
      <w:r w:rsidRPr="00E5291D">
        <w:rPr>
          <w:rFonts w:ascii="Calibri" w:hAnsi="Calibri" w:cs="Times New Roman"/>
          <w:noProof/>
          <w:szCs w:val="24"/>
        </w:rPr>
        <w:t>, 162, pp.1243–1248.</w:t>
      </w:r>
    </w:p>
    <w:p w14:paraId="4B5E4028"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Haynes, L., Goldacre, B. &amp; Torgerson, D., 2012. </w:t>
      </w:r>
      <w:r w:rsidRPr="00E5291D">
        <w:rPr>
          <w:rFonts w:ascii="Calibri" w:hAnsi="Calibri" w:cs="Times New Roman"/>
          <w:i/>
          <w:iCs/>
          <w:noProof/>
          <w:szCs w:val="24"/>
        </w:rPr>
        <w:t>Test, learn, adapt: developing public policy with randomised controlled trials</w:t>
      </w:r>
      <w:r w:rsidRPr="00E5291D">
        <w:rPr>
          <w:rFonts w:ascii="Calibri" w:hAnsi="Calibri" w:cs="Times New Roman"/>
          <w:noProof/>
          <w:szCs w:val="24"/>
        </w:rPr>
        <w:t>, Available at: http://papers.ssrn.com/sol3/papers.cfm?abstract_id=2131581 [Accessed May 20, 2014].</w:t>
      </w:r>
    </w:p>
    <w:p w14:paraId="79D00E1A" w14:textId="2D6906A9"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356AF0">
        <w:rPr>
          <w:rFonts w:ascii="Calibri" w:hAnsi="Calibri" w:cs="Times New Roman"/>
          <w:noProof/>
          <w:szCs w:val="24"/>
          <w:lang w:val="fr-FR"/>
        </w:rPr>
        <w:t xml:space="preserve">Hibbert, J.F. et al., 2013. </w:t>
      </w:r>
      <w:r w:rsidRPr="00E5291D">
        <w:rPr>
          <w:rFonts w:ascii="Calibri" w:hAnsi="Calibri" w:cs="Times New Roman"/>
          <w:noProof/>
          <w:szCs w:val="24"/>
        </w:rPr>
        <w:t xml:space="preserve">Identity and tourism mobility: an exploration of the attitude–behaviour gap. </w:t>
      </w:r>
      <w:r w:rsidRPr="00E5291D">
        <w:rPr>
          <w:rFonts w:ascii="Calibri" w:hAnsi="Calibri" w:cs="Times New Roman"/>
          <w:i/>
          <w:iCs/>
          <w:noProof/>
          <w:szCs w:val="24"/>
        </w:rPr>
        <w:t>Journal of Sustainable Tourism</w:t>
      </w:r>
      <w:r w:rsidRPr="00E5291D">
        <w:rPr>
          <w:rFonts w:ascii="Calibri" w:hAnsi="Calibri" w:cs="Times New Roman"/>
          <w:noProof/>
          <w:szCs w:val="24"/>
        </w:rPr>
        <w:t xml:space="preserve">, 21(7), pp.999–1016. </w:t>
      </w:r>
    </w:p>
    <w:p w14:paraId="3DB9F7E7"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Hooper, P. et al., 2008. </w:t>
      </w:r>
      <w:r w:rsidRPr="00E5291D">
        <w:rPr>
          <w:rFonts w:ascii="Calibri" w:hAnsi="Calibri" w:cs="Times New Roman"/>
          <w:i/>
          <w:iCs/>
          <w:noProof/>
          <w:szCs w:val="24"/>
        </w:rPr>
        <w:t>Final OMEGA Project Report : An Assessment of the Potential of Carbon Offset Schemes to Mitigate the Climate Change Implications of Future Growth of UK Aviation</w:t>
      </w:r>
      <w:r w:rsidRPr="00E5291D">
        <w:rPr>
          <w:rFonts w:ascii="Calibri" w:hAnsi="Calibri" w:cs="Times New Roman"/>
          <w:noProof/>
          <w:szCs w:val="24"/>
        </w:rPr>
        <w:t>, Manchester.</w:t>
      </w:r>
    </w:p>
    <w:p w14:paraId="22682785"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House of Commons, 2007. </w:t>
      </w:r>
      <w:r w:rsidRPr="00E5291D">
        <w:rPr>
          <w:rFonts w:ascii="Calibri" w:hAnsi="Calibri" w:cs="Times New Roman"/>
          <w:i/>
          <w:iCs/>
          <w:noProof/>
          <w:szCs w:val="24"/>
        </w:rPr>
        <w:t>The Voluntary Carbon Offset Market</w:t>
      </w:r>
      <w:r w:rsidRPr="00E5291D">
        <w:rPr>
          <w:rFonts w:ascii="Calibri" w:hAnsi="Calibri" w:cs="Times New Roman"/>
          <w:noProof/>
          <w:szCs w:val="24"/>
        </w:rPr>
        <w:t>,</w:t>
      </w:r>
    </w:p>
    <w:p w14:paraId="10C0E18D"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ICAO, 2016. </w:t>
      </w:r>
      <w:r w:rsidRPr="00E5291D">
        <w:rPr>
          <w:rFonts w:ascii="Calibri" w:hAnsi="Calibri" w:cs="Times New Roman"/>
          <w:i/>
          <w:iCs/>
          <w:noProof/>
          <w:szCs w:val="24"/>
        </w:rPr>
        <w:t>On Board: A Sustainable Future - 2016 Environmental Report</w:t>
      </w:r>
      <w:r w:rsidRPr="00E5291D">
        <w:rPr>
          <w:rFonts w:ascii="Calibri" w:hAnsi="Calibri" w:cs="Times New Roman"/>
          <w:noProof/>
          <w:szCs w:val="24"/>
        </w:rPr>
        <w:t>, Montreal.</w:t>
      </w:r>
    </w:p>
    <w:p w14:paraId="52999598"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Information Commissioner’s Office, 2018. Data protection by design and default. Available at: https://ico.org.uk/for-organisations/guide-to-the-general-data-protection-regulation-gdpr/accountability-and-governance/data-protection-by-design-and-default/ [Accessed February 20, 2018].</w:t>
      </w:r>
    </w:p>
    <w:p w14:paraId="690CCAF9"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John, P. et al., 2011. </w:t>
      </w:r>
      <w:r w:rsidRPr="00E5291D">
        <w:rPr>
          <w:rFonts w:ascii="Calibri" w:hAnsi="Calibri" w:cs="Times New Roman"/>
          <w:i/>
          <w:iCs/>
          <w:noProof/>
          <w:szCs w:val="24"/>
        </w:rPr>
        <w:t>Nudge, nudge, think, think : experimenting with ways to change civic behaviour</w:t>
      </w:r>
      <w:r w:rsidRPr="00E5291D">
        <w:rPr>
          <w:rFonts w:ascii="Calibri" w:hAnsi="Calibri" w:cs="Times New Roman"/>
          <w:noProof/>
          <w:szCs w:val="24"/>
        </w:rPr>
        <w:t>, London: Bloomsbury Academic.</w:t>
      </w:r>
    </w:p>
    <w:p w14:paraId="2AD39BBC"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993E5B">
        <w:rPr>
          <w:rFonts w:ascii="Calibri" w:hAnsi="Calibri" w:cs="Times New Roman"/>
          <w:noProof/>
          <w:szCs w:val="24"/>
          <w:lang w:val="nl-NL"/>
        </w:rPr>
        <w:t xml:space="preserve">Kaplowitz, M.D. &amp; Levine, R., 2005. </w:t>
      </w:r>
      <w:r w:rsidRPr="00E5291D">
        <w:rPr>
          <w:rFonts w:ascii="Calibri" w:hAnsi="Calibri" w:cs="Times New Roman"/>
          <w:noProof/>
          <w:szCs w:val="24"/>
        </w:rPr>
        <w:t xml:space="preserve">How environmental knowledge measures up at a Big Ten university. </w:t>
      </w:r>
      <w:r w:rsidRPr="00E5291D">
        <w:rPr>
          <w:rFonts w:ascii="Calibri" w:hAnsi="Calibri" w:cs="Times New Roman"/>
          <w:i/>
          <w:iCs/>
          <w:noProof/>
          <w:szCs w:val="24"/>
        </w:rPr>
        <w:t>Environmental Education Research</w:t>
      </w:r>
      <w:r w:rsidRPr="00E5291D">
        <w:rPr>
          <w:rFonts w:ascii="Calibri" w:hAnsi="Calibri" w:cs="Times New Roman"/>
          <w:noProof/>
          <w:szCs w:val="24"/>
        </w:rPr>
        <w:t>, 11(2), pp.143–160.</w:t>
      </w:r>
    </w:p>
    <w:p w14:paraId="130A36A5"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Kling, J.R. et al., 2012. Comparison friction: Experimental evidence from medicare drug plans. </w:t>
      </w:r>
      <w:r w:rsidRPr="00E5291D">
        <w:rPr>
          <w:rFonts w:ascii="Calibri" w:hAnsi="Calibri" w:cs="Times New Roman"/>
          <w:i/>
          <w:iCs/>
          <w:noProof/>
          <w:szCs w:val="24"/>
        </w:rPr>
        <w:t>Quarterly Journal of Economics</w:t>
      </w:r>
      <w:r w:rsidRPr="00E5291D">
        <w:rPr>
          <w:rFonts w:ascii="Calibri" w:hAnsi="Calibri" w:cs="Times New Roman"/>
          <w:noProof/>
          <w:szCs w:val="24"/>
        </w:rPr>
        <w:t>, 127(1), pp.199–235.</w:t>
      </w:r>
    </w:p>
    <w:p w14:paraId="09DF0607"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Kotchen, M., 2009. Offsetting Green Guilt. </w:t>
      </w:r>
      <w:r w:rsidRPr="00E5291D">
        <w:rPr>
          <w:rFonts w:ascii="Calibri" w:hAnsi="Calibri" w:cs="Times New Roman"/>
          <w:i/>
          <w:iCs/>
          <w:noProof/>
          <w:szCs w:val="24"/>
        </w:rPr>
        <w:t>Stanford Social Innovation Review</w:t>
      </w:r>
      <w:r w:rsidRPr="00E5291D">
        <w:rPr>
          <w:rFonts w:ascii="Calibri" w:hAnsi="Calibri" w:cs="Times New Roman"/>
          <w:noProof/>
          <w:szCs w:val="24"/>
        </w:rPr>
        <w:t>. Available at: http://www.ssireview.org/articles/entry/offsetting_green_guilt [Accessed January 20, 2015].</w:t>
      </w:r>
    </w:p>
    <w:p w14:paraId="4BF6E2DB"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Löfgren, Å. et al., 2012. Are experienced people affected by a pre-set default option-Results from a field experiment. </w:t>
      </w:r>
      <w:r w:rsidRPr="00E5291D">
        <w:rPr>
          <w:rFonts w:ascii="Calibri" w:hAnsi="Calibri" w:cs="Times New Roman"/>
          <w:i/>
          <w:iCs/>
          <w:noProof/>
          <w:szCs w:val="24"/>
        </w:rPr>
        <w:t>Journal of Environmental Economics and Management</w:t>
      </w:r>
      <w:r w:rsidRPr="00E5291D">
        <w:rPr>
          <w:rFonts w:ascii="Calibri" w:hAnsi="Calibri" w:cs="Times New Roman"/>
          <w:noProof/>
          <w:szCs w:val="24"/>
        </w:rPr>
        <w:t>, 63(1), pp.66–72.</w:t>
      </w:r>
    </w:p>
    <w:p w14:paraId="5969BAC2" w14:textId="132E26B3"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Lourenço, J.S. et al., 2016. </w:t>
      </w:r>
      <w:r w:rsidRPr="00E5291D">
        <w:rPr>
          <w:rFonts w:ascii="Calibri" w:hAnsi="Calibri" w:cs="Times New Roman"/>
          <w:i/>
          <w:iCs/>
          <w:noProof/>
          <w:szCs w:val="24"/>
        </w:rPr>
        <w:t>Behavioural Insights Applied to Policy. European Report 2016.</w:t>
      </w:r>
      <w:r w:rsidR="000477FC">
        <w:rPr>
          <w:rFonts w:ascii="Calibri" w:hAnsi="Calibri" w:cs="Times New Roman"/>
          <w:noProof/>
          <w:szCs w:val="24"/>
        </w:rPr>
        <w:t xml:space="preserve"> Available at: </w:t>
      </w:r>
      <w:r w:rsidR="000477FC" w:rsidRPr="000477FC">
        <w:rPr>
          <w:rFonts w:ascii="Calibri" w:hAnsi="Calibri" w:cs="Times New Roman"/>
          <w:noProof/>
          <w:szCs w:val="24"/>
        </w:rPr>
        <w:t>https://ec.europa.eu/jrc/en/publication/eur-scientific-and-technical-research-reports/behavioural-insights-applied-policy-european-report-2016</w:t>
      </w:r>
      <w:r w:rsidR="000477FC">
        <w:rPr>
          <w:rFonts w:ascii="Calibri" w:hAnsi="Calibri" w:cs="Times New Roman"/>
          <w:noProof/>
          <w:szCs w:val="24"/>
        </w:rPr>
        <w:t xml:space="preserve"> </w:t>
      </w:r>
    </w:p>
    <w:p w14:paraId="482E7E17" w14:textId="3131468E"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0477FC">
        <w:rPr>
          <w:rFonts w:ascii="Calibri" w:hAnsi="Calibri" w:cs="Times New Roman"/>
          <w:noProof/>
          <w:szCs w:val="24"/>
          <w:lang w:val="de-DE"/>
        </w:rPr>
        <w:t xml:space="preserve">Lu, J.-L. &amp; Shon, Z.Y., 2012. </w:t>
      </w:r>
      <w:r w:rsidRPr="00E5291D">
        <w:rPr>
          <w:rFonts w:ascii="Calibri" w:hAnsi="Calibri" w:cs="Times New Roman"/>
          <w:noProof/>
          <w:szCs w:val="24"/>
        </w:rPr>
        <w:t xml:space="preserve">Exploring airline passengers’ willingness to pay for carbon offsets. </w:t>
      </w:r>
      <w:r w:rsidRPr="00E5291D">
        <w:rPr>
          <w:rFonts w:ascii="Calibri" w:hAnsi="Calibri" w:cs="Times New Roman"/>
          <w:i/>
          <w:iCs/>
          <w:noProof/>
          <w:szCs w:val="24"/>
        </w:rPr>
        <w:t>Transportation Research Part D: Transport and Environment</w:t>
      </w:r>
      <w:r w:rsidRPr="00E5291D">
        <w:rPr>
          <w:rFonts w:ascii="Calibri" w:hAnsi="Calibri" w:cs="Times New Roman"/>
          <w:noProof/>
          <w:szCs w:val="24"/>
        </w:rPr>
        <w:t>, 17(2), pp.124–128.</w:t>
      </w:r>
    </w:p>
    <w:p w14:paraId="3AA81B7C"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0477FC">
        <w:rPr>
          <w:rFonts w:ascii="Calibri" w:hAnsi="Calibri" w:cs="Times New Roman"/>
          <w:noProof/>
          <w:szCs w:val="24"/>
        </w:rPr>
        <w:t xml:space="preserve">MacKerron, G.J. et al., 2009. </w:t>
      </w:r>
      <w:r w:rsidRPr="00E5291D">
        <w:rPr>
          <w:rFonts w:ascii="Calibri" w:hAnsi="Calibri" w:cs="Times New Roman"/>
          <w:noProof/>
          <w:szCs w:val="24"/>
        </w:rPr>
        <w:t xml:space="preserve">Willingness to pay for carbon offset certification and co-benefits among (high-)flying young adults in the UK. </w:t>
      </w:r>
      <w:r w:rsidRPr="00E5291D">
        <w:rPr>
          <w:rFonts w:ascii="Calibri" w:hAnsi="Calibri" w:cs="Times New Roman"/>
          <w:i/>
          <w:iCs/>
          <w:noProof/>
          <w:szCs w:val="24"/>
        </w:rPr>
        <w:t>Energy Policy</w:t>
      </w:r>
      <w:r w:rsidRPr="00E5291D">
        <w:rPr>
          <w:rFonts w:ascii="Calibri" w:hAnsi="Calibri" w:cs="Times New Roman"/>
          <w:noProof/>
          <w:szCs w:val="24"/>
        </w:rPr>
        <w:t>, 37, pp.1372–1381.</w:t>
      </w:r>
    </w:p>
    <w:p w14:paraId="5E3349CC" w14:textId="4A6C822A"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Mair, J., 2011. Exploring air travellers’ voluntary carbon-offsetting behaviour. </w:t>
      </w:r>
      <w:r w:rsidRPr="00E5291D">
        <w:rPr>
          <w:rFonts w:ascii="Calibri" w:hAnsi="Calibri" w:cs="Times New Roman"/>
          <w:i/>
          <w:iCs/>
          <w:noProof/>
          <w:szCs w:val="24"/>
        </w:rPr>
        <w:t>Journal of Sustainable Tourism</w:t>
      </w:r>
      <w:r w:rsidRPr="00E5291D">
        <w:rPr>
          <w:rFonts w:ascii="Calibri" w:hAnsi="Calibri" w:cs="Times New Roman"/>
          <w:noProof/>
          <w:szCs w:val="24"/>
        </w:rPr>
        <w:t xml:space="preserve">, 19(2), pp.215–230. </w:t>
      </w:r>
    </w:p>
    <w:p w14:paraId="70A30A92" w14:textId="3FCA5129"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Mair, J. &amp; Wong, E.P.Y., 2010. An Elicitation Study to Explore Attitudes towards Purchasing Carbon Offsets for Flights. , p.[925]-[943]. </w:t>
      </w:r>
    </w:p>
    <w:p w14:paraId="39D97FB8" w14:textId="256CBCD7"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356AF0">
        <w:rPr>
          <w:rFonts w:ascii="Calibri" w:hAnsi="Calibri" w:cs="Times New Roman"/>
          <w:noProof/>
          <w:szCs w:val="24"/>
          <w:lang w:val="fr-FR"/>
        </w:rPr>
        <w:t xml:space="preserve">McLennan, C.L.J. et al., 2014. </w:t>
      </w:r>
      <w:r w:rsidRPr="00E5291D">
        <w:rPr>
          <w:rFonts w:ascii="Calibri" w:hAnsi="Calibri" w:cs="Times New Roman"/>
          <w:noProof/>
          <w:szCs w:val="24"/>
        </w:rPr>
        <w:t xml:space="preserve">Voluntary carbon offsetting: Who does it? </w:t>
      </w:r>
      <w:r w:rsidRPr="00E5291D">
        <w:rPr>
          <w:rFonts w:ascii="Calibri" w:hAnsi="Calibri" w:cs="Times New Roman"/>
          <w:i/>
          <w:iCs/>
          <w:noProof/>
          <w:szCs w:val="24"/>
        </w:rPr>
        <w:t>Tourism Management</w:t>
      </w:r>
      <w:r w:rsidRPr="00E5291D">
        <w:rPr>
          <w:rFonts w:ascii="Calibri" w:hAnsi="Calibri" w:cs="Times New Roman"/>
          <w:noProof/>
          <w:szCs w:val="24"/>
        </w:rPr>
        <w:t xml:space="preserve">, 45, pp.194–198. </w:t>
      </w:r>
    </w:p>
    <w:p w14:paraId="68059945"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Morgera, E., 2012. From Corporate Social Responsibility to Accountability Mechanisms: The Role of the Convention on Biological Diversity. </w:t>
      </w:r>
      <w:r w:rsidRPr="00E5291D">
        <w:rPr>
          <w:rFonts w:ascii="Calibri" w:hAnsi="Calibri" w:cs="Times New Roman"/>
          <w:i/>
          <w:iCs/>
          <w:noProof/>
          <w:szCs w:val="24"/>
        </w:rPr>
        <w:t>Edinburgh School of Law Research Paper Series</w:t>
      </w:r>
      <w:r w:rsidRPr="00E5291D">
        <w:rPr>
          <w:rFonts w:ascii="Calibri" w:hAnsi="Calibri" w:cs="Times New Roman"/>
          <w:noProof/>
          <w:szCs w:val="24"/>
        </w:rPr>
        <w:t>, 6.</w:t>
      </w:r>
    </w:p>
    <w:p w14:paraId="39D5EDB1" w14:textId="5795595F"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Moyle, B.D., Bec, A. &amp; Moyle, C.-L., 2017. A responsibility–accountability framework for private sector use of a World Heritage Area. </w:t>
      </w:r>
      <w:r w:rsidRPr="00E5291D">
        <w:rPr>
          <w:rFonts w:ascii="Calibri" w:hAnsi="Calibri" w:cs="Times New Roman"/>
          <w:i/>
          <w:iCs/>
          <w:noProof/>
          <w:szCs w:val="24"/>
        </w:rPr>
        <w:t>Journal of Environmental Policy and Planning</w:t>
      </w:r>
      <w:r w:rsidRPr="00E5291D">
        <w:rPr>
          <w:rFonts w:ascii="Calibri" w:hAnsi="Calibri" w:cs="Times New Roman"/>
          <w:noProof/>
          <w:szCs w:val="24"/>
        </w:rPr>
        <w:t xml:space="preserve">, 20(1), pp.1–14. </w:t>
      </w:r>
    </w:p>
    <w:p w14:paraId="5F0C8248"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Nomura, H., John, P. &amp; Cotterill, S., 2011. </w:t>
      </w:r>
      <w:r w:rsidRPr="00E5291D">
        <w:rPr>
          <w:rFonts w:ascii="Calibri" w:hAnsi="Calibri" w:cs="Times New Roman"/>
          <w:i/>
          <w:iCs/>
          <w:noProof/>
          <w:szCs w:val="24"/>
        </w:rPr>
        <w:t>The Use of Feedback to Enhance Environmental Outcomes: A Randomized Controlled Trial of a Food Waste Scheme</w:t>
      </w:r>
      <w:r w:rsidRPr="00E5291D">
        <w:rPr>
          <w:rFonts w:ascii="Calibri" w:hAnsi="Calibri" w:cs="Times New Roman"/>
          <w:noProof/>
          <w:szCs w:val="24"/>
        </w:rPr>
        <w:t>, Available at: http://papers.ssrn.com/sol3/papers.cfm?abstract_id=1760859.</w:t>
      </w:r>
    </w:p>
    <w:p w14:paraId="7DEEDBF8" w14:textId="1792867A"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Oliver, A., 2013. From Nudging to Budging: Using Behavioural Economics to Inform Public Sector Policy. </w:t>
      </w:r>
      <w:r w:rsidRPr="00E5291D">
        <w:rPr>
          <w:rFonts w:ascii="Calibri" w:hAnsi="Calibri" w:cs="Times New Roman"/>
          <w:i/>
          <w:iCs/>
          <w:noProof/>
          <w:szCs w:val="24"/>
        </w:rPr>
        <w:t>Journal of Social Policy</w:t>
      </w:r>
      <w:r w:rsidRPr="00E5291D">
        <w:rPr>
          <w:rFonts w:ascii="Calibri" w:hAnsi="Calibri" w:cs="Times New Roman"/>
          <w:noProof/>
          <w:szCs w:val="24"/>
        </w:rPr>
        <w:t xml:space="preserve">, 42(4), pp.685–700. </w:t>
      </w:r>
    </w:p>
    <w:p w14:paraId="4F79B4CD"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Peters-Stanley, M. &amp; Hamilton, K., 2013. </w:t>
      </w:r>
      <w:r w:rsidRPr="00E5291D">
        <w:rPr>
          <w:rFonts w:ascii="Calibri" w:hAnsi="Calibri" w:cs="Times New Roman"/>
          <w:i/>
          <w:iCs/>
          <w:noProof/>
          <w:szCs w:val="24"/>
        </w:rPr>
        <w:t>DEVELOPING DIMENSION : State of the Voluntary Carbon Markets 2012</w:t>
      </w:r>
      <w:r w:rsidRPr="00E5291D">
        <w:rPr>
          <w:rFonts w:ascii="Calibri" w:hAnsi="Calibri" w:cs="Times New Roman"/>
          <w:noProof/>
          <w:szCs w:val="24"/>
        </w:rPr>
        <w:t>, Washington DC.</w:t>
      </w:r>
    </w:p>
    <w:p w14:paraId="0B19F21F"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356AF0">
        <w:rPr>
          <w:rFonts w:ascii="Calibri" w:hAnsi="Calibri" w:cs="Times New Roman"/>
          <w:noProof/>
          <w:szCs w:val="24"/>
          <w:lang w:val="de-DE"/>
        </w:rPr>
        <w:t xml:space="preserve">Pichert, D. &amp; Katsikopoulos, K. V., 2008. </w:t>
      </w:r>
      <w:r w:rsidRPr="00E5291D">
        <w:rPr>
          <w:rFonts w:ascii="Calibri" w:hAnsi="Calibri" w:cs="Times New Roman"/>
          <w:noProof/>
          <w:szCs w:val="24"/>
        </w:rPr>
        <w:t xml:space="preserve">Green defaults: Information presentation and pro-environmental behaviour. </w:t>
      </w:r>
      <w:r w:rsidRPr="00E5291D">
        <w:rPr>
          <w:rFonts w:ascii="Calibri" w:hAnsi="Calibri" w:cs="Times New Roman"/>
          <w:i/>
          <w:iCs/>
          <w:noProof/>
          <w:szCs w:val="24"/>
        </w:rPr>
        <w:t>Journal of Environmental Psychology</w:t>
      </w:r>
      <w:r w:rsidRPr="00E5291D">
        <w:rPr>
          <w:rFonts w:ascii="Calibri" w:hAnsi="Calibri" w:cs="Times New Roman"/>
          <w:noProof/>
          <w:szCs w:val="24"/>
        </w:rPr>
        <w:t>, 28(1), pp.63–73.</w:t>
      </w:r>
    </w:p>
    <w:p w14:paraId="7D6A33F9" w14:textId="3AC404F5" w:rsidR="00E5291D" w:rsidRPr="00E5291D" w:rsidRDefault="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Pornpitakpan, C., 2004. The persuasiveness of source credibility: A critical review of five decades’ evidence. </w:t>
      </w:r>
      <w:r w:rsidRPr="00E5291D">
        <w:rPr>
          <w:rFonts w:ascii="Calibri" w:hAnsi="Calibri" w:cs="Times New Roman"/>
          <w:i/>
          <w:iCs/>
          <w:noProof/>
          <w:szCs w:val="24"/>
        </w:rPr>
        <w:t>Journal of Applied Social Psychology</w:t>
      </w:r>
      <w:r w:rsidRPr="00E5291D">
        <w:rPr>
          <w:rFonts w:ascii="Calibri" w:hAnsi="Calibri" w:cs="Times New Roman"/>
          <w:noProof/>
          <w:szCs w:val="24"/>
        </w:rPr>
        <w:t xml:space="preserve">, (2), pp.243–281. </w:t>
      </w:r>
    </w:p>
    <w:p w14:paraId="6E58D7CF"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Savage, B. et al., 2011. </w:t>
      </w:r>
      <w:r w:rsidRPr="00E5291D">
        <w:rPr>
          <w:rFonts w:ascii="Calibri" w:hAnsi="Calibri" w:cs="Times New Roman"/>
          <w:i/>
          <w:iCs/>
          <w:noProof/>
          <w:szCs w:val="24"/>
        </w:rPr>
        <w:t>Behavioural Insights Toolkit</w:t>
      </w:r>
      <w:r w:rsidRPr="00E5291D">
        <w:rPr>
          <w:rFonts w:ascii="Calibri" w:hAnsi="Calibri" w:cs="Times New Roman"/>
          <w:noProof/>
          <w:szCs w:val="24"/>
        </w:rPr>
        <w:t>, Department for Transport.</w:t>
      </w:r>
    </w:p>
    <w:p w14:paraId="615BFFE2"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Shove, E., 2010. Beyond the ABC: climate change policy and theories of social change. </w:t>
      </w:r>
      <w:r w:rsidRPr="00E5291D">
        <w:rPr>
          <w:rFonts w:ascii="Calibri" w:hAnsi="Calibri" w:cs="Times New Roman"/>
          <w:i/>
          <w:iCs/>
          <w:noProof/>
          <w:szCs w:val="24"/>
        </w:rPr>
        <w:t>Environment and Planning</w:t>
      </w:r>
      <w:r w:rsidRPr="00E5291D">
        <w:rPr>
          <w:rFonts w:ascii="Calibri" w:hAnsi="Calibri" w:cs="Times New Roman"/>
          <w:noProof/>
          <w:szCs w:val="24"/>
        </w:rPr>
        <w:t>, 42, pp.1273–1285.</w:t>
      </w:r>
    </w:p>
    <w:p w14:paraId="2174594B"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Smith, S., Windmeijer, F. &amp; Wright, E., 2015. Peer effects in charitable giving: Evidence from the (Running) field. </w:t>
      </w:r>
      <w:r w:rsidRPr="00E5291D">
        <w:rPr>
          <w:rFonts w:ascii="Calibri" w:hAnsi="Calibri" w:cs="Times New Roman"/>
          <w:i/>
          <w:iCs/>
          <w:noProof/>
          <w:szCs w:val="24"/>
        </w:rPr>
        <w:t>Economic Journal</w:t>
      </w:r>
      <w:r w:rsidRPr="00E5291D">
        <w:rPr>
          <w:rFonts w:ascii="Calibri" w:hAnsi="Calibri" w:cs="Times New Roman"/>
          <w:noProof/>
          <w:szCs w:val="24"/>
        </w:rPr>
        <w:t>, 125(585), pp.1053–1071.</w:t>
      </w:r>
    </w:p>
    <w:p w14:paraId="07926412"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Sunstein, C., 2014. </w:t>
      </w:r>
      <w:r w:rsidRPr="00E5291D">
        <w:rPr>
          <w:rFonts w:ascii="Calibri" w:hAnsi="Calibri" w:cs="Times New Roman"/>
          <w:i/>
          <w:iCs/>
          <w:noProof/>
          <w:szCs w:val="24"/>
        </w:rPr>
        <w:t>Why Nudge? The Politics of Libertarian Paternalism</w:t>
      </w:r>
      <w:r w:rsidRPr="00E5291D">
        <w:rPr>
          <w:rFonts w:ascii="Calibri" w:hAnsi="Calibri" w:cs="Times New Roman"/>
          <w:noProof/>
          <w:szCs w:val="24"/>
        </w:rPr>
        <w:t>, Yale University Press.</w:t>
      </w:r>
    </w:p>
    <w:p w14:paraId="1615C781"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356AF0">
        <w:rPr>
          <w:rFonts w:ascii="Calibri" w:hAnsi="Calibri" w:cs="Times New Roman"/>
          <w:noProof/>
          <w:szCs w:val="24"/>
          <w:lang w:val="de-DE"/>
        </w:rPr>
        <w:t xml:space="preserve">Sunstein, C. &amp; Thaler, R.H., 2008. </w:t>
      </w:r>
      <w:r w:rsidRPr="00E5291D">
        <w:rPr>
          <w:rFonts w:ascii="Calibri" w:hAnsi="Calibri" w:cs="Times New Roman"/>
          <w:i/>
          <w:iCs/>
          <w:noProof/>
          <w:szCs w:val="24"/>
        </w:rPr>
        <w:t>Nudge: Improving Decisions about Health, Wealth and Happiness</w:t>
      </w:r>
      <w:r w:rsidRPr="00E5291D">
        <w:rPr>
          <w:rFonts w:ascii="Calibri" w:hAnsi="Calibri" w:cs="Times New Roman"/>
          <w:noProof/>
          <w:szCs w:val="24"/>
        </w:rPr>
        <w:t>, New Haven, Conn.: Yale University Press.</w:t>
      </w:r>
    </w:p>
    <w:p w14:paraId="5C9365D8"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Sunstein, C.R., 2016a. Nudges That Fail. </w:t>
      </w:r>
      <w:r w:rsidRPr="00E5291D">
        <w:rPr>
          <w:rFonts w:ascii="Calibri" w:hAnsi="Calibri" w:cs="Times New Roman"/>
          <w:i/>
          <w:iCs/>
          <w:noProof/>
          <w:szCs w:val="24"/>
        </w:rPr>
        <w:t>Social Science Research Network</w:t>
      </w:r>
      <w:r w:rsidRPr="00E5291D">
        <w:rPr>
          <w:rFonts w:ascii="Calibri" w:hAnsi="Calibri" w:cs="Times New Roman"/>
          <w:noProof/>
          <w:szCs w:val="24"/>
        </w:rPr>
        <w:t>, pp.1–20.</w:t>
      </w:r>
    </w:p>
    <w:p w14:paraId="1DB70256"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Sunstein, C.R., 2016b. People Prefer System 2 Nudges (Kind Of). </w:t>
      </w:r>
      <w:r w:rsidRPr="00E5291D">
        <w:rPr>
          <w:rFonts w:ascii="Calibri" w:hAnsi="Calibri" w:cs="Times New Roman"/>
          <w:i/>
          <w:iCs/>
          <w:noProof/>
          <w:szCs w:val="24"/>
        </w:rPr>
        <w:t>Duke Law Journal</w:t>
      </w:r>
      <w:r w:rsidRPr="00E5291D">
        <w:rPr>
          <w:rFonts w:ascii="Calibri" w:hAnsi="Calibri" w:cs="Times New Roman"/>
          <w:noProof/>
          <w:szCs w:val="24"/>
        </w:rPr>
        <w:t>, 66, pp.1–36.</w:t>
      </w:r>
    </w:p>
    <w:p w14:paraId="10E1622E"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Teddlie, C. &amp; Tashakkori, A., 2009. </w:t>
      </w:r>
      <w:r w:rsidRPr="00E5291D">
        <w:rPr>
          <w:rFonts w:ascii="Calibri" w:hAnsi="Calibri" w:cs="Times New Roman"/>
          <w:i/>
          <w:iCs/>
          <w:noProof/>
          <w:szCs w:val="24"/>
        </w:rPr>
        <w:t>Foundations of Mixed Methods Research</w:t>
      </w:r>
      <w:r w:rsidRPr="00E5291D">
        <w:rPr>
          <w:rFonts w:ascii="Calibri" w:hAnsi="Calibri" w:cs="Times New Roman"/>
          <w:noProof/>
          <w:szCs w:val="24"/>
        </w:rPr>
        <w:t>, London: SAGE Publications.</w:t>
      </w:r>
    </w:p>
    <w:p w14:paraId="31803662"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356AF0">
        <w:rPr>
          <w:rFonts w:ascii="Calibri" w:hAnsi="Calibri" w:cs="Times New Roman"/>
          <w:noProof/>
          <w:szCs w:val="24"/>
          <w:lang w:val="de-DE"/>
        </w:rPr>
        <w:t xml:space="preserve">Thaler, R.H. &amp; Benartzi, S., 2004. </w:t>
      </w:r>
      <w:r w:rsidRPr="00E5291D">
        <w:rPr>
          <w:rFonts w:ascii="Calibri" w:hAnsi="Calibri" w:cs="Times New Roman"/>
          <w:noProof/>
          <w:szCs w:val="24"/>
        </w:rPr>
        <w:t>Save More Tomorrow</w:t>
      </w:r>
      <w:r w:rsidRPr="00E5291D">
        <w:rPr>
          <w:rFonts w:ascii="Calibri" w:hAnsi="Calibri" w:cs="Times New Roman"/>
          <w:noProof/>
          <w:szCs w:val="24"/>
          <w:vertAlign w:val="superscript"/>
        </w:rPr>
        <w:t>TM</w:t>
      </w:r>
      <w:r w:rsidRPr="00E5291D">
        <w:rPr>
          <w:rFonts w:ascii="Calibri" w:hAnsi="Calibri" w:cs="Times New Roman"/>
          <w:noProof/>
          <w:szCs w:val="24"/>
        </w:rPr>
        <w:t xml:space="preserve">: Using Behavioral Economics to Increase Employee Saving. </w:t>
      </w:r>
      <w:r w:rsidRPr="00E5291D">
        <w:rPr>
          <w:rFonts w:ascii="Calibri" w:hAnsi="Calibri" w:cs="Times New Roman"/>
          <w:i/>
          <w:iCs/>
          <w:noProof/>
          <w:szCs w:val="24"/>
        </w:rPr>
        <w:t>Journal of Political Economy</w:t>
      </w:r>
      <w:r w:rsidRPr="00E5291D">
        <w:rPr>
          <w:rFonts w:ascii="Calibri" w:hAnsi="Calibri" w:cs="Times New Roman"/>
          <w:noProof/>
          <w:szCs w:val="24"/>
        </w:rPr>
        <w:t>, 112(S1), pp.164–187.</w:t>
      </w:r>
    </w:p>
    <w:p w14:paraId="1EB325DF"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Tikka, P.M., Kuitunen, M.T. &amp; Tynys, S.M., 2000. Effects of Educational Background on Students’ Attitudes, Activity Levels, and Knowledge Concerning the Environment. </w:t>
      </w:r>
      <w:r w:rsidRPr="00E5291D">
        <w:rPr>
          <w:rFonts w:ascii="Calibri" w:hAnsi="Calibri" w:cs="Times New Roman"/>
          <w:i/>
          <w:iCs/>
          <w:noProof/>
          <w:szCs w:val="24"/>
        </w:rPr>
        <w:t>The Journal of Environmental Education</w:t>
      </w:r>
      <w:r w:rsidRPr="00E5291D">
        <w:rPr>
          <w:rFonts w:ascii="Calibri" w:hAnsi="Calibri" w:cs="Times New Roman"/>
          <w:noProof/>
          <w:szCs w:val="24"/>
        </w:rPr>
        <w:t>, 31(February 2015), pp.12–19.</w:t>
      </w:r>
    </w:p>
    <w:p w14:paraId="59C08E70"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Triandis, H.C., 1989. The self and social behavior in differing cultural contexts. </w:t>
      </w:r>
      <w:r w:rsidRPr="00E5291D">
        <w:rPr>
          <w:rFonts w:ascii="Calibri" w:hAnsi="Calibri" w:cs="Times New Roman"/>
          <w:i/>
          <w:iCs/>
          <w:noProof/>
          <w:szCs w:val="24"/>
        </w:rPr>
        <w:t>Psychological Review</w:t>
      </w:r>
      <w:r w:rsidRPr="00E5291D">
        <w:rPr>
          <w:rFonts w:ascii="Calibri" w:hAnsi="Calibri" w:cs="Times New Roman"/>
          <w:noProof/>
          <w:szCs w:val="24"/>
        </w:rPr>
        <w:t>, 96(3), pp.506–520.</w:t>
      </w:r>
    </w:p>
    <w:p w14:paraId="4B2541E4"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Tversky, A. &amp; Kahneman, D., 1974. Judgement under Uncertainty: Heuristics and Biases. </w:t>
      </w:r>
      <w:r w:rsidRPr="00E5291D">
        <w:rPr>
          <w:rFonts w:ascii="Calibri" w:hAnsi="Calibri" w:cs="Times New Roman"/>
          <w:i/>
          <w:iCs/>
          <w:noProof/>
          <w:szCs w:val="24"/>
        </w:rPr>
        <w:t>Science</w:t>
      </w:r>
      <w:r w:rsidRPr="00E5291D">
        <w:rPr>
          <w:rFonts w:ascii="Calibri" w:hAnsi="Calibri" w:cs="Times New Roman"/>
          <w:noProof/>
          <w:szCs w:val="24"/>
        </w:rPr>
        <w:t>, 185(4157), pp.1124–1131.</w:t>
      </w:r>
    </w:p>
    <w:p w14:paraId="6F5DB48C"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Wells, P., 2010. A Nudge One Way, A Nudge the Other: libertarian paternalism as political strategy. </w:t>
      </w:r>
      <w:r w:rsidRPr="00E5291D">
        <w:rPr>
          <w:rFonts w:ascii="Calibri" w:hAnsi="Calibri" w:cs="Times New Roman"/>
          <w:i/>
          <w:iCs/>
          <w:noProof/>
          <w:szCs w:val="24"/>
        </w:rPr>
        <w:t>People, Place and Policy Online</w:t>
      </w:r>
      <w:r w:rsidRPr="00E5291D">
        <w:rPr>
          <w:rFonts w:ascii="Calibri" w:hAnsi="Calibri" w:cs="Times New Roman"/>
          <w:noProof/>
          <w:szCs w:val="24"/>
        </w:rPr>
        <w:t>, 4(3), pp.111–118.</w:t>
      </w:r>
    </w:p>
    <w:p w14:paraId="78E44E33"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Whitehead, M. et al., 2014. </w:t>
      </w:r>
      <w:r w:rsidRPr="00E5291D">
        <w:rPr>
          <w:rFonts w:ascii="Calibri" w:hAnsi="Calibri" w:cs="Times New Roman"/>
          <w:i/>
          <w:iCs/>
          <w:noProof/>
          <w:szCs w:val="24"/>
        </w:rPr>
        <w:t>Nudging all over the World</w:t>
      </w:r>
      <w:r w:rsidRPr="00E5291D">
        <w:rPr>
          <w:rFonts w:ascii="Calibri" w:hAnsi="Calibri" w:cs="Times New Roman"/>
          <w:noProof/>
          <w:szCs w:val="24"/>
        </w:rPr>
        <w:t>,</w:t>
      </w:r>
    </w:p>
    <w:p w14:paraId="6998F7BB" w14:textId="77777777" w:rsidR="00E5291D" w:rsidRPr="00E5291D" w:rsidRDefault="00E5291D" w:rsidP="00E5291D">
      <w:pPr>
        <w:widowControl w:val="0"/>
        <w:autoSpaceDE w:val="0"/>
        <w:autoSpaceDN w:val="0"/>
        <w:adjustRightInd w:val="0"/>
        <w:spacing w:line="240" w:lineRule="auto"/>
        <w:ind w:left="480" w:hanging="480"/>
        <w:rPr>
          <w:rFonts w:ascii="Calibri" w:hAnsi="Calibri" w:cs="Times New Roman"/>
          <w:noProof/>
          <w:szCs w:val="24"/>
        </w:rPr>
      </w:pPr>
      <w:r w:rsidRPr="00E5291D">
        <w:rPr>
          <w:rFonts w:ascii="Calibri" w:hAnsi="Calibri" w:cs="Times New Roman"/>
          <w:noProof/>
          <w:szCs w:val="24"/>
        </w:rPr>
        <w:t xml:space="preserve">Wilby, P., 2013. A nudge and a nag won’t end our throwaway culture | Peter Wilby | Comment is free | The Guardian. </w:t>
      </w:r>
      <w:r w:rsidRPr="00E5291D">
        <w:rPr>
          <w:rFonts w:ascii="Calibri" w:hAnsi="Calibri" w:cs="Times New Roman"/>
          <w:i/>
          <w:iCs/>
          <w:noProof/>
          <w:szCs w:val="24"/>
        </w:rPr>
        <w:t>The Guardian</w:t>
      </w:r>
      <w:r w:rsidRPr="00E5291D">
        <w:rPr>
          <w:rFonts w:ascii="Calibri" w:hAnsi="Calibri" w:cs="Times New Roman"/>
          <w:noProof/>
          <w:szCs w:val="24"/>
        </w:rPr>
        <w:t>. Available at: http://www.theguardian.com/commentisfree/2013/apr/28/nudge-nag-throwaway-culture-tories.</w:t>
      </w:r>
    </w:p>
    <w:p w14:paraId="2C64AEDB" w14:textId="2FC2949F" w:rsidR="00E5291D" w:rsidRPr="00E5291D" w:rsidRDefault="00E5291D">
      <w:pPr>
        <w:widowControl w:val="0"/>
        <w:autoSpaceDE w:val="0"/>
        <w:autoSpaceDN w:val="0"/>
        <w:adjustRightInd w:val="0"/>
        <w:spacing w:line="240" w:lineRule="auto"/>
        <w:ind w:left="480" w:hanging="480"/>
        <w:rPr>
          <w:rFonts w:ascii="Calibri" w:hAnsi="Calibri"/>
          <w:noProof/>
        </w:rPr>
      </w:pPr>
      <w:r w:rsidRPr="00E5291D">
        <w:rPr>
          <w:rFonts w:ascii="Calibri" w:hAnsi="Calibri" w:cs="Times New Roman"/>
          <w:noProof/>
          <w:szCs w:val="24"/>
        </w:rPr>
        <w:t xml:space="preserve">Willis, L., 2013. When Nudges Fail: Slippery Defaults. </w:t>
      </w:r>
      <w:r w:rsidRPr="00E5291D">
        <w:rPr>
          <w:rFonts w:ascii="Calibri" w:hAnsi="Calibri" w:cs="Times New Roman"/>
          <w:i/>
          <w:iCs/>
          <w:noProof/>
          <w:szCs w:val="24"/>
        </w:rPr>
        <w:t>University of Chicago Law Review</w:t>
      </w:r>
      <w:r w:rsidRPr="00E5291D">
        <w:rPr>
          <w:rFonts w:ascii="Calibri" w:hAnsi="Calibri" w:cs="Times New Roman"/>
          <w:noProof/>
          <w:szCs w:val="24"/>
        </w:rPr>
        <w:t xml:space="preserve">, pp.1155–1229. </w:t>
      </w:r>
    </w:p>
    <w:p w14:paraId="206841C0" w14:textId="0B777901" w:rsidR="00B47782" w:rsidRDefault="00E62DA0" w:rsidP="00737D1C">
      <w:pPr>
        <w:widowControl w:val="0"/>
        <w:autoSpaceDE w:val="0"/>
        <w:autoSpaceDN w:val="0"/>
        <w:adjustRightInd w:val="0"/>
        <w:spacing w:line="240" w:lineRule="auto"/>
        <w:ind w:left="480" w:hanging="480"/>
      </w:pPr>
      <w:r>
        <w:fldChar w:fldCharType="end"/>
      </w:r>
    </w:p>
    <w:p w14:paraId="0169C840" w14:textId="77777777" w:rsidR="00B47782" w:rsidRDefault="00B47782">
      <w:pPr>
        <w:spacing w:after="200" w:line="276" w:lineRule="auto"/>
        <w:jc w:val="left"/>
      </w:pPr>
      <w:r>
        <w:br w:type="page"/>
      </w:r>
    </w:p>
    <w:p w14:paraId="0191DC76" w14:textId="77777777" w:rsidR="00B47782" w:rsidRDefault="00B47782" w:rsidP="00B47782">
      <w:pPr>
        <w:pStyle w:val="Heading1"/>
      </w:pPr>
      <w:r>
        <w:t>Appendix</w:t>
      </w:r>
    </w:p>
    <w:p w14:paraId="53C34E27" w14:textId="77777777" w:rsidR="00B47782" w:rsidRDefault="00B47782" w:rsidP="00B47782">
      <w:pPr>
        <w:pStyle w:val="Heading2"/>
      </w:pPr>
      <w:r>
        <w:t xml:space="preserve">Screenshot of carbon offset website </w:t>
      </w:r>
    </w:p>
    <w:p w14:paraId="069A10F9" w14:textId="77777777" w:rsidR="00B47782" w:rsidRPr="004D3586" w:rsidRDefault="00B47782" w:rsidP="00B47782">
      <w:r>
        <w:rPr>
          <w:noProof/>
          <w:lang w:eastAsia="en-GB"/>
        </w:rPr>
        <w:drawing>
          <wp:inline distT="0" distB="0" distL="0" distR="0" wp14:anchorId="461B636B" wp14:editId="23C1D764">
            <wp:extent cx="5731510" cy="3841876"/>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0888" t="9405" r="29693" b="43625"/>
                    <a:stretch/>
                  </pic:blipFill>
                  <pic:spPr bwMode="auto">
                    <a:xfrm>
                      <a:off x="0" y="0"/>
                      <a:ext cx="5731510" cy="3841876"/>
                    </a:xfrm>
                    <a:prstGeom prst="rect">
                      <a:avLst/>
                    </a:prstGeom>
                    <a:ln>
                      <a:noFill/>
                    </a:ln>
                    <a:extLst>
                      <a:ext uri="{53640926-AAD7-44D8-BBD7-CCE9431645EC}">
                        <a14:shadowObscured xmlns:a14="http://schemas.microsoft.com/office/drawing/2010/main"/>
                      </a:ext>
                    </a:extLst>
                  </pic:spPr>
                </pic:pic>
              </a:graphicData>
            </a:graphic>
          </wp:inline>
        </w:drawing>
      </w:r>
    </w:p>
    <w:p w14:paraId="6B9698F9" w14:textId="2907082A" w:rsidR="005213C0" w:rsidRPr="00356AF0" w:rsidRDefault="005213C0" w:rsidP="00356AF0">
      <w:pPr>
        <w:pStyle w:val="CommentText"/>
        <w:rPr>
          <w:i/>
          <w:sz w:val="18"/>
          <w:szCs w:val="18"/>
        </w:rPr>
      </w:pPr>
    </w:p>
    <w:sectPr w:rsidR="005213C0" w:rsidRPr="00356AF0" w:rsidSect="00A401E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E3674" w14:textId="77777777" w:rsidR="000E51EF" w:rsidRDefault="000E51EF" w:rsidP="009D58CF">
      <w:pPr>
        <w:spacing w:after="0" w:line="240" w:lineRule="auto"/>
      </w:pPr>
      <w:r>
        <w:separator/>
      </w:r>
    </w:p>
  </w:endnote>
  <w:endnote w:type="continuationSeparator" w:id="0">
    <w:p w14:paraId="6B6DC99A" w14:textId="77777777" w:rsidR="000E51EF" w:rsidRDefault="000E51EF" w:rsidP="009D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575543"/>
      <w:docPartObj>
        <w:docPartGallery w:val="Page Numbers (Bottom of Page)"/>
        <w:docPartUnique/>
      </w:docPartObj>
    </w:sdtPr>
    <w:sdtEndPr>
      <w:rPr>
        <w:noProof/>
      </w:rPr>
    </w:sdtEndPr>
    <w:sdtContent>
      <w:p w14:paraId="0C71E607" w14:textId="612C91BD" w:rsidR="000E51EF" w:rsidRDefault="000E51EF">
        <w:pPr>
          <w:pStyle w:val="Footer"/>
          <w:jc w:val="right"/>
        </w:pPr>
        <w:r>
          <w:fldChar w:fldCharType="begin"/>
        </w:r>
        <w:r>
          <w:instrText xml:space="preserve"> PAGE   \* MERGEFORMAT </w:instrText>
        </w:r>
        <w:r>
          <w:fldChar w:fldCharType="separate"/>
        </w:r>
        <w:r w:rsidR="003E7200">
          <w:rPr>
            <w:noProof/>
          </w:rPr>
          <w:t>27</w:t>
        </w:r>
        <w:r>
          <w:rPr>
            <w:noProof/>
          </w:rPr>
          <w:fldChar w:fldCharType="end"/>
        </w:r>
      </w:p>
    </w:sdtContent>
  </w:sdt>
  <w:p w14:paraId="08926267" w14:textId="77777777" w:rsidR="000E51EF" w:rsidRDefault="000E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6FF88" w14:textId="77777777" w:rsidR="000E51EF" w:rsidRDefault="000E51EF" w:rsidP="009D58CF">
      <w:pPr>
        <w:spacing w:after="0" w:line="240" w:lineRule="auto"/>
      </w:pPr>
      <w:r>
        <w:separator/>
      </w:r>
    </w:p>
  </w:footnote>
  <w:footnote w:type="continuationSeparator" w:id="0">
    <w:p w14:paraId="1B056A4D" w14:textId="77777777" w:rsidR="000E51EF" w:rsidRDefault="000E51EF" w:rsidP="009D5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E43"/>
    <w:multiLevelType w:val="hybridMultilevel"/>
    <w:tmpl w:val="9FA2A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710B6"/>
    <w:multiLevelType w:val="hybridMultilevel"/>
    <w:tmpl w:val="99909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67652"/>
    <w:multiLevelType w:val="hybridMultilevel"/>
    <w:tmpl w:val="10F4B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E10FF"/>
    <w:multiLevelType w:val="hybridMultilevel"/>
    <w:tmpl w:val="6FAC9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24DFE"/>
    <w:multiLevelType w:val="hybridMultilevel"/>
    <w:tmpl w:val="57C0E4C4"/>
    <w:lvl w:ilvl="0" w:tplc="53901E00">
      <w:start w:val="1"/>
      <w:numFmt w:val="decimal"/>
      <w:lvlText w:val="%1."/>
      <w:lvlJc w:val="left"/>
      <w:pPr>
        <w:ind w:left="507" w:hanging="360"/>
      </w:pPr>
      <w:rPr>
        <w:rFonts w:hint="default"/>
      </w:rPr>
    </w:lvl>
    <w:lvl w:ilvl="1" w:tplc="08090019" w:tentative="1">
      <w:start w:val="1"/>
      <w:numFmt w:val="lowerLetter"/>
      <w:lvlText w:val="%2."/>
      <w:lvlJc w:val="left"/>
      <w:pPr>
        <w:ind w:left="1227" w:hanging="360"/>
      </w:pPr>
    </w:lvl>
    <w:lvl w:ilvl="2" w:tplc="0809001B" w:tentative="1">
      <w:start w:val="1"/>
      <w:numFmt w:val="lowerRoman"/>
      <w:lvlText w:val="%3."/>
      <w:lvlJc w:val="right"/>
      <w:pPr>
        <w:ind w:left="1947" w:hanging="180"/>
      </w:pPr>
    </w:lvl>
    <w:lvl w:ilvl="3" w:tplc="0809000F" w:tentative="1">
      <w:start w:val="1"/>
      <w:numFmt w:val="decimal"/>
      <w:lvlText w:val="%4."/>
      <w:lvlJc w:val="left"/>
      <w:pPr>
        <w:ind w:left="2667" w:hanging="360"/>
      </w:pPr>
    </w:lvl>
    <w:lvl w:ilvl="4" w:tplc="08090019" w:tentative="1">
      <w:start w:val="1"/>
      <w:numFmt w:val="lowerLetter"/>
      <w:lvlText w:val="%5."/>
      <w:lvlJc w:val="left"/>
      <w:pPr>
        <w:ind w:left="3387" w:hanging="360"/>
      </w:pPr>
    </w:lvl>
    <w:lvl w:ilvl="5" w:tplc="0809001B" w:tentative="1">
      <w:start w:val="1"/>
      <w:numFmt w:val="lowerRoman"/>
      <w:lvlText w:val="%6."/>
      <w:lvlJc w:val="right"/>
      <w:pPr>
        <w:ind w:left="4107" w:hanging="180"/>
      </w:pPr>
    </w:lvl>
    <w:lvl w:ilvl="6" w:tplc="0809000F" w:tentative="1">
      <w:start w:val="1"/>
      <w:numFmt w:val="decimal"/>
      <w:lvlText w:val="%7."/>
      <w:lvlJc w:val="left"/>
      <w:pPr>
        <w:ind w:left="4827" w:hanging="360"/>
      </w:pPr>
    </w:lvl>
    <w:lvl w:ilvl="7" w:tplc="08090019" w:tentative="1">
      <w:start w:val="1"/>
      <w:numFmt w:val="lowerLetter"/>
      <w:lvlText w:val="%8."/>
      <w:lvlJc w:val="left"/>
      <w:pPr>
        <w:ind w:left="5547" w:hanging="360"/>
      </w:pPr>
    </w:lvl>
    <w:lvl w:ilvl="8" w:tplc="0809001B" w:tentative="1">
      <w:start w:val="1"/>
      <w:numFmt w:val="lowerRoman"/>
      <w:lvlText w:val="%9."/>
      <w:lvlJc w:val="right"/>
      <w:pPr>
        <w:ind w:left="6267" w:hanging="180"/>
      </w:pPr>
    </w:lvl>
  </w:abstractNum>
  <w:abstractNum w:abstractNumId="5" w15:restartNumberingAfterBreak="0">
    <w:nsid w:val="15DF34F9"/>
    <w:multiLevelType w:val="hybridMultilevel"/>
    <w:tmpl w:val="E12E5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E102A"/>
    <w:multiLevelType w:val="hybridMultilevel"/>
    <w:tmpl w:val="BAE0C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B32AD"/>
    <w:multiLevelType w:val="hybridMultilevel"/>
    <w:tmpl w:val="ACA0EA94"/>
    <w:lvl w:ilvl="0" w:tplc="D74ABE8C">
      <w:start w:val="2"/>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5F5C86"/>
    <w:multiLevelType w:val="hybridMultilevel"/>
    <w:tmpl w:val="4D6C95C2"/>
    <w:lvl w:ilvl="0" w:tplc="0809000F">
      <w:start w:val="1"/>
      <w:numFmt w:val="decimal"/>
      <w:lvlText w:val="%1."/>
      <w:lvlJc w:val="left"/>
      <w:pPr>
        <w:ind w:left="720" w:hanging="360"/>
      </w:pPr>
    </w:lvl>
    <w:lvl w:ilvl="1" w:tplc="F6FE2C72">
      <w:numFmt w:val="bullet"/>
      <w:lvlText w:val="-"/>
      <w:lvlJc w:val="left"/>
      <w:pPr>
        <w:ind w:left="1440" w:hanging="360"/>
      </w:pPr>
      <w:rPr>
        <w:rFonts w:ascii="Calibri" w:eastAsiaTheme="minorEastAsia" w:hAnsi="Calibri"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67DB1"/>
    <w:multiLevelType w:val="hybridMultilevel"/>
    <w:tmpl w:val="7E24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A30E0"/>
    <w:multiLevelType w:val="hybridMultilevel"/>
    <w:tmpl w:val="09F8B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A11460"/>
    <w:multiLevelType w:val="hybridMultilevel"/>
    <w:tmpl w:val="26E44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05159A"/>
    <w:multiLevelType w:val="hybridMultilevel"/>
    <w:tmpl w:val="E2B2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D3259"/>
    <w:multiLevelType w:val="hybridMultilevel"/>
    <w:tmpl w:val="8ECA3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578A5"/>
    <w:multiLevelType w:val="hybridMultilevel"/>
    <w:tmpl w:val="37CE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17E12"/>
    <w:multiLevelType w:val="hybridMultilevel"/>
    <w:tmpl w:val="7B028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8C3F28"/>
    <w:multiLevelType w:val="hybridMultilevel"/>
    <w:tmpl w:val="1E16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B667CE"/>
    <w:multiLevelType w:val="hybridMultilevel"/>
    <w:tmpl w:val="34CA7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506DC3"/>
    <w:multiLevelType w:val="hybridMultilevel"/>
    <w:tmpl w:val="A8983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D16A0"/>
    <w:multiLevelType w:val="hybridMultilevel"/>
    <w:tmpl w:val="34A64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A43BCC"/>
    <w:multiLevelType w:val="hybridMultilevel"/>
    <w:tmpl w:val="74A07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5046D"/>
    <w:multiLevelType w:val="hybridMultilevel"/>
    <w:tmpl w:val="6FAC9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34D0"/>
    <w:multiLevelType w:val="hybridMultilevel"/>
    <w:tmpl w:val="B270F0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FE6AB9"/>
    <w:multiLevelType w:val="hybridMultilevel"/>
    <w:tmpl w:val="01B6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D7F8F"/>
    <w:multiLevelType w:val="hybridMultilevel"/>
    <w:tmpl w:val="D2C08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470285"/>
    <w:multiLevelType w:val="hybridMultilevel"/>
    <w:tmpl w:val="95929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8"/>
  </w:num>
  <w:num w:numId="3">
    <w:abstractNumId w:val="21"/>
  </w:num>
  <w:num w:numId="4">
    <w:abstractNumId w:val="3"/>
  </w:num>
  <w:num w:numId="5">
    <w:abstractNumId w:val="16"/>
  </w:num>
  <w:num w:numId="6">
    <w:abstractNumId w:val="25"/>
  </w:num>
  <w:num w:numId="7">
    <w:abstractNumId w:val="10"/>
  </w:num>
  <w:num w:numId="8">
    <w:abstractNumId w:val="7"/>
  </w:num>
  <w:num w:numId="9">
    <w:abstractNumId w:val="19"/>
  </w:num>
  <w:num w:numId="10">
    <w:abstractNumId w:val="9"/>
  </w:num>
  <w:num w:numId="11">
    <w:abstractNumId w:val="1"/>
  </w:num>
  <w:num w:numId="12">
    <w:abstractNumId w:val="18"/>
  </w:num>
  <w:num w:numId="13">
    <w:abstractNumId w:val="2"/>
  </w:num>
  <w:num w:numId="14">
    <w:abstractNumId w:val="11"/>
  </w:num>
  <w:num w:numId="15">
    <w:abstractNumId w:val="20"/>
  </w:num>
  <w:num w:numId="16">
    <w:abstractNumId w:val="0"/>
  </w:num>
  <w:num w:numId="17">
    <w:abstractNumId w:val="15"/>
  </w:num>
  <w:num w:numId="18">
    <w:abstractNumId w:val="5"/>
  </w:num>
  <w:num w:numId="19">
    <w:abstractNumId w:val="24"/>
  </w:num>
  <w:num w:numId="20">
    <w:abstractNumId w:val="17"/>
  </w:num>
  <w:num w:numId="21">
    <w:abstractNumId w:val="6"/>
  </w:num>
  <w:num w:numId="22">
    <w:abstractNumId w:val="12"/>
  </w:num>
  <w:num w:numId="23">
    <w:abstractNumId w:val="23"/>
  </w:num>
  <w:num w:numId="24">
    <w:abstractNumId w:val="14"/>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8CF"/>
    <w:rsid w:val="000027F1"/>
    <w:rsid w:val="0000285E"/>
    <w:rsid w:val="00004D77"/>
    <w:rsid w:val="0000757F"/>
    <w:rsid w:val="00007781"/>
    <w:rsid w:val="00011CD2"/>
    <w:rsid w:val="00012C44"/>
    <w:rsid w:val="00016DD4"/>
    <w:rsid w:val="000176AA"/>
    <w:rsid w:val="00022E57"/>
    <w:rsid w:val="000233A6"/>
    <w:rsid w:val="000265AE"/>
    <w:rsid w:val="000276C5"/>
    <w:rsid w:val="000313EF"/>
    <w:rsid w:val="000324FE"/>
    <w:rsid w:val="0003721D"/>
    <w:rsid w:val="0004057F"/>
    <w:rsid w:val="00043087"/>
    <w:rsid w:val="00045D89"/>
    <w:rsid w:val="000477FC"/>
    <w:rsid w:val="00054A12"/>
    <w:rsid w:val="00055FFE"/>
    <w:rsid w:val="000566AF"/>
    <w:rsid w:val="00060B76"/>
    <w:rsid w:val="000675CE"/>
    <w:rsid w:val="00067E96"/>
    <w:rsid w:val="00071F2B"/>
    <w:rsid w:val="00075F20"/>
    <w:rsid w:val="00077B93"/>
    <w:rsid w:val="0008123A"/>
    <w:rsid w:val="00083033"/>
    <w:rsid w:val="00086563"/>
    <w:rsid w:val="00093B78"/>
    <w:rsid w:val="000A39E2"/>
    <w:rsid w:val="000B225C"/>
    <w:rsid w:val="000C0189"/>
    <w:rsid w:val="000C217E"/>
    <w:rsid w:val="000C7B56"/>
    <w:rsid w:val="000E1D58"/>
    <w:rsid w:val="000E4830"/>
    <w:rsid w:val="000E51EF"/>
    <w:rsid w:val="00100BC2"/>
    <w:rsid w:val="00107824"/>
    <w:rsid w:val="0011186C"/>
    <w:rsid w:val="00112527"/>
    <w:rsid w:val="00112B5A"/>
    <w:rsid w:val="00113CFF"/>
    <w:rsid w:val="0011519C"/>
    <w:rsid w:val="00116197"/>
    <w:rsid w:val="00124E2B"/>
    <w:rsid w:val="0012558D"/>
    <w:rsid w:val="00126E1A"/>
    <w:rsid w:val="0013769D"/>
    <w:rsid w:val="00140132"/>
    <w:rsid w:val="00141CEE"/>
    <w:rsid w:val="00143440"/>
    <w:rsid w:val="00150740"/>
    <w:rsid w:val="00150B31"/>
    <w:rsid w:val="00152CE0"/>
    <w:rsid w:val="0015699C"/>
    <w:rsid w:val="001658D0"/>
    <w:rsid w:val="00166898"/>
    <w:rsid w:val="00180903"/>
    <w:rsid w:val="001833E9"/>
    <w:rsid w:val="00183B12"/>
    <w:rsid w:val="0019592C"/>
    <w:rsid w:val="001A5099"/>
    <w:rsid w:val="001A6981"/>
    <w:rsid w:val="001B3898"/>
    <w:rsid w:val="001B442C"/>
    <w:rsid w:val="001C0F9D"/>
    <w:rsid w:val="001C0FDF"/>
    <w:rsid w:val="001C64C4"/>
    <w:rsid w:val="001D3A8B"/>
    <w:rsid w:val="001D7B14"/>
    <w:rsid w:val="001E283E"/>
    <w:rsid w:val="001F11D0"/>
    <w:rsid w:val="001F76D8"/>
    <w:rsid w:val="00206D16"/>
    <w:rsid w:val="00207B25"/>
    <w:rsid w:val="00214976"/>
    <w:rsid w:val="0021520D"/>
    <w:rsid w:val="002357F8"/>
    <w:rsid w:val="00240BA1"/>
    <w:rsid w:val="002437DA"/>
    <w:rsid w:val="00250258"/>
    <w:rsid w:val="00253E37"/>
    <w:rsid w:val="00255118"/>
    <w:rsid w:val="00267B79"/>
    <w:rsid w:val="002700D2"/>
    <w:rsid w:val="002749FE"/>
    <w:rsid w:val="00274D6E"/>
    <w:rsid w:val="002774C7"/>
    <w:rsid w:val="0029249B"/>
    <w:rsid w:val="00296A3F"/>
    <w:rsid w:val="002A35B2"/>
    <w:rsid w:val="002A7DD9"/>
    <w:rsid w:val="002B2C27"/>
    <w:rsid w:val="002B6882"/>
    <w:rsid w:val="002B6D29"/>
    <w:rsid w:val="002C6F34"/>
    <w:rsid w:val="002D0F9C"/>
    <w:rsid w:val="002D61AE"/>
    <w:rsid w:val="002D6CB1"/>
    <w:rsid w:val="002E1C09"/>
    <w:rsid w:val="002E2603"/>
    <w:rsid w:val="002E3E18"/>
    <w:rsid w:val="002F2543"/>
    <w:rsid w:val="002F3508"/>
    <w:rsid w:val="002F7A17"/>
    <w:rsid w:val="002F7B5C"/>
    <w:rsid w:val="00301C12"/>
    <w:rsid w:val="003020A3"/>
    <w:rsid w:val="00305E8A"/>
    <w:rsid w:val="00307D87"/>
    <w:rsid w:val="00313EF0"/>
    <w:rsid w:val="0032670A"/>
    <w:rsid w:val="0033115A"/>
    <w:rsid w:val="00334879"/>
    <w:rsid w:val="003471FA"/>
    <w:rsid w:val="0035576B"/>
    <w:rsid w:val="00356AF0"/>
    <w:rsid w:val="003630C8"/>
    <w:rsid w:val="00363545"/>
    <w:rsid w:val="00363A47"/>
    <w:rsid w:val="003673DA"/>
    <w:rsid w:val="00367F64"/>
    <w:rsid w:val="003806A0"/>
    <w:rsid w:val="0039116A"/>
    <w:rsid w:val="00396A08"/>
    <w:rsid w:val="00397FDB"/>
    <w:rsid w:val="003A163D"/>
    <w:rsid w:val="003A779C"/>
    <w:rsid w:val="003A7C6B"/>
    <w:rsid w:val="003C15B1"/>
    <w:rsid w:val="003C3535"/>
    <w:rsid w:val="003C4BBD"/>
    <w:rsid w:val="003C54D1"/>
    <w:rsid w:val="003D134D"/>
    <w:rsid w:val="003E3028"/>
    <w:rsid w:val="003E6989"/>
    <w:rsid w:val="003E7200"/>
    <w:rsid w:val="00403AE6"/>
    <w:rsid w:val="00412F04"/>
    <w:rsid w:val="00413A83"/>
    <w:rsid w:val="00421E1A"/>
    <w:rsid w:val="004317D8"/>
    <w:rsid w:val="00431EAB"/>
    <w:rsid w:val="0043302A"/>
    <w:rsid w:val="00442A59"/>
    <w:rsid w:val="00442D43"/>
    <w:rsid w:val="00445022"/>
    <w:rsid w:val="0044537F"/>
    <w:rsid w:val="0045036E"/>
    <w:rsid w:val="004608C3"/>
    <w:rsid w:val="00463A11"/>
    <w:rsid w:val="004766B1"/>
    <w:rsid w:val="00477AC5"/>
    <w:rsid w:val="004807EC"/>
    <w:rsid w:val="00490603"/>
    <w:rsid w:val="004A647E"/>
    <w:rsid w:val="004B2087"/>
    <w:rsid w:val="004B472D"/>
    <w:rsid w:val="004B61FE"/>
    <w:rsid w:val="004C74E2"/>
    <w:rsid w:val="004D24B3"/>
    <w:rsid w:val="004D3586"/>
    <w:rsid w:val="004E27C1"/>
    <w:rsid w:val="004E2F39"/>
    <w:rsid w:val="004E7890"/>
    <w:rsid w:val="004E7DD9"/>
    <w:rsid w:val="004F3B55"/>
    <w:rsid w:val="004F55F1"/>
    <w:rsid w:val="005020AF"/>
    <w:rsid w:val="005054F4"/>
    <w:rsid w:val="005076B4"/>
    <w:rsid w:val="0051007E"/>
    <w:rsid w:val="005207E0"/>
    <w:rsid w:val="00520B62"/>
    <w:rsid w:val="005213C0"/>
    <w:rsid w:val="005225D3"/>
    <w:rsid w:val="005267FD"/>
    <w:rsid w:val="00527707"/>
    <w:rsid w:val="00540004"/>
    <w:rsid w:val="00542297"/>
    <w:rsid w:val="00546660"/>
    <w:rsid w:val="00547B81"/>
    <w:rsid w:val="005504D0"/>
    <w:rsid w:val="0055265C"/>
    <w:rsid w:val="00552942"/>
    <w:rsid w:val="005551FB"/>
    <w:rsid w:val="005620FB"/>
    <w:rsid w:val="005629B1"/>
    <w:rsid w:val="005648C9"/>
    <w:rsid w:val="005770EF"/>
    <w:rsid w:val="0058154F"/>
    <w:rsid w:val="00583DC7"/>
    <w:rsid w:val="0058436C"/>
    <w:rsid w:val="005867C1"/>
    <w:rsid w:val="00590BAC"/>
    <w:rsid w:val="00593FE3"/>
    <w:rsid w:val="00594646"/>
    <w:rsid w:val="00596323"/>
    <w:rsid w:val="005A2E22"/>
    <w:rsid w:val="005A4FD5"/>
    <w:rsid w:val="005A7891"/>
    <w:rsid w:val="005B0B50"/>
    <w:rsid w:val="005B15A1"/>
    <w:rsid w:val="005B65BA"/>
    <w:rsid w:val="005C69DC"/>
    <w:rsid w:val="005D0AC0"/>
    <w:rsid w:val="005D4DE2"/>
    <w:rsid w:val="005E08D5"/>
    <w:rsid w:val="005E43E8"/>
    <w:rsid w:val="005E5C7B"/>
    <w:rsid w:val="005F2F23"/>
    <w:rsid w:val="00604EC0"/>
    <w:rsid w:val="006135FC"/>
    <w:rsid w:val="006152F2"/>
    <w:rsid w:val="00616903"/>
    <w:rsid w:val="00617F29"/>
    <w:rsid w:val="00624451"/>
    <w:rsid w:val="0063186E"/>
    <w:rsid w:val="00632022"/>
    <w:rsid w:val="00634B4E"/>
    <w:rsid w:val="00635A3B"/>
    <w:rsid w:val="00635DFA"/>
    <w:rsid w:val="00650DCE"/>
    <w:rsid w:val="006528D3"/>
    <w:rsid w:val="006628D9"/>
    <w:rsid w:val="006642C2"/>
    <w:rsid w:val="00667AA9"/>
    <w:rsid w:val="00673871"/>
    <w:rsid w:val="00674A61"/>
    <w:rsid w:val="00675DAC"/>
    <w:rsid w:val="00682FBD"/>
    <w:rsid w:val="0068496F"/>
    <w:rsid w:val="006930B7"/>
    <w:rsid w:val="0069667C"/>
    <w:rsid w:val="006A30B4"/>
    <w:rsid w:val="006A44AF"/>
    <w:rsid w:val="006B302C"/>
    <w:rsid w:val="006B47FF"/>
    <w:rsid w:val="006B5700"/>
    <w:rsid w:val="006C4BF4"/>
    <w:rsid w:val="006C6481"/>
    <w:rsid w:val="006D11D2"/>
    <w:rsid w:val="006E3E97"/>
    <w:rsid w:val="006F20EA"/>
    <w:rsid w:val="0070256E"/>
    <w:rsid w:val="0070512A"/>
    <w:rsid w:val="00706B78"/>
    <w:rsid w:val="007101EB"/>
    <w:rsid w:val="00713C35"/>
    <w:rsid w:val="0071628E"/>
    <w:rsid w:val="00726AF2"/>
    <w:rsid w:val="007363A3"/>
    <w:rsid w:val="007369B4"/>
    <w:rsid w:val="00736C1F"/>
    <w:rsid w:val="00737D1C"/>
    <w:rsid w:val="007413AF"/>
    <w:rsid w:val="00742F44"/>
    <w:rsid w:val="007436D8"/>
    <w:rsid w:val="00743EF8"/>
    <w:rsid w:val="007509FC"/>
    <w:rsid w:val="00760155"/>
    <w:rsid w:val="007633F2"/>
    <w:rsid w:val="0076708F"/>
    <w:rsid w:val="00770DA9"/>
    <w:rsid w:val="00773E6F"/>
    <w:rsid w:val="0077791F"/>
    <w:rsid w:val="007844AC"/>
    <w:rsid w:val="007917A6"/>
    <w:rsid w:val="007948B8"/>
    <w:rsid w:val="007954C3"/>
    <w:rsid w:val="00796405"/>
    <w:rsid w:val="007969FA"/>
    <w:rsid w:val="007979F7"/>
    <w:rsid w:val="007A28D6"/>
    <w:rsid w:val="007A354E"/>
    <w:rsid w:val="007A5ED0"/>
    <w:rsid w:val="007A73C8"/>
    <w:rsid w:val="007B44EC"/>
    <w:rsid w:val="007B4F42"/>
    <w:rsid w:val="007B543C"/>
    <w:rsid w:val="007B6493"/>
    <w:rsid w:val="007B7AE3"/>
    <w:rsid w:val="007C255B"/>
    <w:rsid w:val="007C372F"/>
    <w:rsid w:val="007C7BD9"/>
    <w:rsid w:val="007D4AE5"/>
    <w:rsid w:val="007E1BAC"/>
    <w:rsid w:val="007E612D"/>
    <w:rsid w:val="00802B35"/>
    <w:rsid w:val="008046C2"/>
    <w:rsid w:val="00817D22"/>
    <w:rsid w:val="00820A5B"/>
    <w:rsid w:val="008272D1"/>
    <w:rsid w:val="008319B5"/>
    <w:rsid w:val="00831AD6"/>
    <w:rsid w:val="008324FE"/>
    <w:rsid w:val="008342E3"/>
    <w:rsid w:val="008347B4"/>
    <w:rsid w:val="0085048B"/>
    <w:rsid w:val="008529AF"/>
    <w:rsid w:val="00864C5C"/>
    <w:rsid w:val="00866EAA"/>
    <w:rsid w:val="00877AAD"/>
    <w:rsid w:val="00884941"/>
    <w:rsid w:val="00890567"/>
    <w:rsid w:val="008906FD"/>
    <w:rsid w:val="008925F1"/>
    <w:rsid w:val="00893E78"/>
    <w:rsid w:val="008B1572"/>
    <w:rsid w:val="008C0CFB"/>
    <w:rsid w:val="008C1CCB"/>
    <w:rsid w:val="008D04F4"/>
    <w:rsid w:val="008D2CF3"/>
    <w:rsid w:val="008D5C64"/>
    <w:rsid w:val="008F3EF2"/>
    <w:rsid w:val="008F5D35"/>
    <w:rsid w:val="008F6FF8"/>
    <w:rsid w:val="00900FBD"/>
    <w:rsid w:val="00901ABB"/>
    <w:rsid w:val="00903090"/>
    <w:rsid w:val="009122FF"/>
    <w:rsid w:val="00913382"/>
    <w:rsid w:val="009219EF"/>
    <w:rsid w:val="0092244B"/>
    <w:rsid w:val="00922729"/>
    <w:rsid w:val="009246C7"/>
    <w:rsid w:val="00934F21"/>
    <w:rsid w:val="009512C3"/>
    <w:rsid w:val="0095152A"/>
    <w:rsid w:val="00956C1E"/>
    <w:rsid w:val="00970198"/>
    <w:rsid w:val="0098020D"/>
    <w:rsid w:val="00981296"/>
    <w:rsid w:val="00985F41"/>
    <w:rsid w:val="00986D7C"/>
    <w:rsid w:val="00987365"/>
    <w:rsid w:val="00990D58"/>
    <w:rsid w:val="009911A9"/>
    <w:rsid w:val="00993E5B"/>
    <w:rsid w:val="009A16F6"/>
    <w:rsid w:val="009A5CA4"/>
    <w:rsid w:val="009B2E25"/>
    <w:rsid w:val="009B6DEB"/>
    <w:rsid w:val="009C1BA6"/>
    <w:rsid w:val="009C5ABE"/>
    <w:rsid w:val="009D02E8"/>
    <w:rsid w:val="009D4194"/>
    <w:rsid w:val="009D41FB"/>
    <w:rsid w:val="009D4410"/>
    <w:rsid w:val="009D58CF"/>
    <w:rsid w:val="009D6317"/>
    <w:rsid w:val="009D7952"/>
    <w:rsid w:val="009E1965"/>
    <w:rsid w:val="009E1AE9"/>
    <w:rsid w:val="00A026D0"/>
    <w:rsid w:val="00A07377"/>
    <w:rsid w:val="00A115B9"/>
    <w:rsid w:val="00A13103"/>
    <w:rsid w:val="00A1334E"/>
    <w:rsid w:val="00A2426D"/>
    <w:rsid w:val="00A25C8B"/>
    <w:rsid w:val="00A25D53"/>
    <w:rsid w:val="00A26C52"/>
    <w:rsid w:val="00A2713A"/>
    <w:rsid w:val="00A27EC0"/>
    <w:rsid w:val="00A328BF"/>
    <w:rsid w:val="00A33F67"/>
    <w:rsid w:val="00A348FE"/>
    <w:rsid w:val="00A401EF"/>
    <w:rsid w:val="00A42A5D"/>
    <w:rsid w:val="00A45EB4"/>
    <w:rsid w:val="00A507A2"/>
    <w:rsid w:val="00A5268B"/>
    <w:rsid w:val="00A54F23"/>
    <w:rsid w:val="00A63DD3"/>
    <w:rsid w:val="00A67059"/>
    <w:rsid w:val="00A700C0"/>
    <w:rsid w:val="00A70E56"/>
    <w:rsid w:val="00A7410A"/>
    <w:rsid w:val="00A77F73"/>
    <w:rsid w:val="00A8410D"/>
    <w:rsid w:val="00A976FC"/>
    <w:rsid w:val="00AA2450"/>
    <w:rsid w:val="00AA5B91"/>
    <w:rsid w:val="00AB72F3"/>
    <w:rsid w:val="00AC0F25"/>
    <w:rsid w:val="00AC3458"/>
    <w:rsid w:val="00AD4989"/>
    <w:rsid w:val="00AD538B"/>
    <w:rsid w:val="00AD5A22"/>
    <w:rsid w:val="00AE063D"/>
    <w:rsid w:val="00AE4C2D"/>
    <w:rsid w:val="00AE7878"/>
    <w:rsid w:val="00AF1376"/>
    <w:rsid w:val="00B23454"/>
    <w:rsid w:val="00B42082"/>
    <w:rsid w:val="00B47782"/>
    <w:rsid w:val="00B51F9E"/>
    <w:rsid w:val="00B5539D"/>
    <w:rsid w:val="00B571D7"/>
    <w:rsid w:val="00B631C0"/>
    <w:rsid w:val="00B65610"/>
    <w:rsid w:val="00B734E9"/>
    <w:rsid w:val="00B77596"/>
    <w:rsid w:val="00B77B6C"/>
    <w:rsid w:val="00B81D92"/>
    <w:rsid w:val="00B840D7"/>
    <w:rsid w:val="00B86541"/>
    <w:rsid w:val="00B871BC"/>
    <w:rsid w:val="00B911E2"/>
    <w:rsid w:val="00B952FB"/>
    <w:rsid w:val="00BA152F"/>
    <w:rsid w:val="00BA3435"/>
    <w:rsid w:val="00BA7522"/>
    <w:rsid w:val="00BB007D"/>
    <w:rsid w:val="00BB1D36"/>
    <w:rsid w:val="00BD21EF"/>
    <w:rsid w:val="00BD4EC5"/>
    <w:rsid w:val="00BE7EEE"/>
    <w:rsid w:val="00BE7FDB"/>
    <w:rsid w:val="00BF0006"/>
    <w:rsid w:val="00BF23EB"/>
    <w:rsid w:val="00BF2CD0"/>
    <w:rsid w:val="00BF3362"/>
    <w:rsid w:val="00BF3444"/>
    <w:rsid w:val="00BF40FA"/>
    <w:rsid w:val="00BF4367"/>
    <w:rsid w:val="00C0212B"/>
    <w:rsid w:val="00C02408"/>
    <w:rsid w:val="00C05F09"/>
    <w:rsid w:val="00C06770"/>
    <w:rsid w:val="00C22EA5"/>
    <w:rsid w:val="00C33F66"/>
    <w:rsid w:val="00C41C4A"/>
    <w:rsid w:val="00C44131"/>
    <w:rsid w:val="00C4580D"/>
    <w:rsid w:val="00C70AC0"/>
    <w:rsid w:val="00C73FB3"/>
    <w:rsid w:val="00C75408"/>
    <w:rsid w:val="00C77B03"/>
    <w:rsid w:val="00C80B41"/>
    <w:rsid w:val="00C870DE"/>
    <w:rsid w:val="00C9023C"/>
    <w:rsid w:val="00C92975"/>
    <w:rsid w:val="00C96EAE"/>
    <w:rsid w:val="00CB0271"/>
    <w:rsid w:val="00CC66CD"/>
    <w:rsid w:val="00CD0FC6"/>
    <w:rsid w:val="00CE25C5"/>
    <w:rsid w:val="00CE4FF0"/>
    <w:rsid w:val="00CE66F2"/>
    <w:rsid w:val="00CE6D19"/>
    <w:rsid w:val="00CF19E5"/>
    <w:rsid w:val="00CF32C1"/>
    <w:rsid w:val="00CF70BF"/>
    <w:rsid w:val="00D005AD"/>
    <w:rsid w:val="00D14A25"/>
    <w:rsid w:val="00D15018"/>
    <w:rsid w:val="00D201BA"/>
    <w:rsid w:val="00D20280"/>
    <w:rsid w:val="00D337A0"/>
    <w:rsid w:val="00D34449"/>
    <w:rsid w:val="00D36A1C"/>
    <w:rsid w:val="00D371EF"/>
    <w:rsid w:val="00D40849"/>
    <w:rsid w:val="00D429D0"/>
    <w:rsid w:val="00D46854"/>
    <w:rsid w:val="00D51B8D"/>
    <w:rsid w:val="00D52466"/>
    <w:rsid w:val="00D57A91"/>
    <w:rsid w:val="00D602AC"/>
    <w:rsid w:val="00D6037D"/>
    <w:rsid w:val="00D61BAC"/>
    <w:rsid w:val="00D65736"/>
    <w:rsid w:val="00D65790"/>
    <w:rsid w:val="00D86E03"/>
    <w:rsid w:val="00D910AE"/>
    <w:rsid w:val="00D9167F"/>
    <w:rsid w:val="00DA559D"/>
    <w:rsid w:val="00DA7EE9"/>
    <w:rsid w:val="00DB2036"/>
    <w:rsid w:val="00DB25C2"/>
    <w:rsid w:val="00DB35C7"/>
    <w:rsid w:val="00DB3C9C"/>
    <w:rsid w:val="00DB7E1B"/>
    <w:rsid w:val="00DC54B6"/>
    <w:rsid w:val="00DC6C15"/>
    <w:rsid w:val="00DC73BA"/>
    <w:rsid w:val="00DD1BCA"/>
    <w:rsid w:val="00DE4C3E"/>
    <w:rsid w:val="00DF1B29"/>
    <w:rsid w:val="00DF74B7"/>
    <w:rsid w:val="00E0146A"/>
    <w:rsid w:val="00E0458E"/>
    <w:rsid w:val="00E05C3B"/>
    <w:rsid w:val="00E100A5"/>
    <w:rsid w:val="00E236AE"/>
    <w:rsid w:val="00E27DE2"/>
    <w:rsid w:val="00E313EE"/>
    <w:rsid w:val="00E33B3F"/>
    <w:rsid w:val="00E35627"/>
    <w:rsid w:val="00E4505C"/>
    <w:rsid w:val="00E5089F"/>
    <w:rsid w:val="00E51FC3"/>
    <w:rsid w:val="00E5291D"/>
    <w:rsid w:val="00E62DA0"/>
    <w:rsid w:val="00E64CF3"/>
    <w:rsid w:val="00E913E4"/>
    <w:rsid w:val="00E95C2E"/>
    <w:rsid w:val="00E9609A"/>
    <w:rsid w:val="00E96A3A"/>
    <w:rsid w:val="00E96C34"/>
    <w:rsid w:val="00E97F4A"/>
    <w:rsid w:val="00EA02F5"/>
    <w:rsid w:val="00EA43DF"/>
    <w:rsid w:val="00EA4C6A"/>
    <w:rsid w:val="00EA78F6"/>
    <w:rsid w:val="00EC1DD5"/>
    <w:rsid w:val="00EC2A65"/>
    <w:rsid w:val="00EC35B0"/>
    <w:rsid w:val="00EC3D99"/>
    <w:rsid w:val="00ED02DD"/>
    <w:rsid w:val="00ED24BB"/>
    <w:rsid w:val="00ED36E9"/>
    <w:rsid w:val="00ED55FA"/>
    <w:rsid w:val="00ED64D0"/>
    <w:rsid w:val="00EE2FAA"/>
    <w:rsid w:val="00EE3DE5"/>
    <w:rsid w:val="00EE6ED6"/>
    <w:rsid w:val="00EF2D41"/>
    <w:rsid w:val="00EF429D"/>
    <w:rsid w:val="00F01DFC"/>
    <w:rsid w:val="00F02F1D"/>
    <w:rsid w:val="00F0405E"/>
    <w:rsid w:val="00F126AE"/>
    <w:rsid w:val="00F20A7F"/>
    <w:rsid w:val="00F229FC"/>
    <w:rsid w:val="00F373CB"/>
    <w:rsid w:val="00F539A6"/>
    <w:rsid w:val="00F67A2B"/>
    <w:rsid w:val="00F700A8"/>
    <w:rsid w:val="00F70D93"/>
    <w:rsid w:val="00F745F6"/>
    <w:rsid w:val="00F80807"/>
    <w:rsid w:val="00F82DDC"/>
    <w:rsid w:val="00F83CED"/>
    <w:rsid w:val="00F86D40"/>
    <w:rsid w:val="00F8793C"/>
    <w:rsid w:val="00F90280"/>
    <w:rsid w:val="00F952A3"/>
    <w:rsid w:val="00FA6DAF"/>
    <w:rsid w:val="00FA7252"/>
    <w:rsid w:val="00FB01E9"/>
    <w:rsid w:val="00FB5793"/>
    <w:rsid w:val="00FB6E5E"/>
    <w:rsid w:val="00FB71DE"/>
    <w:rsid w:val="00FC5E72"/>
    <w:rsid w:val="00FD375C"/>
    <w:rsid w:val="00FE2C5F"/>
    <w:rsid w:val="00FF1C61"/>
    <w:rsid w:val="00FF62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4A487C"/>
  <w15:docId w15:val="{62DA90EC-7D40-4F97-8C15-1B68ADC3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8CF"/>
    <w:pPr>
      <w:spacing w:after="160" w:line="259" w:lineRule="auto"/>
      <w:jc w:val="both"/>
    </w:pPr>
  </w:style>
  <w:style w:type="paragraph" w:styleId="Heading1">
    <w:name w:val="heading 1"/>
    <w:basedOn w:val="Normal"/>
    <w:next w:val="Normal"/>
    <w:link w:val="Heading1Char"/>
    <w:uiPriority w:val="9"/>
    <w:qFormat/>
    <w:rsid w:val="005E08D5"/>
    <w:pPr>
      <w:keepNext/>
      <w:keepLines/>
      <w:spacing w:before="480" w:after="240"/>
      <w:outlineLvl w:val="0"/>
    </w:pPr>
    <w:rPr>
      <w:rFonts w:eastAsiaTheme="majorEastAsia" w:cstheme="majorBidi"/>
      <w:b/>
      <w:bCs/>
      <w:sz w:val="28"/>
      <w:szCs w:val="28"/>
      <w:u w:val="single"/>
    </w:rPr>
  </w:style>
  <w:style w:type="paragraph" w:styleId="Heading2">
    <w:name w:val="heading 2"/>
    <w:basedOn w:val="Normal"/>
    <w:next w:val="Normal"/>
    <w:link w:val="Heading2Char"/>
    <w:autoRedefine/>
    <w:uiPriority w:val="9"/>
    <w:unhideWhenUsed/>
    <w:qFormat/>
    <w:rsid w:val="00FB71DE"/>
    <w:pPr>
      <w:keepNext/>
      <w:keepLines/>
      <w:spacing w:before="200" w:after="240"/>
      <w:outlineLvl w:val="1"/>
    </w:pPr>
    <w:rPr>
      <w:rFonts w:eastAsiaTheme="majorEastAsia" w:cstheme="majorBidi"/>
      <w:b/>
      <w:bCs/>
      <w:szCs w:val="26"/>
      <w:u w:val="single"/>
    </w:rPr>
  </w:style>
  <w:style w:type="paragraph" w:styleId="Heading3">
    <w:name w:val="heading 3"/>
    <w:aliases w:val="calibri"/>
    <w:basedOn w:val="Normal"/>
    <w:next w:val="Normal"/>
    <w:link w:val="Heading3Char"/>
    <w:uiPriority w:val="9"/>
    <w:unhideWhenUsed/>
    <w:qFormat/>
    <w:rsid w:val="00490603"/>
    <w:pPr>
      <w:keepNext/>
      <w:keepLines/>
      <w:spacing w:before="200" w:after="120"/>
      <w:outlineLvl w:val="2"/>
    </w:pPr>
    <w:rPr>
      <w:rFonts w:eastAsiaTheme="majorEastAsia" w:cstheme="majorBidi"/>
      <w:bCs/>
      <w: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D5"/>
    <w:rPr>
      <w:rFonts w:eastAsiaTheme="majorEastAsia" w:cstheme="majorBidi"/>
      <w:b/>
      <w:bCs/>
      <w:sz w:val="28"/>
      <w:szCs w:val="28"/>
      <w:u w:val="single"/>
    </w:rPr>
  </w:style>
  <w:style w:type="character" w:customStyle="1" w:styleId="Heading2Char">
    <w:name w:val="Heading 2 Char"/>
    <w:basedOn w:val="DefaultParagraphFont"/>
    <w:link w:val="Heading2"/>
    <w:uiPriority w:val="9"/>
    <w:rsid w:val="00FB71DE"/>
    <w:rPr>
      <w:rFonts w:eastAsiaTheme="majorEastAsia" w:cstheme="majorBidi"/>
      <w:b/>
      <w:bCs/>
      <w:szCs w:val="26"/>
      <w:u w:val="single"/>
    </w:rPr>
  </w:style>
  <w:style w:type="character" w:customStyle="1" w:styleId="Heading3Char">
    <w:name w:val="Heading 3 Char"/>
    <w:aliases w:val="calibri Char"/>
    <w:basedOn w:val="DefaultParagraphFont"/>
    <w:link w:val="Heading3"/>
    <w:uiPriority w:val="9"/>
    <w:rsid w:val="00490603"/>
    <w:rPr>
      <w:rFonts w:eastAsiaTheme="majorEastAsia" w:cstheme="majorBidi"/>
      <w:bCs/>
      <w:i/>
      <w:color w:val="000000" w:themeColor="text1"/>
      <w:u w:val="single"/>
    </w:rPr>
  </w:style>
  <w:style w:type="paragraph" w:styleId="NormalWeb">
    <w:name w:val="Normal (Web)"/>
    <w:basedOn w:val="Normal"/>
    <w:uiPriority w:val="99"/>
    <w:unhideWhenUsed/>
    <w:rsid w:val="009D58C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D58CF"/>
    <w:rPr>
      <w:color w:val="0000FF" w:themeColor="hyperlink"/>
      <w:u w:val="single"/>
    </w:rPr>
  </w:style>
  <w:style w:type="character" w:customStyle="1" w:styleId="apple-converted-space">
    <w:name w:val="apple-converted-space"/>
    <w:basedOn w:val="DefaultParagraphFont"/>
    <w:rsid w:val="009D58CF"/>
  </w:style>
  <w:style w:type="character" w:styleId="FollowedHyperlink">
    <w:name w:val="FollowedHyperlink"/>
    <w:basedOn w:val="DefaultParagraphFont"/>
    <w:uiPriority w:val="99"/>
    <w:semiHidden/>
    <w:unhideWhenUsed/>
    <w:rsid w:val="009D58CF"/>
    <w:rPr>
      <w:color w:val="800080" w:themeColor="followedHyperlink"/>
      <w:u w:val="single"/>
    </w:rPr>
  </w:style>
  <w:style w:type="paragraph" w:styleId="Title">
    <w:name w:val="Title"/>
    <w:basedOn w:val="Normal"/>
    <w:next w:val="Normal"/>
    <w:link w:val="TitleChar"/>
    <w:uiPriority w:val="10"/>
    <w:qFormat/>
    <w:rsid w:val="009D58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58CF"/>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D58CF"/>
    <w:rPr>
      <w:b/>
      <w:bCs/>
    </w:rPr>
  </w:style>
  <w:style w:type="character" w:styleId="Emphasis">
    <w:name w:val="Emphasis"/>
    <w:basedOn w:val="DefaultParagraphFont"/>
    <w:uiPriority w:val="20"/>
    <w:qFormat/>
    <w:rsid w:val="009D58CF"/>
    <w:rPr>
      <w:i/>
      <w:iCs/>
    </w:rPr>
  </w:style>
  <w:style w:type="paragraph" w:styleId="NoSpacing">
    <w:name w:val="No Spacing"/>
    <w:uiPriority w:val="1"/>
    <w:qFormat/>
    <w:rsid w:val="009D58CF"/>
    <w:pPr>
      <w:spacing w:after="0" w:line="240" w:lineRule="auto"/>
      <w:jc w:val="both"/>
    </w:pPr>
  </w:style>
  <w:style w:type="paragraph" w:styleId="BalloonText">
    <w:name w:val="Balloon Text"/>
    <w:basedOn w:val="Normal"/>
    <w:link w:val="BalloonTextChar"/>
    <w:uiPriority w:val="99"/>
    <w:semiHidden/>
    <w:unhideWhenUsed/>
    <w:rsid w:val="009D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8CF"/>
    <w:rPr>
      <w:rFonts w:ascii="Tahoma" w:hAnsi="Tahoma" w:cs="Tahoma"/>
      <w:sz w:val="16"/>
      <w:szCs w:val="16"/>
    </w:rPr>
  </w:style>
  <w:style w:type="paragraph" w:customStyle="1" w:styleId="Normal0">
    <w:name w:val="[Normal]"/>
    <w:uiPriority w:val="99"/>
    <w:rsid w:val="009D58CF"/>
    <w:pPr>
      <w:widowControl w:val="0"/>
      <w:autoSpaceDE w:val="0"/>
      <w:autoSpaceDN w:val="0"/>
      <w:adjustRightInd w:val="0"/>
      <w:spacing w:after="0" w:line="240" w:lineRule="auto"/>
    </w:pPr>
    <w:rPr>
      <w:rFonts w:ascii="Arial" w:hAnsi="Arial" w:cs="Arial"/>
      <w:sz w:val="24"/>
      <w:szCs w:val="24"/>
    </w:rPr>
  </w:style>
  <w:style w:type="paragraph" w:styleId="Quote">
    <w:name w:val="Quote"/>
    <w:basedOn w:val="Normal"/>
    <w:next w:val="Normal"/>
    <w:link w:val="QuoteChar"/>
    <w:uiPriority w:val="29"/>
    <w:qFormat/>
    <w:rsid w:val="009D58CF"/>
    <w:pPr>
      <w:ind w:left="720"/>
      <w:jc w:val="center"/>
    </w:pPr>
    <w:rPr>
      <w:iCs/>
      <w:color w:val="000000" w:themeColor="text1"/>
    </w:rPr>
  </w:style>
  <w:style w:type="character" w:customStyle="1" w:styleId="QuoteChar">
    <w:name w:val="Quote Char"/>
    <w:basedOn w:val="DefaultParagraphFont"/>
    <w:link w:val="Quote"/>
    <w:uiPriority w:val="29"/>
    <w:rsid w:val="009D58CF"/>
    <w:rPr>
      <w:iCs/>
      <w:color w:val="000000" w:themeColor="text1"/>
    </w:rPr>
  </w:style>
  <w:style w:type="paragraph" w:styleId="Header">
    <w:name w:val="header"/>
    <w:basedOn w:val="Normal"/>
    <w:link w:val="HeaderChar"/>
    <w:uiPriority w:val="99"/>
    <w:unhideWhenUsed/>
    <w:rsid w:val="009D5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8CF"/>
  </w:style>
  <w:style w:type="paragraph" w:styleId="Footer">
    <w:name w:val="footer"/>
    <w:basedOn w:val="Normal"/>
    <w:link w:val="FooterChar"/>
    <w:uiPriority w:val="99"/>
    <w:unhideWhenUsed/>
    <w:rsid w:val="009D5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8CF"/>
  </w:style>
  <w:style w:type="character" w:styleId="CommentReference">
    <w:name w:val="annotation reference"/>
    <w:basedOn w:val="DefaultParagraphFont"/>
    <w:uiPriority w:val="99"/>
    <w:semiHidden/>
    <w:unhideWhenUsed/>
    <w:rsid w:val="009D58CF"/>
    <w:rPr>
      <w:sz w:val="16"/>
      <w:szCs w:val="16"/>
    </w:rPr>
  </w:style>
  <w:style w:type="paragraph" w:styleId="CommentText">
    <w:name w:val="annotation text"/>
    <w:basedOn w:val="Normal"/>
    <w:link w:val="CommentTextChar"/>
    <w:uiPriority w:val="99"/>
    <w:unhideWhenUsed/>
    <w:rsid w:val="009D58CF"/>
    <w:pPr>
      <w:spacing w:line="240" w:lineRule="auto"/>
    </w:pPr>
    <w:rPr>
      <w:sz w:val="20"/>
      <w:szCs w:val="20"/>
    </w:rPr>
  </w:style>
  <w:style w:type="character" w:customStyle="1" w:styleId="CommentTextChar">
    <w:name w:val="Comment Text Char"/>
    <w:basedOn w:val="DefaultParagraphFont"/>
    <w:link w:val="CommentText"/>
    <w:uiPriority w:val="99"/>
    <w:rsid w:val="009D58CF"/>
    <w:rPr>
      <w:sz w:val="20"/>
      <w:szCs w:val="20"/>
    </w:rPr>
  </w:style>
  <w:style w:type="paragraph" w:styleId="CommentSubject">
    <w:name w:val="annotation subject"/>
    <w:basedOn w:val="CommentText"/>
    <w:next w:val="CommentText"/>
    <w:link w:val="CommentSubjectChar"/>
    <w:uiPriority w:val="99"/>
    <w:semiHidden/>
    <w:unhideWhenUsed/>
    <w:rsid w:val="009D58CF"/>
    <w:rPr>
      <w:b/>
      <w:bCs/>
    </w:rPr>
  </w:style>
  <w:style w:type="character" w:customStyle="1" w:styleId="CommentSubjectChar">
    <w:name w:val="Comment Subject Char"/>
    <w:basedOn w:val="CommentTextChar"/>
    <w:link w:val="CommentSubject"/>
    <w:uiPriority w:val="99"/>
    <w:semiHidden/>
    <w:rsid w:val="009D58CF"/>
    <w:rPr>
      <w:b/>
      <w:bCs/>
      <w:sz w:val="20"/>
      <w:szCs w:val="20"/>
    </w:rPr>
  </w:style>
  <w:style w:type="table" w:styleId="TableGrid">
    <w:name w:val="Table Grid"/>
    <w:basedOn w:val="TableNormal"/>
    <w:uiPriority w:val="59"/>
    <w:rsid w:val="009D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D58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9D5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8CF"/>
    <w:rPr>
      <w:sz w:val="20"/>
      <w:szCs w:val="20"/>
    </w:rPr>
  </w:style>
  <w:style w:type="character" w:styleId="FootnoteReference">
    <w:name w:val="footnote reference"/>
    <w:basedOn w:val="DefaultParagraphFont"/>
    <w:uiPriority w:val="99"/>
    <w:semiHidden/>
    <w:unhideWhenUsed/>
    <w:rsid w:val="009D58CF"/>
    <w:rPr>
      <w:vertAlign w:val="superscript"/>
    </w:rPr>
  </w:style>
  <w:style w:type="paragraph" w:styleId="ListParagraph">
    <w:name w:val="List Paragraph"/>
    <w:basedOn w:val="Normal"/>
    <w:uiPriority w:val="34"/>
    <w:qFormat/>
    <w:rsid w:val="004F55F1"/>
    <w:pPr>
      <w:autoSpaceDE w:val="0"/>
      <w:autoSpaceDN w:val="0"/>
      <w:adjustRightInd w:val="0"/>
      <w:ind w:left="720"/>
      <w:contextualSpacing/>
      <w:jc w:val="left"/>
    </w:pPr>
    <w:rPr>
      <w:rFonts w:ascii="Calibri" w:hAnsi="Calibri" w:cs="Calibri"/>
    </w:rPr>
  </w:style>
  <w:style w:type="paragraph" w:styleId="Caption">
    <w:name w:val="caption"/>
    <w:basedOn w:val="Normal"/>
    <w:next w:val="Normal"/>
    <w:unhideWhenUsed/>
    <w:qFormat/>
    <w:rsid w:val="00E97F4A"/>
    <w:pPr>
      <w:tabs>
        <w:tab w:val="left" w:pos="1418"/>
      </w:tabs>
      <w:spacing w:before="120" w:after="120" w:line="360" w:lineRule="auto"/>
      <w:ind w:left="1134" w:hanging="1134"/>
      <w:contextualSpacing/>
      <w:jc w:val="left"/>
    </w:pPr>
    <w:rPr>
      <w:rFonts w:ascii="Calibri" w:eastAsia="Times New Roman" w:hAnsi="Calibri" w:cs="Times New Roman"/>
      <w:szCs w:val="26"/>
      <w:lang w:eastAsia="en-US"/>
    </w:rPr>
  </w:style>
  <w:style w:type="paragraph" w:customStyle="1" w:styleId="Quotation">
    <w:name w:val="Quotation"/>
    <w:basedOn w:val="Normal"/>
    <w:qFormat/>
    <w:rsid w:val="00FF1C61"/>
    <w:pPr>
      <w:spacing w:before="200" w:after="0" w:line="360" w:lineRule="auto"/>
      <w:ind w:left="425" w:right="425"/>
      <w:jc w:val="left"/>
    </w:pPr>
    <w:rPr>
      <w:rFonts w:ascii="Calibri" w:eastAsia="Times New Roman" w:hAnsi="Calibri" w:cs="Times New Roman"/>
      <w:iCs/>
      <w:szCs w:val="24"/>
      <w:lang w:eastAsia="en-US"/>
    </w:rPr>
  </w:style>
  <w:style w:type="paragraph" w:customStyle="1" w:styleId="CaptionFollowon">
    <w:name w:val="Caption Follow on"/>
    <w:basedOn w:val="Caption"/>
    <w:next w:val="Normal"/>
    <w:qFormat/>
    <w:rsid w:val="00DC54B6"/>
    <w:pPr>
      <w:spacing w:before="0"/>
      <w:ind w:firstLine="0"/>
    </w:pPr>
  </w:style>
  <w:style w:type="paragraph" w:styleId="Revision">
    <w:name w:val="Revision"/>
    <w:hidden/>
    <w:uiPriority w:val="99"/>
    <w:semiHidden/>
    <w:rsid w:val="00675D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75646">
      <w:bodyDiv w:val="1"/>
      <w:marLeft w:val="0"/>
      <w:marRight w:val="0"/>
      <w:marTop w:val="0"/>
      <w:marBottom w:val="0"/>
      <w:divBdr>
        <w:top w:val="none" w:sz="0" w:space="0" w:color="auto"/>
        <w:left w:val="none" w:sz="0" w:space="0" w:color="auto"/>
        <w:bottom w:val="none" w:sz="0" w:space="0" w:color="auto"/>
        <w:right w:val="none" w:sz="0" w:space="0" w:color="auto"/>
      </w:divBdr>
    </w:div>
    <w:div w:id="357435352">
      <w:bodyDiv w:val="1"/>
      <w:marLeft w:val="0"/>
      <w:marRight w:val="0"/>
      <w:marTop w:val="0"/>
      <w:marBottom w:val="0"/>
      <w:divBdr>
        <w:top w:val="none" w:sz="0" w:space="0" w:color="auto"/>
        <w:left w:val="none" w:sz="0" w:space="0" w:color="auto"/>
        <w:bottom w:val="none" w:sz="0" w:space="0" w:color="auto"/>
        <w:right w:val="none" w:sz="0" w:space="0" w:color="auto"/>
      </w:divBdr>
    </w:div>
    <w:div w:id="780031784">
      <w:bodyDiv w:val="1"/>
      <w:marLeft w:val="0"/>
      <w:marRight w:val="0"/>
      <w:marTop w:val="0"/>
      <w:marBottom w:val="0"/>
      <w:divBdr>
        <w:top w:val="none" w:sz="0" w:space="0" w:color="auto"/>
        <w:left w:val="none" w:sz="0" w:space="0" w:color="auto"/>
        <w:bottom w:val="none" w:sz="0" w:space="0" w:color="auto"/>
        <w:right w:val="none" w:sz="0" w:space="0" w:color="auto"/>
      </w:divBdr>
    </w:div>
    <w:div w:id="821965859">
      <w:bodyDiv w:val="1"/>
      <w:marLeft w:val="0"/>
      <w:marRight w:val="0"/>
      <w:marTop w:val="0"/>
      <w:marBottom w:val="0"/>
      <w:divBdr>
        <w:top w:val="none" w:sz="0" w:space="0" w:color="auto"/>
        <w:left w:val="none" w:sz="0" w:space="0" w:color="auto"/>
        <w:bottom w:val="none" w:sz="0" w:space="0" w:color="auto"/>
        <w:right w:val="none" w:sz="0" w:space="0" w:color="auto"/>
      </w:divBdr>
    </w:div>
    <w:div w:id="909386839">
      <w:bodyDiv w:val="1"/>
      <w:marLeft w:val="0"/>
      <w:marRight w:val="0"/>
      <w:marTop w:val="0"/>
      <w:marBottom w:val="0"/>
      <w:divBdr>
        <w:top w:val="none" w:sz="0" w:space="0" w:color="auto"/>
        <w:left w:val="none" w:sz="0" w:space="0" w:color="auto"/>
        <w:bottom w:val="none" w:sz="0" w:space="0" w:color="auto"/>
        <w:right w:val="none" w:sz="0" w:space="0" w:color="auto"/>
      </w:divBdr>
    </w:div>
    <w:div w:id="1121651069">
      <w:bodyDiv w:val="1"/>
      <w:marLeft w:val="0"/>
      <w:marRight w:val="0"/>
      <w:marTop w:val="0"/>
      <w:marBottom w:val="0"/>
      <w:divBdr>
        <w:top w:val="none" w:sz="0" w:space="0" w:color="auto"/>
        <w:left w:val="none" w:sz="0" w:space="0" w:color="auto"/>
        <w:bottom w:val="none" w:sz="0" w:space="0" w:color="auto"/>
        <w:right w:val="none" w:sz="0" w:space="0" w:color="auto"/>
      </w:divBdr>
    </w:div>
    <w:div w:id="1184243708">
      <w:bodyDiv w:val="1"/>
      <w:marLeft w:val="0"/>
      <w:marRight w:val="0"/>
      <w:marTop w:val="0"/>
      <w:marBottom w:val="0"/>
      <w:divBdr>
        <w:top w:val="none" w:sz="0" w:space="0" w:color="auto"/>
        <w:left w:val="none" w:sz="0" w:space="0" w:color="auto"/>
        <w:bottom w:val="none" w:sz="0" w:space="0" w:color="auto"/>
        <w:right w:val="none" w:sz="0" w:space="0" w:color="auto"/>
      </w:divBdr>
    </w:div>
    <w:div w:id="1233543843">
      <w:bodyDiv w:val="1"/>
      <w:marLeft w:val="0"/>
      <w:marRight w:val="0"/>
      <w:marTop w:val="0"/>
      <w:marBottom w:val="0"/>
      <w:divBdr>
        <w:top w:val="none" w:sz="0" w:space="0" w:color="auto"/>
        <w:left w:val="none" w:sz="0" w:space="0" w:color="auto"/>
        <w:bottom w:val="none" w:sz="0" w:space="0" w:color="auto"/>
        <w:right w:val="none" w:sz="0" w:space="0" w:color="auto"/>
      </w:divBdr>
    </w:div>
    <w:div w:id="1308431926">
      <w:bodyDiv w:val="1"/>
      <w:marLeft w:val="0"/>
      <w:marRight w:val="0"/>
      <w:marTop w:val="0"/>
      <w:marBottom w:val="0"/>
      <w:divBdr>
        <w:top w:val="none" w:sz="0" w:space="0" w:color="auto"/>
        <w:left w:val="none" w:sz="0" w:space="0" w:color="auto"/>
        <w:bottom w:val="none" w:sz="0" w:space="0" w:color="auto"/>
        <w:right w:val="none" w:sz="0" w:space="0" w:color="auto"/>
      </w:divBdr>
    </w:div>
    <w:div w:id="1312558052">
      <w:bodyDiv w:val="1"/>
      <w:marLeft w:val="0"/>
      <w:marRight w:val="0"/>
      <w:marTop w:val="0"/>
      <w:marBottom w:val="0"/>
      <w:divBdr>
        <w:top w:val="none" w:sz="0" w:space="0" w:color="auto"/>
        <w:left w:val="none" w:sz="0" w:space="0" w:color="auto"/>
        <w:bottom w:val="none" w:sz="0" w:space="0" w:color="auto"/>
        <w:right w:val="none" w:sz="0" w:space="0" w:color="auto"/>
      </w:divBdr>
    </w:div>
    <w:div w:id="1447308984">
      <w:bodyDiv w:val="1"/>
      <w:marLeft w:val="0"/>
      <w:marRight w:val="0"/>
      <w:marTop w:val="0"/>
      <w:marBottom w:val="0"/>
      <w:divBdr>
        <w:top w:val="none" w:sz="0" w:space="0" w:color="auto"/>
        <w:left w:val="none" w:sz="0" w:space="0" w:color="auto"/>
        <w:bottom w:val="none" w:sz="0" w:space="0" w:color="auto"/>
        <w:right w:val="none" w:sz="0" w:space="0" w:color="auto"/>
      </w:divBdr>
    </w:div>
    <w:div w:id="1523013229">
      <w:bodyDiv w:val="1"/>
      <w:marLeft w:val="0"/>
      <w:marRight w:val="0"/>
      <w:marTop w:val="0"/>
      <w:marBottom w:val="0"/>
      <w:divBdr>
        <w:top w:val="none" w:sz="0" w:space="0" w:color="auto"/>
        <w:left w:val="none" w:sz="0" w:space="0" w:color="auto"/>
        <w:bottom w:val="none" w:sz="0" w:space="0" w:color="auto"/>
        <w:right w:val="none" w:sz="0" w:space="0" w:color="auto"/>
      </w:divBdr>
    </w:div>
    <w:div w:id="1952007885">
      <w:bodyDiv w:val="1"/>
      <w:marLeft w:val="0"/>
      <w:marRight w:val="0"/>
      <w:marTop w:val="0"/>
      <w:marBottom w:val="0"/>
      <w:divBdr>
        <w:top w:val="none" w:sz="0" w:space="0" w:color="auto"/>
        <w:left w:val="none" w:sz="0" w:space="0" w:color="auto"/>
        <w:bottom w:val="none" w:sz="0" w:space="0" w:color="auto"/>
        <w:right w:val="none" w:sz="0" w:space="0" w:color="auto"/>
      </w:divBdr>
    </w:div>
    <w:div w:id="1982149126">
      <w:bodyDiv w:val="1"/>
      <w:marLeft w:val="0"/>
      <w:marRight w:val="0"/>
      <w:marTop w:val="0"/>
      <w:marBottom w:val="0"/>
      <w:divBdr>
        <w:top w:val="none" w:sz="0" w:space="0" w:color="auto"/>
        <w:left w:val="none" w:sz="0" w:space="0" w:color="auto"/>
        <w:bottom w:val="none" w:sz="0" w:space="0" w:color="auto"/>
        <w:right w:val="none" w:sz="0" w:space="0" w:color="auto"/>
      </w:divBdr>
    </w:div>
    <w:div w:id="20697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3096ae-7329-4b3b-9368-47aeba6959e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FE420-7201-4C31-B02F-4B356B2C5AB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432F11E-E3DA-42F5-97F3-FA72ADA9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10291</Words>
  <Characters>193595</Characters>
  <Application>Microsoft Office Word</Application>
  <DocSecurity>0</DocSecurity>
  <Lines>1613</Lines>
  <Paragraphs>406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Tyers</dc:creator>
  <cp:lastModifiedBy>Tyers R.M.H.</cp:lastModifiedBy>
  <cp:revision>2</cp:revision>
  <cp:lastPrinted>2016-04-07T16:54:00Z</cp:lastPrinted>
  <dcterms:created xsi:type="dcterms:W3CDTF">2018-11-23T10:27:00Z</dcterms:created>
  <dcterms:modified xsi:type="dcterms:W3CDTF">2018-11-23T10:27:00Z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4ed586ac-d0e9-330c-a41e-9df68ba3c665</vt:lpwstr>
  </property>
  <property fmtid="{D5CDD505-2E9C-101B-9397-08002B2CF9AE}" pid="25" name="docIndexRef">
    <vt:lpwstr>14400af6-c573-4295-86d5-c0021843f4fd</vt:lpwstr>
  </property>
  <property fmtid="{D5CDD505-2E9C-101B-9397-08002B2CF9AE}" pid="26" name="bjSaver">
    <vt:lpwstr>Qw1+6z0rlJnuGs+lNmR22LsekWwjR+yu</vt:lpwstr>
  </property>
  <property fmtid="{D5CDD505-2E9C-101B-9397-08002B2CF9AE}" pid="27" name="bjDocumentSecurityLabel">
    <vt:lpwstr>This item has no classification</vt:lpwstr>
  </property>
</Properties>
</file>