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475B" w14:textId="77A22D2D" w:rsidR="00384436" w:rsidRDefault="00676968" w:rsidP="006F58FF">
      <w:pPr>
        <w:spacing w:line="480" w:lineRule="auto"/>
        <w:rPr>
          <w:b/>
        </w:rPr>
      </w:pPr>
      <w:r>
        <w:rPr>
          <w:b/>
        </w:rPr>
        <w:t xml:space="preserve">Increased prevalence of anti-TNF therapy in </w:t>
      </w:r>
      <w:r w:rsidR="00384436">
        <w:rPr>
          <w:b/>
        </w:rPr>
        <w:t xml:space="preserve">paediatric inflammatory bowel disease </w:t>
      </w:r>
      <w:r>
        <w:rPr>
          <w:b/>
        </w:rPr>
        <w:t xml:space="preserve">is associated with a </w:t>
      </w:r>
      <w:r w:rsidR="00E27D29">
        <w:rPr>
          <w:b/>
        </w:rPr>
        <w:t>decline</w:t>
      </w:r>
      <w:r w:rsidR="00384436">
        <w:rPr>
          <w:b/>
        </w:rPr>
        <w:t xml:space="preserve"> </w:t>
      </w:r>
      <w:r>
        <w:rPr>
          <w:b/>
        </w:rPr>
        <w:t>in surgical resections</w:t>
      </w:r>
      <w:r w:rsidR="00384436">
        <w:rPr>
          <w:b/>
        </w:rPr>
        <w:t xml:space="preserve"> </w:t>
      </w:r>
      <w:r w:rsidR="00F71152">
        <w:rPr>
          <w:b/>
        </w:rPr>
        <w:t>during childhood</w:t>
      </w:r>
    </w:p>
    <w:p w14:paraId="23AC09D7" w14:textId="6CCC61DF" w:rsidR="00BD4FD4" w:rsidRPr="00384436" w:rsidRDefault="00BD4FD4" w:rsidP="006F58FF">
      <w:pPr>
        <w:spacing w:line="480" w:lineRule="auto"/>
        <w:rPr>
          <w:b/>
        </w:rPr>
      </w:pPr>
      <w:r>
        <w:t xml:space="preserve">Short title: </w:t>
      </w:r>
      <w:r w:rsidR="00585FF9" w:rsidRPr="00585FF9">
        <w:t>Anti-TNF therapy and childhood surgery</w:t>
      </w:r>
    </w:p>
    <w:p w14:paraId="504E2BE0" w14:textId="7097E6A4" w:rsidR="00384436" w:rsidRPr="00384436" w:rsidRDefault="00384436" w:rsidP="006F58FF">
      <w:pPr>
        <w:spacing w:line="480" w:lineRule="auto"/>
        <w:rPr>
          <w:vertAlign w:val="superscript"/>
        </w:rPr>
      </w:pPr>
      <w:r w:rsidRPr="00384436">
        <w:t>James J Ashton MRCPCH</w:t>
      </w:r>
      <w:r w:rsidRPr="00384436">
        <w:rPr>
          <w:vertAlign w:val="superscript"/>
        </w:rPr>
        <w:t>1,2</w:t>
      </w:r>
      <w:r w:rsidRPr="00384436">
        <w:t>, Florina Borca MD</w:t>
      </w:r>
      <w:r w:rsidRPr="00384436">
        <w:rPr>
          <w:vertAlign w:val="superscript"/>
        </w:rPr>
        <w:t>3</w:t>
      </w:r>
      <w:r w:rsidRPr="00384436">
        <w:t>, Enrico Mossotto PhD</w:t>
      </w:r>
      <w:r w:rsidRPr="00384436">
        <w:rPr>
          <w:vertAlign w:val="superscript"/>
        </w:rPr>
        <w:t>2,3</w:t>
      </w:r>
      <w:r w:rsidRPr="00384436">
        <w:t xml:space="preserve">, </w:t>
      </w:r>
      <w:r>
        <w:t>Tracy Coelho MRCPCH</w:t>
      </w:r>
      <w:r w:rsidRPr="00384436">
        <w:rPr>
          <w:vertAlign w:val="superscript"/>
        </w:rPr>
        <w:t>1</w:t>
      </w:r>
      <w:r>
        <w:t>, Akshay Batra MD</w:t>
      </w:r>
      <w:r w:rsidRPr="00384436">
        <w:rPr>
          <w:vertAlign w:val="superscript"/>
        </w:rPr>
        <w:t>1</w:t>
      </w:r>
      <w:r>
        <w:t>, Nadeem A. Afzal MD</w:t>
      </w:r>
      <w:r w:rsidRPr="00384436">
        <w:rPr>
          <w:vertAlign w:val="superscript"/>
        </w:rPr>
        <w:t>1</w:t>
      </w:r>
      <w:r>
        <w:t xml:space="preserve">, </w:t>
      </w:r>
      <w:r w:rsidRPr="00384436">
        <w:t>Hang T. T. Phan PhD</w:t>
      </w:r>
      <w:r w:rsidRPr="00384436">
        <w:rPr>
          <w:vertAlign w:val="superscript"/>
        </w:rPr>
        <w:t>3</w:t>
      </w:r>
      <w:r w:rsidRPr="00384436">
        <w:t xml:space="preserve">, </w:t>
      </w:r>
      <w:r w:rsidR="00676968">
        <w:t>Michael Stanton</w:t>
      </w:r>
      <w:r w:rsidR="00676968" w:rsidRPr="00676968">
        <w:t xml:space="preserve"> </w:t>
      </w:r>
      <w:r w:rsidR="00676968">
        <w:t>MD</w:t>
      </w:r>
      <w:r w:rsidR="00676968">
        <w:rPr>
          <w:vertAlign w:val="superscript"/>
        </w:rPr>
        <w:t>4</w:t>
      </w:r>
      <w:r w:rsidR="00676968">
        <w:t xml:space="preserve">, </w:t>
      </w:r>
      <w:r w:rsidRPr="00384436">
        <w:t>Sarah Ennis PhD</w:t>
      </w:r>
      <w:r w:rsidRPr="00384436">
        <w:rPr>
          <w:vertAlign w:val="superscript"/>
        </w:rPr>
        <w:t>2</w:t>
      </w:r>
      <w:r w:rsidR="00530ACF">
        <w:t xml:space="preserve">, </w:t>
      </w:r>
      <w:r w:rsidRPr="00384436">
        <w:t>and R Mark Beattie FRCPCH</w:t>
      </w:r>
      <w:r w:rsidRPr="00384436">
        <w:rPr>
          <w:vertAlign w:val="superscript"/>
        </w:rPr>
        <w:t>1</w:t>
      </w:r>
      <w:r w:rsidR="00812AB4">
        <w:rPr>
          <w:vertAlign w:val="superscript"/>
        </w:rPr>
        <w:t>,3</w:t>
      </w:r>
    </w:p>
    <w:p w14:paraId="61F60498" w14:textId="77777777" w:rsidR="00384436" w:rsidRPr="00384436" w:rsidRDefault="00384436" w:rsidP="006F58FF">
      <w:pPr>
        <w:numPr>
          <w:ilvl w:val="0"/>
          <w:numId w:val="1"/>
        </w:numPr>
        <w:spacing w:line="480" w:lineRule="auto"/>
      </w:pPr>
      <w:r w:rsidRPr="00384436">
        <w:t xml:space="preserve">Department of Paediatric Gastroenterology, Southampton Children’s Hospital, Southampton, UK </w:t>
      </w:r>
    </w:p>
    <w:p w14:paraId="361B1B5A" w14:textId="77777777" w:rsidR="00384436" w:rsidRPr="00384436" w:rsidRDefault="00384436" w:rsidP="006F58FF">
      <w:pPr>
        <w:numPr>
          <w:ilvl w:val="0"/>
          <w:numId w:val="1"/>
        </w:numPr>
        <w:spacing w:line="480" w:lineRule="auto"/>
      </w:pPr>
      <w:r w:rsidRPr="00384436">
        <w:t>Department of Human Genetics and Genomic Medicine, University of Southampton, Southampton, UK</w:t>
      </w:r>
    </w:p>
    <w:p w14:paraId="48F52742" w14:textId="77777777" w:rsidR="00384436" w:rsidRDefault="00384436" w:rsidP="006F58FF">
      <w:pPr>
        <w:numPr>
          <w:ilvl w:val="0"/>
          <w:numId w:val="1"/>
        </w:numPr>
        <w:spacing w:line="480" w:lineRule="auto"/>
      </w:pPr>
      <w:r w:rsidRPr="00384436">
        <w:t>NIHR Southampton Biomedical Research Centre, University Hospital Southampton, Southampton, UK</w:t>
      </w:r>
    </w:p>
    <w:p w14:paraId="7FEFE777" w14:textId="77777777" w:rsidR="00530ACF" w:rsidRPr="00384436" w:rsidRDefault="00530ACF" w:rsidP="006F58FF">
      <w:pPr>
        <w:numPr>
          <w:ilvl w:val="0"/>
          <w:numId w:val="1"/>
        </w:numPr>
        <w:spacing w:line="480" w:lineRule="auto"/>
      </w:pPr>
      <w:r w:rsidRPr="00384436">
        <w:t xml:space="preserve">Department of Paediatric </w:t>
      </w:r>
      <w:r>
        <w:t>Surgery</w:t>
      </w:r>
      <w:r w:rsidRPr="00384436">
        <w:t xml:space="preserve">, Southampton Children’s Hospital, Southampton, UK </w:t>
      </w:r>
    </w:p>
    <w:p w14:paraId="318FADED" w14:textId="77777777" w:rsidR="00384436" w:rsidRPr="00384436" w:rsidRDefault="00384436" w:rsidP="00E51114">
      <w:pPr>
        <w:spacing w:line="240" w:lineRule="auto"/>
      </w:pPr>
      <w:r w:rsidRPr="00384436">
        <w:t>Correspondence to</w:t>
      </w:r>
      <w:r w:rsidR="00E51114">
        <w:t>:</w:t>
      </w:r>
    </w:p>
    <w:p w14:paraId="701033F0" w14:textId="77777777" w:rsidR="00384436" w:rsidRPr="00384436" w:rsidRDefault="00384436" w:rsidP="00E51114">
      <w:pPr>
        <w:spacing w:line="240" w:lineRule="auto"/>
      </w:pPr>
      <w:r w:rsidRPr="00384436">
        <w:t xml:space="preserve">Professor R Mark Beattie, </w:t>
      </w:r>
    </w:p>
    <w:p w14:paraId="38A56C08" w14:textId="77777777" w:rsidR="00384436" w:rsidRPr="00384436" w:rsidRDefault="00384436" w:rsidP="00E51114">
      <w:pPr>
        <w:spacing w:line="240" w:lineRule="auto"/>
      </w:pPr>
      <w:r w:rsidRPr="00384436">
        <w:t xml:space="preserve">Department of Paediatric Gastroenterology, </w:t>
      </w:r>
    </w:p>
    <w:p w14:paraId="3D2E53D6" w14:textId="77777777" w:rsidR="00384436" w:rsidRPr="00384436" w:rsidRDefault="00384436" w:rsidP="00E51114">
      <w:pPr>
        <w:spacing w:line="240" w:lineRule="auto"/>
      </w:pPr>
      <w:r w:rsidRPr="00384436">
        <w:t>Southampton Children’s Hospital</w:t>
      </w:r>
    </w:p>
    <w:p w14:paraId="355305EB" w14:textId="77777777" w:rsidR="00384436" w:rsidRPr="00384436" w:rsidRDefault="00384436" w:rsidP="00E51114">
      <w:pPr>
        <w:spacing w:line="240" w:lineRule="auto"/>
      </w:pPr>
      <w:proofErr w:type="spellStart"/>
      <w:r w:rsidRPr="00384436">
        <w:t>Tremona</w:t>
      </w:r>
      <w:proofErr w:type="spellEnd"/>
      <w:r w:rsidRPr="00384436">
        <w:t xml:space="preserve"> road, </w:t>
      </w:r>
    </w:p>
    <w:p w14:paraId="4D16E5A8" w14:textId="77777777" w:rsidR="00384436" w:rsidRPr="00384436" w:rsidRDefault="00384436" w:rsidP="00E51114">
      <w:pPr>
        <w:spacing w:line="240" w:lineRule="auto"/>
      </w:pPr>
      <w:r w:rsidRPr="00384436">
        <w:t>Southampton,</w:t>
      </w:r>
    </w:p>
    <w:p w14:paraId="02753D58" w14:textId="77777777" w:rsidR="00384436" w:rsidRPr="00384436" w:rsidRDefault="00384436" w:rsidP="00E51114">
      <w:pPr>
        <w:spacing w:line="240" w:lineRule="auto"/>
      </w:pPr>
      <w:r w:rsidRPr="00384436">
        <w:t xml:space="preserve">SO16 6YD, </w:t>
      </w:r>
    </w:p>
    <w:p w14:paraId="66BF0E3E" w14:textId="77777777" w:rsidR="00384436" w:rsidRPr="00384436" w:rsidRDefault="00384436" w:rsidP="00E51114">
      <w:pPr>
        <w:spacing w:line="240" w:lineRule="auto"/>
      </w:pPr>
      <w:r w:rsidRPr="00384436">
        <w:t>UK</w:t>
      </w:r>
    </w:p>
    <w:p w14:paraId="4A923FFC" w14:textId="77777777" w:rsidR="00384436" w:rsidRDefault="008E0072" w:rsidP="00E51114">
      <w:pPr>
        <w:spacing w:line="240" w:lineRule="auto"/>
        <w:rPr>
          <w:rStyle w:val="Hyperlink"/>
        </w:rPr>
      </w:pPr>
      <w:hyperlink r:id="rId6" w:history="1">
        <w:r w:rsidR="00384436" w:rsidRPr="00384436">
          <w:rPr>
            <w:rStyle w:val="Hyperlink"/>
          </w:rPr>
          <w:t>Mark.beattie@uhs.nhs.uk</w:t>
        </w:r>
      </w:hyperlink>
    </w:p>
    <w:p w14:paraId="67AD80C2" w14:textId="77777777" w:rsidR="00E51114" w:rsidRPr="00384436" w:rsidRDefault="00E51114" w:rsidP="00E51114">
      <w:pPr>
        <w:spacing w:line="240" w:lineRule="auto"/>
      </w:pPr>
    </w:p>
    <w:p w14:paraId="063186FE" w14:textId="4B42E889" w:rsidR="00906259" w:rsidRDefault="00E36A52">
      <w:r>
        <w:t xml:space="preserve">Word count- </w:t>
      </w:r>
      <w:r w:rsidR="00E44EB0">
        <w:t>3</w:t>
      </w:r>
      <w:r w:rsidR="008B0AFF">
        <w:t>920</w:t>
      </w:r>
    </w:p>
    <w:p w14:paraId="3514830F" w14:textId="77777777" w:rsidR="00E51114" w:rsidRDefault="00E51114">
      <w:r>
        <w:t>Abstract word count- 250</w:t>
      </w:r>
    </w:p>
    <w:p w14:paraId="6EF4A68C" w14:textId="77777777" w:rsidR="00E51114" w:rsidRDefault="00E51114"/>
    <w:p w14:paraId="66EE8E60" w14:textId="77777777" w:rsidR="003C05E7" w:rsidRDefault="003C05E7" w:rsidP="003C05E7">
      <w:pPr>
        <w:spacing w:line="480" w:lineRule="auto"/>
        <w:rPr>
          <w:u w:val="single"/>
        </w:rPr>
      </w:pPr>
      <w:proofErr w:type="spellStart"/>
      <w:r>
        <w:rPr>
          <w:u w:val="single"/>
        </w:rPr>
        <w:lastRenderedPageBreak/>
        <w:t>Contributorship</w:t>
      </w:r>
      <w:proofErr w:type="spellEnd"/>
    </w:p>
    <w:p w14:paraId="68D8E884" w14:textId="77777777" w:rsidR="003C05E7" w:rsidRDefault="003C05E7" w:rsidP="003C05E7">
      <w:pPr>
        <w:spacing w:line="480" w:lineRule="auto"/>
      </w:pPr>
      <w:r w:rsidRPr="0090640C">
        <w:t xml:space="preserve">JJA </w:t>
      </w:r>
      <w:r>
        <w:t>+ RMB conceived and designed the study.</w:t>
      </w:r>
    </w:p>
    <w:p w14:paraId="645D0DFB" w14:textId="77777777" w:rsidR="003C05E7" w:rsidRDefault="003C05E7" w:rsidP="003C05E7">
      <w:pPr>
        <w:spacing w:line="480" w:lineRule="auto"/>
      </w:pPr>
      <w:r>
        <w:t xml:space="preserve">JJA, FB + RMB collected the data. </w:t>
      </w:r>
    </w:p>
    <w:p w14:paraId="60EE43F4" w14:textId="77777777" w:rsidR="003C05E7" w:rsidRDefault="003C05E7" w:rsidP="003C05E7">
      <w:pPr>
        <w:spacing w:line="480" w:lineRule="auto"/>
      </w:pPr>
      <w:r>
        <w:t xml:space="preserve">JJA analysed the data with help from all authors </w:t>
      </w:r>
    </w:p>
    <w:p w14:paraId="2FB1C574" w14:textId="77777777" w:rsidR="003C05E7" w:rsidRDefault="003C05E7" w:rsidP="003C05E7">
      <w:pPr>
        <w:spacing w:line="480" w:lineRule="auto"/>
      </w:pPr>
      <w:r>
        <w:t xml:space="preserve">JJA wrote the manuscript with help from all authors </w:t>
      </w:r>
    </w:p>
    <w:p w14:paraId="51F0B680" w14:textId="77777777" w:rsidR="003C05E7" w:rsidRPr="0090640C" w:rsidRDefault="003C05E7" w:rsidP="003C05E7">
      <w:pPr>
        <w:spacing w:line="480" w:lineRule="auto"/>
      </w:pPr>
      <w:r>
        <w:t xml:space="preserve">All authors approved the manuscript prior to submission </w:t>
      </w:r>
    </w:p>
    <w:p w14:paraId="1A9631A8" w14:textId="77777777" w:rsidR="003C05E7" w:rsidRDefault="003C05E7" w:rsidP="003C05E7">
      <w:pPr>
        <w:spacing w:line="480" w:lineRule="auto"/>
        <w:rPr>
          <w:u w:val="single"/>
        </w:rPr>
      </w:pPr>
      <w:r>
        <w:rPr>
          <w:u w:val="single"/>
        </w:rPr>
        <w:t xml:space="preserve">Funding </w:t>
      </w:r>
    </w:p>
    <w:p w14:paraId="0EFBB5C1" w14:textId="77777777" w:rsidR="003C05E7" w:rsidRDefault="003C05E7" w:rsidP="003C05E7">
      <w:pPr>
        <w:spacing w:line="480" w:lineRule="auto"/>
      </w:pPr>
      <w:r w:rsidRPr="00BD7D21">
        <w:t xml:space="preserve">JJA </w:t>
      </w:r>
      <w:proofErr w:type="gramStart"/>
      <w:r w:rsidRPr="00BD7D21">
        <w:t>is funded</w:t>
      </w:r>
      <w:proofErr w:type="gramEnd"/>
      <w:r w:rsidRPr="00BD7D21">
        <w:t xml:space="preserve"> </w:t>
      </w:r>
      <w:r>
        <w:t xml:space="preserve">by an Action Medical Research training fellowship. </w:t>
      </w:r>
      <w:proofErr w:type="gramStart"/>
      <w:r>
        <w:t>EM, FB and HP are funded by the NIHR biomedical research centre Southampton</w:t>
      </w:r>
      <w:proofErr w:type="gramEnd"/>
      <w:r>
        <w:t xml:space="preserve">. </w:t>
      </w:r>
    </w:p>
    <w:p w14:paraId="697857AC" w14:textId="77777777" w:rsidR="003C05E7" w:rsidRDefault="003C05E7" w:rsidP="003C05E7">
      <w:pPr>
        <w:spacing w:line="480" w:lineRule="auto"/>
        <w:rPr>
          <w:u w:val="single"/>
        </w:rPr>
      </w:pPr>
      <w:r w:rsidRPr="006872CE">
        <w:rPr>
          <w:u w:val="single"/>
        </w:rPr>
        <w:t>Competing interests</w:t>
      </w:r>
    </w:p>
    <w:p w14:paraId="48C841EB" w14:textId="77777777" w:rsidR="003C05E7" w:rsidRPr="006872CE" w:rsidRDefault="003C05E7" w:rsidP="003C05E7">
      <w:pPr>
        <w:spacing w:line="480" w:lineRule="auto"/>
      </w:pPr>
      <w:r w:rsidRPr="006872CE">
        <w:t>There are no competing interests to declare</w:t>
      </w:r>
    </w:p>
    <w:p w14:paraId="18F8CE6C" w14:textId="77777777" w:rsidR="003C05E7" w:rsidRDefault="003C05E7" w:rsidP="006A0590">
      <w:pPr>
        <w:spacing w:line="480" w:lineRule="auto"/>
        <w:rPr>
          <w:u w:val="single"/>
        </w:rPr>
      </w:pPr>
    </w:p>
    <w:p w14:paraId="3ED52AEE" w14:textId="77777777" w:rsidR="003C05E7" w:rsidRDefault="003C05E7" w:rsidP="006A0590">
      <w:pPr>
        <w:spacing w:line="480" w:lineRule="auto"/>
        <w:rPr>
          <w:u w:val="single"/>
        </w:rPr>
      </w:pPr>
    </w:p>
    <w:p w14:paraId="3CD550F2" w14:textId="77777777" w:rsidR="003C05E7" w:rsidRDefault="003C05E7" w:rsidP="006A0590">
      <w:pPr>
        <w:spacing w:line="480" w:lineRule="auto"/>
        <w:rPr>
          <w:u w:val="single"/>
        </w:rPr>
      </w:pPr>
    </w:p>
    <w:p w14:paraId="32D019D5" w14:textId="77777777" w:rsidR="003C05E7" w:rsidRDefault="003C05E7" w:rsidP="006A0590">
      <w:pPr>
        <w:spacing w:line="480" w:lineRule="auto"/>
        <w:rPr>
          <w:u w:val="single"/>
        </w:rPr>
      </w:pPr>
    </w:p>
    <w:p w14:paraId="4F02016B" w14:textId="77777777" w:rsidR="003C05E7" w:rsidRDefault="003C05E7" w:rsidP="006A0590">
      <w:pPr>
        <w:spacing w:line="480" w:lineRule="auto"/>
        <w:rPr>
          <w:u w:val="single"/>
        </w:rPr>
      </w:pPr>
    </w:p>
    <w:p w14:paraId="037318E9" w14:textId="77777777" w:rsidR="003C05E7" w:rsidRDefault="003C05E7" w:rsidP="006A0590">
      <w:pPr>
        <w:spacing w:line="480" w:lineRule="auto"/>
        <w:rPr>
          <w:u w:val="single"/>
        </w:rPr>
      </w:pPr>
    </w:p>
    <w:p w14:paraId="2201BF48" w14:textId="77777777" w:rsidR="003C05E7" w:rsidRDefault="003C05E7" w:rsidP="006A0590">
      <w:pPr>
        <w:spacing w:line="480" w:lineRule="auto"/>
        <w:rPr>
          <w:u w:val="single"/>
        </w:rPr>
      </w:pPr>
    </w:p>
    <w:p w14:paraId="70FBD1B9" w14:textId="77777777" w:rsidR="003C05E7" w:rsidRDefault="003C05E7" w:rsidP="006A0590">
      <w:pPr>
        <w:spacing w:line="480" w:lineRule="auto"/>
        <w:rPr>
          <w:u w:val="single"/>
        </w:rPr>
      </w:pPr>
    </w:p>
    <w:p w14:paraId="11032BAC" w14:textId="77777777" w:rsidR="003C05E7" w:rsidRDefault="003C05E7" w:rsidP="006A0590">
      <w:pPr>
        <w:spacing w:line="480" w:lineRule="auto"/>
        <w:rPr>
          <w:u w:val="single"/>
        </w:rPr>
      </w:pPr>
    </w:p>
    <w:p w14:paraId="42EBC2B0" w14:textId="07A99D46" w:rsidR="00DE731C" w:rsidRDefault="00DE731C" w:rsidP="006A0590">
      <w:pPr>
        <w:spacing w:line="480" w:lineRule="auto"/>
        <w:rPr>
          <w:u w:val="single"/>
        </w:rPr>
      </w:pPr>
      <w:r>
        <w:rPr>
          <w:u w:val="single"/>
        </w:rPr>
        <w:lastRenderedPageBreak/>
        <w:t>Abstract</w:t>
      </w:r>
    </w:p>
    <w:p w14:paraId="6998A324" w14:textId="6BD81D89" w:rsidR="00676968" w:rsidRPr="00DE731C" w:rsidRDefault="00676968" w:rsidP="00676968">
      <w:pPr>
        <w:spacing w:line="480" w:lineRule="auto"/>
      </w:pPr>
      <w:r w:rsidRPr="00C61429">
        <w:rPr>
          <w:u w:val="single"/>
        </w:rPr>
        <w:t>Background</w:t>
      </w:r>
      <w:r w:rsidRPr="00DE731C">
        <w:t>-</w:t>
      </w:r>
      <w:r w:rsidR="006A2500">
        <w:t>A</w:t>
      </w:r>
      <w:r w:rsidR="00E36A52">
        <w:t>nti-</w:t>
      </w:r>
      <w:r w:rsidR="00F569ED">
        <w:t>tumour</w:t>
      </w:r>
      <w:r w:rsidR="00E36A52">
        <w:t xml:space="preserve"> </w:t>
      </w:r>
      <w:r w:rsidR="00F569ED">
        <w:t>necrosis</w:t>
      </w:r>
      <w:r w:rsidR="00E36A52">
        <w:t xml:space="preserve"> </w:t>
      </w:r>
      <w:r w:rsidR="00F569ED">
        <w:t>factor-</w:t>
      </w:r>
      <w:r w:rsidR="00F569ED">
        <w:rPr>
          <w:rFonts w:cstheme="minorHAnsi"/>
        </w:rPr>
        <w:t>α</w:t>
      </w:r>
      <w:r w:rsidR="00F569ED">
        <w:t xml:space="preserve"> (</w:t>
      </w:r>
      <w:r w:rsidR="006B2819">
        <w:t>anti-</w:t>
      </w:r>
      <w:r w:rsidR="00F569ED">
        <w:t>TNF)</w:t>
      </w:r>
      <w:r>
        <w:t xml:space="preserve"> therapy</w:t>
      </w:r>
      <w:r w:rsidR="006A2500">
        <w:t xml:space="preserve"> </w:t>
      </w:r>
      <w:r w:rsidR="003A7082">
        <w:t xml:space="preserve">use </w:t>
      </w:r>
      <w:r>
        <w:t xml:space="preserve">has </w:t>
      </w:r>
      <w:r w:rsidR="004D54D5">
        <w:t>risen</w:t>
      </w:r>
      <w:r w:rsidR="00F569ED">
        <w:t xml:space="preserve"> </w:t>
      </w:r>
      <w:r>
        <w:t>in paediatric</w:t>
      </w:r>
      <w:r w:rsidR="004D58C0">
        <w:t>-onset</w:t>
      </w:r>
      <w:r>
        <w:t xml:space="preserve"> in</w:t>
      </w:r>
      <w:r w:rsidR="00F569ED">
        <w:t>flammatory bowel disease (PIBD).</w:t>
      </w:r>
      <w:r>
        <w:t xml:space="preserve"> Whether this has translat</w:t>
      </w:r>
      <w:r w:rsidR="00771D20">
        <w:t xml:space="preserve">ed into </w:t>
      </w:r>
      <w:r>
        <w:t>prevent</w:t>
      </w:r>
      <w:r w:rsidR="00771D20">
        <w:t>ing</w:t>
      </w:r>
      <w:r w:rsidR="004D58C0">
        <w:t>/</w:t>
      </w:r>
      <w:r w:rsidR="00DF7C93">
        <w:t xml:space="preserve">delaying </w:t>
      </w:r>
      <w:r w:rsidR="000F7E12">
        <w:t xml:space="preserve">childhood </w:t>
      </w:r>
      <w:r>
        <w:t xml:space="preserve">surgery is uncertain. </w:t>
      </w:r>
      <w:r w:rsidR="00554AA2">
        <w:t>T</w:t>
      </w:r>
      <w:r>
        <w:t>he Wessex</w:t>
      </w:r>
      <w:r w:rsidR="003A7082">
        <w:t xml:space="preserve"> PIBD</w:t>
      </w:r>
      <w:r>
        <w:t xml:space="preserve"> cohort </w:t>
      </w:r>
      <w:r w:rsidR="00F569ED">
        <w:t xml:space="preserve">were analysed </w:t>
      </w:r>
      <w:r>
        <w:t xml:space="preserve">for trends </w:t>
      </w:r>
      <w:r w:rsidR="00554AA2">
        <w:t>in anti-TNF-therapy and surgery</w:t>
      </w:r>
      <w:r>
        <w:t>.</w:t>
      </w:r>
    </w:p>
    <w:p w14:paraId="1FB787AD" w14:textId="0FDC8D47" w:rsidR="00DE731C" w:rsidRPr="00DE731C" w:rsidRDefault="006345BF" w:rsidP="00331207">
      <w:pPr>
        <w:spacing w:line="480" w:lineRule="auto"/>
      </w:pPr>
      <w:r>
        <w:rPr>
          <w:u w:val="single"/>
        </w:rPr>
        <w:t>Design</w:t>
      </w:r>
      <w:r w:rsidR="00DE731C" w:rsidRPr="00DE731C">
        <w:t>-</w:t>
      </w:r>
      <w:r w:rsidR="0011170C">
        <w:t>All patients diagnosed with PIBD</w:t>
      </w:r>
      <w:r w:rsidR="00676968">
        <w:t xml:space="preserve"> </w:t>
      </w:r>
      <w:r w:rsidR="0011170C">
        <w:t xml:space="preserve">within Wessex from </w:t>
      </w:r>
      <w:r w:rsidR="00CA3066">
        <w:t>1997</w:t>
      </w:r>
      <w:r w:rsidR="0011170C">
        <w:t>-</w:t>
      </w:r>
      <w:r w:rsidR="00CA3066">
        <w:t>20</w:t>
      </w:r>
      <w:r w:rsidR="0011170C">
        <w:t xml:space="preserve">17 were </w:t>
      </w:r>
      <w:r w:rsidR="006F18E8">
        <w:t>assessed</w:t>
      </w:r>
      <w:r w:rsidR="0011170C">
        <w:t xml:space="preserve">. </w:t>
      </w:r>
      <w:r w:rsidR="00331207">
        <w:t>P</w:t>
      </w:r>
      <w:r w:rsidR="0011170C">
        <w:t>revalence of anti-TNF</w:t>
      </w:r>
      <w:r w:rsidR="004D54D5">
        <w:t>-therapy</w:t>
      </w:r>
      <w:r w:rsidR="0011170C">
        <w:t xml:space="preserve"> </w:t>
      </w:r>
      <w:r w:rsidR="00676968">
        <w:t xml:space="preserve">and yearly surgery rates (resection and perianal) </w:t>
      </w:r>
      <w:r w:rsidR="00E36A52">
        <w:t>during childhood (&lt;1</w:t>
      </w:r>
      <w:r w:rsidR="004C195C">
        <w:t xml:space="preserve">8 </w:t>
      </w:r>
      <w:r w:rsidR="006D5930">
        <w:t>years</w:t>
      </w:r>
      <w:r w:rsidR="00E36A52">
        <w:t>)</w:t>
      </w:r>
      <w:r w:rsidR="00331207">
        <w:t xml:space="preserve"> were analysed </w:t>
      </w:r>
      <w:r w:rsidR="006D5930">
        <w:t>(</w:t>
      </w:r>
      <w:r w:rsidR="004D54D5">
        <w:t>Pearson’s correlation, multivariate</w:t>
      </w:r>
      <w:r w:rsidR="00331207">
        <w:t xml:space="preserve"> </w:t>
      </w:r>
      <w:r w:rsidR="004D58C0">
        <w:t xml:space="preserve">regression, </w:t>
      </w:r>
      <w:r w:rsidR="00331207">
        <w:t>Fisher’s exact</w:t>
      </w:r>
      <w:r w:rsidR="006D5930">
        <w:t>)</w:t>
      </w:r>
      <w:r w:rsidR="00331207">
        <w:t>.</w:t>
      </w:r>
    </w:p>
    <w:p w14:paraId="5EDCCB64" w14:textId="40DFA5E1" w:rsidR="004C195C" w:rsidRDefault="00DE731C" w:rsidP="006A0590">
      <w:pPr>
        <w:spacing w:line="480" w:lineRule="auto"/>
      </w:pPr>
      <w:r w:rsidRPr="00C61429">
        <w:rPr>
          <w:u w:val="single"/>
        </w:rPr>
        <w:t>Results</w:t>
      </w:r>
      <w:r w:rsidRPr="00DE731C">
        <w:t>-</w:t>
      </w:r>
      <w:r w:rsidR="00CA3066" w:rsidRPr="00CA3066">
        <w:t xml:space="preserve"> </w:t>
      </w:r>
      <w:r w:rsidR="00CA3066">
        <w:t>Eight-hundred-and-twenty-five children were included (498 Crohn’s disease, 272 ulcerative colitis, 55 IBD</w:t>
      </w:r>
      <w:r w:rsidR="00973D7A">
        <w:t>-unclassified</w:t>
      </w:r>
      <w:r w:rsidR="00CA3066">
        <w:t xml:space="preserve">), </w:t>
      </w:r>
      <w:r w:rsidR="0070615F">
        <w:t>mean</w:t>
      </w:r>
      <w:r w:rsidR="00CA3066">
        <w:t xml:space="preserve"> ag</w:t>
      </w:r>
      <w:r w:rsidR="00D82A9E">
        <w:t>e at diagnosis 13.6</w:t>
      </w:r>
      <w:r w:rsidR="006F18E8">
        <w:t xml:space="preserve"> years (1.6-17.6</w:t>
      </w:r>
      <w:r w:rsidR="00973D7A">
        <w:t>), 39.6%</w:t>
      </w:r>
      <w:r w:rsidR="00CA3066">
        <w:t xml:space="preserve"> female.</w:t>
      </w:r>
      <w:r w:rsidR="008843D0">
        <w:t xml:space="preserve"> </w:t>
      </w:r>
      <w:r w:rsidR="00554AA2">
        <w:t>P</w:t>
      </w:r>
      <w:r w:rsidR="00676968">
        <w:t xml:space="preserve">revalence of </w:t>
      </w:r>
      <w:r w:rsidR="00554AA2">
        <w:t>anti-TNF-</w:t>
      </w:r>
      <w:r w:rsidR="006A2500">
        <w:t>treated patients</w:t>
      </w:r>
      <w:r w:rsidR="00676968">
        <w:t xml:space="preserve"> increased</w:t>
      </w:r>
      <w:r w:rsidR="006F18E8">
        <w:t xml:space="preserve"> from 5.1% to 27.1</w:t>
      </w:r>
      <w:r w:rsidR="00771D20">
        <w:t>%</w:t>
      </w:r>
      <w:r w:rsidR="00FA10B7">
        <w:t xml:space="preserve"> (2007-</w:t>
      </w:r>
      <w:r w:rsidR="00554AA2">
        <w:t>20</w:t>
      </w:r>
      <w:r w:rsidR="00FA10B7">
        <w:t>17)</w:t>
      </w:r>
      <w:r w:rsidR="00771D20">
        <w:t xml:space="preserve">, p=0.0001. </w:t>
      </w:r>
      <w:r w:rsidR="00AE2EEA">
        <w:t>Surgical resection-</w:t>
      </w:r>
      <w:r w:rsidR="00F569ED">
        <w:t>rate</w:t>
      </w:r>
      <w:r w:rsidR="006F18E8">
        <w:t xml:space="preserve"> fell (7.1% to 1.5</w:t>
      </w:r>
      <w:r w:rsidR="00FA10B7">
        <w:t>%, p=0.001</w:t>
      </w:r>
      <w:r w:rsidR="00C61429">
        <w:t xml:space="preserve">), driven by a decrease in </w:t>
      </w:r>
      <w:r w:rsidR="00554AA2">
        <w:t xml:space="preserve">Crohn’s disease </w:t>
      </w:r>
      <w:r w:rsidR="00C61429">
        <w:t xml:space="preserve">resections (8.9% to 2.3%, </w:t>
      </w:r>
      <w:r w:rsidR="00C61429" w:rsidRPr="0009433C">
        <w:t>p=0.001</w:t>
      </w:r>
      <w:r w:rsidR="00C61429">
        <w:t xml:space="preserve">). </w:t>
      </w:r>
      <w:r w:rsidR="004D54D5">
        <w:t xml:space="preserve">Perianal </w:t>
      </w:r>
      <w:r w:rsidR="006A2500">
        <w:t>surgery a</w:t>
      </w:r>
      <w:r w:rsidR="00AE2EEA">
        <w:t>nd ulcerative colitis resection-</w:t>
      </w:r>
      <w:r w:rsidR="004D54D5">
        <w:t>rate</w:t>
      </w:r>
      <w:r w:rsidR="006A2500">
        <w:t>s</w:t>
      </w:r>
      <w:r w:rsidR="004D54D5">
        <w:t xml:space="preserve"> </w:t>
      </w:r>
      <w:r w:rsidR="006A2500">
        <w:t>were</w:t>
      </w:r>
      <w:r w:rsidR="004D54D5">
        <w:t xml:space="preserve"> unchanged. </w:t>
      </w:r>
      <w:r w:rsidR="00554AA2">
        <w:t>T</w:t>
      </w:r>
      <w:r w:rsidR="00C61429">
        <w:t xml:space="preserve">ime </w:t>
      </w:r>
      <w:r w:rsidR="00442387">
        <w:t xml:space="preserve">from diagnosis </w:t>
      </w:r>
      <w:r w:rsidR="00C61429">
        <w:t xml:space="preserve">to resection increased </w:t>
      </w:r>
      <w:r w:rsidR="00554AA2">
        <w:t>(</w:t>
      </w:r>
      <w:r w:rsidR="006F18E8">
        <w:t>1.6</w:t>
      </w:r>
      <w:r w:rsidR="00DE272D">
        <w:t xml:space="preserve"> to 2.8</w:t>
      </w:r>
      <w:r w:rsidR="006F18E8">
        <w:t xml:space="preserve"> y</w:t>
      </w:r>
      <w:r w:rsidR="003F2B24">
        <w:t xml:space="preserve">ears, </w:t>
      </w:r>
      <w:r w:rsidR="00DE272D">
        <w:t>p=0.0</w:t>
      </w:r>
      <w:r w:rsidR="00BD2B34">
        <w:t>2</w:t>
      </w:r>
      <w:r w:rsidR="00DE272D">
        <w:t>8</w:t>
      </w:r>
      <w:r w:rsidR="00554AA2">
        <w:t>)</w:t>
      </w:r>
      <w:r w:rsidR="00F14147">
        <w:t xml:space="preserve"> but</w:t>
      </w:r>
      <w:r w:rsidR="006A2500">
        <w:t xml:space="preserve"> m</w:t>
      </w:r>
      <w:r w:rsidR="0070615F">
        <w:t>e</w:t>
      </w:r>
      <w:r w:rsidR="00554AA2">
        <w:t>an age</w:t>
      </w:r>
      <w:r w:rsidR="00AA5C7C">
        <w:t xml:space="preserve"> at</w:t>
      </w:r>
      <w:r w:rsidR="00554AA2">
        <w:t xml:space="preserve"> </w:t>
      </w:r>
      <w:r w:rsidR="00AA5C7C">
        <w:t xml:space="preserve">resection </w:t>
      </w:r>
      <w:r w:rsidR="0066162C">
        <w:t>was unchanged. P</w:t>
      </w:r>
      <w:r w:rsidR="0070615F">
        <w:t xml:space="preserve">atients undergoing </w:t>
      </w:r>
      <w:r w:rsidR="005B7CF8">
        <w:t>resections</w:t>
      </w:r>
      <w:r w:rsidR="0070615F">
        <w:t xml:space="preserve"> during childhood </w:t>
      </w:r>
      <w:r w:rsidR="0066162C">
        <w:t>were</w:t>
      </w:r>
      <w:r w:rsidR="0070615F">
        <w:t xml:space="preserve"> </w:t>
      </w:r>
      <w:r w:rsidR="00554AA2">
        <w:t xml:space="preserve">diagnosed </w:t>
      </w:r>
      <w:r w:rsidR="007E3D56">
        <w:t>at a younger age</w:t>
      </w:r>
      <w:r w:rsidR="0066162C">
        <w:t xml:space="preserve"> in the most recent five years</w:t>
      </w:r>
      <w:r w:rsidR="0070615F" w:rsidRPr="0070615F">
        <w:t xml:space="preserve"> </w:t>
      </w:r>
      <w:r w:rsidR="005B7CF8">
        <w:t>(2007-2011=</w:t>
      </w:r>
      <w:r w:rsidR="006F18E8">
        <w:t>13.1 years, 2013-2017=11.</w:t>
      </w:r>
      <w:r w:rsidR="00B31571">
        <w:t>9</w:t>
      </w:r>
      <w:r w:rsidR="0070615F">
        <w:t xml:space="preserve"> years, p=0.014). </w:t>
      </w:r>
    </w:p>
    <w:p w14:paraId="5773A979" w14:textId="361319A2" w:rsidR="004C195C" w:rsidRDefault="00E51114" w:rsidP="006A0590">
      <w:pPr>
        <w:spacing w:line="480" w:lineRule="auto"/>
      </w:pPr>
      <w:r>
        <w:t>Resection</w:t>
      </w:r>
      <w:r w:rsidR="00AE2EEA">
        <w:t>-</w:t>
      </w:r>
      <w:r w:rsidR="00DF7C93">
        <w:t xml:space="preserve">rate </w:t>
      </w:r>
      <w:r w:rsidR="004C195C">
        <w:t xml:space="preserve">in </w:t>
      </w:r>
      <w:r w:rsidR="004D54D5">
        <w:t xml:space="preserve">anti-TNF-therapy </w:t>
      </w:r>
      <w:r w:rsidR="004C195C">
        <w:t>treated (16.1%) or untreated (12.2</w:t>
      </w:r>
      <w:r w:rsidR="00554AA2">
        <w:t xml:space="preserve">%) </w:t>
      </w:r>
      <w:r w:rsidR="004C195C">
        <w:t xml:space="preserve">was no different (p=0.25). </w:t>
      </w:r>
      <w:r w:rsidR="004D54D5">
        <w:t>P</w:t>
      </w:r>
      <w:r w:rsidR="004C195C">
        <w:t xml:space="preserve">atients started on </w:t>
      </w:r>
      <w:r w:rsidR="00554AA2">
        <w:t>anti-TNF-</w:t>
      </w:r>
      <w:r w:rsidR="0070615F">
        <w:t xml:space="preserve">therapy </w:t>
      </w:r>
      <w:r w:rsidR="00F00447">
        <w:t>&lt;3 years post-</w:t>
      </w:r>
      <w:r w:rsidR="00554AA2">
        <w:t>diagnosis</w:t>
      </w:r>
      <w:r w:rsidR="004C195C">
        <w:t xml:space="preserve"> </w:t>
      </w:r>
      <w:r w:rsidR="006A2500">
        <w:t xml:space="preserve">(11.6%) </w:t>
      </w:r>
      <w:r w:rsidR="004C195C">
        <w:t>vs late</w:t>
      </w:r>
      <w:r w:rsidR="00554AA2">
        <w:t>r</w:t>
      </w:r>
      <w:r w:rsidR="004C195C">
        <w:t xml:space="preserve"> </w:t>
      </w:r>
      <w:r w:rsidR="006A2500">
        <w:t>(28.6%) had a</w:t>
      </w:r>
      <w:r w:rsidR="004C195C">
        <w:t xml:space="preserve"> reduction in resection</w:t>
      </w:r>
      <w:r w:rsidR="00554AA2">
        <w:t>s</w:t>
      </w:r>
      <w:r w:rsidR="004C195C">
        <w:t xml:space="preserve">, p=0.047. </w:t>
      </w:r>
      <w:r w:rsidR="004D54D5">
        <w:t>A</w:t>
      </w:r>
      <w:r w:rsidR="004C195C">
        <w:t>nti-TNF</w:t>
      </w:r>
      <w:r w:rsidR="004D54D5">
        <w:t>-therapy</w:t>
      </w:r>
      <w:r w:rsidR="004C195C">
        <w:t xml:space="preserve"> prevalence </w:t>
      </w:r>
      <w:r w:rsidR="006A2500">
        <w:t>w</w:t>
      </w:r>
      <w:r w:rsidR="004C195C">
        <w:t>as the only sig</w:t>
      </w:r>
      <w:r w:rsidR="00AE2EEA">
        <w:t>nificant predictor of resection-</w:t>
      </w:r>
      <w:r w:rsidR="004C195C">
        <w:t>rate</w:t>
      </w:r>
      <w:r w:rsidR="004D54D5">
        <w:t xml:space="preserve"> </w:t>
      </w:r>
      <w:r w:rsidR="00A4644C">
        <w:t>using</w:t>
      </w:r>
      <w:r w:rsidR="004D54D5">
        <w:t xml:space="preserve"> multivariate regression </w:t>
      </w:r>
      <w:r w:rsidR="004C195C">
        <w:t>(p=0.011).</w:t>
      </w:r>
    </w:p>
    <w:p w14:paraId="0B396140" w14:textId="41AF2386" w:rsidR="00DE731C" w:rsidRDefault="006345BF" w:rsidP="006A0590">
      <w:pPr>
        <w:spacing w:line="480" w:lineRule="auto"/>
      </w:pPr>
      <w:r>
        <w:rPr>
          <w:u w:val="single"/>
        </w:rPr>
        <w:t>Conclusion</w:t>
      </w:r>
      <w:r w:rsidR="00DE731C" w:rsidRPr="00DE731C">
        <w:t>-</w:t>
      </w:r>
      <w:r w:rsidR="00E51114">
        <w:t>The</w:t>
      </w:r>
      <w:r w:rsidR="00554AA2">
        <w:t xml:space="preserve"> prevalence of anti-TNF-</w:t>
      </w:r>
      <w:r w:rsidR="00676968">
        <w:t xml:space="preserve">therapy </w:t>
      </w:r>
      <w:r w:rsidR="00DF7C93">
        <w:t>increased significantly</w:t>
      </w:r>
      <w:r w:rsidR="000C7E8B">
        <w:t>,</w:t>
      </w:r>
      <w:r w:rsidR="00E51114">
        <w:t xml:space="preserve"> </w:t>
      </w:r>
      <w:r w:rsidR="00E36A52">
        <w:t>alongside</w:t>
      </w:r>
      <w:r w:rsidR="00676968">
        <w:t xml:space="preserve"> a </w:t>
      </w:r>
      <w:r w:rsidR="00AE2EEA">
        <w:t>decrease in surgical resection-</w:t>
      </w:r>
      <w:r w:rsidR="00DE731C">
        <w:t xml:space="preserve">rate. </w:t>
      </w:r>
      <w:r w:rsidR="0070615F">
        <w:t>Patients diagnosed at younger ages still under</w:t>
      </w:r>
      <w:r w:rsidR="00E51114">
        <w:t xml:space="preserve">went </w:t>
      </w:r>
      <w:r w:rsidR="0070615F">
        <w:t xml:space="preserve">surgery during childhood. </w:t>
      </w:r>
      <w:r w:rsidR="004D54D5">
        <w:t>A</w:t>
      </w:r>
      <w:r w:rsidR="00554AA2">
        <w:t>nti-TNF-</w:t>
      </w:r>
      <w:r w:rsidR="00DE731C">
        <w:t xml:space="preserve">therapy </w:t>
      </w:r>
      <w:r w:rsidR="00270BD5">
        <w:t xml:space="preserve">may </w:t>
      </w:r>
      <w:r w:rsidR="00B84694">
        <w:t>reduce</w:t>
      </w:r>
      <w:r w:rsidR="00270BD5">
        <w:t xml:space="preserve"> the need for surgical intervention</w:t>
      </w:r>
      <w:r w:rsidR="0070615F">
        <w:t xml:space="preserve"> in childhood</w:t>
      </w:r>
      <w:r w:rsidR="0062618A">
        <w:t xml:space="preserve">, thereby </w:t>
      </w:r>
      <w:r w:rsidR="00ED3C98">
        <w:t>influencing</w:t>
      </w:r>
      <w:r w:rsidR="00DF7C93">
        <w:t xml:space="preserve"> the natural history of </w:t>
      </w:r>
      <w:r w:rsidR="0062618A">
        <w:t>PIBD</w:t>
      </w:r>
      <w:r w:rsidR="00771D20">
        <w:t>.</w:t>
      </w:r>
    </w:p>
    <w:p w14:paraId="76F2B4CD" w14:textId="6DC5EC65" w:rsidR="003C05E7" w:rsidRDefault="003C05E7" w:rsidP="006A0590">
      <w:pPr>
        <w:spacing w:line="480" w:lineRule="auto"/>
      </w:pPr>
      <w:r>
        <w:lastRenderedPageBreak/>
        <w:t xml:space="preserve">Keyword: Anti-TNF; Surgery, IBD; Crohn’s disease; ulcerative colitis, paediatric </w:t>
      </w:r>
    </w:p>
    <w:p w14:paraId="5D0ACA36" w14:textId="01FC6CA3" w:rsidR="003C05E7" w:rsidRDefault="003C05E7" w:rsidP="006A0590">
      <w:pPr>
        <w:spacing w:line="480" w:lineRule="auto"/>
      </w:pPr>
    </w:p>
    <w:p w14:paraId="4BE055B9" w14:textId="78457000" w:rsidR="003C05E7" w:rsidRDefault="003C05E7" w:rsidP="006A0590">
      <w:pPr>
        <w:spacing w:line="480" w:lineRule="auto"/>
      </w:pPr>
    </w:p>
    <w:p w14:paraId="1AE6A005" w14:textId="1C95A893" w:rsidR="003C05E7" w:rsidRDefault="003C05E7" w:rsidP="006A0590">
      <w:pPr>
        <w:spacing w:line="480" w:lineRule="auto"/>
      </w:pPr>
    </w:p>
    <w:p w14:paraId="3470D131" w14:textId="67160AB5" w:rsidR="003C05E7" w:rsidRDefault="003C05E7" w:rsidP="006A0590">
      <w:pPr>
        <w:spacing w:line="480" w:lineRule="auto"/>
      </w:pPr>
    </w:p>
    <w:p w14:paraId="53A5ADA6" w14:textId="1603A8BA" w:rsidR="003C05E7" w:rsidRDefault="003C05E7" w:rsidP="006A0590">
      <w:pPr>
        <w:spacing w:line="480" w:lineRule="auto"/>
      </w:pPr>
    </w:p>
    <w:p w14:paraId="256C9EDF" w14:textId="5317866F" w:rsidR="003C05E7" w:rsidRDefault="003C05E7" w:rsidP="006A0590">
      <w:pPr>
        <w:spacing w:line="480" w:lineRule="auto"/>
      </w:pPr>
    </w:p>
    <w:p w14:paraId="488D3DB8" w14:textId="6D859D2C" w:rsidR="003C05E7" w:rsidRDefault="003C05E7" w:rsidP="006A0590">
      <w:pPr>
        <w:spacing w:line="480" w:lineRule="auto"/>
      </w:pPr>
    </w:p>
    <w:p w14:paraId="39EB9F50" w14:textId="1F4BA37F" w:rsidR="003C05E7" w:rsidRDefault="003C05E7" w:rsidP="006A0590">
      <w:pPr>
        <w:spacing w:line="480" w:lineRule="auto"/>
      </w:pPr>
    </w:p>
    <w:p w14:paraId="33CBF40A" w14:textId="325DE040" w:rsidR="003C05E7" w:rsidRDefault="003C05E7" w:rsidP="006A0590">
      <w:pPr>
        <w:spacing w:line="480" w:lineRule="auto"/>
      </w:pPr>
    </w:p>
    <w:p w14:paraId="5670CF11" w14:textId="40C49485" w:rsidR="003C05E7" w:rsidRDefault="003C05E7" w:rsidP="006A0590">
      <w:pPr>
        <w:spacing w:line="480" w:lineRule="auto"/>
      </w:pPr>
    </w:p>
    <w:p w14:paraId="508287E2" w14:textId="3AA3D393" w:rsidR="003C05E7" w:rsidRDefault="003C05E7" w:rsidP="006A0590">
      <w:pPr>
        <w:spacing w:line="480" w:lineRule="auto"/>
      </w:pPr>
    </w:p>
    <w:p w14:paraId="39F88C83" w14:textId="0F335CD4" w:rsidR="003C05E7" w:rsidRDefault="003C05E7" w:rsidP="006A0590">
      <w:pPr>
        <w:spacing w:line="480" w:lineRule="auto"/>
      </w:pPr>
    </w:p>
    <w:p w14:paraId="407CDF52" w14:textId="1190305F" w:rsidR="003C05E7" w:rsidRDefault="003C05E7" w:rsidP="006A0590">
      <w:pPr>
        <w:spacing w:line="480" w:lineRule="auto"/>
      </w:pPr>
    </w:p>
    <w:p w14:paraId="639C6F59" w14:textId="03688413" w:rsidR="003C05E7" w:rsidRDefault="003C05E7" w:rsidP="006A0590">
      <w:pPr>
        <w:spacing w:line="480" w:lineRule="auto"/>
      </w:pPr>
    </w:p>
    <w:p w14:paraId="5B9F7F1A" w14:textId="10DBFD1D" w:rsidR="003C05E7" w:rsidRDefault="003C05E7" w:rsidP="006A0590">
      <w:pPr>
        <w:spacing w:line="480" w:lineRule="auto"/>
      </w:pPr>
    </w:p>
    <w:p w14:paraId="6289EDE4" w14:textId="6078320C" w:rsidR="003C05E7" w:rsidRDefault="003C05E7" w:rsidP="006A0590">
      <w:pPr>
        <w:spacing w:line="480" w:lineRule="auto"/>
      </w:pPr>
    </w:p>
    <w:p w14:paraId="7E24D79D" w14:textId="66709965" w:rsidR="003C05E7" w:rsidRDefault="003C05E7" w:rsidP="006A0590">
      <w:pPr>
        <w:spacing w:line="480" w:lineRule="auto"/>
      </w:pPr>
    </w:p>
    <w:p w14:paraId="08B99F2C" w14:textId="541C088A" w:rsidR="003C05E7" w:rsidRDefault="003C05E7" w:rsidP="006A0590">
      <w:pPr>
        <w:spacing w:line="480" w:lineRule="auto"/>
      </w:pPr>
    </w:p>
    <w:p w14:paraId="528080C1" w14:textId="77777777" w:rsidR="003C05E7" w:rsidRDefault="003C05E7" w:rsidP="006A0590">
      <w:pPr>
        <w:spacing w:line="480" w:lineRule="auto"/>
      </w:pPr>
    </w:p>
    <w:p w14:paraId="58809FA5" w14:textId="77777777" w:rsidR="006A0590" w:rsidRPr="006A0590" w:rsidRDefault="006A0590" w:rsidP="006345BF">
      <w:pPr>
        <w:spacing w:line="480" w:lineRule="auto"/>
        <w:rPr>
          <w:u w:val="single"/>
        </w:rPr>
      </w:pPr>
      <w:r w:rsidRPr="006A0590">
        <w:rPr>
          <w:u w:val="single"/>
        </w:rPr>
        <w:lastRenderedPageBreak/>
        <w:t xml:space="preserve">Introduction </w:t>
      </w:r>
    </w:p>
    <w:p w14:paraId="597974E6" w14:textId="3558FEF3" w:rsidR="00080D2D" w:rsidRDefault="006A0590" w:rsidP="006A0590">
      <w:pPr>
        <w:spacing w:line="480" w:lineRule="auto"/>
        <w:rPr>
          <w:rFonts w:cstheme="minorHAnsi"/>
        </w:rPr>
      </w:pPr>
      <w:r>
        <w:t>The treatment of inflammatory bowel disease (IBD) in children has been revolutionised by the use of anti-tumour necrosis factor-</w:t>
      </w:r>
      <w:r>
        <w:rPr>
          <w:rFonts w:cstheme="minorHAnsi"/>
        </w:rPr>
        <w:t xml:space="preserve">α (anti-TNF) monoclonal antibody therapy </w:t>
      </w:r>
      <w:r w:rsidR="00FC1835">
        <w:rPr>
          <w:rFonts w:cstheme="minorHAnsi"/>
        </w:rPr>
        <w:fldChar w:fldCharType="begin" w:fldLock="1"/>
      </w:r>
      <w:r w:rsidR="00F5598F">
        <w:rPr>
          <w:rFonts w:cstheme="minorHAnsi"/>
        </w:rPr>
        <w:instrText>ADDIN CSL_CITATION { "citationItems" : [ { "id" : "ITEM-1", "itemData" : { "DOI" : "10.1136/BMJ.J2083", "ISSN" : "1756-1833", "PMID" : "28566467", "abstract" : "Inflammatory bowel diseases (IBD), including Crohn's disease and ulcerative colitis, are lifelong conditions that often begin in childhood. The implications of IBD are of particular importance in children because of the potential negative effects on growth, development, psychosocial function, and overall wellbeing. The key management strategy is to achieve sustained control of intestinal inflammation and monitor for potential complications of the disease and side effects of therapies. Overall, the evidence on the management of IBD in children is less extensive than in adults, but good quality multicenter studies and various guidelines and society consensus statements are available. This review summarizes the evidence on the pathophysiology, diagnosis, and approaches to management of children and adolescents with IBD.", "author" : [ { "dropping-particle" : "", "family" : "Oliveira", "given" : "Stephanie B", "non-dropping-particle" : "", "parse-names" : false, "suffix" : "" }, { "dropping-particle" : "", "family" : "Monteiro", "given" : "Iona M", "non-dropping-particle" : "", "parse-names" : false, "suffix" : "" } ], "container-title" : "BMJ (Clinical research ed.)", "id" : "ITEM-1", "issued" : { "date-parts" : [ [ "2017", "5", "31" ] ] }, "page" : "j2083", "publisher" : "British Medical Journal Publishing Group", "title" : "Diagnosis and management of inflammatory bowel disease in children.", "type" : "article-journal", "volume" : "357" }, "uris" : [ "http://www.mendeley.com/documents/?uuid=93fbb466-bef4-37c5-8018-d2a7858db425" ] } ], "mendeley" : { "formattedCitation" : "[1]", "plainTextFormattedCitation" : "[1]", "previouslyFormattedCitation" : "[1]" }, "properties" : { "noteIndex" : 0 }, "schema" : "https://github.com/citation-style-language/schema/raw/master/csl-citation.json" }</w:instrText>
      </w:r>
      <w:r w:rsidR="00FC1835">
        <w:rPr>
          <w:rFonts w:cstheme="minorHAnsi"/>
        </w:rPr>
        <w:fldChar w:fldCharType="separate"/>
      </w:r>
      <w:r w:rsidR="00DE731C" w:rsidRPr="00DE731C">
        <w:rPr>
          <w:rFonts w:cstheme="minorHAnsi"/>
          <w:noProof/>
        </w:rPr>
        <w:t>[1]</w:t>
      </w:r>
      <w:r w:rsidR="00FC1835">
        <w:rPr>
          <w:rFonts w:cstheme="minorHAnsi"/>
        </w:rPr>
        <w:fldChar w:fldCharType="end"/>
      </w:r>
      <w:r>
        <w:rPr>
          <w:rFonts w:cstheme="minorHAnsi"/>
        </w:rPr>
        <w:t>. There has been a rapid increase in the use of anti-TNF medi</w:t>
      </w:r>
      <w:r w:rsidR="00F14497">
        <w:rPr>
          <w:rFonts w:cstheme="minorHAnsi"/>
        </w:rPr>
        <w:t xml:space="preserve">cations over the last 15 years (since initial adult licencing in 2003), </w:t>
      </w:r>
      <w:r>
        <w:rPr>
          <w:rFonts w:cstheme="minorHAnsi"/>
        </w:rPr>
        <w:t xml:space="preserve">with </w:t>
      </w:r>
      <w:r w:rsidR="00080D2D">
        <w:rPr>
          <w:rFonts w:cstheme="minorHAnsi"/>
        </w:rPr>
        <w:t xml:space="preserve">symptomatic control, </w:t>
      </w:r>
      <w:r w:rsidR="00687F0A">
        <w:rPr>
          <w:rFonts w:cstheme="minorHAnsi"/>
        </w:rPr>
        <w:t>intestinal</w:t>
      </w:r>
      <w:r>
        <w:rPr>
          <w:rFonts w:cstheme="minorHAnsi"/>
        </w:rPr>
        <w:t xml:space="preserve"> healing</w:t>
      </w:r>
      <w:r w:rsidR="00FC1835">
        <w:rPr>
          <w:rFonts w:cstheme="minorHAnsi"/>
        </w:rPr>
        <w:t xml:space="preserve"> and </w:t>
      </w:r>
      <w:r w:rsidR="00DC205D">
        <w:rPr>
          <w:rFonts w:cstheme="minorHAnsi"/>
        </w:rPr>
        <w:t>a reasonable safety profile</w:t>
      </w:r>
      <w:r w:rsidR="00FC1835">
        <w:rPr>
          <w:rFonts w:cstheme="minorHAnsi"/>
        </w:rPr>
        <w:t xml:space="preserve"> </w:t>
      </w:r>
      <w:r w:rsidR="00FC1835">
        <w:rPr>
          <w:rFonts w:cstheme="minorHAnsi"/>
        </w:rPr>
        <w:fldChar w:fldCharType="begin" w:fldLock="1"/>
      </w:r>
      <w:r w:rsidR="00F5598F">
        <w:rPr>
          <w:rFonts w:cstheme="minorHAnsi"/>
        </w:rPr>
        <w:instrText>ADDIN CSL_CITATION { "citationItems" : [ { "id" : "ITEM-1", "itemData" : { "DOI" : "10.1097/MPG.0b013e31828f1ea2", "ISSN" : "0277-2116", "PMID" : "23459317", "abstract" : "OBJECTIVES Infliximab is used increasingly to treat inflammatory bowel disease (IBD). Infliximab is supplied in 100-mg vials. Doses that are typically calculated as 5 mg \u00b7 kg\u207b\u00b9 \u00b7 dose\u207b\u00b9 are commonly rounded up or down to the nearest 100 mg. Variation in dosing practices is unknown. Underdosing based on weight may increase the risk for disease exacerbation, whereas overimmune suppression could increase the risk of infection. Children may be at greater risk from dosage rounding. We aimed to characterize infliximab dosing practices, the use of corticosteroid premedication, and duration of infusions among pediatric practitioners participating in the ImproveCareNow Network, a national collaboration to improve IBD care and outcomes. METHODS A national survey of infliximab dosing practices was sent to 279 pediatric IBD practitioners from March to December 2011. Double data reconciliation, t test, and \u03c7\u00b2 analyses were performed. RESULTS The response rate was 74% (N = 207). Thirty-eight percent (78/207) indicated that their practice has no uniform approach to the rounding of doses. Of 114 respondents indicating a uniform approach to rounding doses, 43% always round up to the nearest 100 mg, 33% always round up or down to the nearest 100 mg, and 14% never round doses. In addition, 28% of respondents always premedicate with corticosteroids and 12% never premedicate. Of respondents indicating \"it depends,\" 95% premedicate if there has been a previous infusion reaction, 46% if there has been a prolonged lapse between treatment doses, 40% if antibodies to infliximab are present, and 11% if giving infliximab monotherapy. The duration of infusions is most often 2 hours, but varies between 1 and 4 hours. CONCLUSIONS Wide variation exists in the practice of infliximab administration in pediatric IBD. The effect of these variations on outcomes is unknown.", "author" : [ { "dropping-particle" : "", "family" : "Adler", "given" : "Jeremy", "non-dropping-particle" : "", "parse-names" : false, "suffix" : "" }, { "dropping-particle" : "", "family" : "Sandberg", "given" : "Kelly C.", "non-dropping-particle" : "", "parse-names" : false, "suffix" : "" }, { "dropping-particle" : "", "family" : "Shpeen", "given" : "Benjamin H.", "non-dropping-particle" : "", "parse-names" : false, "suffix" : "" }, { "dropping-particle" : "", "family" : "Eder", "given" : "Sally J.", "non-dropping-particle" : "", "parse-names" : false, "suffix" : "" }, { "dropping-particle" : "", "family" : "Dhanani", "given" : "Muhammad", "non-dropping-particle" : "", "parse-names" : false, "suffix" : "" }, { "dropping-particle" : "", "family" : "Clark", "given" : "Sarah J.", "non-dropping-particle" : "", "parse-names" : false, "suffix" : "" }, { "dropping-particle" : "", "family" : "Freed", "given" : "Gary L.", "non-dropping-particle" : "", "parse-names" : false, "suffix" : "" } ], "container-title" : "Journal of Pediatric Gastroenterology and Nutrition", "id" : "ITEM-1", "issue" : "1", "issued" : { "date-parts" : [ [ "2013", "7" ] ] }, "page" : "35-38", "title" : "Variation in Infliximab Administration Practices in the Treatment of Pediatric Inflammatory Bowel Disease", "type" : "article-journal", "volume" : "57" }, "uris" : [ "http://www.mendeley.com/documents/?uuid=0ebed747-6b04-34a7-bc23-a531a9295ddc" ] }, { "id" : "ITEM-2", "itemData" : { "DOI" : "10.1053/j.gastro.2017.02.004", "ISSN" : "1528-0012", "author" : [ { "dropping-particle" : "", "family" : "Hyams", "given" : "J S", "non-dropping-particle" : "", "parse-names" : false, "suffix" : "" }, { "dropping-particle" : "", "family" : "Dubinsky", "given" : "M C", "non-dropping-particle" : "", "parse-names" : false, "suffix" : "" }, { "dropping-particle" : "", "family" : "Baldassano", "given" : "R N", "non-dropping-particle" : "", "parse-names" : false, "suffix" : "" }, { "dropping-particle" : "", "family" : "Colletti", "given" : "R B", "non-dropping-particle" : "", "parse-names" : false, "suffix" : "" }, { "dropping-particle" : "", "family" : "Cucchiara", "given" : "S", "non-dropping-particle" : "", "parse-names" : false, "suffix" : "" }, { "dropping-particle" : "", "family" : "Escher", "given" : "J", "non-dropping-particle" : "", "parse-names" : false, "suffix" : "" }, { "dropping-particle" : "", "family" : "Faubion", "given" : "W", "non-dropping-particle" : "", "parse-names" : false, "suffix" : "" }, { "dropping-particle" : "", "family" : "Fell", "given" : "J", "non-dropping-particle" : "", "parse-names" : false, "suffix" : "" }, { "dropping-particle" : "", "family" : "Gold", "given" : "B D", "non-dropping-particle" : "", "parse-names" : false, "suffix" : "" }, { "dropping-particle" : "", "family" : "Griffiths", "given" : "A", "non-dropping-particle" : "", "parse-names" : false, "suffix" : "" }, { "dropping-particle" : "", "family" : "Koletzko", "given" : "S", "non-dropping-particle" : "", "parse-names" : false, "suffix" : "" }, { "dropping-particle" : "", "family" : "Kugathasan", "given" : "S", "non-dropping-particle" : "", "parse-names" : false, "suffix" : "" }, { "dropping-particle" : "", "family" : "Markowitz", "given" : "J", "non-dropping-particle" : "", "parse-names" : false, "suffix" : "" }, { "dropping-particle" : "", "family" : "Ruemmele", "given" : "F M", "non-dropping-particle" : "", "parse-names" : false, "suffix" : "" }, { "dropping-particle" : "", "family" : "Veereman", "given" : "G", "non-dropping-particle" : "", "parse-names" : false, "suffix" : "" }, { "dropping-particle" : "", "family" : "Winter", "given" : "H", "non-dropping-particle" : "", "parse-names" : false, "suffix" : "" }, { "dropping-particle" : "", "family" : "Masel", "given" : "N", "non-dropping-particle" : "", "parse-names" : false, "suffix" : "" }, { "dropping-particle" : "", "family" : "Shin", "given" : "C R", "non-dropping-particle" : "", "parse-names" : false, "suffix" : "" }, { "dropping-particle" : "", "family" : "Tang", "given" : "K L", "non-dropping-particle" : "", "parse-names" : false, "suffix" : "" }, { "dropping-particle" : "", "family" : "Thayu", "given" : "M", "non-dropping-particle" : "", "parse-names" : false, "suffix" : "" } ], "container-title" : "Gastroenterology", "id" : "ITEM-2", "issued" : { "date-parts" : [ [ "2017" ] ] }, "title" : "Infliximab not Associated With Increased Risk of Malignancy or Hemophagocytic Lymphohistiocytosis in Pediatric Patients With Inflammatory Bowel Disease", "type" : "article-journal" }, "uris" : [ "http://www.mendeley.com/documents/?uuid=37ab2c11-2684-4574-9dda-65ddd1df9454" ] } ], "mendeley" : { "formattedCitation" : "[2,3]", "plainTextFormattedCitation" : "[2,3]", "previouslyFormattedCitation" : "[2,3]" }, "properties" : { "noteIndex" : 0 }, "schema" : "https://github.com/citation-style-language/schema/raw/master/csl-citation.json" }</w:instrText>
      </w:r>
      <w:r w:rsidR="00FC1835">
        <w:rPr>
          <w:rFonts w:cstheme="minorHAnsi"/>
        </w:rPr>
        <w:fldChar w:fldCharType="separate"/>
      </w:r>
      <w:r w:rsidR="00DE731C" w:rsidRPr="00DE731C">
        <w:rPr>
          <w:rFonts w:cstheme="minorHAnsi"/>
          <w:noProof/>
        </w:rPr>
        <w:t>[2,3]</w:t>
      </w:r>
      <w:r w:rsidR="00FC1835">
        <w:rPr>
          <w:rFonts w:cstheme="minorHAnsi"/>
        </w:rPr>
        <w:fldChar w:fldCharType="end"/>
      </w:r>
      <w:r>
        <w:rPr>
          <w:rFonts w:cstheme="minorHAnsi"/>
        </w:rPr>
        <w:t xml:space="preserve">. </w:t>
      </w:r>
      <w:r w:rsidR="006B2819">
        <w:rPr>
          <w:rFonts w:cstheme="minorHAnsi"/>
        </w:rPr>
        <w:t>Deep remission (mucosal healing)</w:t>
      </w:r>
      <w:r>
        <w:rPr>
          <w:rFonts w:cstheme="minorHAnsi"/>
        </w:rPr>
        <w:t xml:space="preserve"> is </w:t>
      </w:r>
      <w:r w:rsidR="00C65570">
        <w:rPr>
          <w:rFonts w:cstheme="minorHAnsi"/>
        </w:rPr>
        <w:t>increasingly</w:t>
      </w:r>
      <w:r>
        <w:rPr>
          <w:rFonts w:cstheme="minorHAnsi"/>
        </w:rPr>
        <w:t xml:space="preserve"> </w:t>
      </w:r>
      <w:r w:rsidR="00080D2D">
        <w:rPr>
          <w:rFonts w:cstheme="minorHAnsi"/>
        </w:rPr>
        <w:t xml:space="preserve">seen as </w:t>
      </w:r>
      <w:r>
        <w:rPr>
          <w:rFonts w:cstheme="minorHAnsi"/>
        </w:rPr>
        <w:t xml:space="preserve">the end-point of treatment </w:t>
      </w:r>
      <w:r w:rsidR="00FC1835">
        <w:rPr>
          <w:rFonts w:cstheme="minorHAnsi"/>
        </w:rPr>
        <w:fldChar w:fldCharType="begin" w:fldLock="1"/>
      </w:r>
      <w:r w:rsidR="00F5598F">
        <w:rPr>
          <w:rFonts w:cstheme="minorHAnsi"/>
        </w:rPr>
        <w:instrText>ADDIN CSL_CITATION { "citationItems" : [ { "id" : "ITEM-1", "itemData" : { "ISSN" : "1554-7914", "author" : [ { "dropping-particle" : "", "family" : "Dave", "given" : "M", "non-dropping-particle" : "", "parse-names" : false, "suffix" : "" }, { "dropping-particle" : "V", "family" : "Loftus", "given" : "E", "non-dropping-particle" : "", "parse-names" : false, "suffix" : "" } ], "container-title" : "Gastroenterol Hepatol (N Y)", "id" : "ITEM-1", "issue" : "1", "issued" : { "date-parts" : [ [ "2012" ] ] }, "page" : "29-38", "title" : "Mucosal healing in inflammatory bowel disease-a true paradigm of success?", "type" : "article-journal", "volume" : "8" }, "uris" : [ "http://www.mendeley.com/documents/?uuid=d3b1c4d5-7749-4f31-8e33-84c01c953850" ] } ], "mendeley" : { "formattedCitation" : "[4]", "plainTextFormattedCitation" : "[4]", "previouslyFormattedCitation" : "[4]" }, "properties" : { "noteIndex" : 0 }, "schema" : "https://github.com/citation-style-language/schema/raw/master/csl-citation.json" }</w:instrText>
      </w:r>
      <w:r w:rsidR="00FC1835">
        <w:rPr>
          <w:rFonts w:cstheme="minorHAnsi"/>
        </w:rPr>
        <w:fldChar w:fldCharType="separate"/>
      </w:r>
      <w:r w:rsidR="00DE731C" w:rsidRPr="00DE731C">
        <w:rPr>
          <w:rFonts w:cstheme="minorHAnsi"/>
          <w:noProof/>
        </w:rPr>
        <w:t>[4]</w:t>
      </w:r>
      <w:r w:rsidR="00FC1835">
        <w:rPr>
          <w:rFonts w:cstheme="minorHAnsi"/>
        </w:rPr>
        <w:fldChar w:fldCharType="end"/>
      </w:r>
      <w:r>
        <w:rPr>
          <w:rFonts w:cstheme="minorHAnsi"/>
        </w:rPr>
        <w:t xml:space="preserve">. </w:t>
      </w:r>
      <w:r w:rsidR="00080D2D">
        <w:rPr>
          <w:rFonts w:cstheme="minorHAnsi"/>
        </w:rPr>
        <w:t>However m</w:t>
      </w:r>
      <w:r>
        <w:rPr>
          <w:rFonts w:cstheme="minorHAnsi"/>
        </w:rPr>
        <w:t xml:space="preserve">odifying the natural history of IBD in childhood </w:t>
      </w:r>
      <w:r w:rsidR="00687F0A">
        <w:rPr>
          <w:rFonts w:cstheme="minorHAnsi"/>
        </w:rPr>
        <w:t>should</w:t>
      </w:r>
      <w:r>
        <w:rPr>
          <w:rFonts w:cstheme="minorHAnsi"/>
        </w:rPr>
        <w:t xml:space="preserve"> </w:t>
      </w:r>
      <w:r w:rsidR="006B2819">
        <w:rPr>
          <w:rFonts w:cstheme="minorHAnsi"/>
        </w:rPr>
        <w:t xml:space="preserve">also </w:t>
      </w:r>
      <w:r>
        <w:rPr>
          <w:rFonts w:cstheme="minorHAnsi"/>
        </w:rPr>
        <w:t xml:space="preserve">result in reduction in </w:t>
      </w:r>
      <w:r w:rsidR="008C7752">
        <w:rPr>
          <w:rFonts w:cstheme="minorHAnsi"/>
        </w:rPr>
        <w:t xml:space="preserve">surgical </w:t>
      </w:r>
      <w:r>
        <w:rPr>
          <w:rFonts w:cstheme="minorHAnsi"/>
        </w:rPr>
        <w:t>resections (for</w:t>
      </w:r>
      <w:r w:rsidR="008B6B4D">
        <w:rPr>
          <w:rFonts w:cstheme="minorHAnsi"/>
        </w:rPr>
        <w:t xml:space="preserve"> both</w:t>
      </w:r>
      <w:r>
        <w:rPr>
          <w:rFonts w:cstheme="minorHAnsi"/>
        </w:rPr>
        <w:t xml:space="preserve"> stricturing </w:t>
      </w:r>
      <w:r w:rsidR="008C7752">
        <w:rPr>
          <w:rFonts w:cstheme="minorHAnsi"/>
        </w:rPr>
        <w:t xml:space="preserve">and </w:t>
      </w:r>
      <w:r w:rsidR="006B2819">
        <w:rPr>
          <w:rFonts w:cstheme="minorHAnsi"/>
        </w:rPr>
        <w:t xml:space="preserve">penetrating disease), </w:t>
      </w:r>
      <w:r>
        <w:rPr>
          <w:rFonts w:cstheme="minorHAnsi"/>
        </w:rPr>
        <w:t xml:space="preserve">a reduction in </w:t>
      </w:r>
      <w:r w:rsidR="006B2819">
        <w:rPr>
          <w:rFonts w:cstheme="minorHAnsi"/>
        </w:rPr>
        <w:t xml:space="preserve">non-diagnostic </w:t>
      </w:r>
      <w:r>
        <w:rPr>
          <w:rFonts w:cstheme="minorHAnsi"/>
        </w:rPr>
        <w:t>perianal procedures (</w:t>
      </w:r>
      <w:r w:rsidR="00F14497">
        <w:rPr>
          <w:rFonts w:cstheme="minorHAnsi"/>
        </w:rPr>
        <w:t xml:space="preserve">abscess drainage, </w:t>
      </w:r>
      <w:proofErr w:type="spellStart"/>
      <w:r w:rsidR="00F14497">
        <w:rPr>
          <w:rFonts w:cstheme="minorHAnsi"/>
        </w:rPr>
        <w:t>seton</w:t>
      </w:r>
      <w:proofErr w:type="spellEnd"/>
      <w:r w:rsidR="00F14497">
        <w:rPr>
          <w:rFonts w:cstheme="minorHAnsi"/>
        </w:rPr>
        <w:t xml:space="preserve"> placement</w:t>
      </w:r>
      <w:r>
        <w:rPr>
          <w:rFonts w:cstheme="minorHAnsi"/>
        </w:rPr>
        <w:t>)</w:t>
      </w:r>
      <w:r w:rsidR="00080D2D">
        <w:rPr>
          <w:rFonts w:cstheme="minorHAnsi"/>
        </w:rPr>
        <w:t xml:space="preserve"> </w:t>
      </w:r>
      <w:r w:rsidR="00834810">
        <w:rPr>
          <w:rFonts w:cstheme="minorHAnsi"/>
        </w:rPr>
        <w:t>and</w:t>
      </w:r>
      <w:r w:rsidR="00080D2D">
        <w:rPr>
          <w:rFonts w:cstheme="minorHAnsi"/>
        </w:rPr>
        <w:t xml:space="preserve"> preservation of</w:t>
      </w:r>
      <w:r w:rsidR="00834810">
        <w:rPr>
          <w:rFonts w:cstheme="minorHAnsi"/>
        </w:rPr>
        <w:t xml:space="preserve"> normal</w:t>
      </w:r>
      <w:r w:rsidR="00080D2D">
        <w:rPr>
          <w:rFonts w:cstheme="minorHAnsi"/>
        </w:rPr>
        <w:t xml:space="preserve"> growth</w:t>
      </w:r>
      <w:r w:rsidR="00FC1835">
        <w:rPr>
          <w:rFonts w:cstheme="minorHAnsi"/>
        </w:rPr>
        <w:t xml:space="preserve"> </w:t>
      </w:r>
      <w:r w:rsidR="00FC1835">
        <w:rPr>
          <w:rFonts w:cstheme="minorHAnsi"/>
        </w:rPr>
        <w:fldChar w:fldCharType="begin" w:fldLock="1"/>
      </w:r>
      <w:r w:rsidR="00F5598F">
        <w:rPr>
          <w:rFonts w:cstheme="minorHAnsi"/>
        </w:rPr>
        <w:instrText>ADDIN CSL_CITATION { "citationItems" : [ { "id" : "ITEM-1", "itemData" : { "DOI" : "10.3748/wjg.v18.i29.3828", "ISSN" : "2219-2840", "PMID" : "22876034", "abstract" : "Crohn's disease (CD) is a chronic inflammatory bowel disease that can affect the entire gastrointestinal tract. Ultimately, up to 70% of all patients will need surgery, despite optimized medical therapy. Moreover, about half of the patients will need redo-surgery because of disease recurrence. The introduction of anti-tumor necrosis factor (TNF) drugs (Infliximab in 1998) revolutionized the treatment of CD. Different randomized trials assessed the efficacy of anti-TNF treatment not only to induce, but also to maintain, steroid-free remission. Furthermore, these agents can rapidly lead to mucosal healing. This aspect is important, as it is a major predictor for long-term disease control. Subgroup analyses of responding patients seemed to suggest a reduction in the need for surgery at median-term follow up (1-3 years). However if one looks at population surveys, one does not observe any decline in the need for surgery since the introduction of Infliximab in 1998. The short follow-up term and the exclusion of patients with imminent surgical need in the randomized trials could bias the results. Only 60% of patients respond to induction of anti-TNF therapy, moreover, some patients will actually develop resistance to biologicals. Many patients are diagnosed when stenosing disease has already occurred, obviating the need for biological therapy. In a further attempt to change the actual course of the disease, top down strategies have been progressively implemented. Whether this will indeed obviate surgery for a substantial group of patients remains unclear. For the time being, surgery will still play a pivotal role in the treatment of CD.", "author" : [ { "dropping-particle" : "", "family" : "Buck van Overstraeten", "given" : "Anthony", "non-dropping-particle" : "de", "parse-names" : false, "suffix" : "" }, { "dropping-particle" : "", "family" : "Wolthuis", "given" : "Albert", "non-dropping-particle" : "", "parse-names" : false, "suffix" : "" }, { "dropping-particle" : "", "family" : "D'Hoore", "given" : "Andr\u00e9", "non-dropping-particle" : "", "parse-names" : false, "suffix" : "" } ], "container-title" : "World journal of gastroenterology", "id" : "ITEM-1", "issue" : "29", "issued" : { "date-parts" : [ [ "2012", "8", "7" ] ] }, "page" : "3828-32", "publisher" : "Baishideng Publishing Group Inc", "title" : "Surgery for Crohn's disease in the era of biologicals: a reduced need or delayed verdict?", "type" : "article-journal", "volume" : "18" }, "uris" : [ "http://www.mendeley.com/documents/?uuid=26c0f8d2-ab22-3537-b5c9-a7cf0772a57a" ] } ], "mendeley" : { "formattedCitation" : "[5]", "plainTextFormattedCitation" : "[5]", "previouslyFormattedCitation" : "[5]" }, "properties" : { "noteIndex" : 0 }, "schema" : "https://github.com/citation-style-language/schema/raw/master/csl-citation.json" }</w:instrText>
      </w:r>
      <w:r w:rsidR="00FC1835">
        <w:rPr>
          <w:rFonts w:cstheme="minorHAnsi"/>
        </w:rPr>
        <w:fldChar w:fldCharType="separate"/>
      </w:r>
      <w:r w:rsidR="00DE731C" w:rsidRPr="00DE731C">
        <w:rPr>
          <w:rFonts w:cstheme="minorHAnsi"/>
          <w:noProof/>
        </w:rPr>
        <w:t>[5]</w:t>
      </w:r>
      <w:r w:rsidR="00FC1835">
        <w:rPr>
          <w:rFonts w:cstheme="minorHAnsi"/>
        </w:rPr>
        <w:fldChar w:fldCharType="end"/>
      </w:r>
      <w:r>
        <w:rPr>
          <w:rFonts w:cstheme="minorHAnsi"/>
        </w:rPr>
        <w:t xml:space="preserve">. </w:t>
      </w:r>
    </w:p>
    <w:p w14:paraId="23869457" w14:textId="4A0F805C" w:rsidR="006A0590" w:rsidRDefault="002B6A7D" w:rsidP="006A0590">
      <w:pPr>
        <w:spacing w:line="480" w:lineRule="auto"/>
        <w:rPr>
          <w:rFonts w:cstheme="minorHAnsi"/>
        </w:rPr>
      </w:pPr>
      <w:r>
        <w:rPr>
          <w:rFonts w:cstheme="minorHAnsi"/>
        </w:rPr>
        <w:t>The long-term</w:t>
      </w:r>
      <w:r w:rsidR="006A0590">
        <w:rPr>
          <w:rFonts w:cstheme="minorHAnsi"/>
        </w:rPr>
        <w:t xml:space="preserve"> impact of anti-TNF medications on the rates of surgery before transition to adult services in paediatric IBD</w:t>
      </w:r>
      <w:r>
        <w:rPr>
          <w:rFonts w:cstheme="minorHAnsi"/>
        </w:rPr>
        <w:t xml:space="preserve"> </w:t>
      </w:r>
      <w:r w:rsidR="005E58D4">
        <w:rPr>
          <w:rFonts w:cstheme="minorHAnsi"/>
        </w:rPr>
        <w:t xml:space="preserve">is </w:t>
      </w:r>
      <w:r>
        <w:rPr>
          <w:rFonts w:cstheme="minorHAnsi"/>
        </w:rPr>
        <w:t>uncertain</w:t>
      </w:r>
      <w:r w:rsidR="00687F0A">
        <w:rPr>
          <w:rFonts w:cstheme="minorHAnsi"/>
        </w:rPr>
        <w:t>.</w:t>
      </w:r>
      <w:r w:rsidR="00C65570">
        <w:rPr>
          <w:rFonts w:cstheme="minorHAnsi"/>
        </w:rPr>
        <w:t xml:space="preserve"> </w:t>
      </w:r>
      <w:r w:rsidR="005E58D4">
        <w:rPr>
          <w:rFonts w:cstheme="minorHAnsi"/>
        </w:rPr>
        <w:t xml:space="preserve">Previous </w:t>
      </w:r>
      <w:r w:rsidR="00625ADC">
        <w:rPr>
          <w:rFonts w:cstheme="minorHAnsi"/>
        </w:rPr>
        <w:t xml:space="preserve">data appears to suggest that anti-TNF therapy delays but not avoids the need for surgery in childhood </w:t>
      </w:r>
      <w:r w:rsidR="00625ADC">
        <w:rPr>
          <w:rFonts w:cstheme="minorHAnsi"/>
        </w:rPr>
        <w:fldChar w:fldCharType="begin" w:fldLock="1"/>
      </w:r>
      <w:r w:rsidR="00F5598F">
        <w:rPr>
          <w:rFonts w:cstheme="minorHAnsi"/>
        </w:rPr>
        <w:instrText>ADDIN CSL_CITATION { "citationItems" : [ { "id" : "ITEM-1", "itemData" : { "DOI" : "10.1007/s10620-007-8102-1", "ISSN" : "0163-2116", "PMID" : "17805970", "abstract" : "The aim of this study was to review the impact of infliximab therapy on children with treatment-resistant Crohn's disease. Treatment resistance was defined as clinically active disease despite &gt;4 months of immunosuppressive therapy. The outcome variables were time to first remission, duration of remission and the need for surgery. 24 children received 90 infusions of infliximab (16 boys; median 10.3y, range 1.0-14.4y); all had three infusions as an induction course. 17 (70.8%) achieved clinical remission, with 14/17 (82.3%) relapsing within 4 months of the third infusion. 6/7 in the non-responding group and 8/17 of the responders required surgery with an insignificant difference in the median time to surgery (p=0.49). Four remain dependent on regular infliximab. Infliximab is well-tolerated and highly effective in achieving clinical remission in children with refractory Crohn's disease but may only delay and not avoid the need for surgery. Failure to achieve clinical remission by the 3rd infusion significantly increases the risk of surgery.", "author" : [ { "dropping-particle" : "", "family" : "Afzal", "given" : "N. A.", "non-dropping-particle" : "", "parse-names" : false, "suffix" : "" }, { "dropping-particle" : "", "family" : "Ozzard", "given" : "A.", "non-dropping-particle" : "", "parse-names" : false, "suffix" : "" }, { "dropping-particle" : "", "family" : "Keady", "given" : "S.", "non-dropping-particle" : "", "parse-names" : false, "suffix" : "" }, { "dropping-particle" : "", "family" : "Thomson", "given" : "M.", "non-dropping-particle" : "", "parse-names" : false, "suffix" : "" }, { "dropping-particle" : "", "family" : "Murch", "given" : "S.", "non-dropping-particle" : "", "parse-names" : false, "suffix" : "" }, { "dropping-particle" : "", "family" : "Heuschkel", "given" : "R.", "non-dropping-particle" : "", "parse-names" : false, "suffix" : "" } ], "container-title" : "Digestive Diseases and Sciences", "id" : "ITEM-1", "issue" : "12", "issued" : { "date-parts" : [ [ "2007", "11", "7" ] ] }, "page" : "3329-3333", "title" : "Infliximab Delays but Does Not Avoid the Need for Surgery in Treatment-Resistant Pediatric Crohn\u2019 Disease", "type" : "article-journal", "volume" : "52" }, "uris" : [ "http://www.mendeley.com/documents/?uuid=eba521bc-5dfd-326d-9061-544badecc601" ] } ], "mendeley" : { "formattedCitation" : "[6]", "plainTextFormattedCitation" : "[6]", "previouslyFormattedCitation" : "[6]" }, "properties" : { "noteIndex" : 0 }, "schema" : "https://github.com/citation-style-language/schema/raw/master/csl-citation.json" }</w:instrText>
      </w:r>
      <w:r w:rsidR="00625ADC">
        <w:rPr>
          <w:rFonts w:cstheme="minorHAnsi"/>
        </w:rPr>
        <w:fldChar w:fldCharType="separate"/>
      </w:r>
      <w:r w:rsidR="00625ADC" w:rsidRPr="00625ADC">
        <w:rPr>
          <w:rFonts w:cstheme="minorHAnsi"/>
          <w:noProof/>
        </w:rPr>
        <w:t>[6]</w:t>
      </w:r>
      <w:r w:rsidR="00625ADC">
        <w:rPr>
          <w:rFonts w:cstheme="minorHAnsi"/>
        </w:rPr>
        <w:fldChar w:fldCharType="end"/>
      </w:r>
      <w:r w:rsidR="00625ADC">
        <w:rPr>
          <w:rFonts w:cstheme="minorHAnsi"/>
        </w:rPr>
        <w:t xml:space="preserve">. </w:t>
      </w:r>
      <w:r w:rsidR="00C65570">
        <w:rPr>
          <w:rFonts w:cstheme="minorHAnsi"/>
        </w:rPr>
        <w:t>A</w:t>
      </w:r>
      <w:r>
        <w:rPr>
          <w:rFonts w:cstheme="minorHAnsi"/>
        </w:rPr>
        <w:t xml:space="preserve"> recent review of surgery</w:t>
      </w:r>
      <w:r w:rsidR="00C65570">
        <w:rPr>
          <w:rFonts w:cstheme="minorHAnsi"/>
        </w:rPr>
        <w:t xml:space="preserve"> in adult disease found no reduction in surgical resection</w:t>
      </w:r>
      <w:r>
        <w:rPr>
          <w:rFonts w:cstheme="minorHAnsi"/>
        </w:rPr>
        <w:t>s</w:t>
      </w:r>
      <w:r w:rsidR="00C65570">
        <w:rPr>
          <w:rFonts w:cstheme="minorHAnsi"/>
        </w:rPr>
        <w:t xml:space="preserve"> in those treated with anti-TNF agents</w:t>
      </w:r>
      <w:r>
        <w:rPr>
          <w:rFonts w:cstheme="minorHAnsi"/>
        </w:rPr>
        <w:t xml:space="preserve">, </w:t>
      </w:r>
      <w:r w:rsidR="00834810">
        <w:rPr>
          <w:rFonts w:cstheme="minorHAnsi"/>
        </w:rPr>
        <w:t>although</w:t>
      </w:r>
      <w:r>
        <w:rPr>
          <w:rFonts w:cstheme="minorHAnsi"/>
        </w:rPr>
        <w:t xml:space="preserve"> it was</w:t>
      </w:r>
      <w:r w:rsidR="00697166">
        <w:rPr>
          <w:rFonts w:cstheme="minorHAnsi"/>
        </w:rPr>
        <w:t xml:space="preserve"> expected that the individuals </w:t>
      </w:r>
      <w:r w:rsidR="00080D2D">
        <w:rPr>
          <w:rFonts w:cstheme="minorHAnsi"/>
        </w:rPr>
        <w:t>with the most severe</w:t>
      </w:r>
      <w:r>
        <w:rPr>
          <w:rFonts w:cstheme="minorHAnsi"/>
        </w:rPr>
        <w:t xml:space="preserve"> disease</w:t>
      </w:r>
      <w:r w:rsidR="00080D2D">
        <w:rPr>
          <w:rFonts w:cstheme="minorHAnsi"/>
        </w:rPr>
        <w:t xml:space="preserve"> </w:t>
      </w:r>
      <w:r w:rsidR="008C7752">
        <w:rPr>
          <w:rFonts w:cstheme="minorHAnsi"/>
        </w:rPr>
        <w:t>are</w:t>
      </w:r>
      <w:r w:rsidR="00697166">
        <w:rPr>
          <w:rFonts w:cstheme="minorHAnsi"/>
        </w:rPr>
        <w:t xml:space="preserve"> </w:t>
      </w:r>
      <w:r>
        <w:rPr>
          <w:rFonts w:cstheme="minorHAnsi"/>
        </w:rPr>
        <w:t xml:space="preserve">both </w:t>
      </w:r>
      <w:r w:rsidR="00697166">
        <w:rPr>
          <w:rFonts w:cstheme="minorHAnsi"/>
        </w:rPr>
        <w:t xml:space="preserve">exposed to anti-TNF therapy </w:t>
      </w:r>
      <w:r>
        <w:rPr>
          <w:rFonts w:cstheme="minorHAnsi"/>
        </w:rPr>
        <w:t>and are at the highest</w:t>
      </w:r>
      <w:r w:rsidR="00697166">
        <w:rPr>
          <w:rFonts w:cstheme="minorHAnsi"/>
        </w:rPr>
        <w:t xml:space="preserve"> risk of </w:t>
      </w:r>
      <w:r>
        <w:rPr>
          <w:rFonts w:cstheme="minorHAnsi"/>
        </w:rPr>
        <w:t xml:space="preserve">requiring </w:t>
      </w:r>
      <w:r w:rsidR="00697166">
        <w:rPr>
          <w:rFonts w:cstheme="minorHAnsi"/>
        </w:rPr>
        <w:t>surgery</w:t>
      </w:r>
      <w:r w:rsidR="00C65570">
        <w:rPr>
          <w:rFonts w:cstheme="minorHAnsi"/>
        </w:rPr>
        <w:t xml:space="preserve"> </w:t>
      </w:r>
      <w:r w:rsidR="00C65570">
        <w:rPr>
          <w:rFonts w:cstheme="minorHAnsi"/>
        </w:rPr>
        <w:fldChar w:fldCharType="begin" w:fldLock="1"/>
      </w:r>
      <w:r w:rsidR="00F5598F">
        <w:rPr>
          <w:rFonts w:cstheme="minorHAnsi"/>
        </w:rPr>
        <w:instrText>ADDIN CSL_CITATION { "citationItems" : [ { "id" : "ITEM-1", "itemData" : { "DOI" : "10.5217/ir.2018.16.1.62", "ISSN" : "1598-9100", "PMID" : "29422799", "abstract" : "Background/Aims The use of anti-tumor necrosis factor (anti-TNF) agents seems to reduce surgical rates and delay surgical procedures in prospective trials and population-based studies in the management of Crohn's disease (CD). This study aimed to identify whether preoperative anti-TNF agents influence the time from diagnosis to surgery. Methods An observational retrospective cohort study was conducted on patients with CD submitted to intestinal resections due to complications or medical therapy failure in a period of 7 years. The patients were allocated into 2 groups according to their previous exposure to anti-TNF agents in the preoperative period. Epidemiological aspects regarding age at diagnosis, smoking, perianal disease, and preoperative conventional therapy were considered. A Kaplan-Meier survival analysis was used to outline possible differences between the groups regarding the time to surgery. Results A total of 123 patients were included (71 and 52 with and without previous exposure to biologics, respectively). The overall time to surgery was 108\u00b16.9 months (maximum, 276 months). The survival estimation revealed no difference in the mean time to intestinal resection between the groups (99.78\u00b110.62 months in the patients without and 114.01\u00b19.07 months in those with previous anti-TNF use) (log-rank P=0.35). There was no significant difference in the time to surgery regarding perianal CD (P=0.49), smoking (P=0.63), preoperative azathioprine (P=0.073) and steroid use (P=0.58). Conclusions The time from diagnosis to surgery was not influenced by the preoperative use of anti-TNF therapy in this cohort of patients.", "author" : [ { "dropping-particle" : "", "family" : "Kotze", "given" : "Paulo Gustavo", "non-dropping-particle" : "", "parse-names" : false, "suffix" : "" }, { "dropping-particle" : "", "family" : "Magro", "given" : "Daniela Oliveira", "non-dropping-particle" : "", "parse-names" : false, "suffix" : "" }, { "dropping-particle" : "", "family" : "Saab", "given" : "Barbara", "non-dropping-particle" : "", "parse-names" : false, "suffix" : "" }, { "dropping-particle" : "", "family" : "Saab", "given" : "Mansur Paulo", "non-dropping-particle" : "", "parse-names" : false, "suffix" : "" }, { "dropping-particle" : "", "family" : "Pinheiro", "given" : "Lilian Vital", "non-dropping-particle" : "", "parse-names" : false, "suffix" : "" }, { "dropping-particle" : "", "family" : "Olandoski", "given" : "Marcia", "non-dropping-particle" : "", "parse-names" : false, "suffix" : "" }, { "dropping-particle" : "", "family" : "Ayrizono", "given" : "Maria de Lourdes Setsuko", "non-dropping-particle" : "", "parse-names" : false, "suffix" : "" }, { "dropping-particle" : "", "family" : "Martinez", "given" : "Carlos Augusto Real", "non-dropping-particle" : "", "parse-names" : false, "suffix" : "" }, { "dropping-particle" : "", "family" : "Coy", "given" : "Claudio Saddy Rodrigues", "non-dropping-particle" : "", "parse-names" : false, "suffix" : "" } ], "container-title" : "Intestinal research", "id" : "ITEM-1", "issue" : "1", "issued" : { "date-parts" : [ [ "2018", "1" ] ] }, "page" : "62-68", "publisher" : "Korean Association for the Study of Intestinal Diseases", "title" : "Comparison of time until elective intestinal resection regarding previous anti-tumor necrosis factor exposure: a Brazilian study on patients with Crohn's disease.", "type" : "article-journal", "volume" : "16" }, "uris" : [ "http://www.mendeley.com/documents/?uuid=04dd41b6-28c3-3177-9c98-95e26aa28799" ] } ], "mendeley" : { "formattedCitation" : "[7]", "plainTextFormattedCitation" : "[7]", "previouslyFormattedCitation" : "[7]" }, "properties" : { "noteIndex" : 0 }, "schema" : "https://github.com/citation-style-language/schema/raw/master/csl-citation.json" }</w:instrText>
      </w:r>
      <w:r w:rsidR="00C65570">
        <w:rPr>
          <w:rFonts w:cstheme="minorHAnsi"/>
        </w:rPr>
        <w:fldChar w:fldCharType="separate"/>
      </w:r>
      <w:r w:rsidR="00625ADC" w:rsidRPr="00625ADC">
        <w:rPr>
          <w:rFonts w:cstheme="minorHAnsi"/>
          <w:noProof/>
        </w:rPr>
        <w:t>[7]</w:t>
      </w:r>
      <w:r w:rsidR="00C65570">
        <w:rPr>
          <w:rFonts w:cstheme="minorHAnsi"/>
        </w:rPr>
        <w:fldChar w:fldCharType="end"/>
      </w:r>
      <w:r w:rsidR="00C65570">
        <w:rPr>
          <w:rFonts w:cstheme="minorHAnsi"/>
        </w:rPr>
        <w:t>.</w:t>
      </w:r>
      <w:r w:rsidR="006F4CC3">
        <w:rPr>
          <w:rFonts w:cstheme="minorHAnsi"/>
        </w:rPr>
        <w:t xml:space="preserve"> </w:t>
      </w:r>
      <w:r w:rsidR="006B2819">
        <w:rPr>
          <w:rFonts w:cstheme="minorHAnsi"/>
        </w:rPr>
        <w:t>Other</w:t>
      </w:r>
      <w:r w:rsidR="006345BF">
        <w:rPr>
          <w:rFonts w:cstheme="minorHAnsi"/>
        </w:rPr>
        <w:t xml:space="preserve"> studies considered </w:t>
      </w:r>
      <w:r w:rsidR="00697166">
        <w:rPr>
          <w:rFonts w:cstheme="minorHAnsi"/>
        </w:rPr>
        <w:t>surgical rates at a</w:t>
      </w:r>
      <w:r w:rsidR="006F4CC3">
        <w:rPr>
          <w:rFonts w:cstheme="minorHAnsi"/>
        </w:rPr>
        <w:t xml:space="preserve"> population </w:t>
      </w:r>
      <w:r w:rsidR="00697166">
        <w:rPr>
          <w:rFonts w:cstheme="minorHAnsi"/>
        </w:rPr>
        <w:t>level</w:t>
      </w:r>
      <w:r w:rsidR="00792E64">
        <w:rPr>
          <w:rFonts w:cstheme="minorHAnsi"/>
        </w:rPr>
        <w:t>;</w:t>
      </w:r>
      <w:r w:rsidR="00697166">
        <w:rPr>
          <w:rFonts w:cstheme="minorHAnsi"/>
        </w:rPr>
        <w:t xml:space="preserve"> work from </w:t>
      </w:r>
      <w:r w:rsidR="00697166" w:rsidRPr="00697166">
        <w:rPr>
          <w:rFonts w:ascii="Calibri" w:hAnsi="Calibri" w:cs="Calibri"/>
          <w:noProof/>
          <w:szCs w:val="24"/>
        </w:rPr>
        <w:t xml:space="preserve">Rungoe </w:t>
      </w:r>
      <w:r w:rsidR="00697166" w:rsidRPr="00697166">
        <w:rPr>
          <w:rFonts w:ascii="Calibri" w:hAnsi="Calibri" w:cs="Calibri"/>
          <w:i/>
          <w:noProof/>
          <w:szCs w:val="24"/>
        </w:rPr>
        <w:t>et al</w:t>
      </w:r>
      <w:r w:rsidR="00697166">
        <w:rPr>
          <w:rFonts w:ascii="Calibri" w:hAnsi="Calibri" w:cs="Calibri"/>
          <w:noProof/>
          <w:szCs w:val="24"/>
        </w:rPr>
        <w:t xml:space="preserve"> </w:t>
      </w:r>
      <w:r w:rsidR="006F4CC3">
        <w:rPr>
          <w:rFonts w:cstheme="minorHAnsi"/>
        </w:rPr>
        <w:t>comparing two cohorts (1979-86 and 2003-11) demonstrating a significant reduction in surgical rates for both Crohn’s disease and ulcerative colitis paralleled by a</w:t>
      </w:r>
      <w:r w:rsidR="008C7752">
        <w:rPr>
          <w:rFonts w:cstheme="minorHAnsi"/>
        </w:rPr>
        <w:t>n</w:t>
      </w:r>
      <w:r w:rsidR="006F4CC3">
        <w:rPr>
          <w:rFonts w:cstheme="minorHAnsi"/>
        </w:rPr>
        <w:t xml:space="preserve"> increase in anti-TNF medication </w:t>
      </w:r>
      <w:r w:rsidR="006F4CC3">
        <w:rPr>
          <w:rFonts w:cstheme="minorHAnsi"/>
        </w:rPr>
        <w:fldChar w:fldCharType="begin" w:fldLock="1"/>
      </w:r>
      <w:r w:rsidR="00F5598F">
        <w:rPr>
          <w:rFonts w:cstheme="minorHAnsi"/>
        </w:rPr>
        <w:instrText>ADDIN CSL_CITATION { "citationItems" : [ { "id" : "ITEM-1", "itemData" : { "DOI" : "10.1136/gutjnl-2013-305607", "ISSN" : "0017-5749", "PMID" : "24056767", "abstract" : "INTRODUCTION Treatment possibilities have changed in inflammatory bowel disease (IBD). We assessed changes in medical treatment and surgery over time and impact of medications on risk of surgery in a population-based cohort. METHODS 48\u2005967 individuals were diagnosed with IBD (Crohn's disease (CD), 13\u2005185; ulcerative colitis (UC), 35\u2005782) during 1979-2011. Cumulative probability of receiving 5-aminosalicylic acids (5-ASA), topical, oral corticosteroids, thiopurines, and tumour necrosis factor-\u03b1 (TNF-\u03b1) blockers, and of first minor or major surgery according to period of diagnosis, was estimated. Medication use and risk of surgery was examined by Cox regression. RESULTS 5-year cumulative probability of first major surgery decreased from 44.7% in cohort (1979-1986) to 19.6% in cohort (2003-2011) (p\u2009&lt;\u20090.001) for CD, and from 11.7% in cohort (1979-1986) to 7.5% in cohort (2003-2011) (p\u2009&lt;\u20090.001) for UC. Minor surgery risk decreased significantly in CD. From cohort (1995-2002) to cohort (2003-2011), a significant increase in use of thiopurines and TNF-\u03b1 blockers was observed, paralleled by a significant decrease in use of 5-ASA and corticosteroids. Comparing use of azathioprine (or oral corticosteroids) to never-use, no convincing surgery-sparing effect was found. Comparing use in 3+ months of a given drug with use &lt;3 months, only 3+ months use of oral corticosteroids reduced the risk of surgery in patients with disease duration of &gt;1\u2005year. CONCLUSIONS Parallel to an increasing use of thiopurines and TNF-\u03b1 blockers in IBD over time, a persistent significant decrease in surgery rates was observed along with a significant decrease in use of 5-ASA and corticosteroids. However, no convincing surgery-sparing effect of newer medications was found.", "author" : [ { "dropping-particle" : "", "family" : "Rungoe", "given" : "Christine", "non-dropping-particle" : "", "parse-names" : false, "suffix" : "" }, { "dropping-particle" : "", "family" : "Langholz", "given" : "Ebbe", "non-dropping-particle" : "", "parse-names" : false, "suffix" : "" }, { "dropping-particle" : "", "family" : "Andersson", "given" : "Mikael", "non-dropping-particle" : "", "parse-names" : false, "suffix" : "" }, { "dropping-particle" : "", "family" : "Basit", "given" : "Saima", "non-dropping-particle" : "", "parse-names" : false, "suffix" : "" }, { "dropping-particle" : "", "family" : "Nielsen", "given" : "Nete M", "non-dropping-particle" : "", "parse-names" : false, "suffix" : "" }, { "dropping-particle" : "", "family" : "Wohlfahrt", "given" : "Jan", "non-dropping-particle" : "", "parse-names" : false, "suffix" : "" }, { "dropping-particle" : "", "family" : "Jess", "given" : "Tine", "non-dropping-particle" : "", "parse-names" : false, "suffix" : "" } ], "container-title" : "Gut", "id" : "ITEM-1", "issue" : "10", "issued" : { "date-parts" : [ [ "2014", "10" ] ] }, "page" : "1607-1616", "title" : "Changes in medical treatment and surgery rates in inflammatory bowel disease: a nationwide cohort study 1979\u20132011", "type" : "article-journal", "volume" : "63" }, "uris" : [ "http://www.mendeley.com/documents/?uuid=8ac255fb-07af-3688-b2b6-23d9842a660b" ] } ], "mendeley" : { "formattedCitation" : "[8]", "plainTextFormattedCitation" : "[8]", "previouslyFormattedCitation" : "[8]" }, "properties" : { "noteIndex" : 0 }, "schema" : "https://github.com/citation-style-language/schema/raw/master/csl-citation.json" }</w:instrText>
      </w:r>
      <w:r w:rsidR="006F4CC3">
        <w:rPr>
          <w:rFonts w:cstheme="minorHAnsi"/>
        </w:rPr>
        <w:fldChar w:fldCharType="separate"/>
      </w:r>
      <w:r w:rsidR="00625ADC" w:rsidRPr="00625ADC">
        <w:rPr>
          <w:rFonts w:cstheme="minorHAnsi"/>
          <w:noProof/>
        </w:rPr>
        <w:t>[8]</w:t>
      </w:r>
      <w:r w:rsidR="006F4CC3">
        <w:rPr>
          <w:rFonts w:cstheme="minorHAnsi"/>
        </w:rPr>
        <w:fldChar w:fldCharType="end"/>
      </w:r>
      <w:r w:rsidR="006F4CC3">
        <w:rPr>
          <w:rFonts w:cstheme="minorHAnsi"/>
        </w:rPr>
        <w:t>.</w:t>
      </w:r>
      <w:r w:rsidR="00697166">
        <w:rPr>
          <w:rFonts w:cstheme="minorHAnsi"/>
        </w:rPr>
        <w:t xml:space="preserve"> However </w:t>
      </w:r>
      <w:proofErr w:type="spellStart"/>
      <w:r w:rsidR="00697166">
        <w:rPr>
          <w:rFonts w:cstheme="minorHAnsi"/>
        </w:rPr>
        <w:t>Lazarev</w:t>
      </w:r>
      <w:proofErr w:type="spellEnd"/>
      <w:r w:rsidR="00697166">
        <w:rPr>
          <w:rFonts w:cstheme="minorHAnsi"/>
        </w:rPr>
        <w:t xml:space="preserve"> </w:t>
      </w:r>
      <w:r w:rsidR="00697166" w:rsidRPr="00697166">
        <w:rPr>
          <w:rFonts w:cstheme="minorHAnsi"/>
          <w:i/>
        </w:rPr>
        <w:t>et al</w:t>
      </w:r>
      <w:r w:rsidR="00697166">
        <w:rPr>
          <w:rFonts w:cstheme="minorHAnsi"/>
          <w:i/>
        </w:rPr>
        <w:t xml:space="preserve"> </w:t>
      </w:r>
      <w:r w:rsidR="008C7752" w:rsidRPr="008C7752">
        <w:rPr>
          <w:rFonts w:cstheme="minorHAnsi"/>
        </w:rPr>
        <w:t xml:space="preserve">(2010) </w:t>
      </w:r>
      <w:r w:rsidR="00697166" w:rsidRPr="00697166">
        <w:rPr>
          <w:rFonts w:cstheme="minorHAnsi"/>
        </w:rPr>
        <w:t>did</w:t>
      </w:r>
      <w:r w:rsidR="00697166">
        <w:rPr>
          <w:rFonts w:cstheme="minorHAnsi"/>
        </w:rPr>
        <w:t xml:space="preserve"> not find a reduction in small bowel resection rates over time in adults with Crohn’s disease, despite increased anti-TNF use </w:t>
      </w:r>
      <w:r w:rsidR="00697166">
        <w:rPr>
          <w:rFonts w:cstheme="minorHAnsi"/>
        </w:rPr>
        <w:fldChar w:fldCharType="begin" w:fldLock="1"/>
      </w:r>
      <w:r w:rsidR="00F5598F">
        <w:rPr>
          <w:rFonts w:cstheme="minorHAnsi"/>
        </w:rPr>
        <w:instrText>ADDIN CSL_CITATION { "citationItems" : [ { "id" : "ITEM-1", "itemData" : { "DOI" : "10.1002/ibd.21118", "ISSN" : "1078-0998", "PMID" : "19798731", "abstract" : "BACKGROUND Our primary aim was to determine if the rate of small bowel resection (SBR) has declined over time among Crohn's disease (CD) patients seen at a single academic institution. A secondary aim was to establish whether the indication for surgery has changed. METHODS Patients with a primary or secondary ICD-9 code for CD (555.0-555.9) who underwent SBR at the University of Pittsburgh were included. Patients were divided into 4 separate time periods based on when they had surgery: 1995-1998 (Period 1), 1999-2001 (Period 2), 2002-2004 (Period 3), and 2005-2007 (Period 4). Medical records were reviewed for the 6 months preceding surgery. Use of 5-ASAs, immunomodulators (IMs), tumor necrosis factor (TNF) antagonists, and corticosteroids were noted. Disease behavior was defined as nonstricturing, nonpenetrating (B1), stricturing (B2), and penetrating (B3). Proportions of patients undergoing SBR were calculated according to calendar cohort and these rates were examined for time trends. RESULTS In all, 227 unique patients were analyzed for a total of 236 surgeries. The rates of 5-ASA, IM, and corticosteroid use were similar across the 4 time periods. By contrast, TNF antagonist usage progressively increased over time (0%, 18%, 34%, 35%; P = 0.0002). The annual rate of SBR per period did not change (1.6%, 1.9%, 1.6%, 1.9%; P = 0.93). Similarly, the disease behavior did not change over time. CONCLUSIONS While the frequency of TNF antagonist use in CD at the University of Pittsburgh has increased over time, the rate of SBR and indication for surgery has remained unchanged. These findings may be explained by long-standing, complicated disease refractory to medical therapy.", "author" : [ { "dropping-particle" : "", "family" : "Lazarev", "given" : "Mark", "non-dropping-particle" : "", "parse-names" : false, "suffix" : "" }, { "dropping-particle" : "", "family" : "Ullman", "given" : "Thomas", "non-dropping-particle" : "", "parse-names" : false, "suffix" : "" }, { "dropping-particle" : "", "family" : "Schraut", "given" : "Wolfgang H.", "non-dropping-particle" : "", "parse-names" : false, "suffix" : "" }, { "dropping-particle" : "", "family" : "Kip", "given" : "Kevin E.", "non-dropping-particle" : "", "parse-names" : false, "suffix" : "" }, { "dropping-particle" : "", "family" : "Saul", "given" : "Melissa", "non-dropping-particle" : "", "parse-names" : false, "suffix" : "" }, { "dropping-particle" : "", "family" : "Regueiro", "given" : "Miguel", "non-dropping-particle" : "", "parse-names" : false, "suffix" : "" } ], "container-title" : "Inflammatory Bowel Diseases", "id" : "ITEM-1", "issue" : "5", "issued" : { "date-parts" : [ [ "2010", "5" ] ] }, "page" : "830-835", "title" : "Small bowel resection rates in Crohn\u02bcs disease and the indication for surgery over time: Experience from a large tertiary care center", "type" : "article-journal", "volume" : "16" }, "uris" : [ "http://www.mendeley.com/documents/?uuid=c3ac563d-3ff3-3888-89bc-abf4969b36c2" ] } ], "mendeley" : { "formattedCitation" : "[9]", "plainTextFormattedCitation" : "[9]", "previouslyFormattedCitation" : "[9]" }, "properties" : { "noteIndex" : 0 }, "schema" : "https://github.com/citation-style-language/schema/raw/master/csl-citation.json" }</w:instrText>
      </w:r>
      <w:r w:rsidR="00697166">
        <w:rPr>
          <w:rFonts w:cstheme="minorHAnsi"/>
        </w:rPr>
        <w:fldChar w:fldCharType="separate"/>
      </w:r>
      <w:r w:rsidR="00625ADC" w:rsidRPr="00625ADC">
        <w:rPr>
          <w:rFonts w:cstheme="minorHAnsi"/>
          <w:noProof/>
        </w:rPr>
        <w:t>[9]</w:t>
      </w:r>
      <w:r w:rsidR="00697166">
        <w:rPr>
          <w:rFonts w:cstheme="minorHAnsi"/>
        </w:rPr>
        <w:fldChar w:fldCharType="end"/>
      </w:r>
      <w:r w:rsidR="00697166">
        <w:rPr>
          <w:rFonts w:cstheme="minorHAnsi"/>
        </w:rPr>
        <w:t>.</w:t>
      </w:r>
      <w:r w:rsidR="00DE4B53">
        <w:rPr>
          <w:rFonts w:cstheme="minorHAnsi"/>
        </w:rPr>
        <w:t xml:space="preserve"> </w:t>
      </w:r>
      <w:r w:rsidR="004D19A3">
        <w:rPr>
          <w:rFonts w:cstheme="minorHAnsi"/>
        </w:rPr>
        <w:t>The</w:t>
      </w:r>
      <w:r w:rsidR="00DE4B53">
        <w:rPr>
          <w:rFonts w:cstheme="minorHAnsi"/>
        </w:rPr>
        <w:t xml:space="preserve"> recent </w:t>
      </w:r>
      <w:r w:rsidR="00DC5FA1">
        <w:rPr>
          <w:rFonts w:cstheme="minorHAnsi"/>
        </w:rPr>
        <w:t>‘</w:t>
      </w:r>
      <w:r w:rsidR="00DC5FA1" w:rsidRPr="00DC5FA1">
        <w:rPr>
          <w:rFonts w:cstheme="minorHAnsi"/>
        </w:rPr>
        <w:t xml:space="preserve">Laparoscopic </w:t>
      </w:r>
      <w:proofErr w:type="spellStart"/>
      <w:r w:rsidR="00DC5FA1" w:rsidRPr="00DC5FA1">
        <w:rPr>
          <w:rFonts w:cstheme="minorHAnsi"/>
        </w:rPr>
        <w:t>ileocaecal</w:t>
      </w:r>
      <w:proofErr w:type="spellEnd"/>
      <w:r w:rsidR="00DC5FA1" w:rsidRPr="00DC5FA1">
        <w:rPr>
          <w:rFonts w:cstheme="minorHAnsi"/>
        </w:rPr>
        <w:t xml:space="preserve"> resection versus infliximab for terminal ileitis in Crohn's disease</w:t>
      </w:r>
      <w:r w:rsidR="00DC5FA1">
        <w:rPr>
          <w:rFonts w:cstheme="minorHAnsi"/>
        </w:rPr>
        <w:t>’</w:t>
      </w:r>
      <w:r w:rsidR="00DC5FA1" w:rsidRPr="00DC5FA1">
        <w:rPr>
          <w:rFonts w:cstheme="minorHAnsi"/>
        </w:rPr>
        <w:t xml:space="preserve"> </w:t>
      </w:r>
      <w:r w:rsidR="00DC5FA1">
        <w:rPr>
          <w:rFonts w:cstheme="minorHAnsi"/>
        </w:rPr>
        <w:t>(</w:t>
      </w:r>
      <w:r w:rsidR="00DE4B53">
        <w:rPr>
          <w:rFonts w:cstheme="minorHAnsi"/>
        </w:rPr>
        <w:t>LIRIC</w:t>
      </w:r>
      <w:r w:rsidR="00DC5FA1">
        <w:rPr>
          <w:rFonts w:cstheme="minorHAnsi"/>
        </w:rPr>
        <w:t>)</w:t>
      </w:r>
      <w:r w:rsidR="00DE4B53">
        <w:rPr>
          <w:rFonts w:cstheme="minorHAnsi"/>
        </w:rPr>
        <w:t xml:space="preserve"> trial in adults, comparing outcomes after randomised escalation to either anti-TNF therapy or limited </w:t>
      </w:r>
      <w:proofErr w:type="spellStart"/>
      <w:r w:rsidR="00DE4B53">
        <w:rPr>
          <w:rFonts w:cstheme="minorHAnsi"/>
        </w:rPr>
        <w:t>ileocaecal</w:t>
      </w:r>
      <w:proofErr w:type="spellEnd"/>
      <w:r w:rsidR="00DE4B53">
        <w:rPr>
          <w:rFonts w:cstheme="minorHAnsi"/>
        </w:rPr>
        <w:t xml:space="preserve"> resection in Crohn’s disease</w:t>
      </w:r>
      <w:r w:rsidR="004D19A3">
        <w:rPr>
          <w:rFonts w:cstheme="minorHAnsi"/>
        </w:rPr>
        <w:t>,</w:t>
      </w:r>
      <w:r w:rsidR="00DE4B53">
        <w:rPr>
          <w:rFonts w:cstheme="minorHAnsi"/>
        </w:rPr>
        <w:t xml:space="preserve"> concluded that </w:t>
      </w:r>
      <w:r w:rsidR="004D19A3">
        <w:rPr>
          <w:rFonts w:cstheme="minorHAnsi"/>
        </w:rPr>
        <w:t xml:space="preserve">surgical resection remained a viable alternative to medical therapy </w:t>
      </w:r>
      <w:r w:rsidR="004D19A3">
        <w:rPr>
          <w:rFonts w:cstheme="minorHAnsi"/>
        </w:rPr>
        <w:fldChar w:fldCharType="begin" w:fldLock="1"/>
      </w:r>
      <w:r w:rsidR="00F5598F">
        <w:rPr>
          <w:rFonts w:cstheme="minorHAnsi"/>
        </w:rPr>
        <w:instrText>ADDIN CSL_CITATION { "citationItems" : [ { "id" : "ITEM-1", "itemData" : { "DOI" : "10.1016/S2468-1253(17)30248-0", "ISSN" : "24681253", "PMID" : "28838644", "abstract" : "BACKGROUND Treatment of patients with ileocaecal Crohn's disease who have not responded to conventional therapy is commonly scaled up to biological agents, but surgery can also offer excellent short-term and long-term results. We compared laparoscopic ileocaecal resection with infliximab to assess how they affect health-related quality of life. METHODS In this randomised controlled, open-label trial, in 29 teaching hospitals and tertiary care centres in the Netherlands and the UK, adults with non-stricturing, ileocaecal Crohn's disease, in whom conventional therapy has failed were randomly allocated (1:1) by an internet randomisation module with biased-coin minimisation for participating centres and perianal fistula to receive laparoscopic ileocaecal resection or infliximab. Eligible patients were aged 18-80 years, had active Crohn's disease of the terminal ileum, and had not responded to at least 3 months of conventional therapy with glucocorticosteroids, thiopurines, or methotrexate. Patients with diseased terminal ileum longer than 40 cm or abdominal abscesses were excluded. The primary outcome was quality of life on the Inflammatory Bowel Disease Questionnaire (IBDQ) at 12 months. Secondary outcomes were general quality of life, measured by the Short Form-36 (SF-36) health survey and its physical and mental component subscales, days unable to participate in social life, days on sick leave, morbidity (additional procedures and hospital admissions), and body image and cosmesis. Analyses of the primary outcome were done in the intention-to-treat population, and safety analyses were done in the per-protocol population. This trial is registered at the Dutch Trial Registry (NTR1150). FINDINGS Between May 2, 2008, and October 14, 2015, 73 patients were allocated to have resection and 70 to receive infliximab. Corrected for baseline differences, the mean IBDQ score at 12 months was 178\u00b71 (95% CI 171\u00b71-185\u00b70) in the resection group versus 172\u00b70 (164\u00b73-179\u00b76) in the infliximab group (mean difference 6\u00b71 points, 95% CI -4\u00b72 to 16\u00b74; p=0\u00b725). At 12 months, the mean SF-36 total score was 112\u00b71 (95% CI 108\u00b70-116\u00b72) in the resection group versus 106\u00b75 (102\u00b71-110\u00b79) in the infliximab group (mean difference 5\u00b76, 95% CI -0\u00b74 to 11\u00b76), the mean physical component score was 47\u00b77 (45\u00b77-49\u00b77) versus 44\u00b76 (42\u00b75-46\u00b78; mean difference 3\u00b71, 4\u00b72 to 6\u00b70), and the mean mental component score was 49\u00b75 (47\u00b70-52\u00b71) versus 46\u00b71 (43\u00b73-48\u00b79; mean difference 3\u00b75, -0\u00b73 to 7\u00b73). Mean nu\u2026", "author" : [ { "dropping-particle" : "", "family" : "Ponsioen", "given" : "Cyriel Y", "non-dropping-particle" : "", "parse-names" : false, "suffix" : "" }, { "dropping-particle" : "", "family" : "Groof", "given" : "E Joline", "non-dropping-particle" : "de", "parse-names" : false, "suffix" : "" }, { "dropping-particle" : "", "family" : "Eshuis", "given" : "Emma J", "non-dropping-particle" : "", "parse-names" : false, "suffix" : "" }, { "dropping-particle" : "", "family" : "Gardenbroek", "given" : "Tjibbe J", "non-dropping-particle" : "", "parse-names" : false, "suffix" : "" }, { "dropping-particle" : "", "family" : "Bossuyt", "given" : "Patrick M M", "non-dropping-particle" : "", "parse-names" : false, "suffix" : "" }, { "dropping-particle" : "", "family" : "Hart", "given" : "Ailsa", "non-dropping-particle" : "", "parse-names" : false, "suffix" : "" }, { "dropping-particle" : "", "family" : "Warusavitarne", "given" : "Janindra", "non-dropping-particle" : "", "parse-names" : false, "suffix" : "" }, { "dropping-particle" : "", "family" : "Buskens", "given" : "Christianne J", "non-dropping-particle" : "", "parse-names" : false, "suffix" : "" }, { "dropping-particle" : "", "family" : "Bodegraven", "given" : "Ad A", "non-dropping-particle" : "van", "parse-names" : false, "suffix" : "" }, { "dropping-particle" : "", "family" : "Brink", "given" : "Menno A", "non-dropping-particle" : "", "parse-names" : false, "suffix" : "" }, { "dropping-particle" : "", "family" : "Consten", "given" : "Esther C J", "non-dropping-particle" : "", "parse-names" : false, "suffix" : "" }, { "dropping-particle" : "", "family" : "Wagensveld", "given" : "Bart A", "non-dropping-particle" : "van", "parse-names" : false, "suffix" : "" }, { "dropping-particle" : "", "family" : "Rijk", "given" : "Marno C M", "non-dropping-particle" : "", "parse-names" : false, "suffix" : "" }, { "dropping-particle" : "", "family" : "Crolla", "given" : "Rogier M P H", "non-dropping-particle" : "", "parse-names" : false, "suffix" : "" }, { "dropping-particle" : "", "family" : "Noomen", "given" : "Casper G", "non-dropping-particle" : "", "parse-names" : false, "suffix" : "" }, { "dropping-particle" : "", "family" : "Houdijk", "given" : "Alexander P J", "non-dropping-particle" : "", "parse-names" : false, "suffix" : "" }, { "dropping-particle" : "", "family" : "Mallant", "given" : "Rosalie C", "non-dropping-particle" : "", "parse-names" : false, "suffix" : "" }, { "dropping-particle" : "", "family" : "Boom", "given" : "Maarten", "non-dropping-particle" : "", "parse-names" : false, "suffix" : "" }, { "dropping-particle" : "", "family" : "Marsman", "given" : "Willem A", "non-dropping-particle" : "", "parse-names" : false, "suffix" : "" }, { "dropping-particle" : "", "family" : "Stockmann", "given" : "Hein B", "non-dropping-particle" : "", "parse-names" : false, "suffix" : "" }, { "dropping-particle" : "", "family" : "Mol", "given" : "Bregje", "non-dropping-particle" : "", "parse-names" : false, "suffix" : "" }, { "dropping-particle" : "", "family" : "Groof", "given" : "A Jeroen", "non-dropping-particle" : "de", "parse-names" : false, "suffix" : "" }, { "dropping-particle" : "", "family" : "Stokkers", "given" : "Pieter C", "non-dropping-particle" : "", "parse-names" : false, "suffix" : "" }, { "dropping-particle" : "", "family" : "D'Haens", "given" : "Geert R", "non-dropping-particle" : "", "parse-names" : false, "suffix" : "" }, { "dropping-particle" : "", "family" : "Bemelman", "given" : "Willem A", "non-dropping-particle" : "", "parse-names" : false, "suffix" : "" }, { "dropping-particle" : "", "family" : "Bruin", "given" : "Karlien", "non-dropping-particle" : "", "parse-names" : false, "suffix" : "" }, { "dropping-particle" : "", "family" : "Maring", "given" : "John", "non-dropping-particle" : "", "parse-names" : false, "suffix" : "" }, { "dropping-particle" : "", "family" : "Ditzhuijsen", "given" : "Theo", "non-dropping-particle" : "van", "parse-names" : false, "suffix" : "" }, { "dropping-particle" : "", "family" : "Prins", "given" : "Hubert", "non-dropping-particle" : "", "parse-names" : false, "suffix" : "" }, { "dropping-particle" : "", "family" : "Brande", "given" : "Jan", "non-dropping-particle" : "van den", "parse-names" : false, "suffix" : "" }, { "dropping-particle" : "", "family" : "Kingma", "given" : "Paul", "non-dropping-particle" : "", "parse-names" : false, "suffix" : "" }, { "dropping-particle" : "", "family" : "Geloven", "given" : "Anna", "non-dropping-particle" : "van", "parse-names" : false, "suffix" : "" }, { "dropping-particle" : "", "family" : "Boer", "given" : "Nanne", "non-dropping-particle" : "de", "parse-names" : false, "suffix" : "" }, { "dropping-particle" : "", "family" : "Peet", "given" : "Donald", "non-dropping-particle" : "van der", "parse-names" : false, "suffix" : "" }, { "dropping-particle" : "", "family" : "Jansen", "given" : "Jeroen", "non-dropping-particle" : "", "parse-names" : false, "suffix" : "" }, { "dropping-particle" : "", "family" : "Gerhards", "given" : "Michael", "non-dropping-particle" : "", "parse-names" : false, "suffix" : "" }, { "dropping-particle" : "", "family" : "Woude", "given" : "Janneke", "non-dropping-particle" : "van der", "parse-names" : false, "suffix" : "" }, { "dropping-particle" : "", "family" : "Schouten", "given" : "Ruud", "non-dropping-particle" : "", "parse-names" : false, "suffix" : "" }, { "dropping-particle" : "", "family" : "Oldenburg", "given" : "Bas", "non-dropping-particle" : "", "parse-names" : false, "suffix" : "" }, { "dropping-particle" : "", "family" : "Hillegersberg", "given" : "Richard", "non-dropping-particle" : "van", "parse-names" : false, "suffix" : "" }, { "dropping-particle" : "", "family" : "West", "given" : "Rachel", "non-dropping-particle" : "", "parse-names" : false, "suffix" : "" }, { "dropping-particle" : "", "family" : "Mannaerts", "given" : "Guido", "non-dropping-particle" : "", "parse-names" : false, "suffix" : "" }, { "dropping-particle" : "", "family" : "Spanier", "given" : "Marcel", "non-dropping-particle" : "", "parse-names" : false, "suffix" : "" }, { "dropping-particle" : "", "family" : "Spillenaar Bilgen", "given" : "Ernst Jan", "non-dropping-particle" : "", "parse-names" : false, "suffix" : "" }, { "dropping-particle" : "", "family" : "Lieverse", "given" : "Rob", "non-dropping-particle" : "", "parse-names" : false, "suffix" : "" }, { "dropping-particle" : "", "family" : "Zaag", "given" : "Edwin", "non-dropping-particle" : "van der", "parse-names" : false, "suffix" : "" }, { "dropping-particle" : "", "family" : "Depla", "given" : "Annekatrien", "non-dropping-particle" : "", "parse-names" : false, "suffix" : "" }, { "dropping-particle" : "", "family" : "Laar", "given" : "Arnold", "non-dropping-particle" : "van de", "parse-names" : false, "suffix" : "" }, { "dropping-particle" : "", "family" : "Bolwerk", "given" : "Clemens", "non-dropping-particle" : "", "parse-names" : false, "suffix" : "" }, { "dropping-particle" : "", "family" : "Brouwer", "given" : "Hans", "non-dropping-particle" : "", "parse-names" : false, "suffix" : "" }, { "dropping-particle" : "", "family" : "Mahmmod", "given" : "Nofel", "non-dropping-particle" : "", "parse-names" : false, "suffix" : "" }, { "dropping-particle" : "", "family" : "Hazebroek", "given" : "Eric", "non-dropping-particle" : "", "parse-names" : false, "suffix" : "" }, { "dropping-particle" : "", "family" : "Vecht", "given" : "Juda", "non-dropping-particle" : "", "parse-names" : false, "suffix" : "" }, { "dropping-particle" : "", "family" : "Pierik", "given" : "Robert", "non-dropping-particle" : "", "parse-names" : false, "suffix" : "" }, { "dropping-particle" : "", "family" : "Dijkstra", "given" : "Gerard", "non-dropping-particle" : "", "parse-names" : false, "suffix" : "" }, { "dropping-particle" : "", "family" : "Hofker", "given" : "Sijbrand", "non-dropping-particle" : "", "parse-names" : false, "suffix" : "" }, { "dropping-particle" : "", "family" : "Uiterwaal", "given" : "Tessa", "non-dropping-particle" : "", "parse-names" : false, "suffix" : "" }, { "dropping-particle" : "", "family" : "Eijsbouts", "given" : "Quirijn", "non-dropping-particle" : "", "parse-names" : false, "suffix" : "" }, { "dropping-particle" : "", "family" : "Oostenbrug", "given" : "Liekele", "non-dropping-particle" : "", "parse-names" : false, "suffix" : "" }, { "dropping-particle" : "", "family" : "Sosef", "given" : "Meindert", "non-dropping-particle" : "", "parse-names" : false, "suffix" : "" }, { "dropping-particle" : "", "family" : "Cahen", "given" : "Djuna", "non-dropping-particle" : "", "parse-names" : false, "suffix" : "" }, { "dropping-particle" : "", "family" : "Werff", "given" : "Sjoerd", "non-dropping-particle" : "van der", "parse-names" : false, "suffix" : "" }, { "dropping-particle" : "", "family" : "Marinelli", "given" : "Andreas", "non-dropping-particle" : "", "parse-names" : false, "suffix" : "" }, { "dropping-particle" : "", "family" : "Peters", "given" : "Job", "non-dropping-particle" : "", "parse-names" : false, "suffix" : "" }, { "dropping-particle" : "", "family" : "Cense", "given" : "Huib", "non-dropping-particle" : "", "parse-names" : false, "suffix" : "" }, { "dropping-particle" : "", "family" : "Talstra", "given" : "Nynke", "non-dropping-particle" : "", "parse-names" : false, "suffix" : "" }, { "dropping-particle" : "", "family" : "Morar", "given" : "Pritesh", "non-dropping-particle" : "", "parse-names" : false, "suffix" : "" } ], "container-title" : "The Lancet Gastroenterology &amp; Hepatology", "id" : "ITEM-1", "issue" : "11", "issued" : { "date-parts" : [ [ "2017", "11" ] ] }, "page" : "785-792", "title" : "Laparoscopic ileocaecal resection versus infliximab for terminal ileitis in Crohn's disease: a randomised controlled, open-label, multicentre trial", "type" : "article-journal", "volume" : "2" }, "uris" : [ "http://www.mendeley.com/documents/?uuid=e329abb3-f38e-3cc4-97fa-3f7fa430fde2" ] } ], "mendeley" : { "formattedCitation" : "[10]", "plainTextFormattedCitation" : "[10]", "previouslyFormattedCitation" : "[10]" }, "properties" : { "noteIndex" : 0 }, "schema" : "https://github.com/citation-style-language/schema/raw/master/csl-citation.json" }</w:instrText>
      </w:r>
      <w:r w:rsidR="004D19A3">
        <w:rPr>
          <w:rFonts w:cstheme="minorHAnsi"/>
        </w:rPr>
        <w:fldChar w:fldCharType="separate"/>
      </w:r>
      <w:r w:rsidR="004D19A3" w:rsidRPr="004D19A3">
        <w:rPr>
          <w:rFonts w:cstheme="minorHAnsi"/>
          <w:noProof/>
        </w:rPr>
        <w:t>[10]</w:t>
      </w:r>
      <w:r w:rsidR="004D19A3">
        <w:rPr>
          <w:rFonts w:cstheme="minorHAnsi"/>
        </w:rPr>
        <w:fldChar w:fldCharType="end"/>
      </w:r>
      <w:r w:rsidR="004D19A3">
        <w:rPr>
          <w:rFonts w:cstheme="minorHAnsi"/>
        </w:rPr>
        <w:t>.</w:t>
      </w:r>
      <w:r w:rsidR="00CA3BDB">
        <w:rPr>
          <w:rFonts w:cstheme="minorHAnsi"/>
        </w:rPr>
        <w:t xml:space="preserve"> There are potential drawbacks to long-term anti-TNF use in patients, including </w:t>
      </w:r>
      <w:r w:rsidR="00337724">
        <w:rPr>
          <w:rFonts w:cstheme="minorHAnsi"/>
        </w:rPr>
        <w:t xml:space="preserve"> the risk of serious infections, immune reactions and malignancy</w:t>
      </w:r>
      <w:r w:rsidR="00CA3BDB">
        <w:rPr>
          <w:rFonts w:cstheme="minorHAnsi"/>
        </w:rPr>
        <w:t xml:space="preserve">, </w:t>
      </w:r>
      <w:r w:rsidR="00CA3BDB">
        <w:rPr>
          <w:rFonts w:cstheme="minorHAnsi"/>
        </w:rPr>
        <w:lastRenderedPageBreak/>
        <w:t xml:space="preserve">which must be </w:t>
      </w:r>
      <w:r w:rsidR="00337724">
        <w:rPr>
          <w:rFonts w:cstheme="minorHAnsi"/>
        </w:rPr>
        <w:t xml:space="preserve">considered and discussed </w:t>
      </w:r>
      <w:r w:rsidR="000E7399">
        <w:rPr>
          <w:rFonts w:cstheme="minorHAnsi"/>
        </w:rPr>
        <w:t xml:space="preserve">when starting patients on therapy and reviewed during ongoing treatment </w:t>
      </w:r>
      <w:r w:rsidR="00337724">
        <w:rPr>
          <w:rFonts w:cstheme="minorHAnsi"/>
        </w:rPr>
        <w:t xml:space="preserve">in an open fashion </w:t>
      </w:r>
      <w:r w:rsidR="000E7399">
        <w:rPr>
          <w:rFonts w:cstheme="minorHAnsi"/>
        </w:rPr>
        <w:fldChar w:fldCharType="begin" w:fldLock="1"/>
      </w:r>
      <w:r w:rsidR="00E11DF8">
        <w:rPr>
          <w:rFonts w:cstheme="minorHAnsi"/>
        </w:rPr>
        <w:instrText>ADDIN CSL_CITATION { "citationItems" : [ { "id" : "ITEM-1", "itemData" : { "DOI" : "10.1053/j.gastro.2017.02.004", "ISSN" : "1528-0012", "author" : [ { "dropping-particle" : "", "family" : "Hyams", "given" : "J S", "non-dropping-particle" : "", "parse-names" : false, "suffix" : "" }, { "dropping-particle" : "", "family" : "Dubinsky", "given" : "M C", "non-dropping-particle" : "", "parse-names" : false, "suffix" : "" }, { "dropping-particle" : "", "family" : "Baldassano", "given" : "R N", "non-dropping-particle" : "", "parse-names" : false, "suffix" : "" }, { "dropping-particle" : "", "family" : "Colletti", "given" : "R B", "non-dropping-particle" : "", "parse-names" : false, "suffix" : "" }, { "dropping-particle" : "", "family" : "Cucchiara", "given" : "S", "non-dropping-particle" : "", "parse-names" : false, "suffix" : "" }, { "dropping-particle" : "", "family" : "Escher", "given" : "J", "non-dropping-particle" : "", "parse-names" : false, "suffix" : "" }, { "dropping-particle" : "", "family" : "Faubion", "given" : "W", "non-dropping-particle" : "", "parse-names" : false, "suffix" : "" }, { "dropping-particle" : "", "family" : "Fell", "given" : "J", "non-dropping-particle" : "", "parse-names" : false, "suffix" : "" }, { "dropping-particle" : "", "family" : "Gold", "given" : "B D", "non-dropping-particle" : "", "parse-names" : false, "suffix" : "" }, { "dropping-particle" : "", "family" : "Griffiths", "given" : "A", "non-dropping-particle" : "", "parse-names" : false, "suffix" : "" }, { "dropping-particle" : "", "family" : "Koletzko", "given" : "S", "non-dropping-particle" : "", "parse-names" : false, "suffix" : "" }, { "dropping-particle" : "", "family" : "Kugathasan", "given" : "S", "non-dropping-particle" : "", "parse-names" : false, "suffix" : "" }, { "dropping-particle" : "", "family" : "Markowitz", "given" : "J", "non-dropping-particle" : "", "parse-names" : false, "suffix" : "" }, { "dropping-particle" : "", "family" : "Ruemmele", "given" : "F M", "non-dropping-particle" : "", "parse-names" : false, "suffix" : "" }, { "dropping-particle" : "", "family" : "Veereman", "given" : "G", "non-dropping-particle" : "", "parse-names" : false, "suffix" : "" }, { "dropping-particle" : "", "family" : "Winter", "given" : "H", "non-dropping-particle" : "", "parse-names" : false, "suffix" : "" }, { "dropping-particle" : "", "family" : "Masel", "given" : "N", "non-dropping-particle" : "", "parse-names" : false, "suffix" : "" }, { "dropping-particle" : "", "family" : "Shin", "given" : "C R", "non-dropping-particle" : "", "parse-names" : false, "suffix" : "" }, { "dropping-particle" : "", "family" : "Tang", "given" : "K L", "non-dropping-particle" : "", "parse-names" : false, "suffix" : "" }, { "dropping-particle" : "", "family" : "Thayu", "given" : "M", "non-dropping-particle" : "", "parse-names" : false, "suffix" : "" } ], "container-title" : "Gastroenterology", "id" : "ITEM-1", "issued" : { "date-parts" : [ [ "2017" ] ] }, "title" : "Infliximab not Associated With Increased Risk of Malignancy or Hemophagocytic Lymphohistiocytosis in Pediatric Patients With Inflammatory Bowel Disease", "type" : "article-journal" }, "uris" : [ "http://www.mendeley.com/documents/?uuid=37ab2c11-2684-4574-9dda-65ddd1df9454" ] }, { "id" : "ITEM-2", "itemData" : { "DOI" : "10.1016/S2468-1253(17)30248-0", "ISSN" : "24681253", "PMID" : "28838644", "abstract" : "BACKGROUND Treatment of patients with ileocaecal Crohn's disease who have not responded to conventional therapy is commonly scaled up to biological agents, but surgery can also offer excellent short-term and long-term results. We compared laparoscopic ileocaecal resection with infliximab to assess how they affect health-related quality of life. METHODS In this randomised controlled, open-label trial, in 29 teaching hospitals and tertiary care centres in the Netherlands and the UK, adults with non-stricturing, ileocaecal Crohn's disease, in whom conventional therapy has failed were randomly allocated (1:1) by an internet randomisation module with biased-coin minimisation for participating centres and perianal fistula to receive laparoscopic ileocaecal resection or infliximab. Eligible patients were aged 18-80 years, had active Crohn's disease of the terminal ileum, and had not responded to at least 3 months of conventional therapy with glucocorticosteroids, thiopurines, or methotrexate. Patients with diseased terminal ileum longer than 40 cm or abdominal abscesses were excluded. The primary outcome was quality of life on the Inflammatory Bowel Disease Questionnaire (IBDQ) at 12 months. Secondary outcomes were general quality of life, measured by the Short Form-36 (SF-36) health survey and its physical and mental component subscales, days unable to participate in social life, days on sick leave, morbidity (additional procedures and hospital admissions), and body image and cosmesis. Analyses of the primary outcome were done in the intention-to-treat population, and safety analyses were done in the per-protocol population. This trial is registered at the Dutch Trial Registry (NTR1150). FINDINGS Between May 2, 2008, and October 14, 2015, 73 patients were allocated to have resection and 70 to receive infliximab. Corrected for baseline differences, the mean IBDQ score at 12 months was 178\u00b71 (95% CI 171\u00b71-185\u00b70) in the resection group versus 172\u00b70 (164\u00b73-179\u00b76) in the infliximab group (mean difference 6\u00b71 points, 95% CI -4\u00b72 to 16\u00b74; p=0\u00b725). At 12 months, the mean SF-36 total score was 112\u00b71 (95% CI 108\u00b70-116\u00b72) in the resection group versus 106\u00b75 (102\u00b71-110\u00b79) in the infliximab group (mean difference 5\u00b76, 95% CI -0\u00b74 to 11\u00b76), the mean physical component score was 47\u00b77 (45\u00b77-49\u00b77) versus 44\u00b76 (42\u00b75-46\u00b78; mean difference 3\u00b71, 4\u00b72 to 6\u00b70), and the mean mental component score was 49\u00b75 (47\u00b70-52\u00b71) versus 46\u00b71 (43\u00b73-48\u00b79; mean difference 3\u00b75, -0\u00b73 to 7\u00b73). Mean nu\u2026", "author" : [ { "dropping-particle" : "", "family" : "Ponsioen", "given" : "Cyriel Y", "non-dropping-particle" : "", "parse-names" : false, "suffix" : "" }, { "dropping-particle" : "", "family" : "Groof", "given" : "E Joline", "non-dropping-particle" : "de", "parse-names" : false, "suffix" : "" }, { "dropping-particle" : "", "family" : "Eshuis", "given" : "Emma J", "non-dropping-particle" : "", "parse-names" : false, "suffix" : "" }, { "dropping-particle" : "", "family" : "Gardenbroek", "given" : "Tjibbe J", "non-dropping-particle" : "", "parse-names" : false, "suffix" : "" }, { "dropping-particle" : "", "family" : "Bossuyt", "given" : "Patrick M M", "non-dropping-particle" : "", "parse-names" : false, "suffix" : "" }, { "dropping-particle" : "", "family" : "Hart", "given" : "Ailsa", "non-dropping-particle" : "", "parse-names" : false, "suffix" : "" }, { "dropping-particle" : "", "family" : "Warusavitarne", "given" : "Janindra", "non-dropping-particle" : "", "parse-names" : false, "suffix" : "" }, { "dropping-particle" : "", "family" : "Buskens", "given" : "Christianne J", "non-dropping-particle" : "", "parse-names" : false, "suffix" : "" }, { "dropping-particle" : "", "family" : "Bodegraven", "given" : "Ad A", "non-dropping-particle" : "van", "parse-names" : false, "suffix" : "" }, { "dropping-particle" : "", "family" : "Brink", "given" : "Menno A", "non-dropping-particle" : "", "parse-names" : false, "suffix" : "" }, { "dropping-particle" : "", "family" : "Consten", "given" : "Esther C J", "non-dropping-particle" : "", "parse-names" : false, "suffix" : "" }, { "dropping-particle" : "", "family" : "Wagensveld", "given" : "Bart A", "non-dropping-particle" : "van", "parse-names" : false, "suffix" : "" }, { "dropping-particle" : "", "family" : "Rijk", "given" : "Marno C M", "non-dropping-particle" : "", "parse-names" : false, "suffix" : "" }, { "dropping-particle" : "", "family" : "Crolla", "given" : "Rogier M P H", "non-dropping-particle" : "", "parse-names" : false, "suffix" : "" }, { "dropping-particle" : "", "family" : "Noomen", "given" : "Casper G", "non-dropping-particle" : "", "parse-names" : false, "suffix" : "" }, { "dropping-particle" : "", "family" : "Houdijk", "given" : "Alexander P J", "non-dropping-particle" : "", "parse-names" : false, "suffix" : "" }, { "dropping-particle" : "", "family" : "Mallant", "given" : "Rosalie C", "non-dropping-particle" : "", "parse-names" : false, "suffix" : "" }, { "dropping-particle" : "", "family" : "Boom", "given" : "Maarten", "non-dropping-particle" : "", "parse-names" : false, "suffix" : "" }, { "dropping-particle" : "", "family" : "Marsman", "given" : "Willem A", "non-dropping-particle" : "", "parse-names" : false, "suffix" : "" }, { "dropping-particle" : "", "family" : "Stockmann", "given" : "Hein B", "non-dropping-particle" : "", "parse-names" : false, "suffix" : "" }, { "dropping-particle" : "", "family" : "Mol", "given" : "Bregje", "non-dropping-particle" : "", "parse-names" : false, "suffix" : "" }, { "dropping-particle" : "", "family" : "Groof", "given" : "A Jeroen", "non-dropping-particle" : "de", "parse-names" : false, "suffix" : "" }, { "dropping-particle" : "", "family" : "Stokkers", "given" : "Pieter C", "non-dropping-particle" : "", "parse-names" : false, "suffix" : "" }, { "dropping-particle" : "", "family" : "D'Haens", "given" : "Geert R", "non-dropping-particle" : "", "parse-names" : false, "suffix" : "" }, { "dropping-particle" : "", "family" : "Bemelman", "given" : "Willem A", "non-dropping-particle" : "", "parse-names" : false, "suffix" : "" }, { "dropping-particle" : "", "family" : "Bruin", "given" : "Karlien", "non-dropping-particle" : "", "parse-names" : false, "suffix" : "" }, { "dropping-particle" : "", "family" : "Maring", "given" : "John", "non-dropping-particle" : "", "parse-names" : false, "suffix" : "" }, { "dropping-particle" : "", "family" : "Ditzhuijsen", "given" : "Theo", "non-dropping-particle" : "van", "parse-names" : false, "suffix" : "" }, { "dropping-particle" : "", "family" : "Prins", "given" : "Hubert", "non-dropping-particle" : "", "parse-names" : false, "suffix" : "" }, { "dropping-particle" : "", "family" : "Brande", "given" : "Jan", "non-dropping-particle" : "van den", "parse-names" : false, "suffix" : "" }, { "dropping-particle" : "", "family" : "Kingma", "given" : "Paul", "non-dropping-particle" : "", "parse-names" : false, "suffix" : "" }, { "dropping-particle" : "", "family" : "Geloven", "given" : "Anna", "non-dropping-particle" : "van", "parse-names" : false, "suffix" : "" }, { "dropping-particle" : "", "family" : "Boer", "given" : "Nanne", "non-dropping-particle" : "de", "parse-names" : false, "suffix" : "" }, { "dropping-particle" : "", "family" : "Peet", "given" : "Donald", "non-dropping-particle" : "van der", "parse-names" : false, "suffix" : "" }, { "dropping-particle" : "", "family" : "Jansen", "given" : "Jeroen", "non-dropping-particle" : "", "parse-names" : false, "suffix" : "" }, { "dropping-particle" : "", "family" : "Gerhards", "given" : "Michael", "non-dropping-particle" : "", "parse-names" : false, "suffix" : "" }, { "dropping-particle" : "", "family" : "Woude", "given" : "Janneke", "non-dropping-particle" : "van der", "parse-names" : false, "suffix" : "" }, { "dropping-particle" : "", "family" : "Schouten", "given" : "Ruud", "non-dropping-particle" : "", "parse-names" : false, "suffix" : "" }, { "dropping-particle" : "", "family" : "Oldenburg", "given" : "Bas", "non-dropping-particle" : "", "parse-names" : false, "suffix" : "" }, { "dropping-particle" : "", "family" : "Hillegersberg", "given" : "Richard", "non-dropping-particle" : "van", "parse-names" : false, "suffix" : "" }, { "dropping-particle" : "", "family" : "West", "given" : "Rachel", "non-dropping-particle" : "", "parse-names" : false, "suffix" : "" }, { "dropping-particle" : "", "family" : "Mannaerts", "given" : "Guido", "non-dropping-particle" : "", "parse-names" : false, "suffix" : "" }, { "dropping-particle" : "", "family" : "Spanier", "given" : "Marcel", "non-dropping-particle" : "", "parse-names" : false, "suffix" : "" }, { "dropping-particle" : "", "family" : "Spillenaar Bilgen", "given" : "Ernst Jan", "non-dropping-particle" : "", "parse-names" : false, "suffix" : "" }, { "dropping-particle" : "", "family" : "Lieverse", "given" : "Rob", "non-dropping-particle" : "", "parse-names" : false, "suffix" : "" }, { "dropping-particle" : "", "family" : "Zaag", "given" : "Edwin", "non-dropping-particle" : "van der", "parse-names" : false, "suffix" : "" }, { "dropping-particle" : "", "family" : "Depla", "given" : "Annekatrien", "non-dropping-particle" : "", "parse-names" : false, "suffix" : "" }, { "dropping-particle" : "", "family" : "Laar", "given" : "Arnold", "non-dropping-particle" : "van de", "parse-names" : false, "suffix" : "" }, { "dropping-particle" : "", "family" : "Bolwerk", "given" : "Clemens", "non-dropping-particle" : "", "parse-names" : false, "suffix" : "" }, { "dropping-particle" : "", "family" : "Brouwer", "given" : "Hans", "non-dropping-particle" : "", "parse-names" : false, "suffix" : "" }, { "dropping-particle" : "", "family" : "Mahmmod", "given" : "Nofel", "non-dropping-particle" : "", "parse-names" : false, "suffix" : "" }, { "dropping-particle" : "", "family" : "Hazebroek", "given" : "Eric", "non-dropping-particle" : "", "parse-names" : false, "suffix" : "" }, { "dropping-particle" : "", "family" : "Vecht", "given" : "Juda", "non-dropping-particle" : "", "parse-names" : false, "suffix" : "" }, { "dropping-particle" : "", "family" : "Pierik", "given" : "Robert", "non-dropping-particle" : "", "parse-names" : false, "suffix" : "" }, { "dropping-particle" : "", "family" : "Dijkstra", "given" : "Gerard", "non-dropping-particle" : "", "parse-names" : false, "suffix" : "" }, { "dropping-particle" : "", "family" : "Hofker", "given" : "Sijbrand", "non-dropping-particle" : "", "parse-names" : false, "suffix" : "" }, { "dropping-particle" : "", "family" : "Uiterwaal", "given" : "Tessa", "non-dropping-particle" : "", "parse-names" : false, "suffix" : "" }, { "dropping-particle" : "", "family" : "Eijsbouts", "given" : "Quirijn", "non-dropping-particle" : "", "parse-names" : false, "suffix" : "" }, { "dropping-particle" : "", "family" : "Oostenbrug", "given" : "Liekele", "non-dropping-particle" : "", "parse-names" : false, "suffix" : "" }, { "dropping-particle" : "", "family" : "Sosef", "given" : "Meindert", "non-dropping-particle" : "", "parse-names" : false, "suffix" : "" }, { "dropping-particle" : "", "family" : "Cahen", "given" : "Djuna", "non-dropping-particle" : "", "parse-names" : false, "suffix" : "" }, { "dropping-particle" : "", "family" : "Werff", "given" : "Sjoerd", "non-dropping-particle" : "van der", "parse-names" : false, "suffix" : "" }, { "dropping-particle" : "", "family" : "Marinelli", "given" : "Andreas", "non-dropping-particle" : "", "parse-names" : false, "suffix" : "" }, { "dropping-particle" : "", "family" : "Peters", "given" : "Job", "non-dropping-particle" : "", "parse-names" : false, "suffix" : "" }, { "dropping-particle" : "", "family" : "Cense", "given" : "Huib", "non-dropping-particle" : "", "parse-names" : false, "suffix" : "" }, { "dropping-particle" : "", "family" : "Talstra", "given" : "Nynke", "non-dropping-particle" : "", "parse-names" : false, "suffix" : "" }, { "dropping-particle" : "", "family" : "Morar", "given" : "Pritesh", "non-dropping-particle" : "", "parse-names" : false, "suffix" : "" } ], "container-title" : "The Lancet Gastroenterology &amp; Hepatology", "id" : "ITEM-2", "issue" : "11", "issued" : { "date-parts" : [ [ "2017", "11" ] ] }, "page" : "785-792", "title" : "Laparoscopic ileocaecal resection versus infliximab for terminal ileitis in Crohn's disease: a randomised controlled, open-label, multicentre trial", "type" : "article-journal", "volume" : "2" }, "uris" : [ "http://www.mendeley.com/documents/?uuid=e329abb3-f38e-3cc4-97fa-3f7fa430fde2" ] }, { "id" : "ITEM-3", "itemData" : { "DOI" : "10.1111/apt.14893", "ISSN" : "02692813", "PMID" : "29984520", "abstract" : "BACKGROUND Risk benefit strategies in managing inflammatory bowel diseases (IBD) are dependent upon understanding the risks of uncontrolled inflammation vs those of treatments. Malignancy and mortality in IBD have been associated with disease-related inflammation and immune suppression, but data are limited due to their rare occurrence. AIM To identify and describe the most common causes of mortality, types of cancer and previous or current therapy among children and young adults with paediatric-onset IBD. METHODS Information on paediatric-onset IBD patients diagnosed with malignancy or mortality was prospectively collected via a survey in 25 countries over a 42-month period. Patients were included if death or malignancy occurred after IBD diagnosis but before the age of 26\u00a0years. RESULTS In total, 60 patients were identified including 43 malignancies and 26 fatal cases (9 due to cancer). Main causes of fatality were malignancies (n\u00a0=\u00a09), IBD or IBD-therapy related nonmalignant causes (n\u00a0=\u00a010; including 5 infections), and suicides (n\u00a0=\u00a03). Three cases, all fatal, of hepatosplenic T-cell lymphoma were identified, all were biologic-na\u00efve but thiopurine-exposed. No other haematological malignancies were fatal. The 6 other fatal cancer cases included 3 colorectal adenocarcinomas and 3 cholangiocarcinomas (CCAs). Primary sclerosing cholangitis (PSC) was present in 5 (56%) fatal cancers (1 colorectal carcinoma, 3 CCAs and 1 hepatosplenic T-cell lymphoma). CONCLUSIONS We report the largest number of paediatric-onset IBD patients with cancer and/or fatal outcomes to date. Malignancies followed by infections were the major causes of mortality. We identified PSC as a significant risk factor for cancer-associated mortality. Disease-related adenocarcinomas were a commoner cause of death than lymphomas.", "author" : [ { "dropping-particle" : "", "family" : "Joosse", "given" : "M. E.", "non-dropping-particle" : "", "parse-names" : false, "suffix" : "" }, { "dropping-particle" : "", "family" : "Aardoom", "given" : "M. A.", "non-dropping-particle" : "", "parse-names" : false, "suffix" : "" }, { "dropping-particle" : "", "family" : "Kemos", "given" : "P.", "non-dropping-particle" : "", "parse-names" : false, "suffix" : "" }, { "dropping-particle" : "", "family" : "Turner", "given" : "D.", "non-dropping-particle" : "", "parse-names" : false, "suffix" : "" }, { "dropping-particle" : "", "family" : "Wilson", "given" : "D. C.", "non-dropping-particle" : "", "parse-names" : false, "suffix" : "" }, { "dropping-particle" : "", "family" : "Koletzko", "given" : "S.", "non-dropping-particle" : "", "parse-names" : false, "suffix" : "" }, { "dropping-particle" : "", "family" : "Martin-de-Carpi", "given" : "J.", "non-dropping-particle" : "", "parse-names" : false, "suffix" : "" }, { "dropping-particle" : "", "family" : "Fagerberg", "given" : "U. L.", "non-dropping-particle" : "", "parse-names" : false, "suffix" : "" }, { "dropping-particle" : "", "family" : "Spray", "given" : "C.", "non-dropping-particle" : "", "parse-names" : false, "suffix" : "" }, { "dropping-particle" : "", "family" : "Tzivinikos", "given" : "C.", "non-dropping-particle" : "", "parse-names" : false, "suffix" : "" }, { "dropping-particle" : "", "family" : "Sladek", "given" : "M.", "non-dropping-particle" : "", "parse-names" : false, "suffix" : "" }, { "dropping-particle" : "", "family" : "Shaoul", "given" : "R.", "non-dropping-particle" : "", "parse-names" : false, "suffix" : "" }, { "dropping-particle" : "", "family" : "Roma-Giannikou", "given" : "E.", "non-dropping-particle" : "", "parse-names" : false, "suffix" : "" }, { "dropping-particle" : "", "family" : "Bronsky", "given" : "J.", "non-dropping-particle" : "", "parse-names" : false, "suffix" : "" }, { "dropping-particle" : "", "family" : "Serban", "given" : "D. E.", "non-dropping-particle" : "", "parse-names" : false, "suffix" : "" }, { "dropping-particle" : "", "family" : "Ruemmele", "given" : "F. M.", "non-dropping-particle" : "", "parse-names" : false, "suffix" : "" }, { "dropping-particle" : "", "family" : "Garnier-Lengline", "given" : "H.", "non-dropping-particle" : "", "parse-names" : false, "suffix" : "" }, { "dropping-particle" : "", "family" : "Veres", "given" : "G.", "non-dropping-particle" : "", "parse-names" : false, "suffix" : "" }, { "dropping-particle" : "", "family" : "Hojsak", "given" : "I.", "non-dropping-particle" : "", "parse-names" : false, "suffix" : "" }, { "dropping-particle" : "", "family" : "Kolho", "given" : "K. L.", "non-dropping-particle" : "", "parse-names" : false, "suffix" : "" }, { "dropping-particle" : "", "family" : "Davies", "given" : "I. H.", "non-dropping-particle" : "", "parse-names" : false, "suffix" : "" }, { "dropping-particle" : "", "family" : "Aloi", "given" : "M.", "non-dropping-particle" : "", "parse-names" : false, "suffix" : "" }, { "dropping-particle" : "", "family" : "Lionetti", "given" : "P.", "non-dropping-particle" : "", "parse-names" : false, "suffix" : "" }, { "dropping-particle" : "", "family" : "Hussey", "given" : "S.", "non-dropping-particle" : "", "parse-names" : false, "suffix" : "" }, { "dropping-particle" : "", "family" : "Veereman", "given" : "G.", "non-dropping-particle" : "", "parse-names" : false, "suffix" : "" }, { "dropping-particle" : "", "family" : "Braegger", "given" : "C. P.", "non-dropping-particle" : "", "parse-names" : false, "suffix" : "" }, { "dropping-particle" : "", "family" : "Trindade", "given" : "E.", "non-dropping-particle" : "", "parse-names" : false, "suffix" : "" }, { "dropping-particle" : "V.", "family" : "Wewer", "given" : "A.", "non-dropping-particle" : "", "parse-names" : false, "suffix" : "" }, { "dropping-particle" : "", "family" : "Hauer", "given" : "A. C.", "non-dropping-particle" : "", "parse-names" : false, "suffix" : "" }, { "dropping-particle" : "", "family" : "Vries", "given" : "A. C. H.", "non-dropping-particle" : "de", "parse-names" : false, "suffix" : "" }, { "dropping-particle" : "", "family" : "Sigall Boneh", "given" : "R.", "non-dropping-particle" : "", "parse-names" : false, "suffix" : "" }, { "dropping-particle" : "", "family" : "Sarbagili Shabat", "given" : "C.", "non-dropping-particle" : "", "parse-names" : false, "suffix" : "" }, { "dropping-particle" : "", "family" : "Levine", "given" : "A.", "non-dropping-particle" : "", "parse-names" : false, "suffix" : "" }, { "dropping-particle" : "", "family" : "Ridder", "given" : "L.", "non-dropping-particle" : "de", "parse-names" : false, "suffix" : "" }, { "dropping-particle" : "", "family" : "Paediatric IBD Porto group of ESPGHAN", "given" : "", "non-dropping-particle" : "", "parse-names" : false, "suffix" : "" } ], "container-title" : "Alimentary Pharmacology &amp; Therapeutics", "id" : "ITEM-3", "issue" : "5", "issued" : { "date-parts" : [ [ "2018", "9" ] ] }, "page" : "523-537", "title" : "Malignancy and mortality in paediatric-onset inflammatory bowel disease: a 3-year prospective, multinational study from the paediatric IBD Porto group of ESPGHAN", "type" : "article-journal", "volume" : "48" }, "uris" : [ "http://www.mendeley.com/documents/?uuid=947bb2ca-db81-3136-ae82-3a505dd33b69" ] } ], "mendeley" : { "formattedCitation" : "[3,10,11]", "plainTextFormattedCitation" : "[3,10,11]", "previouslyFormattedCitation" : "[3,10,11]" }, "properties" : { "noteIndex" : 0 }, "schema" : "https://github.com/citation-style-language/schema/raw/master/csl-citation.json" }</w:instrText>
      </w:r>
      <w:r w:rsidR="000E7399">
        <w:rPr>
          <w:rFonts w:cstheme="minorHAnsi"/>
        </w:rPr>
        <w:fldChar w:fldCharType="separate"/>
      </w:r>
      <w:r w:rsidR="00E96EE3" w:rsidRPr="00E96EE3">
        <w:rPr>
          <w:rFonts w:cstheme="minorHAnsi"/>
          <w:noProof/>
        </w:rPr>
        <w:t>[3,10,11]</w:t>
      </w:r>
      <w:r w:rsidR="000E7399">
        <w:rPr>
          <w:rFonts w:cstheme="minorHAnsi"/>
        </w:rPr>
        <w:fldChar w:fldCharType="end"/>
      </w:r>
      <w:r w:rsidR="000E7399">
        <w:rPr>
          <w:rFonts w:cstheme="minorHAnsi"/>
        </w:rPr>
        <w:t>.</w:t>
      </w:r>
    </w:p>
    <w:p w14:paraId="7CF59FF3" w14:textId="05E75C73" w:rsidR="006F4CC3" w:rsidRDefault="006F4CC3" w:rsidP="006A0590">
      <w:pPr>
        <w:spacing w:line="480" w:lineRule="auto"/>
        <w:rPr>
          <w:rFonts w:cstheme="minorHAnsi"/>
        </w:rPr>
      </w:pPr>
      <w:r>
        <w:rPr>
          <w:rFonts w:cstheme="minorHAnsi"/>
        </w:rPr>
        <w:t>In children</w:t>
      </w:r>
      <w:r w:rsidR="00F14497">
        <w:rPr>
          <w:rFonts w:cstheme="minorHAnsi"/>
        </w:rPr>
        <w:t>,</w:t>
      </w:r>
      <w:r>
        <w:rPr>
          <w:rFonts w:cstheme="minorHAnsi"/>
        </w:rPr>
        <w:t xml:space="preserve"> the</w:t>
      </w:r>
      <w:r w:rsidR="00687F0A">
        <w:rPr>
          <w:rFonts w:cstheme="minorHAnsi"/>
        </w:rPr>
        <w:t xml:space="preserve"> rates of surgery vary depending on underlying diagnosis</w:t>
      </w:r>
      <w:r w:rsidR="006F58FF">
        <w:rPr>
          <w:rFonts w:cstheme="minorHAnsi"/>
        </w:rPr>
        <w:t xml:space="preserve"> and severity of disease </w:t>
      </w:r>
      <w:r w:rsidR="006F58FF">
        <w:rPr>
          <w:rFonts w:cstheme="minorHAnsi"/>
        </w:rPr>
        <w:fldChar w:fldCharType="begin" w:fldLock="1"/>
      </w:r>
      <w:r w:rsidR="00E11DF8">
        <w:rPr>
          <w:rFonts w:cstheme="minorHAnsi"/>
        </w:rPr>
        <w:instrText>ADDIN CSL_CITATION { "citationItems" : [ { "id" : "ITEM-1", "itemData" : { "DOI" : "10.1136/archdischild-2013-305214", "ISSN" : "1468-2044", "author" : [ { "dropping-particle" : "", "family" : "Blackburn", "given" : "S C", "non-dropping-particle" : "", "parse-names" : false, "suffix" : "" }, { "dropping-particle" : "", "family" : "Wiskin", "given" : "A E", "non-dropping-particle" : "", "parse-names" : false, "suffix" : "" }, { "dropping-particle" : "", "family" : "Barnes", "given" : "C", "non-dropping-particle" : "", "parse-names" : false, "suffix" : "" }, { "dropping-particle" : "", "family" : "Dick", "given" : "K", "non-dropping-particle" : "", "parse-names" : false, "suffix" : "" }, { "dropping-particle" : "", "family" : "Afzal", "given" : "N A", "non-dropping-particle" : "", "parse-names" : false, "suffix" : "" }, { "dropping-particle" : "", "family" : "Griffiths", "given" : "D M", "non-dropping-particle" : "", "parse-names" : false, "suffix" : "" }, { "dropping-particle" : "", "family" : "Beattie", "given" : "R M", "non-dropping-particle" : "", "parse-names" : false, "suffix" : "" }, { "dropping-particle" : "", "family" : "Stanton", "given" : "M P", "non-dropping-particle" : "", "parse-names" : false, "suffix" : "" } ], "container-title" : "Arch Dis Child", "id" : "ITEM-1", "issue" : "5", "issued" : { "date-parts" : [ [ "2014" ] ] }, "page" : "420-426", "title" : "Surgery for children with Crohn's disease: indications, complications and outcome", "type" : "article-journal", "volume" : "99" }, "uris" : [ "http://www.mendeley.com/documents/?uuid=b85420f2-6187-4911-a4c1-86398fbe85ca" ] }, { "id" : "ITEM-2", "itemData" : { "DOI" : "10.1016/j.jpedsurg.2015.10.077", "ISSN" : "15315037", "abstract" : "\u00a9 2016 Elsevier Inc. Background/Purpose There is a paucity of data on outcomes and complications of colectomy for pediatric ulcerative colitis (UC). This study reports the experience of a regional center for 18 years. Methods Patients were identified from a prospective database and data obtained by note review. Median height/weight-SDS were calculated preoperatively and postoperatively. Data are expressed as median values (range). Results 220 patients with UC (diagnosed  &lt;  17 years) were identified, and 19 (9%) had undergone colectomy. Age at diagnosis was 11.6 years (1.3-16.5), and 42% of patients were male. Time from diagnosis to surgery was 2.2 years (0.1-13.1). All patients had failed maximal medical therapy. Fifteen patients had urgent scheduled operation, and 4 had emergency procedures, with 2 for (11%) acute-severe colitis (1 Clostridium difficile colitis) and 2 for acute-severe colitis with toxic dilatation. All initial procedures were subtotal-colectomy with ileostomy. Nine patients (47%) had early complications (during initial admission), 7 (37%) requiring reoperation. Six (32%) had late complications, with 5 requiring laparotomy. No patients had both early and late complications. Height-SDS was - 0.27 before surgery and - 0.23 (maximal follow-up). W eight-SDS was 0.32 and 0.05 (maximal follow-up). Conclusion Approximately 1/11 children with UC required colectomy during childhood. Half of patients had acute complications, and 1/3 of patients required another operation during their first admission. 1/3 of patients developed late complications.", "author" : [ { "dropping-particle" : "", "family" : "Ashton", "given" : "J.J.", "non-dropping-particle" : "", "parse-names" : false, "suffix" : "" }, { "dropping-particle" : "", "family" : "Versteegh", "given" : "H.P.", "non-dropping-particle" : "", "parse-names" : false, "suffix" : "" }, { "dropping-particle" : "", "family" : "Batra", "given" : "A.", "non-dropping-particle" : "", "parse-names" : false, "suffix" : "" }, { "dropping-particle" : "", "family" : "Afzal", "given" : "N.A.", "non-dropping-particle" : "", "parse-names" : false, "suffix" : "" }, { "dropping-particle" : "", "family" : "King", "given" : "A.", "non-dropping-particle" : "", "parse-names" : false, "suffix" : "" }, { "dropping-particle" : "", "family" : "Griffiths", "given" : "D.M.", "non-dropping-particle" : "", "parse-names" : false, "suffix" : "" }, { "dropping-particle" : "", "family" : "Beattie", "given" : "R.M.", "non-dropping-particle" : "", "parse-names" : false, "suffix" : "" }, { "dropping-particle" : "", "family" : "Stanton", "given" : "M.P.", "non-dropping-particle" : "", "parse-names" : false, "suffix" : "" } ], "container-title" : "Journal of Pediatric Surgery", "id" : "ITEM-2", "issue" : "2", "issued" : { "date-parts" : [ [ "2016" ] ] }, "title" : "Colectomy in pediatric ulcerative colitis: A single center experience of indications, outcomes, and complications", "type" : "article-journal", "volume" : "51" }, "uris" : [ "http://www.mendeley.com/documents/?uuid=b8dcf5cb-c9e2-3280-b2b8-165e137100b2" ] } ], "mendeley" : { "formattedCitation" : "[12,13]", "plainTextFormattedCitation" : "[12,13]", "previouslyFormattedCitation" : "[12,13]" }, "properties" : { "noteIndex" : 0 }, "schema" : "https://github.com/citation-style-language/schema/raw/master/csl-citation.json" }</w:instrText>
      </w:r>
      <w:r w:rsidR="006F58FF">
        <w:rPr>
          <w:rFonts w:cstheme="minorHAnsi"/>
        </w:rPr>
        <w:fldChar w:fldCharType="separate"/>
      </w:r>
      <w:r w:rsidR="00E96EE3" w:rsidRPr="00E96EE3">
        <w:rPr>
          <w:rFonts w:cstheme="minorHAnsi"/>
          <w:noProof/>
        </w:rPr>
        <w:t>[12,13]</w:t>
      </w:r>
      <w:r w:rsidR="006F58FF">
        <w:rPr>
          <w:rFonts w:cstheme="minorHAnsi"/>
        </w:rPr>
        <w:fldChar w:fldCharType="end"/>
      </w:r>
      <w:r w:rsidR="00EC0B85">
        <w:rPr>
          <w:rFonts w:cstheme="minorHAnsi"/>
        </w:rPr>
        <w:t>. In previous da</w:t>
      </w:r>
      <w:r w:rsidR="002E79BE">
        <w:rPr>
          <w:rFonts w:cstheme="minorHAnsi"/>
        </w:rPr>
        <w:t>ta from our Southern United Kingdom (Wessex)</w:t>
      </w:r>
      <w:r w:rsidR="00EC0B85">
        <w:rPr>
          <w:rFonts w:cstheme="minorHAnsi"/>
        </w:rPr>
        <w:t xml:space="preserve"> </w:t>
      </w:r>
      <w:r w:rsidR="00687F0A">
        <w:rPr>
          <w:rFonts w:cstheme="minorHAnsi"/>
        </w:rPr>
        <w:t xml:space="preserve">region </w:t>
      </w:r>
      <w:r w:rsidR="002B6A7D">
        <w:rPr>
          <w:rFonts w:cstheme="minorHAnsi"/>
        </w:rPr>
        <w:t xml:space="preserve">(1997-2014), </w:t>
      </w:r>
      <w:r w:rsidR="00687F0A">
        <w:rPr>
          <w:rFonts w:cstheme="minorHAnsi"/>
        </w:rPr>
        <w:t xml:space="preserve">9% of patients with ulcerative colitis underwent colectomy prior to transition to adult service </w:t>
      </w:r>
      <w:r w:rsidR="00687F0A">
        <w:rPr>
          <w:rFonts w:cstheme="minorHAnsi"/>
        </w:rPr>
        <w:fldChar w:fldCharType="begin" w:fldLock="1"/>
      </w:r>
      <w:r w:rsidR="00E11DF8">
        <w:rPr>
          <w:rFonts w:cstheme="minorHAnsi"/>
        </w:rPr>
        <w:instrText>ADDIN CSL_CITATION { "citationItems" : [ { "id" : "ITEM-1", "itemData" : { "DOI" : "10.1016/j.jpedsurg.2015.10.077", "ISSN" : "15315037", "abstract" : "\u00a9 2016 Elsevier Inc. Background/Purpose There is a paucity of data on outcomes and complications of colectomy for pediatric ulcerative colitis (UC). This study reports the experience of a regional center for 18 years. Methods Patients were identified from a prospective database and data obtained by note review. Median height/weight-SDS were calculated preoperatively and postoperatively. Data are expressed as median values (range). Results 220 patients with UC (diagnosed  &lt;  17 years) were identified, and 19 (9%) had undergone colectomy. Age at diagnosis was 11.6 years (1.3-16.5), and 42% of patients were male. Time from diagnosis to surgery was 2.2 years (0.1-13.1). All patients had failed maximal medical therapy. Fifteen patients had urgent scheduled operation, and 4 had emergency procedures, with 2 for (11%) acute-severe colitis (1 Clostridium difficile colitis) and 2 for acute-severe colitis with toxic dilatation. All initial procedures were subtotal-colectomy with ileostomy. Nine patients (47%) had early complications (during initial admission), 7 (37%) requiring reoperation. Six (32%) had late complications, with 5 requiring laparotomy. No patients had both early and late complications. Height-SDS was - 0.27 before surgery and - 0.23 (maximal follow-up). W eight-SDS was 0.32 and 0.05 (maximal follow-up). Conclusion Approximately 1/11 children with UC required colectomy during childhood. Half of patients had acute complications, and 1/3 of patients required another operation during their first admission. 1/3 of patients developed late complications.", "author" : [ { "dropping-particle" : "", "family" : "Ashton", "given" : "J.J.", "non-dropping-particle" : "", "parse-names" : false, "suffix" : "" }, { "dropping-particle" : "", "family" : "Versteegh", "given" : "H.P.", "non-dropping-particle" : "", "parse-names" : false, "suffix" : "" }, { "dropping-particle" : "", "family" : "Batra", "given" : "A.", "non-dropping-particle" : "", "parse-names" : false, "suffix" : "" }, { "dropping-particle" : "", "family" : "Afzal", "given" : "N.A.", "non-dropping-particle" : "", "parse-names" : false, "suffix" : "" }, { "dropping-particle" : "", "family" : "King", "given" : "A.", "non-dropping-particle" : "", "parse-names" : false, "suffix" : "" }, { "dropping-particle" : "", "family" : "Griffiths", "given" : "D.M.", "non-dropping-particle" : "", "parse-names" : false, "suffix" : "" }, { "dropping-particle" : "", "family" : "Beattie", "given" : "R.M.", "non-dropping-particle" : "", "parse-names" : false, "suffix" : "" }, { "dropping-particle" : "", "family" : "Stanton", "given" : "M.P.", "non-dropping-particle" : "", "parse-names" : false, "suffix" : "" } ], "container-title" : "Journal of Pediatric Surgery", "id" : "ITEM-1", "issue" : "2", "issued" : { "date-parts" : [ [ "2016" ] ] }, "title" : "Colectomy in pediatric ulcerative colitis: A single center experience of indications, outcomes, and complications", "type" : "article-journal", "volume" : "51" }, "uris" : [ "http://www.mendeley.com/documents/?uuid=b8dcf5cb-c9e2-3280-b2b8-165e137100b2" ] } ], "mendeley" : { "formattedCitation" : "[13]", "plainTextFormattedCitation" : "[13]", "previouslyFormattedCitation" : "[13]" }, "properties" : { "noteIndex" : 0 }, "schema" : "https://github.com/citation-style-language/schema/raw/master/csl-citation.json" }</w:instrText>
      </w:r>
      <w:r w:rsidR="00687F0A">
        <w:rPr>
          <w:rFonts w:cstheme="minorHAnsi"/>
        </w:rPr>
        <w:fldChar w:fldCharType="separate"/>
      </w:r>
      <w:r w:rsidR="00E96EE3" w:rsidRPr="00E96EE3">
        <w:rPr>
          <w:rFonts w:cstheme="minorHAnsi"/>
          <w:noProof/>
        </w:rPr>
        <w:t>[13]</w:t>
      </w:r>
      <w:r w:rsidR="00687F0A">
        <w:rPr>
          <w:rFonts w:cstheme="minorHAnsi"/>
        </w:rPr>
        <w:fldChar w:fldCharType="end"/>
      </w:r>
      <w:r w:rsidR="00687F0A">
        <w:rPr>
          <w:rFonts w:cstheme="minorHAnsi"/>
        </w:rPr>
        <w:t xml:space="preserve">. </w:t>
      </w:r>
      <w:r w:rsidR="006F58FF">
        <w:rPr>
          <w:rFonts w:cstheme="minorHAnsi"/>
        </w:rPr>
        <w:t>Three other</w:t>
      </w:r>
      <w:r w:rsidR="00687F0A">
        <w:rPr>
          <w:rFonts w:cstheme="minorHAnsi"/>
        </w:rPr>
        <w:t xml:space="preserve"> studies over a 25 year</w:t>
      </w:r>
      <w:r w:rsidR="006F58FF">
        <w:rPr>
          <w:rFonts w:cstheme="minorHAnsi"/>
        </w:rPr>
        <w:t xml:space="preserve"> time period</w:t>
      </w:r>
      <w:r w:rsidR="00687F0A">
        <w:rPr>
          <w:rFonts w:cstheme="minorHAnsi"/>
        </w:rPr>
        <w:t xml:space="preserve"> </w:t>
      </w:r>
      <w:r w:rsidR="006F58FF">
        <w:rPr>
          <w:rFonts w:cstheme="minorHAnsi"/>
        </w:rPr>
        <w:t>(</w:t>
      </w:r>
      <w:r w:rsidR="00687F0A">
        <w:rPr>
          <w:rFonts w:cstheme="minorHAnsi"/>
        </w:rPr>
        <w:t>from 1996</w:t>
      </w:r>
      <w:r w:rsidR="006F58FF">
        <w:rPr>
          <w:rFonts w:cstheme="minorHAnsi"/>
        </w:rPr>
        <w:t>)</w:t>
      </w:r>
      <w:r w:rsidR="00687F0A">
        <w:rPr>
          <w:rFonts w:cstheme="minorHAnsi"/>
        </w:rPr>
        <w:t xml:space="preserve"> reported colectomy rates varying between 6-24% </w:t>
      </w:r>
      <w:r w:rsidR="00687F0A">
        <w:rPr>
          <w:rFonts w:cstheme="minorHAnsi"/>
        </w:rPr>
        <w:fldChar w:fldCharType="begin" w:fldLock="1"/>
      </w:r>
      <w:r w:rsidR="00E11DF8">
        <w:rPr>
          <w:rFonts w:cstheme="minorHAnsi"/>
        </w:rPr>
        <w:instrText>ADDIN CSL_CITATION { "citationItems" : [ { "id" : "ITEM-1", "itemData" : { "ISSN" : "0022-3476", "author" : [ { "dropping-particle" : "", "family" : "Hyams", "given" : "J S", "non-dropping-particle" : "", "parse-names" : false, "suffix" : "" }, { "dropping-particle" : "", "family" : "Davis", "given" : "P", "non-dropping-particle" : "", "parse-names" : false, "suffix" : "" }, { "dropping-particle" : "", "family" : "Grancher", "given" : "K", "non-dropping-particle" : "", "parse-names" : false, "suffix" : "" }, { "dropping-particle" : "", "family" : "Lerer", "given" : "T", "non-dropping-particle" : "", "parse-names" : false, "suffix" : "" }, { "dropping-particle" : "", "family" : "Justinich", "given" : "C J", "non-dropping-particle" : "", "parse-names" : false, "suffix" : "" }, { "dropping-particle" : "", "family" : "Markowitz", "given" : "J", "non-dropping-particle" : "", "parse-names" : false, "suffix" : "" } ], "container-title" : "J Pediatr", "id" : "ITEM-1", "issue" : "1", "issued" : { "date-parts" : [ [ "1996" ] ] }, "page" : "81-88", "title" : "Clinical outcome of ulcerative colitis in children", "type" : "article-journal", "volume" : "129" }, "uris" : [ "http://www.mendeley.com/documents/?uuid=8607351c-c234-4789-89f6-a4cc3e85899a" ] }, { "id" : "ITEM-2", "itemData" : { "DOI" : "10.1038/ajg.2009.177", "ISSN" : "1572-0241", "author" : [ { "dropping-particle" : "", "family" : "Gower-Rousseau", "given" : "C", "non-dropping-particle" : "", "parse-names" : false, "suffix" : "" }, { "dropping-particle" : "", "family" : "Dauchet", "given" : "L", "non-dropping-particle" : "", "parse-names" : false, "suffix" : "" }, { "dropping-particle" : "", "family" : "Vernier-Massouille", "given" : "G", "non-dropping-particle" : "", "parse-names" : false, "suffix" : "" }, { "dropping-particle" : "", "family" : "Tilloy", "given" : "E", "non-dropping-particle" : "", "parse-names" : false, "suffix" : "" }, { "dropping-particle" : "", "family" : "Brazier", "given" : "F", "non-dropping-particle" : "", "parse-names" : false, "suffix" : "" }, { "dropping-particle" : "", "family" : "Merle", "given" : "V", "non-dropping-particle" : "", "parse-names" : false, "suffix" : "" }, { "dropping-particle" : "", "family" : "Dupas", "given" : "J L", "non-dropping-particle" : "", "parse-names" : false, "suffix" : "" }, { "dropping-particle" : "", "family" : "Savoye", "given" : "G", "non-dropping-particle" : "", "parse-names" : false, "suffix" : "" }, { "dropping-particle" : "", "family" : "Bald\u00e9", "given" : "M", "non-dropping-particle" : "", "parse-names" : false, "suffix" : "" }, { "dropping-particle" : "", "family" : "Marti", "given" : "R", "non-dropping-particle" : "", "parse-names" : false, "suffix" : "" }, { "dropping-particle" : "", "family" : "Lerebours", "given" : "E", "non-dropping-particle" : "", "parse-names" : false, "suffix" : "" }, { "dropping-particle" : "", "family" : "Cortot", "given" : "A", "non-dropping-particle" : "", "parse-names" : false, "suffix" : "" }, { "dropping-particle" : "", "family" : "Salomez", "given" : "J L", "non-dropping-particle" : "", "parse-names" : false, "suffix" : "" }, { "dropping-particle" : "", "family" : "Turck", "given" : "D", "non-dropping-particle" : "", "parse-names" : false, "suffix" : "" }, { "dropping-particle" : "", "family" : "Colombel", "given" : "J F", "non-dropping-particle" : "", "parse-names" : false, "suffix" : "" } ], "container-title" : "Am J Gastroenterol", "id" : "ITEM-2", "issue" : "8", "issued" : { "date-parts" : [ [ "2009" ] ] }, "page" : "2080-2088", "title" : "The natural history of pediatric ulcerative colitis: a population-based cohort study", "type" : "article-journal", "volume" : "104" }, "uris" : [ "http://www.mendeley.com/documents/?uuid=9c5be525-f9e5-4351-b068-8af1e041ca75" ] }, { "id" : "ITEM-3", "itemData" : { "DOI" : "10.1097/MPG.0b013e318245265c", "ISSN" : "1536-4801", "author" : [ { "dropping-particle" : "", "family" : "Soon", "given" : "I S", "non-dropping-particle" : "", "parse-names" : false, "suffix" : "" }, { "dropping-particle" : "", "family" : "Wrobel", "given" : "I", "non-dropping-particle" : "", "parse-names" : false, "suffix" : "" }, { "dropping-particle" : "", "family" : "deBruyn", "given" : "J C", "non-dropping-particle" : "", "parse-names" : false, "suffix" : "" }, { "dropping-particle" : "", "family" : "Sauve", "given" : "R", "non-dropping-particle" : "", "parse-names" : false, "suffix" : "" }, { "dropping-particle" : "", "family" : "Sigalet", "given" : "D L", "non-dropping-particle" : "", "parse-names" : false, "suffix" : "" }, { "dropping-particle" : "", "family" : "Kaplan", "given" : "B S", "non-dropping-particle" : "", "parse-names" : false, "suffix" : "" }, { "dropping-particle" : "", "family" : "Proulx", "given" : "M C", "non-dropping-particle" : "", "parse-names" : false, "suffix" : "" }, { "dropping-particle" : "", "family" : "Kaplan", "given" : "G G", "non-dropping-particle" : "", "parse-names" : false, "suffix" : "" } ], "container-title" : "J Pediatr Gastroenterol Nutr", "id" : "ITEM-3", "issue" : "6", "issued" : { "date-parts" : [ [ "2012" ] ] }, "page" : "763-768", "title" : "Postoperative complications following colectomy for ulcerative colitis in children", "type" : "article-journal", "volume" : "54" }, "uris" : [ "http://www.mendeley.com/documents/?uuid=3a25e98a-6e52-40b8-91df-48a153d23c18" ] } ], "mendeley" : { "formattedCitation" : "[14\u201316]", "plainTextFormattedCitation" : "[14\u201316]", "previouslyFormattedCitation" : "[14\u201316]" }, "properties" : { "noteIndex" : 0 }, "schema" : "https://github.com/citation-style-language/schema/raw/master/csl-citation.json" }</w:instrText>
      </w:r>
      <w:r w:rsidR="00687F0A">
        <w:rPr>
          <w:rFonts w:cstheme="minorHAnsi"/>
        </w:rPr>
        <w:fldChar w:fldCharType="separate"/>
      </w:r>
      <w:r w:rsidR="00E96EE3" w:rsidRPr="00E96EE3">
        <w:rPr>
          <w:rFonts w:cstheme="minorHAnsi"/>
          <w:noProof/>
        </w:rPr>
        <w:t>[14–16]</w:t>
      </w:r>
      <w:r w:rsidR="00687F0A">
        <w:rPr>
          <w:rFonts w:cstheme="minorHAnsi"/>
        </w:rPr>
        <w:fldChar w:fldCharType="end"/>
      </w:r>
      <w:r w:rsidR="00687F0A">
        <w:rPr>
          <w:rFonts w:cstheme="minorHAnsi"/>
        </w:rPr>
        <w:t>.</w:t>
      </w:r>
      <w:r w:rsidR="00FC1835">
        <w:rPr>
          <w:rFonts w:cstheme="minorHAnsi"/>
        </w:rPr>
        <w:t xml:space="preserve"> </w:t>
      </w:r>
      <w:r w:rsidR="00834810">
        <w:rPr>
          <w:rFonts w:cstheme="minorHAnsi"/>
        </w:rPr>
        <w:t>In Crohn’s disease</w:t>
      </w:r>
      <w:r w:rsidR="00BC5071">
        <w:rPr>
          <w:rFonts w:cstheme="minorHAnsi"/>
        </w:rPr>
        <w:t>,</w:t>
      </w:r>
      <w:r w:rsidR="00FC1835">
        <w:rPr>
          <w:rFonts w:cstheme="minorHAnsi"/>
        </w:rPr>
        <w:t xml:space="preserve"> 24% </w:t>
      </w:r>
      <w:r w:rsidR="00BC5071">
        <w:rPr>
          <w:rFonts w:cstheme="minorHAnsi"/>
        </w:rPr>
        <w:t xml:space="preserve">of </w:t>
      </w:r>
      <w:r w:rsidR="002B6A7D">
        <w:rPr>
          <w:rFonts w:cstheme="minorHAnsi"/>
        </w:rPr>
        <w:t xml:space="preserve">Wessex </w:t>
      </w:r>
      <w:r w:rsidR="00FC1835">
        <w:rPr>
          <w:rFonts w:cstheme="minorHAnsi"/>
        </w:rPr>
        <w:t xml:space="preserve">patients </w:t>
      </w:r>
      <w:r w:rsidR="00687F0A">
        <w:rPr>
          <w:rFonts w:cstheme="minorHAnsi"/>
        </w:rPr>
        <w:t xml:space="preserve">underwent a surgical procedure during childhood (2002-2012) </w:t>
      </w:r>
      <w:r w:rsidR="00687F0A">
        <w:rPr>
          <w:rFonts w:cstheme="minorHAnsi"/>
        </w:rPr>
        <w:fldChar w:fldCharType="begin" w:fldLock="1"/>
      </w:r>
      <w:r w:rsidR="00E11DF8">
        <w:rPr>
          <w:rFonts w:cstheme="minorHAnsi"/>
        </w:rPr>
        <w:instrText>ADDIN CSL_CITATION { "citationItems" : [ { "id" : "ITEM-1", "itemData" : { "DOI" : "10.1136/archdischild-2013-305214", "ISSN" : "1468-2044", "author" : [ { "dropping-particle" : "", "family" : "Blackburn", "given" : "S C", "non-dropping-particle" : "", "parse-names" : false, "suffix" : "" }, { "dropping-particle" : "", "family" : "Wiskin", "given" : "A E", "non-dropping-particle" : "", "parse-names" : false, "suffix" : "" }, { "dropping-particle" : "", "family" : "Barnes", "given" : "C", "non-dropping-particle" : "", "parse-names" : false, "suffix" : "" }, { "dropping-particle" : "", "family" : "Dick", "given" : "K", "non-dropping-particle" : "", "parse-names" : false, "suffix" : "" }, { "dropping-particle" : "", "family" : "Afzal", "given" : "N A", "non-dropping-particle" : "", "parse-names" : false, "suffix" : "" }, { "dropping-particle" : "", "family" : "Griffiths", "given" : "D M", "non-dropping-particle" : "", "parse-names" : false, "suffix" : "" }, { "dropping-particle" : "", "family" : "Beattie", "given" : "R M", "non-dropping-particle" : "", "parse-names" : false, "suffix" : "" }, { "dropping-particle" : "", "family" : "Stanton", "given" : "M P", "non-dropping-particle" : "", "parse-names" : false, "suffix" : "" } ], "container-title" : "Arch Dis Child", "id" : "ITEM-1", "issue" : "5", "issued" : { "date-parts" : [ [ "2014" ] ] }, "page" : "420-426", "title" : "Surgery for children with Crohn's disease: indications, complications and outcome", "type" : "article-journal", "volume" : "99" }, "uris" : [ "http://www.mendeley.com/documents/?uuid=b85420f2-6187-4911-a4c1-86398fbe85ca" ] } ], "mendeley" : { "formattedCitation" : "[12]", "plainTextFormattedCitation" : "[12]", "previouslyFormattedCitation" : "[12]" }, "properties" : { "noteIndex" : 0 }, "schema" : "https://github.com/citation-style-language/schema/raw/master/csl-citation.json" }</w:instrText>
      </w:r>
      <w:r w:rsidR="00687F0A">
        <w:rPr>
          <w:rFonts w:cstheme="minorHAnsi"/>
        </w:rPr>
        <w:fldChar w:fldCharType="separate"/>
      </w:r>
      <w:r w:rsidR="00E96EE3" w:rsidRPr="00E96EE3">
        <w:rPr>
          <w:rFonts w:cstheme="minorHAnsi"/>
          <w:noProof/>
        </w:rPr>
        <w:t>[12]</w:t>
      </w:r>
      <w:r w:rsidR="00687F0A">
        <w:rPr>
          <w:rFonts w:cstheme="minorHAnsi"/>
        </w:rPr>
        <w:fldChar w:fldCharType="end"/>
      </w:r>
      <w:r w:rsidR="00687F0A">
        <w:rPr>
          <w:rFonts w:cstheme="minorHAnsi"/>
        </w:rPr>
        <w:t xml:space="preserve">. </w:t>
      </w:r>
      <w:r w:rsidR="00FC1835">
        <w:rPr>
          <w:rFonts w:cstheme="minorHAnsi"/>
        </w:rPr>
        <w:t xml:space="preserve">This number was comparable with other studies reporting around 1/3 patients undergoing a surgical procedure during childhood </w:t>
      </w:r>
      <w:r w:rsidR="00FC1835">
        <w:rPr>
          <w:rFonts w:cstheme="minorHAnsi"/>
        </w:rPr>
        <w:fldChar w:fldCharType="begin" w:fldLock="1"/>
      </w:r>
      <w:r w:rsidR="00E11DF8">
        <w:rPr>
          <w:rFonts w:cstheme="minorHAnsi"/>
        </w:rPr>
        <w:instrText>ADDIN CSL_CITATION { "citationItems" : [ { "id" : "ITEM-1", "itemData" : { "DOI" : "10.1053/j.gastro.2008.06.079", "ISSN" : "1528-0012", "author" : [ { "dropping-particle" : "", "family" : "Vernier-Massouille", "given" : "Gwenola", "non-dropping-particle" : "", "parse-names" : false, "suffix" : "" }, { "dropping-particle" : "", "family" : "Balde", "given" : "M", "non-dropping-particle" : "", "parse-names" : false, "suffix" : "" }, { "dropping-particle" : "", "family" : "Salleron", "given" : "J", "non-dropping-particle" : "", "parse-names" : false, "suffix" : "" }, { "dropping-particle" : "", "family" : "Turck", "given" : "D", "non-dropping-particle" : "", "parse-names" : false, "suffix" : "" }, { "dropping-particle" : "", "family" : "Dupas", "given" : "J L", "non-dropping-particle" : "", "parse-names" : false, "suffix" : "" }, { "dropping-particle" : "", "family" : "Mouterde", "given" : "O", "non-dropping-particle" : "", "parse-names" : false, "suffix" : "" }, { "dropping-particle" : "", "family" : "Merle", "given" : "V", "non-dropping-particle" : "", "parse-names" : false, "suffix" : "" }, { "dropping-particle" : "", "family" : "Salomez", "given" : "J L", "non-dropping-particle" : "", "parse-names" : false, "suffix" : "" }, { "dropping-particle" : "", "family" : "Branche", "given" : "J", "non-dropping-particle" : "", "parse-names" : false, "suffix" : "" }, { "dropping-particle" : "", "family" : "Marti", "given" : "R", "non-dropping-particle" : "", "parse-names" : false, "suffix" : "" }, { "dropping-particle" : "", "family" : "Lerebours", "given" : "E", "non-dropping-particle" : "", "parse-names" : false, "suffix" : "" }, { "dropping-particle" : "", "family" : "Cortot", "given" : "A", "non-dropping-particle" : "", "parse-names" : false, "suffix" : "" }, { "dropping-particle" : "", "family" : "Gower-Rousseau", "given" : "C", "non-dropping-particle" : "", "parse-names" : false, "suffix" : "" }, { "dropping-particle" : "", "family" : "Colombel", "given" : "J F", "non-dropping-particle" : "", "parse-names" : false, "suffix" : "" }, { "dropping-particle" : "", "family" : "Mamadou", "given" : "Balde", "non-dropping-particle" : "", "parse-names" : false, "suffix" : "" }, { "dropping-particle" : "", "family" : "Julia", "given" : "Salleron", "non-dropping-particle" : "", "parse-names" : false, "suffix" : "" }, { "dropping-particle" : "", "family" : "Dominique", "given" : "Turck", "non-dropping-particle" : "", "parse-names" : false, "suffix" : "" }, { "dropping-particle" : "", "family" : "Louis", "given" : "Dupas Jean", "non-dropping-particle" : "", "parse-names" : false, "suffix" : "" }, { "dropping-particle" : "", "family" : "Olivier", "given" : "Mouterde", "non-dropping-particle" : "", "parse-names" : false, "suffix" : "" }, { "dropping-particle" : "V", "family" : "'ronique", "given" : "Merle", "non-dropping-particle" : "", "parse-names" : false, "suffix" : "" }, { "dropping-particle" : "", "family" : "Louis", "given" : "Salomez Jean", "non-dropping-particle" : "", "parse-names" : false, "suffix" : "" }, { "dropping-particle" : "", "family" : "Julien", "given" : "Branche", "non-dropping-particle" : "", "parse-names" : false, "suffix" : "" }, { "dropping-particle" : "", "family" : "Raymond", "given" : "Marti", "non-dropping-particle" : "", "parse-names" : false, "suffix" : "" }, { "dropping-particle" : "", "family" : "Eric", "given" : "Lerebours", "non-dropping-particle" : "", "parse-names" : false, "suffix" : "" }, { "dropping-particle" : "", "family" : "Antoine", "given" : "Cortot", "non-dropping-particle" : "", "parse-names" : false, "suffix" : "" }, { "dropping-particle" : "", "family" : "Corinne", "given" : "Gower-Rousseau", "non-dropping-particle" : "", "parse-names" : false, "suffix" : "" }, { "dropping-particle" : "", "family" : "'ric", "given" : "Colombel Jean Fr 'd", "non-dropping-particle" : "", "parse-names" : false, "suffix" : "" } ], "container-title" : "Gastroenterology", "id" : "ITEM-1", "issue" : "4", "issued" : { "date-parts" : [ [ "2008" ] ] }, "page" : "1106-1113", "title" : "Natural history of pediatric Crohn's disease: a population-based cohort study", "type" : "article-journal", "volume" : "135" }, "uris" : [ "http://www.mendeley.com/documents/?uuid=79d098bd-eca4-4fe4-91d8-66c2ace712e9" ] }, { "id" : "ITEM-2", "itemData" : { "DOI" : "10.1053/j.gastro.2006.02.003", "ISSN" : "00165085", "PMID" : "16618401", "abstract" : "BACKGROUND &amp; AIMS The cumulative incidence of surgery ranges from 40%-70% at 10 years from the time of diagnosis of Crohn's disease in adults. We retrospectively determined the cumulative incidence of and risk factors for surgery (intestinal resection) in pediatric patients with Crohn's disease. METHODS Uniform data from 989 consecutive Crohn's disease patients (age 0-17 years at diagnosis), collected from 6 different pediatric centers between January 2000 and November 2003 and stored in the Pediatric IBD Consortium Registry, were analyzed. RESULTS Median follow-up time was 2.8 years (range, 1 day to 16.7 years). One hundred twenty-eight patients underwent surgery. Kaplan-Meier survival estimates of the cumulative incidence of surgery were 17% at 5 years and 28% at 10 years from the diagnosis of inflammatory bowel disease. Univariate Cox proportional hazards models showed leukocytosis (2.85 [hazard ratio]; P = .02), hypoalbuminemia (3.41; P = .05), and anti-Saccharomyces cerevisiae antibody (ASCA) positivity (3.43; P = .05) were associated with increased risk for surgery. Multivariate Cox models showed female gender (1.49; P = .03), initial diagnosis of ulcerative colitis (3.63; P &lt; .0001), poor growth at presentation (2.16; P = .007), and abscess (1.90; P = .009), fistula (2.30; P = .0005), or stricture (3.41; P &lt; .0001) development were associated with increased risk for surgery. Age 3-5 years (0.26; P = .01) or 6-12 years (0.62; P = .01) at diagnosis, fever at presentation (0.50; P = .03), and treatment with infliximab (0.36; P = .0005) or 5-aminosalicylic acid (0.44; P &lt; .0001) were associated with decreased risk for surgery. CONCLUSIONS Risk stratification during the course of Crohn's disease in pediatric patients will help to guide therapy that may improve the natural history of disease and decrease the need for surgery.", "author" : [ { "dropping-particle" : "", "family" : "Gupta", "given" : "Neera", "non-dropping-particle" : "", "parse-names" : false, "suffix" : "" }, { "dropping-particle" : "", "family" : "Cohen", "given" : "Stanley A.", "non-dropping-particle" : "", "parse-names" : false, "suffix" : "" }, { "dropping-particle" : "", "family" : "Bostrom", "given" : "Alan G.", "non-dropping-particle" : "", "parse-names" : false, "suffix" : "" }, { "dropping-particle" : "", "family" : "Kirschner", "given" : "Barbara S.", "non-dropping-particle" : "", "parse-names" : false, "suffix" : "" }, { "dropping-particle" : "", "family" : "Baldassano", "given" : "Robert N.", "non-dropping-particle" : "", "parse-names" : false, "suffix" : "" }, { "dropping-particle" : "", "family" : "Winter", "given" : "Harland S.", "non-dropping-particle" : "", "parse-names" : false, "suffix" : "" }, { "dropping-particle" : "", "family" : "Ferry", "given" : "George D.", "non-dropping-particle" : "", "parse-names" : false, "suffix" : "" }, { "dropping-particle" : "", "family" : "Smith", "given" : "Terry", "non-dropping-particle" : "", "parse-names" : false, "suffix" : "" }, { "dropping-particle" : "", "family" : "Abramson", "given" : "Oren", "non-dropping-particle" : "", "parse-names" : false, "suffix" : "" }, { "dropping-particle" : "", "family" : "Gold", "given" : "Benjamin D.", "non-dropping-particle" : "", "parse-names" : false, "suffix" : "" }, { "dropping-particle" : "", "family" : "Heyman", "given" : "Melvin B.", "non-dropping-particle" : "", "parse-names" : false, "suffix" : "" } ], "container-title" : "Gastroenterology", "id" : "ITEM-2", "issue" : "4", "issued" : { "date-parts" : [ [ "2006", "4" ] ] }, "page" : "1069-1077", "title" : "Risk Factors for Initial Surgery in Pediatric Patients With Crohn\u2019s Disease", "type" : "article-journal", "volume" : "130" }, "uris" : [ "http://www.mendeley.com/documents/?uuid=614f9a40-daad-33f8-94f8-2ae73189f893" ] } ], "mendeley" : { "formattedCitation" : "[17,18]", "plainTextFormattedCitation" : "[17,18]", "previouslyFormattedCitation" : "[17,18]" }, "properties" : { "noteIndex" : 0 }, "schema" : "https://github.com/citation-style-language/schema/raw/master/csl-citation.json" }</w:instrText>
      </w:r>
      <w:r w:rsidR="00FC1835">
        <w:rPr>
          <w:rFonts w:cstheme="minorHAnsi"/>
        </w:rPr>
        <w:fldChar w:fldCharType="separate"/>
      </w:r>
      <w:r w:rsidR="00E96EE3" w:rsidRPr="00E96EE3">
        <w:rPr>
          <w:rFonts w:cstheme="minorHAnsi"/>
          <w:noProof/>
        </w:rPr>
        <w:t>[17,18]</w:t>
      </w:r>
      <w:r w:rsidR="00FC1835">
        <w:rPr>
          <w:rFonts w:cstheme="minorHAnsi"/>
        </w:rPr>
        <w:fldChar w:fldCharType="end"/>
      </w:r>
      <w:r w:rsidR="00FC1835">
        <w:rPr>
          <w:rFonts w:cstheme="minorHAnsi"/>
        </w:rPr>
        <w:t xml:space="preserve">. In contrast to the increasing incidence of disease the rates of </w:t>
      </w:r>
      <w:r>
        <w:rPr>
          <w:rFonts w:cstheme="minorHAnsi"/>
        </w:rPr>
        <w:t xml:space="preserve">paediatric </w:t>
      </w:r>
      <w:r w:rsidR="00FC1835">
        <w:rPr>
          <w:rFonts w:cstheme="minorHAnsi"/>
        </w:rPr>
        <w:t xml:space="preserve">surgery have not been reported to change over time </w:t>
      </w:r>
      <w:r w:rsidR="00FC1835">
        <w:rPr>
          <w:rFonts w:cstheme="minorHAnsi"/>
        </w:rPr>
        <w:fldChar w:fldCharType="begin" w:fldLock="1"/>
      </w:r>
      <w:r w:rsidR="00E11DF8">
        <w:rPr>
          <w:rFonts w:cstheme="minorHAnsi"/>
        </w:rPr>
        <w:instrText>ADDIN CSL_CITATION { "citationItems" : [ { "id" : "ITEM-1", "itemData" : { "DOI" : "10.1136/archdischild-2018-315038", "ISSN" : "1468-2044", "PMID" : "29519945", "abstract" : "There has been an increase in the incidence of paediatric inflammatory bowel disease (PIBD) over the last 20 years.1 2 We have previously published data from Wessex, England, reporting an incidence of 9.37/100\u00a0000/year (2008\u20132012), which\u00a0significantly increased from 5.2/100\u00a0000/year in 1998\u20131999, 6.39/100\u00a0000/year in 2002\u20132006, and 7.82/100\u00a0000/year in 2003\u20132008.1 2 We now report the most recent disease incidence figures for Wessex, England (1\u00a0January\u00a02013 to 31\u00a0December\u00a02017) and analyse them with previously published Wessex data (1\u00a0January\u00a02002 to 21\u00a0December\u00a02012) demonstrating the most contemporary incidence and the trend over 16 years. The \u2018Wessex\u2019 population was estimated from the Office for National Statistics using defined postcodes, based on the contemporary referral area.1 3 Statistical analyses of the data were conducted \u2026", "author" : [ { "dropping-particle" : "", "family" : "Ashton", "given" : "James John", "non-dropping-particle" : "", "parse-names" : false, "suffix" : "" }, { "dropping-particle" : "", "family" : "Cullen", "given" : "Mick", "non-dropping-particle" : "", "parse-names" : false, "suffix" : "" }, { "dropping-particle" : "", "family" : "Afzal", "given" : "Nadeem A", "non-dropping-particle" : "", "parse-names" : false, "suffix" : "" }, { "dropping-particle" : "", "family" : "Coelho", "given" : "Tracy", "non-dropping-particle" : "", "parse-names" : false, "suffix" : "" }, { "dropping-particle" : "", "family" : "Batra", "given" : "Akshay", "non-dropping-particle" : "", "parse-names" : false, "suffix" : "" }, { "dropping-particle" : "", "family" : "Beattie", "given" : "R Mark", "non-dropping-particle" : "", "parse-names" : false, "suffix" : "" } ], "container-title" : "Archives of disease in childhood", "id" : "ITEM-1", "issued" : { "date-parts" : [ [ "2018", "3", "8" ] ] }, "page" : "archdischild-2018-315038", "publisher" : "BMJ Publishing Group Ltd", "title" : "Is the incidence of paediatric inflammatory bowel disease still increasing?", "type" : "article-journal" }, "uris" : [ "http://www.mendeley.com/documents/?uuid=c57f7098-2a98-3e63-8ae2-8444e81959ca" ] }, { "id" : "ITEM-2", "itemData" : { "DOI" : "10.1097/MIB.0000000000000829", "ISSN" : "1536-4844", "author" : [ { "dropping-particle" : "", "family" : "Su", "given" : "H Y", "non-dropping-particle" : "", "parse-names" : false, "suffix" : "" }, { "dropping-particle" : "", "family" : "Gupta", "given" : "V", "non-dropping-particle" : "", "parse-names" : false, "suffix" : "" }, { "dropping-particle" : "", "family" : "Day", "given" : "A S", "non-dropping-particle" : "", "parse-names" : false, "suffix" : "" }, { "dropping-particle" : "", "family" : "Gearry", "given" : "R B", "non-dropping-particle" : "", "parse-names" : false, "suffix" : "" } ], "container-title" : "Inflamm Bowel Dis", "id" : "ITEM-2", "issue" : "9", "issued" : { "date-parts" : [ [ "2016" ] ] }, "page" : "2238-2244", "title" : "Rising Incidence of Inflammatory Bowel Disease in Canterbury, New Zealand", "type" : "article-journal", "volume" : "22" }, "uris" : [ "http://www.mendeley.com/documents/?uuid=fdff3c47-9021-430a-a5e6-2f36defd70e3" ] } ], "mendeley" : { "formattedCitation" : "[19,20]", "plainTextFormattedCitation" : "[19,20]", "previouslyFormattedCitation" : "[19,20]" }, "properties" : { "noteIndex" : 0 }, "schema" : "https://github.com/citation-style-language/schema/raw/master/csl-citation.json" }</w:instrText>
      </w:r>
      <w:r w:rsidR="00FC1835">
        <w:rPr>
          <w:rFonts w:cstheme="minorHAnsi"/>
        </w:rPr>
        <w:fldChar w:fldCharType="separate"/>
      </w:r>
      <w:r w:rsidR="00E96EE3" w:rsidRPr="00E96EE3">
        <w:rPr>
          <w:rFonts w:cstheme="minorHAnsi"/>
          <w:noProof/>
        </w:rPr>
        <w:t>[19,20]</w:t>
      </w:r>
      <w:r w:rsidR="00FC1835">
        <w:rPr>
          <w:rFonts w:cstheme="minorHAnsi"/>
        </w:rPr>
        <w:fldChar w:fldCharType="end"/>
      </w:r>
      <w:r w:rsidR="00FC1835">
        <w:rPr>
          <w:rFonts w:cstheme="minorHAnsi"/>
        </w:rPr>
        <w:t xml:space="preserve">. </w:t>
      </w:r>
    </w:p>
    <w:p w14:paraId="42F6FC5E" w14:textId="36C02BBD" w:rsidR="00687F0A" w:rsidRPr="00687F0A" w:rsidRDefault="00EC0B85" w:rsidP="006A0590">
      <w:pPr>
        <w:spacing w:line="480" w:lineRule="auto"/>
      </w:pPr>
      <w:r>
        <w:rPr>
          <w:rFonts w:cstheme="minorHAnsi"/>
        </w:rPr>
        <w:t xml:space="preserve">The impact of increasing use of anti-TNF therapy on surgical procedure rates during childhood is </w:t>
      </w:r>
      <w:r w:rsidR="00337724">
        <w:rPr>
          <w:rFonts w:cstheme="minorHAnsi"/>
        </w:rPr>
        <w:t xml:space="preserve">important </w:t>
      </w:r>
      <w:r>
        <w:rPr>
          <w:rFonts w:cstheme="minorHAnsi"/>
        </w:rPr>
        <w:t xml:space="preserve">to guide use of these medications and understand prognoses for patients </w:t>
      </w:r>
      <w:r w:rsidR="006F4CC3">
        <w:rPr>
          <w:rFonts w:cstheme="minorHAnsi"/>
        </w:rPr>
        <w:t xml:space="preserve">and families. </w:t>
      </w:r>
      <w:r w:rsidR="00463DD1">
        <w:rPr>
          <w:rFonts w:cstheme="minorHAnsi"/>
        </w:rPr>
        <w:t>In th</w:t>
      </w:r>
      <w:r w:rsidR="00080D2D">
        <w:rPr>
          <w:rFonts w:cstheme="minorHAnsi"/>
        </w:rPr>
        <w:t>is study we looked at</w:t>
      </w:r>
      <w:r w:rsidR="00463DD1">
        <w:rPr>
          <w:rFonts w:cstheme="minorHAnsi"/>
        </w:rPr>
        <w:t xml:space="preserve"> surgical and anti-TNF data</w:t>
      </w:r>
      <w:r w:rsidR="00080D2D">
        <w:rPr>
          <w:rFonts w:cstheme="minorHAnsi"/>
        </w:rPr>
        <w:t xml:space="preserve"> in the context </w:t>
      </w:r>
      <w:r>
        <w:rPr>
          <w:rFonts w:cstheme="minorHAnsi"/>
        </w:rPr>
        <w:t>of disease incidence</w:t>
      </w:r>
      <w:r w:rsidR="00834810">
        <w:rPr>
          <w:rFonts w:cstheme="minorHAnsi"/>
        </w:rPr>
        <w:t xml:space="preserve"> and prevalence</w:t>
      </w:r>
      <w:r w:rsidR="002B6A7D">
        <w:rPr>
          <w:rFonts w:cstheme="minorHAnsi"/>
        </w:rPr>
        <w:t>,</w:t>
      </w:r>
      <w:r w:rsidR="00080D2D">
        <w:rPr>
          <w:rFonts w:cstheme="minorHAnsi"/>
        </w:rPr>
        <w:t xml:space="preserve"> over an 11</w:t>
      </w:r>
      <w:r w:rsidR="00463DD1">
        <w:rPr>
          <w:rFonts w:cstheme="minorHAnsi"/>
        </w:rPr>
        <w:t xml:space="preserve"> year period</w:t>
      </w:r>
      <w:r w:rsidR="002B6A7D">
        <w:rPr>
          <w:rFonts w:cstheme="minorHAnsi"/>
        </w:rPr>
        <w:t>. We aimed to</w:t>
      </w:r>
      <w:r w:rsidR="00463DD1">
        <w:rPr>
          <w:rFonts w:cstheme="minorHAnsi"/>
        </w:rPr>
        <w:t xml:space="preserve"> determine the relationship between anti-TNF prevalence and surgical resection rates. </w:t>
      </w:r>
    </w:p>
    <w:p w14:paraId="183C7386" w14:textId="77777777" w:rsidR="006A0590" w:rsidRDefault="006A0590" w:rsidP="006A0590">
      <w:pPr>
        <w:spacing w:line="480" w:lineRule="auto"/>
        <w:rPr>
          <w:u w:val="single"/>
        </w:rPr>
      </w:pPr>
    </w:p>
    <w:p w14:paraId="62289932" w14:textId="77777777" w:rsidR="00463DD1" w:rsidRDefault="00463DD1" w:rsidP="006A0590">
      <w:pPr>
        <w:spacing w:line="480" w:lineRule="auto"/>
        <w:rPr>
          <w:u w:val="single"/>
        </w:rPr>
      </w:pPr>
    </w:p>
    <w:p w14:paraId="4A89F1E0" w14:textId="77777777" w:rsidR="00463DD1" w:rsidRDefault="00463DD1" w:rsidP="006A0590">
      <w:pPr>
        <w:spacing w:line="480" w:lineRule="auto"/>
        <w:rPr>
          <w:u w:val="single"/>
        </w:rPr>
      </w:pPr>
    </w:p>
    <w:p w14:paraId="2910E8A1" w14:textId="77777777" w:rsidR="00463DD1" w:rsidRDefault="00463DD1" w:rsidP="006A0590">
      <w:pPr>
        <w:spacing w:line="480" w:lineRule="auto"/>
        <w:rPr>
          <w:u w:val="single"/>
        </w:rPr>
      </w:pPr>
    </w:p>
    <w:p w14:paraId="08B9428E" w14:textId="77777777" w:rsidR="00463DD1" w:rsidRDefault="00463DD1" w:rsidP="006A0590">
      <w:pPr>
        <w:spacing w:line="480" w:lineRule="auto"/>
        <w:rPr>
          <w:u w:val="single"/>
        </w:rPr>
      </w:pPr>
    </w:p>
    <w:p w14:paraId="463B01CD" w14:textId="77777777" w:rsidR="00463DD1" w:rsidRDefault="00463DD1" w:rsidP="006A0590">
      <w:pPr>
        <w:spacing w:line="480" w:lineRule="auto"/>
        <w:rPr>
          <w:u w:val="single"/>
        </w:rPr>
      </w:pPr>
    </w:p>
    <w:p w14:paraId="60C0E27F" w14:textId="77777777" w:rsidR="00463DD1" w:rsidRDefault="00463DD1" w:rsidP="006A0590">
      <w:pPr>
        <w:spacing w:line="480" w:lineRule="auto"/>
        <w:rPr>
          <w:u w:val="single"/>
        </w:rPr>
      </w:pPr>
    </w:p>
    <w:p w14:paraId="3FDED57D" w14:textId="77777777" w:rsidR="006A0590" w:rsidRPr="006A0590" w:rsidRDefault="006A0590" w:rsidP="006A0590">
      <w:pPr>
        <w:spacing w:line="480" w:lineRule="auto"/>
        <w:rPr>
          <w:u w:val="single"/>
        </w:rPr>
      </w:pPr>
      <w:r w:rsidRPr="006A0590">
        <w:rPr>
          <w:u w:val="single"/>
        </w:rPr>
        <w:lastRenderedPageBreak/>
        <w:t xml:space="preserve">Methods </w:t>
      </w:r>
    </w:p>
    <w:p w14:paraId="62B102E9" w14:textId="5E2DE538" w:rsidR="00CA3066" w:rsidRDefault="00BF7524" w:rsidP="00CA58C6">
      <w:pPr>
        <w:spacing w:line="480" w:lineRule="auto"/>
      </w:pPr>
      <w:r>
        <w:t>Southampton Children’s H</w:t>
      </w:r>
      <w:r w:rsidR="002E79BE">
        <w:t xml:space="preserve">ospital is specialist referral centre caring for </w:t>
      </w:r>
      <w:r w:rsidR="00581963">
        <w:t xml:space="preserve">a population of </w:t>
      </w:r>
      <w:r w:rsidR="002E79BE">
        <w:t xml:space="preserve">approximately 650,000 children. </w:t>
      </w:r>
      <w:r w:rsidR="00CA58C6" w:rsidRPr="00CA58C6">
        <w:t>Patients diagnosed</w:t>
      </w:r>
      <w:r w:rsidR="00523EAA">
        <w:t xml:space="preserve"> with inflammatory bowel disease</w:t>
      </w:r>
      <w:r w:rsidR="00CA58C6" w:rsidRPr="00CA58C6">
        <w:t xml:space="preserve"> </w:t>
      </w:r>
      <w:r w:rsidR="00D638CA">
        <w:t>aged &lt;1</w:t>
      </w:r>
      <w:r w:rsidR="000B4793">
        <w:t>7</w:t>
      </w:r>
      <w:r w:rsidR="003826E4">
        <w:t xml:space="preserve"> years of age </w:t>
      </w:r>
      <w:r w:rsidR="00CA58C6" w:rsidRPr="00CA58C6">
        <w:t xml:space="preserve">from </w:t>
      </w:r>
      <w:r w:rsidR="00523EAA">
        <w:t>January 1</w:t>
      </w:r>
      <w:r w:rsidR="00523EAA" w:rsidRPr="00523EAA">
        <w:rPr>
          <w:vertAlign w:val="superscript"/>
        </w:rPr>
        <w:t>st</w:t>
      </w:r>
      <w:r w:rsidR="00523EAA">
        <w:t xml:space="preserve"> </w:t>
      </w:r>
      <w:r w:rsidR="008E2826">
        <w:t>1997</w:t>
      </w:r>
      <w:r w:rsidR="00523EAA">
        <w:t xml:space="preserve"> to December 31</w:t>
      </w:r>
      <w:r w:rsidR="00523EAA" w:rsidRPr="00523EAA">
        <w:rPr>
          <w:vertAlign w:val="superscript"/>
        </w:rPr>
        <w:t>st</w:t>
      </w:r>
      <w:r w:rsidR="00523EAA">
        <w:t xml:space="preserve"> 2</w:t>
      </w:r>
      <w:r w:rsidR="00CA58C6" w:rsidRPr="00CA58C6">
        <w:t>017 in Southampton were considered for inclusion into the study</w:t>
      </w:r>
      <w:r w:rsidR="002B6A7D">
        <w:t xml:space="preserve"> (n=</w:t>
      </w:r>
      <w:r w:rsidR="004F422A">
        <w:t>825</w:t>
      </w:r>
      <w:r w:rsidR="00523EAA">
        <w:t>)</w:t>
      </w:r>
      <w:r w:rsidR="00CA58C6" w:rsidRPr="00CA58C6">
        <w:t xml:space="preserve">. </w:t>
      </w:r>
      <w:r w:rsidR="000B4793">
        <w:t>Patients who were &gt;18 years of age on January 1</w:t>
      </w:r>
      <w:r w:rsidR="000B4793" w:rsidRPr="000B4793">
        <w:rPr>
          <w:vertAlign w:val="superscript"/>
        </w:rPr>
        <w:t>st</w:t>
      </w:r>
      <w:r w:rsidR="000B4793">
        <w:t xml:space="preserve"> 2007 (transitioned to adult serviced) were excluded. </w:t>
      </w:r>
      <w:r w:rsidR="002E79BE" w:rsidRPr="00523EAA">
        <w:t>All patients included were diagnosed in line with</w:t>
      </w:r>
      <w:r w:rsidR="002E79BE">
        <w:t xml:space="preserve"> the modified Porto criteria applicable to that time period </w:t>
      </w:r>
      <w:r w:rsidR="002E79BE">
        <w:fldChar w:fldCharType="begin" w:fldLock="1"/>
      </w:r>
      <w:r w:rsidR="00E11DF8">
        <w:instrText>ADDIN CSL_CITATION { "citationItems" : [ { "id" : "ITEM-1", "itemData" : { "DOI" : "10.1097/MPG.0000000000000239", "ISSN" : "1536-4801", "author" : [ { "dropping-particle" : "", "family" : "Levine", "given" : "A", "non-dropping-particle" : "", "parse-names" : false, "suffix" : "" }, { "dropping-particle" : "", "family" : "Koletzko", "given" : "S", "non-dropping-particle" : "", "parse-names" : false, "suffix" : "" }, { "dropping-particle" : "", "family" : "Turner", "given" : "D", "non-dropping-particle" : "", "parse-names" : false, "suffix" : "" }, { "dropping-particle" : "", "family" : "Escher", "given" : "J C", "non-dropping-particle" : "", "parse-names" : false, "suffix" : "" }, { "dropping-particle" : "", "family" : "Cucchiara", "given" : "S", "non-dropping-particle" : "", "parse-names" : false, "suffix" : "" }, { "dropping-particle" : "", "family" : "Ridder", "given" : "L", "non-dropping-particle" : "de", "parse-names" : false, "suffix" : "" }, { "dropping-particle" : "", "family" : "Kolho", "given" : "K L", "non-dropping-particle" : "", "parse-names" : false, "suffix" : "" }, { "dropping-particle" : "", "family" : "Veres", "given" : "G", "non-dropping-particle" : "", "parse-names" : false, "suffix" : "" }, { "dropping-particle" : "", "family" : "Russell", "given" : "R K", "non-dropping-particle" : "", "parse-names" : false, "suffix" : "" }, { "dropping-particle" : "", "family" : "Paerregaard", "given" : "A", "non-dropping-particle" : "", "parse-names" : false, "suffix" : "" }, { "dropping-particle" : "", "family" : "Buderus", "given" : "S", "non-dropping-particle" : "", "parse-names" : false, "suffix" : "" }, { "dropping-particle" : "", "family" : "Greer", "given" : "M L", "non-dropping-particle" : "", "parse-names" : false, "suffix" : "" }, { "dropping-particle" : "", "family" : "Dias", "given" : "J A", "non-dropping-particle" : "", "parse-names" : false, "suffix" : "" }, { "dropping-particle" : "", "family" : "Veereman-Wauters", "given" : "G", "non-dropping-particle" : "", "parse-names" : false, "suffix" : "" }, { "dropping-particle" : "", "family" : "Lionetti", "given" : "P", "non-dropping-particle" : "", "parse-names" : false, "suffix" : "" }, { "dropping-particle" : "", "family" : "Sladek", "given" : "M", "non-dropping-particle" : "", "parse-names" : false, "suffix" : "" }, { "dropping-particle" : "", "family" : "Carpi", "given" : "J", "non-dropping-particle" : "de", "parse-names" : false, "suffix" : "" }, { "dropping-particle" : "", "family" : "Staiano", "given" : "A", "non-dropping-particle" : "", "parse-names" : false, "suffix" : "" }, { "dropping-particle" : "", "family" : "Ruemmele", "given" : "F M", "non-dropping-particle" : "", "parse-names" : false, "suffix" : "" }, { "dropping-particle" : "", "family" : "Wilson", "given" : "D C", "non-dropping-particle" : "", "parse-names" : false, "suffix" : "" }, { "dropping-particle" : "", "family" : "Carpi", "given" : "J M", "non-dropping-particle" : "", "parse-names" : false, "suffix" : "" }, { "dropping-particle" : "", "family" : "Staiano", "given" : "A", "non-dropping-particle" : "", "parse-names" : false, "suffix" : "" }, { "dropping-particle" : "", "family" : "Ruemmele", "given" : "F M", "non-dropping-particle" : "", "parse-names" : false, "suffix" : "" }, { "dropping-particle" : "", "family" : "Wilson", "given" : "D C", "non-dropping-particle" : "", "parse-names" : false, "suffix" : "" } ], "container-title" : "J Pediatr Gastroenterol Nutr", "id" : "ITEM-1", "issue" : "6", "issued" : { "date-parts" : [ [ "2013" ] ] }, "page" : "795-806", "title" : "The ESPGHAN Revised Porto Criteria for the Diagnosis of Inflammatory Bowel Disease in Children and Adolescents", "type" : "article-journal", "volume" : "58" }, "uris" : [ "http://www.mendeley.com/documents/?uuid=605f9117-be4c-4732-9002-6a030f99dcbd" ] }, { "id" : "ITEM-2", "itemData" : { "ISSN" : "0277-2116", "PMID" : "15990620", "abstract" : "Ulcerative colitis and Crohn disease may present before the age of 20 years in 25% to 30% of all patients with inflammatory bowel disease. Reported incidence figures vary considerably depending on the collection of data. Multicenter, multinational collaboration is needed when studying pediatric inflammatory bowel disease. The essential first step is uniformity in the work-up and criteria used for diagnosis. The Porto diagnostic criteria presented here provide the tool that is needed. These criteria are the result of consensus reached by the ESPGHAN inflammatory bowel disease working group. Diagnosis of Crohn disease, ulcerative colitis and indeterminate colitis is based on clinical signs and symptoms, endoscopy and histology and radiology. Every child suspected of inflammatory bowel disease should undergo a complete diagnostic program consisting of colonoscopy with ileal intubation, upper gastrointestinal endoscopy and (in all cases except in definite ulcerative colitis) radiologic contrast imaging of the small bowel. Multiple biopsies from all segments of the gastrointestinal tract are needed for a complete histologic evaluation. A diagnosis of indeterminate colitis cannot be made unless a full diagnostic program has been performed.", "author" : [ { "dropping-particle" : "", "family" : "IBD Working Group of the European Society for Paediatric Gastroenterology, Hepatology and Nutrition", "given" : "", "non-dropping-particle" : "", "parse-names" : false, "suffix" : "" } ], "container-title" : "Journal of pediatric gastroenterology and nutrition", "id" : "ITEM-2", "issue" : "1", "issued" : { "date-parts" : [ [ "2005", "7" ] ] }, "page" : "1-7", "title" : "Inflammatory bowel disease in children and adolescents: recommendations for diagnosis--the Porto criteria.", "type" : "article-journal", "volume" : "41" }, "uris" : [ "http://www.mendeley.com/documents/?uuid=7a1b7312-396c-3942-8a20-5ee2609b4cd8" ] } ], "mendeley" : { "formattedCitation" : "[21,22]", "plainTextFormattedCitation" : "[21,22]", "previouslyFormattedCitation" : "[21,22]" }, "properties" : { "noteIndex" : 0 }, "schema" : "https://github.com/citation-style-language/schema/raw/master/csl-citation.json" }</w:instrText>
      </w:r>
      <w:r w:rsidR="002E79BE">
        <w:fldChar w:fldCharType="separate"/>
      </w:r>
      <w:r w:rsidR="00E96EE3" w:rsidRPr="00E96EE3">
        <w:rPr>
          <w:noProof/>
        </w:rPr>
        <w:t>[21,22]</w:t>
      </w:r>
      <w:r w:rsidR="002E79BE">
        <w:fldChar w:fldCharType="end"/>
      </w:r>
      <w:r w:rsidR="002E79BE" w:rsidRPr="00523EAA">
        <w:t>.</w:t>
      </w:r>
      <w:r w:rsidR="002E79BE">
        <w:t xml:space="preserve"> Patients were</w:t>
      </w:r>
      <w:r w:rsidR="002E79BE" w:rsidRPr="00CA58C6">
        <w:t xml:space="preserve"> prospectively entered onto the Wessex paediatric IBD database</w:t>
      </w:r>
      <w:r w:rsidR="002E79BE">
        <w:t xml:space="preserve"> at the time of diagnosis </w:t>
      </w:r>
      <w:r w:rsidR="002E79BE">
        <w:fldChar w:fldCharType="begin" w:fldLock="1"/>
      </w:r>
      <w:r w:rsidR="00E11DF8">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"mendeley" : { "formattedCitation" : "[23]", "plainTextFormattedCitation" : "[23]", "previouslyFormattedCitation" : "[23]" }, "properties" : { "noteIndex" : 0 }, "schema" : "https://github.com/citation-style-language/schema/raw/master/csl-citation.json" }</w:instrText>
      </w:r>
      <w:r w:rsidR="002E79BE">
        <w:fldChar w:fldCharType="separate"/>
      </w:r>
      <w:r w:rsidR="00E96EE3" w:rsidRPr="00E96EE3">
        <w:rPr>
          <w:noProof/>
        </w:rPr>
        <w:t>[23]</w:t>
      </w:r>
      <w:r w:rsidR="002E79BE">
        <w:fldChar w:fldCharType="end"/>
      </w:r>
      <w:r w:rsidR="002E79BE">
        <w:t xml:space="preserve">. </w:t>
      </w:r>
      <w:r w:rsidR="00DF254B">
        <w:t xml:space="preserve">This is an established clinical database collating data on all patients diagnosed in Southampton (referral centre for 12 district hospitals). </w:t>
      </w:r>
      <w:r w:rsidR="004F422A">
        <w:t>Data on surgical procedures and anti-TNF use were available from January 1</w:t>
      </w:r>
      <w:r w:rsidR="004F422A" w:rsidRPr="004F422A">
        <w:rPr>
          <w:vertAlign w:val="superscript"/>
        </w:rPr>
        <w:t>st</w:t>
      </w:r>
      <w:r w:rsidR="004F422A">
        <w:t xml:space="preserve"> 2007 to December 31</w:t>
      </w:r>
      <w:r w:rsidR="004F422A" w:rsidRPr="00523EAA">
        <w:rPr>
          <w:vertAlign w:val="superscript"/>
        </w:rPr>
        <w:t>st</w:t>
      </w:r>
      <w:r w:rsidR="004F422A">
        <w:t xml:space="preserve"> 2</w:t>
      </w:r>
      <w:r w:rsidR="004F422A" w:rsidRPr="00CA58C6">
        <w:t>017</w:t>
      </w:r>
      <w:r w:rsidR="004F422A">
        <w:t xml:space="preserve">. </w:t>
      </w:r>
    </w:p>
    <w:p w14:paraId="3BC99111" w14:textId="77777777" w:rsidR="000B4793" w:rsidRDefault="00A2401E" w:rsidP="00CA58C6">
      <w:pPr>
        <w:spacing w:line="480" w:lineRule="auto"/>
      </w:pPr>
      <w:r>
        <w:t>The</w:t>
      </w:r>
      <w:r w:rsidR="00CA58C6">
        <w:t xml:space="preserve"> number of patients under the care of the paediatric gastroenterology service </w:t>
      </w:r>
      <w:proofErr w:type="gramStart"/>
      <w:r w:rsidR="00CA58C6">
        <w:t xml:space="preserve">was </w:t>
      </w:r>
      <w:r w:rsidR="00ED42A2">
        <w:t>estimated</w:t>
      </w:r>
      <w:proofErr w:type="gramEnd"/>
      <w:r w:rsidR="00CA58C6">
        <w:t xml:space="preserve"> for each year of the study (200</w:t>
      </w:r>
      <w:r w:rsidR="00976F3E">
        <w:t>7</w:t>
      </w:r>
      <w:r w:rsidR="00CA58C6">
        <w:t>-17)</w:t>
      </w:r>
      <w:r w:rsidR="000B4793">
        <w:t xml:space="preserve"> based on</w:t>
      </w:r>
      <w:r w:rsidR="00D17EF3">
        <w:t>-</w:t>
      </w:r>
      <w:r w:rsidR="000B4793">
        <w:t xml:space="preserve"> </w:t>
      </w:r>
    </w:p>
    <w:p w14:paraId="3ECF0CA5" w14:textId="5B2D8E6A" w:rsidR="000B4793" w:rsidRDefault="000B4793" w:rsidP="000B4793">
      <w:pPr>
        <w:pStyle w:val="ListParagraph"/>
        <w:numPr>
          <w:ilvl w:val="0"/>
          <w:numId w:val="6"/>
        </w:numPr>
        <w:spacing w:line="480" w:lineRule="auto"/>
      </w:pPr>
      <w:r>
        <w:t>T</w:t>
      </w:r>
      <w:r w:rsidR="00ED42A2">
        <w:t xml:space="preserve">he number of years a patient was in paediatric care </w:t>
      </w:r>
      <w:r w:rsidR="00D17EF3">
        <w:t>(</w:t>
      </w:r>
      <w:r w:rsidR="00ED42A2">
        <w:t>calculated</w:t>
      </w:r>
      <w:r w:rsidR="00CA58C6">
        <w:t xml:space="preserve"> </w:t>
      </w:r>
      <w:r w:rsidR="00D17EF3">
        <w:t>using</w:t>
      </w:r>
      <w:r w:rsidR="00080D2D">
        <w:t xml:space="preserve"> age at diagnosis and</w:t>
      </w:r>
      <w:r w:rsidR="00CA58C6">
        <w:t xml:space="preserve"> transition t</w:t>
      </w:r>
      <w:r w:rsidR="006B2819">
        <w:t xml:space="preserve">o adult care </w:t>
      </w:r>
      <w:r w:rsidR="00765268">
        <w:t>before the 18</w:t>
      </w:r>
      <w:r w:rsidR="00765268" w:rsidRPr="000B4793">
        <w:rPr>
          <w:vertAlign w:val="superscript"/>
        </w:rPr>
        <w:t>th</w:t>
      </w:r>
      <w:r w:rsidR="00765268">
        <w:t xml:space="preserve"> birthday</w:t>
      </w:r>
      <w:r w:rsidR="00D17EF3">
        <w:t>)</w:t>
      </w:r>
      <w:r w:rsidR="00532797">
        <w:t xml:space="preserve">. All patients in Southampton are </w:t>
      </w:r>
      <w:r w:rsidR="00E11DF8">
        <w:t>transitioned by their 18</w:t>
      </w:r>
      <w:r w:rsidR="00E11DF8" w:rsidRPr="008B0AFF">
        <w:rPr>
          <w:vertAlign w:val="superscript"/>
        </w:rPr>
        <w:t>th</w:t>
      </w:r>
      <w:r w:rsidR="00E11DF8">
        <w:t xml:space="preserve"> birthday based on the ‘Ready, Steady, Go’ policy defined locally </w:t>
      </w:r>
      <w:r w:rsidR="00E11DF8">
        <w:fldChar w:fldCharType="begin" w:fldLock="1"/>
      </w:r>
      <w:r w:rsidR="00E11DF8">
        <w:instrText>ADDIN CSL_CITATION { "citationItems" : [ { "id" : "ITEM-1", "itemData" : { "DOI" : "10.1136/archdischild-2014-307423", "ISSN" : "1743-0593", "PMID" : "26063244", "abstract" : "There is good evidence that morbidity and mortality increase for young persons (YP) following the move from paediatric to adult services. Studies show that effective transition between paediatric and adult care improves long-term outcomes. Many of the issues faced by young people across subspecialties with a long-term condition are generic. This article sets out some of the obstacles that have delayed the implementation of effective transition. It reports on a successful generic transition programme 'Ready Steady Go' that has been implemented within a large National Health Service teaching hospital in the UK, with secondary and tertiary paediatric services, where it is now established as part of routine care.", "author" : [ { "dropping-particle" : "", "family" : "Nagra", "given" : "Arvind", "non-dropping-particle" : "", "parse-names" : false, "suffix" : "" }, { "dropping-particle" : "", "family" : "McGinnity", "given" : "Patricia M", "non-dropping-particle" : "", "parse-names" : false, "suffix" : "" }, { "dropping-particle" : "", "family" : "Davis", "given" : "Nikki", "non-dropping-particle" : "", "parse-names" : false, "suffix" : "" }, { "dropping-particle" : "", "family" : "Salmon", "given" : "Anthony P", "non-dropping-particle" : "", "parse-names" : false, "suffix" : "" } ], "container-title" : "Archives of disease in childhood. Education and practice edition", "id" : "ITEM-1", "issue" : "6", "issued" : { "date-parts" : [ [ "2015", "12" ] ] }, "page" : "313-20", "publisher" : "BMJ Publishing Group", "title" : "Implementing transition: Ready Steady Go.", "type" : "article-journal", "volume" : "100" }, "uris" : [ "http://www.mendeley.com/documents/?uuid=fe3260d4-02e9-34ee-ba4e-1923bd38ad10" ] } ], "mendeley" : { "formattedCitation" : "[24]", "plainTextFormattedCitation" : "[24]" }, "properties" : { "noteIndex" : 0 }, "schema" : "https://github.com/citation-style-language/schema/raw/master/csl-citation.json" }</w:instrText>
      </w:r>
      <w:r w:rsidR="00E11DF8">
        <w:fldChar w:fldCharType="separate"/>
      </w:r>
      <w:r w:rsidR="00E11DF8" w:rsidRPr="00E11DF8">
        <w:rPr>
          <w:noProof/>
        </w:rPr>
        <w:t>[24]</w:t>
      </w:r>
      <w:r w:rsidR="00E11DF8">
        <w:fldChar w:fldCharType="end"/>
      </w:r>
      <w:r w:rsidR="00E11DF8">
        <w:t xml:space="preserve">. </w:t>
      </w:r>
      <w:r w:rsidR="00DF1E14">
        <w:t>P</w:t>
      </w:r>
      <w:r w:rsidR="005A7F6F">
        <w:t>atients attend joint clinic between the age of 17 and 18 years and it is not possible to list the precise age for transition of individual patients.</w:t>
      </w:r>
    </w:p>
    <w:p w14:paraId="2824FD1F" w14:textId="77777777" w:rsidR="000B4793" w:rsidRDefault="000B4793" w:rsidP="000B4793">
      <w:pPr>
        <w:pStyle w:val="ListParagraph"/>
        <w:numPr>
          <w:ilvl w:val="0"/>
          <w:numId w:val="6"/>
        </w:numPr>
        <w:spacing w:line="480" w:lineRule="auto"/>
      </w:pPr>
      <w:r>
        <w:t>P</w:t>
      </w:r>
      <w:r w:rsidR="006B2819">
        <w:t>atients reaching the age of 18</w:t>
      </w:r>
      <w:r w:rsidR="00805725">
        <w:t xml:space="preserve"> years </w:t>
      </w:r>
      <w:r w:rsidR="00D17EF3">
        <w:t>being</w:t>
      </w:r>
      <w:r w:rsidR="00805725">
        <w:t xml:space="preserve"> removed from the analysis</w:t>
      </w:r>
      <w:r w:rsidR="00765268">
        <w:t xml:space="preserve"> for the following year</w:t>
      </w:r>
      <w:r>
        <w:t xml:space="preserve"> </w:t>
      </w:r>
    </w:p>
    <w:p w14:paraId="2E0F464F" w14:textId="335BBED4" w:rsidR="000B4793" w:rsidRDefault="000B4793" w:rsidP="000B4793">
      <w:pPr>
        <w:pStyle w:val="ListParagraph"/>
        <w:numPr>
          <w:ilvl w:val="0"/>
          <w:numId w:val="6"/>
        </w:numPr>
        <w:spacing w:line="480" w:lineRule="auto"/>
      </w:pPr>
      <w:r>
        <w:t>T</w:t>
      </w:r>
      <w:r w:rsidR="00ED42A2">
        <w:t>he number of patients in paediatric care</w:t>
      </w:r>
      <w:r w:rsidR="00080D2D">
        <w:t xml:space="preserve"> </w:t>
      </w:r>
      <w:r w:rsidR="00A2401E">
        <w:t xml:space="preserve">in </w:t>
      </w:r>
      <w:r w:rsidR="00D17EF3">
        <w:t xml:space="preserve">our </w:t>
      </w:r>
      <w:r w:rsidR="00A2401E">
        <w:t>service in 200</w:t>
      </w:r>
      <w:r w:rsidR="00976F3E">
        <w:t>7</w:t>
      </w:r>
      <w:r w:rsidR="0067135A">
        <w:t xml:space="preserve"> (n=198)</w:t>
      </w:r>
      <w:r w:rsidR="00CA58C6">
        <w:t xml:space="preserve"> and the number of patients diagnosed </w:t>
      </w:r>
      <w:r w:rsidR="00A2401E">
        <w:t>for each subsequent</w:t>
      </w:r>
      <w:r w:rsidR="00CA58C6">
        <w:t xml:space="preserve"> year</w:t>
      </w:r>
      <w:r w:rsidR="0067135A">
        <w:t xml:space="preserve"> (</w:t>
      </w:r>
      <w:r w:rsidR="00ED42A2">
        <w:t>table 1</w:t>
      </w:r>
      <w:r w:rsidR="0067135A">
        <w:t>)</w:t>
      </w:r>
      <w:r w:rsidR="002E79BE">
        <w:t xml:space="preserve"> </w:t>
      </w:r>
      <w:r w:rsidR="00ED42A2">
        <w:fldChar w:fldCharType="begin" w:fldLock="1"/>
      </w:r>
      <w:r w:rsidR="00E11DF8">
        <w:instrText>ADDIN CSL_CITATION { "citationItems" : [ { "id" : "ITEM-1", "itemData" : { "DOI" : "10.1136/archdischild-2018-315038", "ISSN" : "1468-2044", "PMID" : "29519945", "abstract" : "There has been an increase in the incidence of paediatric inflammatory bowel disease (PIBD) over the last 20 years.1 2 We have previously published data from Wessex, England, reporting an incidence of 9.37/100\u00a0000/year (2008\u20132012), which\u00a0significantly increased from 5.2/100\u00a0000/year in 1998\u20131999, 6.39/100\u00a0000/year in 2002\u20132006, and 7.82/100\u00a0000/year in 2003\u20132008.1 2 We now report the most recent disease incidence figures for Wessex, England (1\u00a0January\u00a02013 to 31\u00a0December\u00a02017) and analyse them with previously published Wessex data (1\u00a0January\u00a02002 to 21\u00a0December\u00a02012) demonstrating the most contemporary incidence and the trend over 16 years. The \u2018Wessex\u2019 population was estimated from the Office for National Statistics using defined postcodes, based on the contemporary referral area.1 3 Statistical analyses of the data were conducted \u2026", "author" : [ { "dropping-particle" : "", "family" : "Ashton", "given" : "James John", "non-dropping-particle" : "", "parse-names" : false, "suffix" : "" }, { "dropping-particle" : "", "family" : "Cullen", "given" : "Mick", "non-dropping-particle" : "", "parse-names" : false, "suffix" : "" }, { "dropping-particle" : "", "family" : "Afzal", "given" : "Nadeem A", "non-dropping-particle" : "", "parse-names" : false, "suffix" : "" }, { "dropping-particle" : "", "family" : "Coelho", "given" : "Tracy", "non-dropping-particle" : "", "parse-names" : false, "suffix" : "" }, { "dropping-particle" : "", "family" : "Batra", "given" : "Akshay", "non-dropping-particle" : "", "parse-names" : false, "suffix" : "" }, { "dropping-particle" : "", "family" : "Beattie", "given" : "R Mark", "non-dropping-particle" : "", "parse-names" : false, "suffix" : "" } ], "container-title" : "Archives of disease in childhood", "id" : "ITEM-1", "issued" : { "date-parts" : [ [ "2018", "3", "8" ] ] }, "page" : "archdischild-2018-315038", "publisher" : "BMJ Publishing Group Ltd", "title" : "Is the incidence of paediatric inflammatory bowel disease still increasing?", "type" : "article-journal" }, "uris" : [ "http://www.mendeley.com/documents/?uuid=c57f7098-2a98-3e63-8ae2-8444e81959ca" ] } ], "mendeley" : { "formattedCitation" : "[19]", "plainTextFormattedCitation" : "[19]", "previouslyFormattedCitation" : "[19]" }, "properties" : { "noteIndex" : 0 }, "schema" : "https://github.com/citation-style-language/schema/raw/master/csl-citation.json" }</w:instrText>
      </w:r>
      <w:r w:rsidR="00ED42A2">
        <w:fldChar w:fldCharType="separate"/>
      </w:r>
      <w:r w:rsidR="00E96EE3" w:rsidRPr="00E96EE3">
        <w:rPr>
          <w:noProof/>
        </w:rPr>
        <w:t>[19]</w:t>
      </w:r>
      <w:r w:rsidR="00ED42A2">
        <w:fldChar w:fldCharType="end"/>
      </w:r>
      <w:r w:rsidR="00A2401E">
        <w:t xml:space="preserve">. </w:t>
      </w:r>
    </w:p>
    <w:p w14:paraId="1B091972" w14:textId="36D85124" w:rsidR="00CA58C6" w:rsidRDefault="00523EAA" w:rsidP="000B4793">
      <w:pPr>
        <w:spacing w:line="480" w:lineRule="auto"/>
      </w:pPr>
      <w:r>
        <w:t xml:space="preserve">From these data </w:t>
      </w:r>
      <w:r w:rsidR="00792E64">
        <w:t xml:space="preserve">the </w:t>
      </w:r>
      <w:r w:rsidR="00504842">
        <w:t xml:space="preserve">annual </w:t>
      </w:r>
      <w:r>
        <w:t xml:space="preserve">prevalence of anti-TNF </w:t>
      </w:r>
      <w:r w:rsidR="006C6307">
        <w:t>treated patients</w:t>
      </w:r>
      <w:r>
        <w:t xml:space="preserve"> </w:t>
      </w:r>
      <w:r w:rsidR="00EC7C23">
        <w:t xml:space="preserve">(number of patients </w:t>
      </w:r>
      <w:r w:rsidR="006C6307">
        <w:t>who have received</w:t>
      </w:r>
      <w:r w:rsidR="00EC7C23">
        <w:t xml:space="preserve"> anti-TNF therapy/number of patients under paediatric care</w:t>
      </w:r>
      <w:r w:rsidR="00690CF3">
        <w:t>, per year-presented as % per year)</w:t>
      </w:r>
      <w:proofErr w:type="gramStart"/>
      <w:r w:rsidR="00EC7C23">
        <w:t>)and</w:t>
      </w:r>
      <w:proofErr w:type="gramEnd"/>
      <w:r w:rsidR="00EC7C23">
        <w:t xml:space="preserve"> the </w:t>
      </w:r>
      <w:r w:rsidR="00504842">
        <w:t xml:space="preserve">annual </w:t>
      </w:r>
      <w:r w:rsidR="00EC7C23">
        <w:t xml:space="preserve">rate of surgical resection (number of resections/number of patients under </w:t>
      </w:r>
      <w:r w:rsidR="00EC7C23">
        <w:lastRenderedPageBreak/>
        <w:t>paediatric care</w:t>
      </w:r>
      <w:r w:rsidR="00690CF3">
        <w:t>, per year-presented as % per year)</w:t>
      </w:r>
      <w:r w:rsidR="00EC7C23">
        <w:t xml:space="preserve"> were derived.</w:t>
      </w:r>
      <w:r w:rsidR="00E11DF8">
        <w:t xml:space="preserve"> Mean time to surgery or anti-TNF therapy is from date of diagnosis. </w:t>
      </w:r>
    </w:p>
    <w:p w14:paraId="4721EE99" w14:textId="77777777" w:rsidR="00080D2D" w:rsidRPr="00CA58C6" w:rsidRDefault="00080D2D" w:rsidP="00080D2D">
      <w:pPr>
        <w:spacing w:line="480" w:lineRule="auto"/>
      </w:pPr>
      <w:r>
        <w:t xml:space="preserve">Anti-TNF medication administrations (infliximab and </w:t>
      </w:r>
      <w:proofErr w:type="spellStart"/>
      <w:r>
        <w:t>adalimumab</w:t>
      </w:r>
      <w:proofErr w:type="spellEnd"/>
      <w:r>
        <w:t xml:space="preserve">) </w:t>
      </w:r>
      <w:proofErr w:type="gramStart"/>
      <w:r>
        <w:t xml:space="preserve">were sourced from the Wessex paediatric IBD </w:t>
      </w:r>
      <w:r w:rsidRPr="00CA58C6">
        <w:t>database (200</w:t>
      </w:r>
      <w:r>
        <w:t>7</w:t>
      </w:r>
      <w:r w:rsidRPr="00CA58C6">
        <w:t>-2012)</w:t>
      </w:r>
      <w:r>
        <w:t xml:space="preserve"> or recorded from pharmacy or electronic patient records</w:t>
      </w:r>
      <w:r w:rsidR="00ED42A2">
        <w:t xml:space="preserve"> (2013-2017)</w:t>
      </w:r>
      <w:proofErr w:type="gramEnd"/>
      <w:r w:rsidR="00ED42A2">
        <w:t xml:space="preserve">. Electronic records </w:t>
      </w:r>
      <w:proofErr w:type="gramStart"/>
      <w:r w:rsidR="00ED42A2">
        <w:t xml:space="preserve">were </w:t>
      </w:r>
      <w:r>
        <w:t>reviewed</w:t>
      </w:r>
      <w:proofErr w:type="gramEnd"/>
      <w:r>
        <w:t xml:space="preserve"> for </w:t>
      </w:r>
      <w:r w:rsidR="00ED42A2">
        <w:t xml:space="preserve">the </w:t>
      </w:r>
      <w:r>
        <w:t>whol</w:t>
      </w:r>
      <w:r w:rsidR="00ED42A2">
        <w:t>e cohort to ensure completeness</w:t>
      </w:r>
      <w:r>
        <w:t>.</w:t>
      </w:r>
    </w:p>
    <w:p w14:paraId="7BCB48A8" w14:textId="20846337" w:rsidR="006A0590" w:rsidRDefault="00CA58C6" w:rsidP="00463DD1">
      <w:pPr>
        <w:spacing w:line="480" w:lineRule="auto"/>
      </w:pPr>
      <w:r w:rsidRPr="00CA58C6">
        <w:t xml:space="preserve">All </w:t>
      </w:r>
      <w:r w:rsidR="003826E4">
        <w:t xml:space="preserve">initial </w:t>
      </w:r>
      <w:r w:rsidRPr="00CA58C6">
        <w:t>operativ</w:t>
      </w:r>
      <w:r>
        <w:t>e procedures</w:t>
      </w:r>
      <w:r w:rsidR="0068115C">
        <w:t xml:space="preserve"> (</w:t>
      </w:r>
      <w:proofErr w:type="spellStart"/>
      <w:r w:rsidR="00113167">
        <w:t>stricturoplasty</w:t>
      </w:r>
      <w:proofErr w:type="spellEnd"/>
      <w:r w:rsidR="00113167">
        <w:t>, small or large</w:t>
      </w:r>
      <w:r w:rsidR="003826E4">
        <w:t xml:space="preserve"> bowel </w:t>
      </w:r>
      <w:r w:rsidR="0068115C">
        <w:t>resections</w:t>
      </w:r>
      <w:r w:rsidR="003826E4">
        <w:t xml:space="preserve">, </w:t>
      </w:r>
      <w:r w:rsidR="008C7752">
        <w:t xml:space="preserve">primary </w:t>
      </w:r>
      <w:r w:rsidR="003826E4">
        <w:t>stoma formation</w:t>
      </w:r>
      <w:r w:rsidR="00AE1817">
        <w:t>)</w:t>
      </w:r>
      <w:r w:rsidR="0068115C">
        <w:t xml:space="preserve"> and </w:t>
      </w:r>
      <w:r w:rsidR="00AE1817">
        <w:t xml:space="preserve">all </w:t>
      </w:r>
      <w:r w:rsidR="0068115C">
        <w:t>perianal procedures</w:t>
      </w:r>
      <w:r w:rsidR="00AE1817">
        <w:t xml:space="preserve"> (</w:t>
      </w:r>
      <w:r w:rsidR="005C42F0">
        <w:t>at any time</w:t>
      </w:r>
      <w:r w:rsidR="0068115C">
        <w:t>)</w:t>
      </w:r>
      <w:r>
        <w:t xml:space="preserve"> conducted from 200</w:t>
      </w:r>
      <w:r w:rsidR="00976F3E">
        <w:t>7</w:t>
      </w:r>
      <w:r w:rsidRPr="00CA58C6">
        <w:t xml:space="preserve">-2017 were recorded either on the </w:t>
      </w:r>
      <w:r w:rsidR="00A2401E">
        <w:t xml:space="preserve">Wessex paediatric IBD </w:t>
      </w:r>
      <w:r w:rsidRPr="00CA58C6">
        <w:t>database (200</w:t>
      </w:r>
      <w:r w:rsidR="00976F3E">
        <w:t>7</w:t>
      </w:r>
      <w:r w:rsidRPr="00CA58C6">
        <w:t xml:space="preserve">-2012) or sourced </w:t>
      </w:r>
      <w:r w:rsidR="00A2401E">
        <w:t xml:space="preserve">automatically </w:t>
      </w:r>
      <w:r w:rsidRPr="00CA58C6">
        <w:t>from the electronic patient record (2013-2017)</w:t>
      </w:r>
      <w:r w:rsidR="00B12527">
        <w:t>. T</w:t>
      </w:r>
      <w:r w:rsidR="002B6A7D">
        <w:t>he date of procedure</w:t>
      </w:r>
      <w:r w:rsidR="00B12527">
        <w:t xml:space="preserve"> </w:t>
      </w:r>
      <w:proofErr w:type="gramStart"/>
      <w:r w:rsidR="00B12527">
        <w:t xml:space="preserve">was also </w:t>
      </w:r>
      <w:r w:rsidR="00523EAA">
        <w:t>retrieved</w:t>
      </w:r>
      <w:proofErr w:type="gramEnd"/>
      <w:r w:rsidR="00A2401E">
        <w:t xml:space="preserve">. </w:t>
      </w:r>
      <w:r w:rsidR="003826E4">
        <w:t>Second stage operations (pouch formation)</w:t>
      </w:r>
      <w:r w:rsidR="00ED42A2">
        <w:t>, re</w:t>
      </w:r>
      <w:r w:rsidR="000A3276">
        <w:t>-</w:t>
      </w:r>
      <w:r w:rsidR="00ED42A2">
        <w:t>do resections</w:t>
      </w:r>
      <w:r w:rsidR="00B12527">
        <w:t xml:space="preserve"> </w:t>
      </w:r>
      <w:r w:rsidR="00737982">
        <w:t>and perianal examinations under anaesthetic with no surgical operation</w:t>
      </w:r>
      <w:r w:rsidR="000A3276">
        <w:t>,</w:t>
      </w:r>
      <w:r w:rsidR="00737982">
        <w:t xml:space="preserve"> </w:t>
      </w:r>
      <w:r w:rsidR="003826E4">
        <w:t xml:space="preserve">were excluded. </w:t>
      </w:r>
      <w:r w:rsidRPr="00CA58C6">
        <w:t>Data on surgical procedures</w:t>
      </w:r>
      <w:r w:rsidR="0067135A">
        <w:t xml:space="preserve"> occurring between </w:t>
      </w:r>
      <w:r w:rsidR="00A2401E">
        <w:t>200</w:t>
      </w:r>
      <w:r w:rsidR="00765268">
        <w:t>2</w:t>
      </w:r>
      <w:r w:rsidR="0067135A">
        <w:t xml:space="preserve"> and 2012</w:t>
      </w:r>
      <w:r w:rsidRPr="00CA58C6">
        <w:t xml:space="preserve"> ha</w:t>
      </w:r>
      <w:r w:rsidR="0067135A">
        <w:t>ve</w:t>
      </w:r>
      <w:r w:rsidRPr="00CA58C6">
        <w:t xml:space="preserve"> been previously </w:t>
      </w:r>
      <w:r w:rsidR="00843829">
        <w:t>published</w:t>
      </w:r>
      <w:r w:rsidR="00A2401E">
        <w:t xml:space="preserve"> for both Crohn’s disease and ulcerative colitis</w:t>
      </w:r>
      <w:r>
        <w:t xml:space="preserve"> </w:t>
      </w:r>
      <w:r w:rsidR="003826E4">
        <w:t xml:space="preserve">and </w:t>
      </w:r>
      <w:r w:rsidR="00113167">
        <w:t>are</w:t>
      </w:r>
      <w:r w:rsidR="003826E4">
        <w:t xml:space="preserve"> included in this study </w:t>
      </w:r>
      <w:r>
        <w:fldChar w:fldCharType="begin" w:fldLock="1"/>
      </w:r>
      <w:r w:rsidR="00E11DF8">
        <w:instrText>ADDIN CSL_CITATION { "citationItems" : [ { "id" : "ITEM-1", "itemData" : { "DOI" : "10.1016/j.jpedsurg.2015.10.077", "ISSN" : "15315037", "abstract" : "\u00a9 2016 Elsevier Inc. Background/Purpose There is a paucity of data on outcomes and complications of colectomy for pediatric ulcerative colitis (UC). This study reports the experience of a regional center for 18 years. Methods Patients were identified from a prospective database and data obtained by note review. Median height/weight-SDS were calculated preoperatively and postoperatively. Data are expressed as median values (range). Results 220 patients with UC (diagnosed  &lt;  17 years) were identified, and 19 (9%) had undergone colectomy. Age at diagnosis was 11.6 years (1.3-16.5), and 42% of patients were male. Time from diagnosis to surgery was 2.2 years (0.1-13.1). All patients had failed maximal medical therapy. Fifteen patients had urgent scheduled operation, and 4 had emergency procedures, with 2 for (11%) acute-severe colitis (1 Clostridium difficile colitis) and 2 for acute-severe colitis with toxic dilatation. All initial procedures were subtotal-colectomy with ileostomy. Nine patients (47%) had early complications (during initial admission), 7 (37%) requiring reoperation. Six (32%) had late complications, with 5 requiring laparotomy. No patients had both early and late complications. Height-SDS was - 0.27 before surgery and - 0.23 (maximal follow-up). W eight-SDS was 0.32 and 0.05 (maximal follow-up). Conclusion Approximately 1/11 children with UC required colectomy during childhood. Half of patients had acute complications, and 1/3 of patients required another operation during their first admission. 1/3 of patients developed late complications.", "author" : [ { "dropping-particle" : "", "family" : "Ashton", "given" : "J.J.", "non-dropping-particle" : "", "parse-names" : false, "suffix" : "" }, { "dropping-particle" : "", "family" : "Versteegh", "given" : "H.P.", "non-dropping-particle" : "", "parse-names" : false, "suffix" : "" }, { "dropping-particle" : "", "family" : "Batra", "given" : "A.", "non-dropping-particle" : "", "parse-names" : false, "suffix" : "" }, { "dropping-particle" : "", "family" : "Afzal", "given" : "N.A.", "non-dropping-particle" : "", "parse-names" : false, "suffix" : "" }, { "dropping-particle" : "", "family" : "King", "given" : "A.", "non-dropping-particle" : "", "parse-names" : false, "suffix" : "" }, { "dropping-particle" : "", "family" : "Griffiths", "given" : "D.M.", "non-dropping-particle" : "", "parse-names" : false, "suffix" : "" }, { "dropping-particle" : "", "family" : "Beattie", "given" : "R.M.", "non-dropping-particle" : "", "parse-names" : false, "suffix" : "" }, { "dropping-particle" : "", "family" : "Stanton", "given" : "M.P.", "non-dropping-particle" : "", "parse-names" : false, "suffix" : "" } ], "container-title" : "Journal of Pediatric Surgery", "id" : "ITEM-1", "issue" : "2", "issued" : { "date-parts" : [ [ "2016" ] ] }, "title" : "Colectomy in pediatric ulcerative colitis: A single center experience of indications, outcomes, and complications", "type" : "article-journal", "volume" : "51" }, "uris" : [ "http://www.mendeley.com/documents/?uuid=b8dcf5cb-c9e2-3280-b2b8-165e137100b2" ] }, { "id" : "ITEM-2", "itemData" : { "DOI" : "10.1136/archdischild-2013-305214", "ISSN" : "1468-2044", "author" : [ { "dropping-particle" : "", "family" : "Blackburn", "given" : "S C", "non-dropping-particle" : "", "parse-names" : false, "suffix" : "" }, { "dropping-particle" : "", "family" : "Wiskin", "given" : "A E", "non-dropping-particle" : "", "parse-names" : false, "suffix" : "" }, { "dropping-particle" : "", "family" : "Barnes", "given" : "C", "non-dropping-particle" : "", "parse-names" : false, "suffix" : "" }, { "dropping-particle" : "", "family" : "Dick", "given" : "K", "non-dropping-particle" : "", "parse-names" : false, "suffix" : "" }, { "dropping-particle" : "", "family" : "Afzal", "given" : "N A", "non-dropping-particle" : "", "parse-names" : false, "suffix" : "" }, { "dropping-particle" : "", "family" : "Griffiths", "given" : "D M", "non-dropping-particle" : "", "parse-names" : false, "suffix" : "" }, { "dropping-particle" : "", "family" : "Beattie", "given" : "R M", "non-dropping-particle" : "", "parse-names" : false, "suffix" : "" }, { "dropping-particle" : "", "family" : "Stanton", "given" : "M P", "non-dropping-particle" : "", "parse-names" : false, "suffix" : "" } ], "container-title" : "Arch Dis Child", "id" : "ITEM-2", "issue" : "5", "issued" : { "date-parts" : [ [ "2014" ] ] }, "page" : "420-426", "title" : "Surgery for children with Crohn's disease: indications, complications and outcome", "type" : "article-journal", "volume" : "99" }, "uris" : [ "http://www.mendeley.com/documents/?uuid=b85420f2-6187-4911-a4c1-86398fbe85ca" ] } ], "mendeley" : { "formattedCitation" : "[12,13]", "plainTextFormattedCitation" : "[12,13]", "previouslyFormattedCitation" : "[12,13]" }, "properties" : { "noteIndex" : 0 }, "schema" : "https://github.com/citation-style-language/schema/raw/master/csl-citation.json" }</w:instrText>
      </w:r>
      <w:r>
        <w:fldChar w:fldCharType="separate"/>
      </w:r>
      <w:r w:rsidR="00E96EE3" w:rsidRPr="00E96EE3">
        <w:rPr>
          <w:noProof/>
        </w:rPr>
        <w:t>[12,13]</w:t>
      </w:r>
      <w:r>
        <w:fldChar w:fldCharType="end"/>
      </w:r>
      <w:r>
        <w:t>.</w:t>
      </w:r>
      <w:r w:rsidR="003826E4">
        <w:t xml:space="preserve"> </w:t>
      </w:r>
    </w:p>
    <w:p w14:paraId="40AF5682" w14:textId="719B0F6E" w:rsidR="00504842" w:rsidRDefault="00A1721D" w:rsidP="00A1721D">
      <w:pPr>
        <w:spacing w:line="480" w:lineRule="auto"/>
      </w:pPr>
      <w:proofErr w:type="gramStart"/>
      <w:r>
        <w:t xml:space="preserve">Statistical analysis was performed using </w:t>
      </w:r>
      <w:r w:rsidR="00B015B8">
        <w:t>Pearson correlation</w:t>
      </w:r>
      <w:r w:rsidR="003B317F">
        <w:t xml:space="preserve"> (expressed as Pearson’s correlation coefficient, PCC)</w:t>
      </w:r>
      <w:r w:rsidR="00B015B8">
        <w:t xml:space="preserve"> </w:t>
      </w:r>
      <w:r w:rsidR="0068115C">
        <w:t xml:space="preserve">to analyse the </w:t>
      </w:r>
      <w:r w:rsidR="000B7487">
        <w:t>trend across the 11 year study period</w:t>
      </w:r>
      <w:r w:rsidR="00B015B8">
        <w:t xml:space="preserve"> between surgery rate</w:t>
      </w:r>
      <w:r w:rsidR="008E2826">
        <w:t xml:space="preserve"> (perianal and resections)</w:t>
      </w:r>
      <w:r w:rsidR="00B015B8">
        <w:t xml:space="preserve">, </w:t>
      </w:r>
      <w:r w:rsidR="006A3918">
        <w:t xml:space="preserve">prevalence of patients started on </w:t>
      </w:r>
      <w:r>
        <w:t>anti-TNF</w:t>
      </w:r>
      <w:r w:rsidR="006A3918">
        <w:t xml:space="preserve"> therapy</w:t>
      </w:r>
      <w:r w:rsidR="00B015B8">
        <w:t xml:space="preserve">, </w:t>
      </w:r>
      <w:r w:rsidR="008E2826">
        <w:t>time to surgery, time to anti-TNF</w:t>
      </w:r>
      <w:r>
        <w:t xml:space="preserve"> and time</w:t>
      </w:r>
      <w:r w:rsidR="008E2826">
        <w:t xml:space="preserve"> (year of study</w:t>
      </w:r>
      <w:r w:rsidR="005A7F6F" w:rsidRPr="005A7F6F">
        <w:t xml:space="preserve"> </w:t>
      </w:r>
      <w:r w:rsidR="005A7F6F">
        <w:t>Data are presented as mean values, with values from first and last year of study.</w:t>
      </w:r>
      <w:proofErr w:type="gramEnd"/>
      <w:r w:rsidR="00532797">
        <w:t xml:space="preserve"> </w:t>
      </w:r>
      <w:r w:rsidR="00A6387F">
        <w:t>A</w:t>
      </w:r>
      <w:r>
        <w:t xml:space="preserve"> </w:t>
      </w:r>
      <w:r w:rsidR="00504842">
        <w:t xml:space="preserve">backward </w:t>
      </w:r>
      <w:r w:rsidR="00DE5467">
        <w:t xml:space="preserve">stepwise </w:t>
      </w:r>
      <w:r>
        <w:t>multiple linear regression model was produced to examine the relationship between surgical resection rate</w:t>
      </w:r>
      <w:r w:rsidR="009A1AF2">
        <w:t xml:space="preserve"> per year</w:t>
      </w:r>
      <w:r>
        <w:t xml:space="preserve"> (dependant varia</w:t>
      </w:r>
      <w:r w:rsidR="00504842">
        <w:t xml:space="preserve">ble) and clinically relevant independent variables i) </w:t>
      </w:r>
      <w:r>
        <w:t>time to surgery</w:t>
      </w:r>
      <w:r w:rsidR="009A1AF2">
        <w:t xml:space="preserve"> per year</w:t>
      </w:r>
      <w:r w:rsidR="00504842">
        <w:t xml:space="preserve">, ii) </w:t>
      </w:r>
      <w:r>
        <w:t>time to anti-TNF</w:t>
      </w:r>
      <w:r w:rsidR="009A1AF2">
        <w:t xml:space="preserve"> per year</w:t>
      </w:r>
      <w:r w:rsidR="00504842">
        <w:t>, iii)</w:t>
      </w:r>
      <w:r>
        <w:t xml:space="preserve"> prevalence of anti-TNF</w:t>
      </w:r>
      <w:r w:rsidR="009A1AF2">
        <w:t xml:space="preserve"> per year</w:t>
      </w:r>
      <w:r w:rsidR="00504842">
        <w:t>, iv) age at surgery per year</w:t>
      </w:r>
      <w:r>
        <w:t xml:space="preserve">. </w:t>
      </w:r>
      <w:r w:rsidR="007C236B">
        <w:t>Y</w:t>
      </w:r>
      <w:r w:rsidR="00504842">
        <w:t xml:space="preserve">ear of study </w:t>
      </w:r>
      <w:proofErr w:type="gramStart"/>
      <w:r w:rsidR="00CD0E6D">
        <w:t>was</w:t>
      </w:r>
      <w:r w:rsidR="00504842">
        <w:t xml:space="preserve"> </w:t>
      </w:r>
      <w:r w:rsidR="007C236B">
        <w:t>incorporated</w:t>
      </w:r>
      <w:proofErr w:type="gramEnd"/>
      <w:r w:rsidR="007C236B">
        <w:t xml:space="preserve"> into the model by </w:t>
      </w:r>
      <w:r w:rsidR="00CD0E6D">
        <w:t xml:space="preserve">using </w:t>
      </w:r>
      <w:r w:rsidR="007C236B">
        <w:t>outcomes per year (independent variables above).</w:t>
      </w:r>
      <w:r w:rsidR="00504842">
        <w:t xml:space="preserve"> </w:t>
      </w:r>
      <w:r w:rsidR="00CD0E6D">
        <w:t>Additional u</w:t>
      </w:r>
      <w:r w:rsidR="002C0D2F">
        <w:t xml:space="preserve">nivariate regression </w:t>
      </w:r>
      <w:proofErr w:type="gramStart"/>
      <w:r w:rsidR="002C0D2F">
        <w:t>was performed</w:t>
      </w:r>
      <w:proofErr w:type="gramEnd"/>
      <w:r w:rsidR="002C0D2F">
        <w:t xml:space="preserve"> to assess the relationship between the independent variables and surgical resection rates</w:t>
      </w:r>
    </w:p>
    <w:p w14:paraId="21968E46" w14:textId="77777777" w:rsidR="00A1721D" w:rsidRDefault="00346E3E" w:rsidP="00A1721D">
      <w:pPr>
        <w:spacing w:line="480" w:lineRule="auto"/>
      </w:pPr>
      <w:r>
        <w:lastRenderedPageBreak/>
        <w:t>Due to small patient numbers in some groups F</w:t>
      </w:r>
      <w:r w:rsidR="00A1721D">
        <w:t>isher</w:t>
      </w:r>
      <w:proofErr w:type="gramStart"/>
      <w:r w:rsidR="00A1721D">
        <w:t>’s exact test was used</w:t>
      </w:r>
      <w:proofErr w:type="gramEnd"/>
      <w:r w:rsidR="00A1721D">
        <w:t xml:space="preserve"> to assess for differences </w:t>
      </w:r>
      <w:r w:rsidR="000B7487">
        <w:t>between treated and untreated groups (surgery, anti-TNF</w:t>
      </w:r>
      <w:r w:rsidR="009A1AF2">
        <w:t>) and disease subtypes</w:t>
      </w:r>
      <w:r w:rsidR="000B7487">
        <w:t xml:space="preserve">. </w:t>
      </w:r>
      <w:r w:rsidR="00504842">
        <w:t xml:space="preserve">Comparison of mean values was with Student’s T-test. </w:t>
      </w:r>
      <w:r w:rsidR="008341DE">
        <w:t xml:space="preserve">Shapiro-Wilk </w:t>
      </w:r>
      <w:proofErr w:type="gramStart"/>
      <w:r w:rsidR="008341DE">
        <w:t>was used</w:t>
      </w:r>
      <w:proofErr w:type="gramEnd"/>
      <w:r w:rsidR="008341DE">
        <w:t xml:space="preserve"> to assess the distribution of the data. </w:t>
      </w:r>
    </w:p>
    <w:p w14:paraId="1222AEC7" w14:textId="7060C8B2" w:rsidR="00532797" w:rsidRDefault="00B63B76" w:rsidP="00463DD1">
      <w:pPr>
        <w:spacing w:line="480" w:lineRule="auto"/>
      </w:pPr>
      <w:r>
        <w:t xml:space="preserve">Kaplan-Meier survival curves were </w:t>
      </w:r>
      <w:r w:rsidR="008E2826">
        <w:t>constructed</w:t>
      </w:r>
      <w:r>
        <w:t xml:space="preserve"> </w:t>
      </w:r>
      <w:r w:rsidR="00504842">
        <w:t>using</w:t>
      </w:r>
      <w:r>
        <w:t xml:space="preserve"> both </w:t>
      </w:r>
      <w:r w:rsidR="008836BD">
        <w:t>surgical resection</w:t>
      </w:r>
      <w:r>
        <w:t xml:space="preserve"> and anti-TNF therapy</w:t>
      </w:r>
      <w:r w:rsidR="00504842">
        <w:t xml:space="preserve"> as outcome measures</w:t>
      </w:r>
      <w:r w:rsidR="00A1721D">
        <w:t xml:space="preserve">, </w:t>
      </w:r>
      <w:r w:rsidR="00504842">
        <w:t xml:space="preserve">with </w:t>
      </w:r>
      <w:proofErr w:type="gramStart"/>
      <w:r w:rsidR="00504842">
        <w:t>patients</w:t>
      </w:r>
      <w:proofErr w:type="gramEnd"/>
      <w:r w:rsidR="00504842">
        <w:t xml:space="preserve"> data being censored at the point of </w:t>
      </w:r>
      <w:r w:rsidR="00A1721D">
        <w:t>transition to adult care.</w:t>
      </w:r>
      <w:r>
        <w:t xml:space="preserve"> </w:t>
      </w:r>
      <w:r w:rsidR="00A1721D">
        <w:t xml:space="preserve">Additional survival analysis </w:t>
      </w:r>
      <w:proofErr w:type="gramStart"/>
      <w:r w:rsidR="00A1721D">
        <w:t>was conducted</w:t>
      </w:r>
      <w:proofErr w:type="gramEnd"/>
      <w:r w:rsidR="00A1721D">
        <w:t xml:space="preserve"> for surgery (event) by grouping patients into those treated with anti-TNF and those not treated,</w:t>
      </w:r>
      <w:r w:rsidR="00A1721D" w:rsidRPr="00A1721D">
        <w:t xml:space="preserve"> </w:t>
      </w:r>
      <w:r w:rsidR="00A1721D">
        <w:t>survival was to surgery (event) or tran</w:t>
      </w:r>
      <w:r w:rsidR="00765268">
        <w:t>sition to adult care (censored)</w:t>
      </w:r>
      <w:r w:rsidR="00A1721D">
        <w:t xml:space="preserve">. </w:t>
      </w:r>
      <w:r w:rsidR="00346E3E">
        <w:t xml:space="preserve">Statistical significance </w:t>
      </w:r>
      <w:r w:rsidR="004320BD">
        <w:t xml:space="preserve">was considered p=&lt;0.05. </w:t>
      </w:r>
      <w:r>
        <w:t>All analysis was with SPSS v24 (IBM).</w:t>
      </w:r>
    </w:p>
    <w:p w14:paraId="5CB61938" w14:textId="77777777" w:rsidR="003324C1" w:rsidRPr="003324C1" w:rsidRDefault="0084319F" w:rsidP="003324C1">
      <w:pPr>
        <w:spacing w:line="480" w:lineRule="auto"/>
      </w:pPr>
      <w:r>
        <w:t xml:space="preserve">This study </w:t>
      </w:r>
      <w:proofErr w:type="gramStart"/>
      <w:r>
        <w:t>was registered</w:t>
      </w:r>
      <w:proofErr w:type="gramEnd"/>
      <w:r>
        <w:t xml:space="preserve"> as a service evaluation project </w:t>
      </w:r>
      <w:r w:rsidR="003324C1" w:rsidRPr="003324C1">
        <w:t xml:space="preserve">with </w:t>
      </w:r>
      <w:r w:rsidR="00D95D55">
        <w:t>University Hospital Southampton</w:t>
      </w:r>
      <w:r w:rsidR="00CD0E6D">
        <w:t xml:space="preserve"> NHS </w:t>
      </w:r>
      <w:r>
        <w:t>f</w:t>
      </w:r>
      <w:r w:rsidR="00CD0E6D">
        <w:t xml:space="preserve">oundation </w:t>
      </w:r>
      <w:r>
        <w:t>t</w:t>
      </w:r>
      <w:r w:rsidR="00CD0E6D">
        <w:t>rust</w:t>
      </w:r>
      <w:r w:rsidR="003324C1" w:rsidRPr="003324C1">
        <w:t xml:space="preserve"> </w:t>
      </w:r>
      <w:r>
        <w:t>department of child health</w:t>
      </w:r>
      <w:r w:rsidR="003324C1" w:rsidRPr="003324C1">
        <w:t>.</w:t>
      </w:r>
    </w:p>
    <w:p w14:paraId="50F255F4" w14:textId="77777777" w:rsidR="00F06F6D" w:rsidRDefault="00F06F6D" w:rsidP="006A0590">
      <w:pPr>
        <w:spacing w:line="480" w:lineRule="auto"/>
        <w:rPr>
          <w:u w:val="single"/>
        </w:rPr>
      </w:pPr>
    </w:p>
    <w:p w14:paraId="7BD85EF5" w14:textId="77777777" w:rsidR="00F06F6D" w:rsidRDefault="00F06F6D" w:rsidP="006A0590">
      <w:pPr>
        <w:spacing w:line="480" w:lineRule="auto"/>
        <w:rPr>
          <w:u w:val="single"/>
        </w:rPr>
      </w:pPr>
    </w:p>
    <w:p w14:paraId="36BFDDBB" w14:textId="77777777" w:rsidR="00F06F6D" w:rsidRDefault="00F06F6D" w:rsidP="006A0590">
      <w:pPr>
        <w:spacing w:line="480" w:lineRule="auto"/>
        <w:rPr>
          <w:u w:val="single"/>
        </w:rPr>
      </w:pPr>
    </w:p>
    <w:p w14:paraId="79AA2B2B" w14:textId="77777777" w:rsidR="00F06F6D" w:rsidRDefault="00F06F6D" w:rsidP="006A0590">
      <w:pPr>
        <w:spacing w:line="480" w:lineRule="auto"/>
        <w:rPr>
          <w:u w:val="single"/>
        </w:rPr>
      </w:pPr>
    </w:p>
    <w:p w14:paraId="10470177" w14:textId="77777777" w:rsidR="00F06F6D" w:rsidRDefault="00F06F6D" w:rsidP="006A0590">
      <w:pPr>
        <w:spacing w:line="480" w:lineRule="auto"/>
        <w:rPr>
          <w:u w:val="single"/>
        </w:rPr>
      </w:pPr>
    </w:p>
    <w:p w14:paraId="0F0FFAFD" w14:textId="77777777" w:rsidR="00F06F6D" w:rsidRDefault="00F06F6D" w:rsidP="006A0590">
      <w:pPr>
        <w:spacing w:line="480" w:lineRule="auto"/>
        <w:rPr>
          <w:u w:val="single"/>
        </w:rPr>
      </w:pPr>
    </w:p>
    <w:p w14:paraId="731C7DB2" w14:textId="77777777" w:rsidR="00F06F6D" w:rsidRDefault="00F06F6D" w:rsidP="006A0590">
      <w:pPr>
        <w:spacing w:line="480" w:lineRule="auto"/>
        <w:rPr>
          <w:u w:val="single"/>
        </w:rPr>
      </w:pPr>
    </w:p>
    <w:p w14:paraId="270F01F0" w14:textId="77777777" w:rsidR="00F06F6D" w:rsidRDefault="00F06F6D" w:rsidP="006A0590">
      <w:pPr>
        <w:spacing w:line="480" w:lineRule="auto"/>
        <w:rPr>
          <w:u w:val="single"/>
        </w:rPr>
      </w:pPr>
    </w:p>
    <w:p w14:paraId="05CA19CD" w14:textId="77777777" w:rsidR="00F06F6D" w:rsidRDefault="00F06F6D" w:rsidP="006A0590">
      <w:pPr>
        <w:spacing w:line="480" w:lineRule="auto"/>
        <w:rPr>
          <w:u w:val="single"/>
        </w:rPr>
      </w:pPr>
    </w:p>
    <w:p w14:paraId="354C7722" w14:textId="77777777" w:rsidR="00F06F6D" w:rsidRDefault="00F06F6D" w:rsidP="006A0590">
      <w:pPr>
        <w:spacing w:line="480" w:lineRule="auto"/>
        <w:rPr>
          <w:u w:val="single"/>
        </w:rPr>
      </w:pPr>
    </w:p>
    <w:p w14:paraId="51832CE4" w14:textId="77777777" w:rsidR="00F06F6D" w:rsidRDefault="00F06F6D" w:rsidP="006A0590">
      <w:pPr>
        <w:spacing w:line="480" w:lineRule="auto"/>
        <w:rPr>
          <w:u w:val="single"/>
        </w:rPr>
      </w:pPr>
    </w:p>
    <w:p w14:paraId="49E64DBC" w14:textId="77777777" w:rsidR="006A0590" w:rsidRPr="006A0590" w:rsidRDefault="006A0590" w:rsidP="006A0590">
      <w:pPr>
        <w:spacing w:line="480" w:lineRule="auto"/>
        <w:rPr>
          <w:u w:val="single"/>
        </w:rPr>
      </w:pPr>
      <w:r w:rsidRPr="006A0590">
        <w:rPr>
          <w:u w:val="single"/>
        </w:rPr>
        <w:lastRenderedPageBreak/>
        <w:t xml:space="preserve">Results </w:t>
      </w:r>
    </w:p>
    <w:p w14:paraId="2340F10D" w14:textId="02D4D5BD" w:rsidR="008C7752" w:rsidRDefault="00976F3E" w:rsidP="00140218">
      <w:pPr>
        <w:spacing w:line="480" w:lineRule="auto"/>
      </w:pPr>
      <w:r>
        <w:t>A</w:t>
      </w:r>
      <w:r w:rsidR="008C7752">
        <w:t>ll eligible children (n=</w:t>
      </w:r>
      <w:r w:rsidR="008E2826">
        <w:t>825</w:t>
      </w:r>
      <w:r w:rsidR="008C7752">
        <w:t>)</w:t>
      </w:r>
      <w:r>
        <w:t xml:space="preserve"> were included in the analysis</w:t>
      </w:r>
      <w:r w:rsidR="0068115C">
        <w:t xml:space="preserve"> (</w:t>
      </w:r>
      <w:r w:rsidR="00215181">
        <w:t>498</w:t>
      </w:r>
      <w:r w:rsidR="00582FB4">
        <w:t xml:space="preserve"> Crohn’s disease, 2</w:t>
      </w:r>
      <w:r w:rsidR="00215181">
        <w:t>72</w:t>
      </w:r>
      <w:r w:rsidR="00582FB4">
        <w:t xml:space="preserve"> ulcerative colitis, </w:t>
      </w:r>
      <w:r w:rsidR="00215181">
        <w:t>55</w:t>
      </w:r>
      <w:r w:rsidR="00582FB4">
        <w:t xml:space="preserve"> IBDU), </w:t>
      </w:r>
      <w:r w:rsidR="00765268">
        <w:t xml:space="preserve">the </w:t>
      </w:r>
      <w:r w:rsidR="0070615F">
        <w:t>mean</w:t>
      </w:r>
      <w:r w:rsidR="00582FB4">
        <w:t xml:space="preserve"> age at diagnosis </w:t>
      </w:r>
      <w:r w:rsidR="00765268">
        <w:t xml:space="preserve">was </w:t>
      </w:r>
      <w:r w:rsidR="00EB75AE">
        <w:t>12.59</w:t>
      </w:r>
      <w:r w:rsidR="00215181">
        <w:t xml:space="preserve"> years</w:t>
      </w:r>
      <w:r w:rsidR="00D638CA">
        <w:t xml:space="preserve"> (1.59-17.64 years)</w:t>
      </w:r>
      <w:r w:rsidR="00215181">
        <w:t>, 327</w:t>
      </w:r>
      <w:r w:rsidR="00582FB4">
        <w:t xml:space="preserve"> (39.</w:t>
      </w:r>
      <w:r w:rsidR="00215181">
        <w:t>6</w:t>
      </w:r>
      <w:r w:rsidR="00582FB4">
        <w:t xml:space="preserve">%) </w:t>
      </w:r>
      <w:r w:rsidR="00765268">
        <w:t xml:space="preserve">patients were </w:t>
      </w:r>
      <w:r w:rsidR="00582FB4">
        <w:t>female.</w:t>
      </w:r>
      <w:r w:rsidR="00D638CA">
        <w:t xml:space="preserve"> </w:t>
      </w:r>
      <w:r w:rsidR="009E288A">
        <w:t xml:space="preserve">The number of patients under paediatric gastroenterology care increased from 198 in 2007 to 343 in 2017, </w:t>
      </w:r>
      <w:r w:rsidR="00861654">
        <w:t>in line with the increase in disease</w:t>
      </w:r>
      <w:r w:rsidR="00B41816">
        <w:t xml:space="preserve"> incidence </w:t>
      </w:r>
      <w:r w:rsidR="00B41816">
        <w:fldChar w:fldCharType="begin" w:fldLock="1"/>
      </w:r>
      <w:r w:rsidR="00E11DF8">
        <w:instrText>ADDIN CSL_CITATION { "citationItems" : [ { "id" : "ITEM-1", "itemData" : { "DOI" : "10.1136/archdischild-2018-315038", "ISSN" : "1468-2044", "PMID" : "29519945", "abstract" : "There has been an increase in the incidence of paediatric inflammatory bowel disease (PIBD) over the last 20 years.1 2 We have previously published data from Wessex, England, reporting an incidence of 9.37/100\u00a0000/year (2008\u20132012), which\u00a0significantly increased from 5.2/100\u00a0000/year in 1998\u20131999, 6.39/100\u00a0000/year in 2002\u20132006, and 7.82/100\u00a0000/year in 2003\u20132008.1 2 We now report the most recent disease incidence figures for Wessex, England (1\u00a0January\u00a02013 to 31\u00a0December\u00a02017) and analyse them with previously published Wessex data (1\u00a0January\u00a02002 to 21\u00a0December\u00a02012) demonstrating the most contemporary incidence and the trend over 16 years. The \u2018Wessex\u2019 population was estimated from the Office for National Statistics using defined postcodes, based on the contemporary referral area.1 3 Statistical analyses of the data were conducted \u2026", "author" : [ { "dropping-particle" : "", "family" : "Ashton", "given" : "James John", "non-dropping-particle" : "", "parse-names" : false, "suffix" : "" }, { "dropping-particle" : "", "family" : "Cullen", "given" : "Mick", "non-dropping-particle" : "", "parse-names" : false, "suffix" : "" }, { "dropping-particle" : "", "family" : "Afzal", "given" : "Nadeem A", "non-dropping-particle" : "", "parse-names" : false, "suffix" : "" }, { "dropping-particle" : "", "family" : "Coelho", "given" : "Tracy", "non-dropping-particle" : "", "parse-names" : false, "suffix" : "" }, { "dropping-particle" : "", "family" : "Batra", "given" : "Akshay", "non-dropping-particle" : "", "parse-names" : false, "suffix" : "" }, { "dropping-particle" : "", "family" : "Beattie", "given" : "R Mark", "non-dropping-particle" : "", "parse-names" : false, "suffix" : "" } ], "container-title" : "Archives of disease in childhood", "id" : "ITEM-1", "issued" : { "date-parts" : [ [ "2018", "3", "8" ] ] }, "page" : "archdischild-2018-315038", "publisher" : "BMJ Publishing Group Ltd", "title" : "Is the incidence of paediatric inflammatory bowel disease still increasing?", "type" : "article-journal" }, "uris" : [ "http://www.mendeley.com/documents/?uuid=c57f7098-2a98-3e63-8ae2-8444e81959ca" ] } ], "mendeley" : { "formattedCitation" : "[19]", "plainTextFormattedCitation" : "[19]", "previouslyFormattedCitation" : "[19]" }, "properties" : { "noteIndex" : 0 }, "schema" : "https://github.com/citation-style-language/schema/raw/master/csl-citation.json" }</w:instrText>
      </w:r>
      <w:r w:rsidR="00B41816">
        <w:fldChar w:fldCharType="separate"/>
      </w:r>
      <w:r w:rsidR="00E96EE3" w:rsidRPr="00E96EE3">
        <w:rPr>
          <w:noProof/>
        </w:rPr>
        <w:t>[19]</w:t>
      </w:r>
      <w:r w:rsidR="00B41816">
        <w:fldChar w:fldCharType="end"/>
      </w:r>
      <w:r w:rsidR="00B41816">
        <w:t xml:space="preserve">. </w:t>
      </w:r>
      <w:r w:rsidR="00140218">
        <w:t xml:space="preserve">A summary of the data </w:t>
      </w:r>
      <w:proofErr w:type="gramStart"/>
      <w:r w:rsidR="00140218">
        <w:t>can be seen</w:t>
      </w:r>
      <w:proofErr w:type="gramEnd"/>
      <w:r w:rsidR="00140218">
        <w:t xml:space="preserve"> in table 1.</w:t>
      </w:r>
    </w:p>
    <w:p w14:paraId="0D6C4BB4" w14:textId="77777777" w:rsidR="009E288A" w:rsidRPr="009E288A" w:rsidRDefault="009E288A" w:rsidP="009E288A">
      <w:pPr>
        <w:spacing w:line="480" w:lineRule="auto"/>
        <w:rPr>
          <w:i/>
          <w:u w:val="single"/>
        </w:rPr>
      </w:pPr>
      <w:r>
        <w:rPr>
          <w:i/>
          <w:u w:val="single"/>
        </w:rPr>
        <w:t>Anti-TNF therapy</w:t>
      </w:r>
    </w:p>
    <w:p w14:paraId="0EA0F2EA" w14:textId="77777777" w:rsidR="009E288A" w:rsidRDefault="00EC7C23" w:rsidP="006A0590">
      <w:pPr>
        <w:spacing w:line="480" w:lineRule="auto"/>
      </w:pPr>
      <w:r>
        <w:t>The number of patients newly start</w:t>
      </w:r>
      <w:r w:rsidR="000900FD">
        <w:t>ed</w:t>
      </w:r>
      <w:r>
        <w:t xml:space="preserve"> on anti-TNF therapy increased from 2007 to 2017 (5 in 2007 to 24 in 2017)</w:t>
      </w:r>
      <w:r w:rsidR="000900FD">
        <w:t>;</w:t>
      </w:r>
      <w:r w:rsidR="00D638CA">
        <w:t xml:space="preserve"> 168</w:t>
      </w:r>
      <w:r w:rsidR="00402884">
        <w:t xml:space="preserve"> patients (26.8</w:t>
      </w:r>
      <w:r>
        <w:t xml:space="preserve">%) </w:t>
      </w:r>
      <w:r w:rsidR="00B71836">
        <w:t xml:space="preserve">had anti-TNF therapy during the study period and </w:t>
      </w:r>
      <w:r>
        <w:t xml:space="preserve">were treated </w:t>
      </w:r>
      <w:r w:rsidR="006E0093">
        <w:t xml:space="preserve">initially </w:t>
      </w:r>
      <w:r>
        <w:t>with either infliximab (n=16</w:t>
      </w:r>
      <w:r w:rsidR="002465D7">
        <w:t>2</w:t>
      </w:r>
      <w:r>
        <w:t xml:space="preserve">) or </w:t>
      </w:r>
      <w:proofErr w:type="spellStart"/>
      <w:r>
        <w:t>adalimumab</w:t>
      </w:r>
      <w:proofErr w:type="spellEnd"/>
      <w:r>
        <w:t xml:space="preserve"> (n=</w:t>
      </w:r>
      <w:r w:rsidR="002465D7">
        <w:t>6</w:t>
      </w:r>
      <w:r>
        <w:t>)</w:t>
      </w:r>
      <w:r w:rsidR="002B6A7D">
        <w:t>, in line with local guidelines</w:t>
      </w:r>
      <w:r>
        <w:t xml:space="preserve">. </w:t>
      </w:r>
    </w:p>
    <w:p w14:paraId="4F93A92A" w14:textId="7D8C46B0" w:rsidR="00EC7C23" w:rsidRDefault="00EC7C23" w:rsidP="006A0590">
      <w:pPr>
        <w:spacing w:line="480" w:lineRule="auto"/>
      </w:pPr>
      <w:r>
        <w:t xml:space="preserve">The prevalence of </w:t>
      </w:r>
      <w:r w:rsidR="00113167">
        <w:t xml:space="preserve">patients who </w:t>
      </w:r>
      <w:r w:rsidR="00FE76DD">
        <w:t>had</w:t>
      </w:r>
      <w:r w:rsidR="00113167">
        <w:t xml:space="preserve"> been treated with </w:t>
      </w:r>
      <w:r>
        <w:t xml:space="preserve">anti-TNF </w:t>
      </w:r>
      <w:r w:rsidR="006E0093">
        <w:t xml:space="preserve">increased </w:t>
      </w:r>
      <w:r w:rsidR="009D7634">
        <w:t xml:space="preserve">significantly </w:t>
      </w:r>
      <w:r w:rsidR="006E0093">
        <w:t xml:space="preserve">from 2007, from 5.05% </w:t>
      </w:r>
      <w:r w:rsidR="00B71836">
        <w:t xml:space="preserve">patients </w:t>
      </w:r>
      <w:r w:rsidR="006E0093">
        <w:t xml:space="preserve">in 2007 to 27.11% </w:t>
      </w:r>
      <w:r w:rsidR="00B71836">
        <w:t xml:space="preserve">patients </w:t>
      </w:r>
      <w:r w:rsidR="006E0093">
        <w:t>in 2017 (</w:t>
      </w:r>
      <w:r w:rsidR="003B317F">
        <w:t>PCC</w:t>
      </w:r>
      <w:r w:rsidR="0025205F">
        <w:t xml:space="preserve">=0.968, </w:t>
      </w:r>
      <w:r w:rsidR="006E0093">
        <w:t>p=</w:t>
      </w:r>
      <w:r w:rsidR="002C0D2F">
        <w:t>1x10</w:t>
      </w:r>
      <w:r w:rsidR="002C0D2F">
        <w:rPr>
          <w:vertAlign w:val="superscript"/>
        </w:rPr>
        <w:t>-6</w:t>
      </w:r>
      <w:r w:rsidR="0072161D">
        <w:t xml:space="preserve">). </w:t>
      </w:r>
      <w:r w:rsidR="00F06F6D">
        <w:t>There was significant correlation between mean time to surgical resection per year and prevalence</w:t>
      </w:r>
      <w:r w:rsidR="003B317F">
        <w:t xml:space="preserve"> of anti-TNF treated patients (PCC</w:t>
      </w:r>
      <w:r w:rsidR="00F06F6D">
        <w:t>=0.917, p=7x10</w:t>
      </w:r>
      <w:r w:rsidR="00F06F6D">
        <w:rPr>
          <w:vertAlign w:val="superscript"/>
        </w:rPr>
        <w:t>-5</w:t>
      </w:r>
      <w:r w:rsidR="00F06F6D">
        <w:t xml:space="preserve">). </w:t>
      </w:r>
      <w:r w:rsidR="00AE379D">
        <w:t>T</w:t>
      </w:r>
      <w:r w:rsidR="0072161D">
        <w:t xml:space="preserve">able </w:t>
      </w:r>
      <w:proofErr w:type="gramStart"/>
      <w:r w:rsidR="0072161D">
        <w:t>2</w:t>
      </w:r>
      <w:proofErr w:type="gramEnd"/>
      <w:r w:rsidR="0072161D">
        <w:t xml:space="preserve"> and figure 1</w:t>
      </w:r>
      <w:r w:rsidR="006E0093">
        <w:t xml:space="preserve">. </w:t>
      </w:r>
    </w:p>
    <w:p w14:paraId="6ECD85E6" w14:textId="3892A0F6" w:rsidR="00AE0BD3" w:rsidRPr="00705788" w:rsidRDefault="006C6307" w:rsidP="006A0590">
      <w:pPr>
        <w:spacing w:line="480" w:lineRule="auto"/>
      </w:pPr>
      <w:r>
        <w:t>There was a no significant correlation between time from</w:t>
      </w:r>
      <w:r w:rsidR="00705788">
        <w:t xml:space="preserve"> diagnosis </w:t>
      </w:r>
      <w:r w:rsidR="00705788" w:rsidRPr="00705788">
        <w:t xml:space="preserve">to starting anti-TNF therapy </w:t>
      </w:r>
      <w:r>
        <w:t>and year of study (</w:t>
      </w:r>
      <w:r w:rsidR="003B317F">
        <w:t>PCC</w:t>
      </w:r>
      <w:r w:rsidR="003A7154">
        <w:t xml:space="preserve">=-0.57, </w:t>
      </w:r>
      <w:r>
        <w:t>p=0.067).</w:t>
      </w:r>
      <w:r w:rsidR="00F232CC" w:rsidRPr="00705788">
        <w:t xml:space="preserve"> </w:t>
      </w:r>
      <w:r w:rsidR="003A7154">
        <w:t>However there was a significant positive correlation between time to starting anti-TNF and sur</w:t>
      </w:r>
      <w:r w:rsidR="003B317F">
        <w:t>gical resection rate per year (PCC</w:t>
      </w:r>
      <w:r w:rsidR="003A7154">
        <w:t>=0.681, p=0.021)</w:t>
      </w:r>
      <w:r w:rsidR="00F06F6D">
        <w:t xml:space="preserve">. </w:t>
      </w:r>
      <w:r w:rsidR="00AE379D">
        <w:t>T</w:t>
      </w:r>
      <w:r w:rsidR="00705788">
        <w:t xml:space="preserve">able </w:t>
      </w:r>
      <w:r w:rsidR="00140218">
        <w:t>2</w:t>
      </w:r>
      <w:r w:rsidR="00705788">
        <w:t xml:space="preserve">. </w:t>
      </w:r>
    </w:p>
    <w:p w14:paraId="5D96B9FF" w14:textId="77777777" w:rsidR="009E288A" w:rsidRPr="009E288A" w:rsidRDefault="009E288A" w:rsidP="006A0590">
      <w:pPr>
        <w:spacing w:line="480" w:lineRule="auto"/>
        <w:rPr>
          <w:i/>
          <w:u w:val="single"/>
        </w:rPr>
      </w:pPr>
      <w:r w:rsidRPr="009E288A">
        <w:rPr>
          <w:i/>
          <w:u w:val="single"/>
        </w:rPr>
        <w:t xml:space="preserve">Surgical resections </w:t>
      </w:r>
    </w:p>
    <w:p w14:paraId="7A6A45C6" w14:textId="2EE11F99" w:rsidR="006A0590" w:rsidRDefault="00FD3311" w:rsidP="006A0590">
      <w:pPr>
        <w:spacing w:line="480" w:lineRule="auto"/>
      </w:pPr>
      <w:r>
        <w:t xml:space="preserve">There were </w:t>
      </w:r>
      <w:r w:rsidRPr="008B0AFF">
        <w:t xml:space="preserve">91 surgical resections over the </w:t>
      </w:r>
      <w:proofErr w:type="gramStart"/>
      <w:r w:rsidRPr="008B0AFF">
        <w:t>11 year</w:t>
      </w:r>
      <w:proofErr w:type="gramEnd"/>
      <w:r w:rsidRPr="008B0AFF">
        <w:t xml:space="preserve"> period. </w:t>
      </w:r>
      <w:r w:rsidR="007D4964" w:rsidRPr="008B0AFF">
        <w:t>This included six patients who had a resection at presentation, as part of making the</w:t>
      </w:r>
      <w:r w:rsidR="008B0AFF">
        <w:t>ir</w:t>
      </w:r>
      <w:r w:rsidR="007D4964" w:rsidRPr="008B0AFF">
        <w:t xml:space="preserve"> diagnosis (one patient in each of 2007, 2009, 2010, 2012, 2013 and 2017). </w:t>
      </w:r>
      <w:r w:rsidR="009E288A" w:rsidRPr="008B0AFF">
        <w:t>The rate of surgical resections</w:t>
      </w:r>
      <w:r w:rsidR="00EC7C23" w:rsidRPr="008B0AFF">
        <w:t xml:space="preserve"> per year</w:t>
      </w:r>
      <w:r w:rsidR="009E288A" w:rsidRPr="008B0AFF">
        <w:t xml:space="preserve"> and the actual number of resections</w:t>
      </w:r>
      <w:r w:rsidR="00EC7C23" w:rsidRPr="008B0AFF">
        <w:t xml:space="preserve"> fell across the study period</w:t>
      </w:r>
      <w:r w:rsidR="006E0093" w:rsidRPr="008B0AFF">
        <w:t xml:space="preserve"> from 7.07%</w:t>
      </w:r>
      <w:r w:rsidR="009D7634" w:rsidRPr="008B0AFF">
        <w:t xml:space="preserve"> (14</w:t>
      </w:r>
      <w:r w:rsidR="00A96ECC" w:rsidRPr="008B0AFF">
        <w:t xml:space="preserve"> resections</w:t>
      </w:r>
      <w:r w:rsidR="00A96ECC">
        <w:t>/198 patients</w:t>
      </w:r>
      <w:r w:rsidR="009D7634">
        <w:t>)</w:t>
      </w:r>
      <w:r w:rsidR="006E0093">
        <w:t xml:space="preserve"> in 2007 to 1.46%</w:t>
      </w:r>
      <w:r w:rsidR="009D7634">
        <w:t xml:space="preserve"> (5</w:t>
      </w:r>
      <w:r w:rsidR="00D46401">
        <w:t xml:space="preserve"> resections</w:t>
      </w:r>
      <w:r w:rsidR="00A96ECC">
        <w:t>/343 patients</w:t>
      </w:r>
      <w:r w:rsidR="009D7634">
        <w:t>)</w:t>
      </w:r>
      <w:r w:rsidR="00D638CA">
        <w:t xml:space="preserve"> in 2017 (</w:t>
      </w:r>
      <w:r w:rsidR="003B317F">
        <w:t>PCC</w:t>
      </w:r>
      <w:r w:rsidR="0025205F">
        <w:t xml:space="preserve">=-0.833, </w:t>
      </w:r>
      <w:r w:rsidR="00D638CA">
        <w:t>p=0.001</w:t>
      </w:r>
      <w:r w:rsidR="006E0093">
        <w:t>)</w:t>
      </w:r>
      <w:r w:rsidR="00EC7C23">
        <w:t xml:space="preserve">. </w:t>
      </w:r>
      <w:r w:rsidR="006E0093">
        <w:t xml:space="preserve">See table 1 and figure </w:t>
      </w:r>
      <w:proofErr w:type="gramStart"/>
      <w:r w:rsidR="006E0093">
        <w:t>1</w:t>
      </w:r>
      <w:proofErr w:type="gramEnd"/>
      <w:r w:rsidR="006E0093">
        <w:t>.</w:t>
      </w:r>
      <w:r>
        <w:t xml:space="preserve"> </w:t>
      </w:r>
      <w:r w:rsidR="004E0828">
        <w:t>T</w:t>
      </w:r>
      <w:r w:rsidR="00463DD1" w:rsidRPr="00463DD1">
        <w:t xml:space="preserve">here </w:t>
      </w:r>
      <w:r w:rsidR="0068115C">
        <w:t>was</w:t>
      </w:r>
      <w:r w:rsidR="00463DD1" w:rsidRPr="00463DD1">
        <w:t xml:space="preserve"> no </w:t>
      </w:r>
      <w:r w:rsidR="00652951">
        <w:t xml:space="preserve">significant </w:t>
      </w:r>
      <w:r w:rsidR="00463DD1" w:rsidRPr="00463DD1">
        <w:t xml:space="preserve">difference </w:t>
      </w:r>
      <w:r w:rsidR="00463DD1">
        <w:t xml:space="preserve">in the rate of </w:t>
      </w:r>
      <w:r w:rsidR="00697166">
        <w:t xml:space="preserve">surgical </w:t>
      </w:r>
      <w:r w:rsidR="00463DD1">
        <w:t xml:space="preserve">resection </w:t>
      </w:r>
      <w:r w:rsidR="00697166">
        <w:t xml:space="preserve">between those exposed to anti-TNF medication </w:t>
      </w:r>
      <w:r w:rsidR="00697166">
        <w:lastRenderedPageBreak/>
        <w:t>(16.1%) and those anti-TNF naïve patients</w:t>
      </w:r>
      <w:r w:rsidR="005454A1">
        <w:t xml:space="preserve"> across the entire study period</w:t>
      </w:r>
      <w:r w:rsidR="00697166">
        <w:t xml:space="preserve"> (12.2%) (p=0.25). </w:t>
      </w:r>
      <w:r w:rsidR="00133F5C">
        <w:t xml:space="preserve">When </w:t>
      </w:r>
      <w:r w:rsidR="00FE76DD">
        <w:t>categorising</w:t>
      </w:r>
      <w:r w:rsidR="00133F5C">
        <w:t xml:space="preserve"> </w:t>
      </w:r>
      <w:r w:rsidR="00FE76DD">
        <w:t>patients into those</w:t>
      </w:r>
      <w:r w:rsidR="00133F5C">
        <w:t xml:space="preserve"> who s</w:t>
      </w:r>
      <w:r w:rsidR="003824E1">
        <w:t xml:space="preserve">tarted anti-TNF </w:t>
      </w:r>
      <w:r w:rsidR="00133F5C">
        <w:t>&lt;3 yea</w:t>
      </w:r>
      <w:r w:rsidR="003824E1">
        <w:t>rs after diagnosis</w:t>
      </w:r>
      <w:r w:rsidR="00133F5C">
        <w:t xml:space="preserve"> and &gt;3</w:t>
      </w:r>
      <w:r w:rsidR="003824E1">
        <w:t xml:space="preserve"> years after diagnosis</w:t>
      </w:r>
      <w:r w:rsidR="00133F5C">
        <w:t xml:space="preserve"> there </w:t>
      </w:r>
      <w:r w:rsidR="00D75587">
        <w:t>was a</w:t>
      </w:r>
      <w:r w:rsidR="00133F5C">
        <w:t xml:space="preserve"> statistical</w:t>
      </w:r>
      <w:r w:rsidR="00D75587">
        <w:t>ly significant</w:t>
      </w:r>
      <w:r w:rsidR="00FE76DD">
        <w:t xml:space="preserve"> difference between surgical resection</w:t>
      </w:r>
      <w:r w:rsidR="00133F5C">
        <w:t xml:space="preserve"> rates</w:t>
      </w:r>
      <w:r w:rsidR="00FE76DD">
        <w:t>. I</w:t>
      </w:r>
      <w:r w:rsidR="00331AE2">
        <w:t>n patient</w:t>
      </w:r>
      <w:r w:rsidR="002C0D2F">
        <w:t>s</w:t>
      </w:r>
      <w:r w:rsidR="00331AE2">
        <w:t xml:space="preserve"> treated with early anti-TNF </w:t>
      </w:r>
      <w:r w:rsidR="002D7F4D">
        <w:t>(17/146 patient - 11.6%) there was a lower rate of resection compared to</w:t>
      </w:r>
      <w:r w:rsidR="00331AE2">
        <w:t xml:space="preserve"> those with late anti-TNF</w:t>
      </w:r>
      <w:r w:rsidR="00133F5C">
        <w:t xml:space="preserve"> </w:t>
      </w:r>
      <w:r w:rsidR="002D7F4D">
        <w:t>(</w:t>
      </w:r>
      <w:r w:rsidR="00AB7E7F">
        <w:t xml:space="preserve">6/21 patients </w:t>
      </w:r>
      <w:r w:rsidR="00133F5C">
        <w:t>2</w:t>
      </w:r>
      <w:r w:rsidR="00D75587">
        <w:t>8</w:t>
      </w:r>
      <w:r w:rsidR="00133F5C">
        <w:t>.</w:t>
      </w:r>
      <w:r w:rsidR="00D75587">
        <w:t>6</w:t>
      </w:r>
      <w:r w:rsidR="002D7F4D">
        <w:t>%)</w:t>
      </w:r>
      <w:r w:rsidR="00133F5C">
        <w:t>, p=0.0</w:t>
      </w:r>
      <w:r w:rsidR="00D75587">
        <w:t>47</w:t>
      </w:r>
      <w:r w:rsidR="00133F5C">
        <w:t>.</w:t>
      </w:r>
    </w:p>
    <w:p w14:paraId="5A03AA79" w14:textId="3B5D1A0F" w:rsidR="00D638CA" w:rsidRDefault="00B71836" w:rsidP="00A6387F">
      <w:pPr>
        <w:spacing w:line="480" w:lineRule="auto"/>
      </w:pPr>
      <w:r>
        <w:t>The time from diagnosis to initial surgi</w:t>
      </w:r>
      <w:r w:rsidR="00C50D4A">
        <w:t>cal resection increased from 1.64 years in 2007 to 2.78</w:t>
      </w:r>
      <w:r w:rsidR="003B317F">
        <w:t xml:space="preserve"> years in 2017 (PCC</w:t>
      </w:r>
      <w:r w:rsidR="0052270D">
        <w:t>=0.811</w:t>
      </w:r>
      <w:r w:rsidR="0025205F">
        <w:t xml:space="preserve">, </w:t>
      </w:r>
      <w:r w:rsidR="0052270D">
        <w:t>p=0.002</w:t>
      </w:r>
      <w:r>
        <w:t xml:space="preserve">) </w:t>
      </w:r>
      <w:r w:rsidR="00652951">
        <w:t>although</w:t>
      </w:r>
      <w:r>
        <w:t xml:space="preserve"> there was no significant increase in the age at </w:t>
      </w:r>
      <w:r w:rsidR="004B4F73">
        <w:t xml:space="preserve">initial </w:t>
      </w:r>
      <w:r>
        <w:t>surgery (1</w:t>
      </w:r>
      <w:r w:rsidR="000942BE">
        <w:t>4.93 in 2007 to 14.53</w:t>
      </w:r>
      <w:r w:rsidR="004B4F73">
        <w:t xml:space="preserve"> in 2017)</w:t>
      </w:r>
      <w:r>
        <w:t xml:space="preserve"> (</w:t>
      </w:r>
      <w:r w:rsidR="003B317F">
        <w:t>PCC</w:t>
      </w:r>
      <w:r w:rsidR="00C50D4A">
        <w:t>=0.</w:t>
      </w:r>
      <w:r w:rsidR="0052270D">
        <w:t>2</w:t>
      </w:r>
      <w:r w:rsidR="0025205F">
        <w:t xml:space="preserve">, </w:t>
      </w:r>
      <w:r>
        <w:t>p=0.</w:t>
      </w:r>
      <w:r w:rsidR="0052270D">
        <w:t>555</w:t>
      </w:r>
      <w:r w:rsidR="00D638CA">
        <w:t>).</w:t>
      </w:r>
      <w:r w:rsidR="00A6387F">
        <w:t xml:space="preserve"> </w:t>
      </w:r>
      <w:r w:rsidR="002C0D2F">
        <w:t xml:space="preserve">This suggests only patients who were young at diagnosis are </w:t>
      </w:r>
      <w:r w:rsidR="00DB4BB3">
        <w:t xml:space="preserve">still </w:t>
      </w:r>
      <w:r w:rsidR="002C0D2F">
        <w:t xml:space="preserve">having surgery </w:t>
      </w:r>
      <w:r w:rsidR="00DB4BB3">
        <w:t>during childhood</w:t>
      </w:r>
      <w:r w:rsidR="003F4D33">
        <w:t>, due to a longer delay between diagnosis and surgery</w:t>
      </w:r>
      <w:r w:rsidR="00DB4BB3">
        <w:t xml:space="preserve">. </w:t>
      </w:r>
      <w:r w:rsidR="00B31571">
        <w:t>T</w:t>
      </w:r>
      <w:r w:rsidR="00A6387F">
        <w:t>he cohort</w:t>
      </w:r>
      <w:r w:rsidR="00DB4BB3">
        <w:t xml:space="preserve"> was divided</w:t>
      </w:r>
      <w:r w:rsidR="00A6387F">
        <w:t xml:space="preserve"> into two groups (2007-2011 and 2013-2017) </w:t>
      </w:r>
      <w:r w:rsidR="00DB4BB3">
        <w:t xml:space="preserve">which </w:t>
      </w:r>
      <w:r w:rsidR="00A6387F">
        <w:t>demonstrate</w:t>
      </w:r>
      <w:r w:rsidR="002C0D2F">
        <w:t>d</w:t>
      </w:r>
      <w:r w:rsidR="00A6387F">
        <w:t xml:space="preserve"> a statistically significant reduction in the age at diagnosis of those undergoing surgery in 2013-17 (11.86 years), compared to the 2007-2011 group (13.05 years), p=0.014.</w:t>
      </w:r>
    </w:p>
    <w:p w14:paraId="59AFD360" w14:textId="77777777" w:rsidR="00D638CA" w:rsidRPr="00D638CA" w:rsidRDefault="00F53F89" w:rsidP="009E288A">
      <w:pPr>
        <w:spacing w:line="480" w:lineRule="auto"/>
      </w:pPr>
      <w:r>
        <w:t>Univariate linear regression identified anti-TNF prevalence per year (R</w:t>
      </w:r>
      <w:r>
        <w:rPr>
          <w:vertAlign w:val="superscript"/>
        </w:rPr>
        <w:t>2</w:t>
      </w:r>
      <w:r>
        <w:t xml:space="preserve"> 0.528, p=0.011) and mean time to anti-TNF per year</w:t>
      </w:r>
      <w:r w:rsidRPr="00F53F89">
        <w:t xml:space="preserve"> </w:t>
      </w:r>
      <w:r>
        <w:t>(R</w:t>
      </w:r>
      <w:r>
        <w:rPr>
          <w:vertAlign w:val="superscript"/>
        </w:rPr>
        <w:t>2</w:t>
      </w:r>
      <w:r>
        <w:t xml:space="preserve"> 0.464, p=0.021) as significant predictors of surgical resection rate. </w:t>
      </w:r>
      <w:r w:rsidRPr="00D90031">
        <w:t>Mean time to surgery per year (R</w:t>
      </w:r>
      <w:r w:rsidRPr="00D90031">
        <w:rPr>
          <w:vertAlign w:val="superscript"/>
        </w:rPr>
        <w:t>2</w:t>
      </w:r>
      <w:r w:rsidR="00D90031" w:rsidRPr="00D90031">
        <w:t xml:space="preserve"> 0.266, p=0.104</w:t>
      </w:r>
      <w:r w:rsidRPr="00D90031">
        <w:t>) and mean age at surgery per year (R</w:t>
      </w:r>
      <w:r w:rsidRPr="00D90031">
        <w:rPr>
          <w:vertAlign w:val="superscript"/>
        </w:rPr>
        <w:t>2</w:t>
      </w:r>
      <w:r w:rsidR="00D90031" w:rsidRPr="00D90031">
        <w:t xml:space="preserve"> 0.065, p=0.451</w:t>
      </w:r>
      <w:r w:rsidRPr="00D90031">
        <w:t>) were no</w:t>
      </w:r>
      <w:r w:rsidR="002C0D2F" w:rsidRPr="00D90031">
        <w:t>t</w:t>
      </w:r>
      <w:r w:rsidRPr="00D90031">
        <w:t xml:space="preserve"> significant predictors. </w:t>
      </w:r>
      <w:r w:rsidR="00D638CA" w:rsidRPr="00D90031">
        <w:t>A</w:t>
      </w:r>
      <w:r w:rsidR="00D638CA">
        <w:t xml:space="preserve"> </w:t>
      </w:r>
      <w:r w:rsidR="00087109">
        <w:t xml:space="preserve">stepwise </w:t>
      </w:r>
      <w:r w:rsidR="008E151C">
        <w:t xml:space="preserve">backward </w:t>
      </w:r>
      <w:r w:rsidR="00D638CA">
        <w:t xml:space="preserve">multiple linear regression model was </w:t>
      </w:r>
      <w:r w:rsidR="006425A1">
        <w:t>applied</w:t>
      </w:r>
      <w:r w:rsidR="00087109">
        <w:t xml:space="preserve">. Anti-TNF prevalence </w:t>
      </w:r>
      <w:r w:rsidR="000B7487">
        <w:t xml:space="preserve">per year </w:t>
      </w:r>
      <w:r w:rsidR="00087109">
        <w:t xml:space="preserve">was the only variable to </w:t>
      </w:r>
      <w:r w:rsidR="006425A1">
        <w:t>remain</w:t>
      </w:r>
      <w:r w:rsidR="00087109">
        <w:t xml:space="preserve"> significantly associated with reduction in surgical resection rate</w:t>
      </w:r>
      <w:r w:rsidR="000B7487">
        <w:t xml:space="preserve"> and remain in the </w:t>
      </w:r>
      <w:r w:rsidR="00BD7D21">
        <w:t xml:space="preserve">multivariate </w:t>
      </w:r>
      <w:r w:rsidR="000B7487">
        <w:t>model</w:t>
      </w:r>
      <w:r w:rsidR="00087109">
        <w:t>.</w:t>
      </w:r>
      <w:r w:rsidR="00652951">
        <w:t xml:space="preserve"> Table 3. </w:t>
      </w:r>
      <w:r w:rsidR="00087109">
        <w:t xml:space="preserve">   </w:t>
      </w:r>
      <w:r w:rsidR="00D638CA">
        <w:t xml:space="preserve">  </w:t>
      </w:r>
    </w:p>
    <w:p w14:paraId="494CE789" w14:textId="77777777" w:rsidR="00BC6C89" w:rsidRDefault="00BC6C89" w:rsidP="009E288A">
      <w:pPr>
        <w:spacing w:line="480" w:lineRule="auto"/>
        <w:rPr>
          <w:i/>
          <w:u w:val="single"/>
        </w:rPr>
      </w:pPr>
      <w:r>
        <w:rPr>
          <w:i/>
          <w:u w:val="single"/>
        </w:rPr>
        <w:t>Crohn’s disease and Ulcerative Colitis</w:t>
      </w:r>
    </w:p>
    <w:p w14:paraId="265B4E8F" w14:textId="77777777" w:rsidR="009457F9" w:rsidRPr="002465D7" w:rsidRDefault="001170C1" w:rsidP="009E288A">
      <w:pPr>
        <w:spacing w:line="480" w:lineRule="auto"/>
      </w:pPr>
      <w:r w:rsidRPr="002465D7">
        <w:t xml:space="preserve">The </w:t>
      </w:r>
      <w:r w:rsidR="002465D7">
        <w:t xml:space="preserve">overall </w:t>
      </w:r>
      <w:r w:rsidRPr="002465D7">
        <w:t xml:space="preserve">use of anti-TNF agents in Crohn’s disease </w:t>
      </w:r>
      <w:r w:rsidR="00C27072">
        <w:t>(13</w:t>
      </w:r>
      <w:r w:rsidR="00701E70">
        <w:t>6</w:t>
      </w:r>
      <w:r w:rsidR="00C27072">
        <w:t xml:space="preserve"> patients, </w:t>
      </w:r>
      <w:r w:rsidR="00701E70">
        <w:t>27</w:t>
      </w:r>
      <w:r w:rsidR="00FD78AF">
        <w:t>.3</w:t>
      </w:r>
      <w:r w:rsidR="002465D7" w:rsidRPr="002465D7">
        <w:t>%) was greater</w:t>
      </w:r>
      <w:r w:rsidRPr="002465D7">
        <w:t xml:space="preserve"> than in ulcerative colitis</w:t>
      </w:r>
      <w:r w:rsidR="00C27072">
        <w:t xml:space="preserve"> (2</w:t>
      </w:r>
      <w:r w:rsidR="00701E70">
        <w:t>7</w:t>
      </w:r>
      <w:r w:rsidR="00C27072">
        <w:t xml:space="preserve"> patients, </w:t>
      </w:r>
      <w:r w:rsidR="00701E70">
        <w:t>9.9</w:t>
      </w:r>
      <w:r w:rsidR="002465D7" w:rsidRPr="002465D7">
        <w:t>%, p=0.00001)</w:t>
      </w:r>
      <w:r w:rsidR="002465D7">
        <w:t xml:space="preserve"> </w:t>
      </w:r>
      <w:r w:rsidR="00DB4BB3">
        <w:t>or</w:t>
      </w:r>
      <w:r w:rsidR="00FD78AF">
        <w:t xml:space="preserve"> </w:t>
      </w:r>
      <w:r w:rsidR="002465D7">
        <w:t xml:space="preserve">IBDU </w:t>
      </w:r>
      <w:r w:rsidR="00C27072">
        <w:t>(</w:t>
      </w:r>
      <w:proofErr w:type="gramStart"/>
      <w:r w:rsidR="00C27072">
        <w:t>5</w:t>
      </w:r>
      <w:proofErr w:type="gramEnd"/>
      <w:r w:rsidR="00C27072">
        <w:t xml:space="preserve"> patients, </w:t>
      </w:r>
      <w:r w:rsidR="00FD78AF">
        <w:t>9.1</w:t>
      </w:r>
      <w:r w:rsidR="002465D7" w:rsidRPr="002465D7">
        <w:t>%, p=0.</w:t>
      </w:r>
      <w:r w:rsidR="00FD78AF">
        <w:t>045</w:t>
      </w:r>
      <w:r w:rsidR="002465D7" w:rsidRPr="002465D7">
        <w:t>)</w:t>
      </w:r>
      <w:r w:rsidRPr="002465D7">
        <w:t xml:space="preserve">. </w:t>
      </w:r>
      <w:r w:rsidR="00C27072">
        <w:t>O</w:t>
      </w:r>
      <w:r w:rsidR="00BC34F0">
        <w:t xml:space="preserve">ver the whole study </w:t>
      </w:r>
      <w:proofErr w:type="gramStart"/>
      <w:r w:rsidR="00BC34F0">
        <w:t>period</w:t>
      </w:r>
      <w:proofErr w:type="gramEnd"/>
      <w:r w:rsidR="00BC34F0">
        <w:t xml:space="preserve"> the </w:t>
      </w:r>
      <w:r w:rsidR="0009433C">
        <w:t>average surgical resection rate was lower in ulcerative colitis compared to Crohn’s disease (1.5% vs 4.19%).</w:t>
      </w:r>
    </w:p>
    <w:p w14:paraId="17E18AFC" w14:textId="77777777" w:rsidR="001170C1" w:rsidRDefault="006E036B" w:rsidP="009E288A">
      <w:pPr>
        <w:spacing w:line="480" w:lineRule="auto"/>
      </w:pPr>
      <w:r w:rsidRPr="0009433C">
        <w:lastRenderedPageBreak/>
        <w:t xml:space="preserve">Of the 91 surgical resections occurring, 76 were in Crohn’s disease (66 right hemi-colectomy and </w:t>
      </w:r>
      <w:proofErr w:type="gramStart"/>
      <w:r w:rsidRPr="0009433C">
        <w:t xml:space="preserve">10 </w:t>
      </w:r>
      <w:r w:rsidR="00765268">
        <w:t>isolated</w:t>
      </w:r>
      <w:proofErr w:type="gramEnd"/>
      <w:r w:rsidR="00765268">
        <w:t xml:space="preserve"> </w:t>
      </w:r>
      <w:r w:rsidRPr="0009433C">
        <w:t>small bowel resections) and 15 were in ulcerative colitis (all subtotal colectomy)</w:t>
      </w:r>
      <w:r w:rsidR="008A062F">
        <w:t>.</w:t>
      </w:r>
      <w:r w:rsidRPr="0009433C">
        <w:t xml:space="preserve"> </w:t>
      </w:r>
      <w:r w:rsidR="00C6233A">
        <w:t>Numbers of patients undergoing s</w:t>
      </w:r>
      <w:r w:rsidR="00765268">
        <w:t xml:space="preserve">urgery </w:t>
      </w:r>
      <w:r w:rsidR="00C6233A">
        <w:t>were</w:t>
      </w:r>
      <w:r w:rsidR="00765268">
        <w:t xml:space="preserve"> significantly </w:t>
      </w:r>
      <w:r w:rsidR="00C6233A">
        <w:t>higher</w:t>
      </w:r>
      <w:r w:rsidR="00765268">
        <w:t xml:space="preserve"> in Crohn’s disease compared to ulcerative colitis (</w:t>
      </w:r>
      <w:r w:rsidR="00C6233A">
        <w:t xml:space="preserve">13.25%, </w:t>
      </w:r>
      <w:r w:rsidR="00765268">
        <w:t xml:space="preserve">vs </w:t>
      </w:r>
      <w:r w:rsidR="00C6233A">
        <w:t xml:space="preserve">4.59% </w:t>
      </w:r>
      <w:r w:rsidR="00765268">
        <w:t>p=</w:t>
      </w:r>
      <w:r w:rsidR="00DB4BB3">
        <w:t>4x10</w:t>
      </w:r>
      <w:r w:rsidR="00DB4BB3">
        <w:rPr>
          <w:vertAlign w:val="superscript"/>
        </w:rPr>
        <w:t>-5</w:t>
      </w:r>
      <w:r w:rsidR="00765268">
        <w:t xml:space="preserve">). </w:t>
      </w:r>
      <w:r w:rsidR="00C03014" w:rsidRPr="0009433C">
        <w:t xml:space="preserve">The reduction in surgical resections was more pronounced in </w:t>
      </w:r>
      <w:r w:rsidR="00DB4BB3">
        <w:t xml:space="preserve">the larger group of </w:t>
      </w:r>
      <w:r w:rsidR="00C03014" w:rsidRPr="0009433C">
        <w:t>Crohn’s disease patients over the study period</w:t>
      </w:r>
      <w:r w:rsidRPr="0009433C">
        <w:t xml:space="preserve">, </w:t>
      </w:r>
      <w:r w:rsidR="0009433C" w:rsidRPr="0009433C">
        <w:t xml:space="preserve">the rate of resection </w:t>
      </w:r>
      <w:r w:rsidRPr="0009433C">
        <w:t xml:space="preserve">falling from </w:t>
      </w:r>
      <w:r w:rsidR="00535381">
        <w:t>8.9%</w:t>
      </w:r>
      <w:r w:rsidR="00D90B6B">
        <w:t xml:space="preserve"> </w:t>
      </w:r>
      <w:r w:rsidR="0033750B">
        <w:t xml:space="preserve">(11/198) </w:t>
      </w:r>
      <w:r w:rsidR="0009433C" w:rsidRPr="0009433C">
        <w:t>in 2007 to 2.3%</w:t>
      </w:r>
      <w:r w:rsidR="0033750B">
        <w:t xml:space="preserve"> (5/214)</w:t>
      </w:r>
      <w:r w:rsidR="0009433C" w:rsidRPr="0009433C">
        <w:t xml:space="preserve"> in 2017 (p=0.001)</w:t>
      </w:r>
      <w:r w:rsidR="00C03014" w:rsidRPr="0009433C">
        <w:t xml:space="preserve">. In </w:t>
      </w:r>
      <w:r w:rsidR="00DB4BB3">
        <w:t xml:space="preserve">smaller group of </w:t>
      </w:r>
      <w:r w:rsidR="00C03014" w:rsidRPr="0009433C">
        <w:t xml:space="preserve">ulcerative colitis </w:t>
      </w:r>
      <w:r w:rsidR="00DB4BB3">
        <w:t xml:space="preserve">patients </w:t>
      </w:r>
      <w:r w:rsidR="00C03014" w:rsidRPr="0009433C">
        <w:t>the</w:t>
      </w:r>
      <w:r w:rsidRPr="0009433C">
        <w:t>re was no</w:t>
      </w:r>
      <w:r w:rsidR="00C03014" w:rsidRPr="0009433C">
        <w:t xml:space="preserve"> </w:t>
      </w:r>
      <w:r w:rsidR="00DB4BB3">
        <w:t xml:space="preserve">observable </w:t>
      </w:r>
      <w:r w:rsidR="00A67FCC">
        <w:t xml:space="preserve">significant </w:t>
      </w:r>
      <w:r w:rsidR="00C03014" w:rsidRPr="0009433C">
        <w:t xml:space="preserve">reduction </w:t>
      </w:r>
      <w:r w:rsidR="00A67FCC">
        <w:t xml:space="preserve">in resection rate </w:t>
      </w:r>
      <w:r w:rsidRPr="0009433C">
        <w:t xml:space="preserve">observed with </w:t>
      </w:r>
      <w:r w:rsidR="00A67FCC" w:rsidRPr="0009433C">
        <w:t>substantial</w:t>
      </w:r>
      <w:r w:rsidRPr="0009433C">
        <w:t xml:space="preserve"> variation in number of procedures per year</w:t>
      </w:r>
      <w:r w:rsidR="0033750B">
        <w:t>,</w:t>
      </w:r>
      <w:r w:rsidR="00D90B6B">
        <w:t xml:space="preserve"> </w:t>
      </w:r>
      <w:r w:rsidR="00A67FCC">
        <w:t>4.6%</w:t>
      </w:r>
      <w:r w:rsidR="0033750B">
        <w:t xml:space="preserve"> (3/65)</w:t>
      </w:r>
      <w:r w:rsidR="00A67FCC">
        <w:t xml:space="preserve"> in 2007 to 0.0</w:t>
      </w:r>
      <w:r w:rsidR="00A67FCC" w:rsidRPr="0009433C">
        <w:t>%</w:t>
      </w:r>
      <w:r w:rsidR="0033750B">
        <w:t xml:space="preserve"> (0/114)</w:t>
      </w:r>
      <w:r w:rsidR="00A67FCC" w:rsidRPr="0009433C">
        <w:t xml:space="preserve"> in 2017 </w:t>
      </w:r>
      <w:r w:rsidRPr="0009433C">
        <w:t>p=</w:t>
      </w:r>
      <w:r w:rsidR="008A062F">
        <w:t>0.</w:t>
      </w:r>
      <w:r w:rsidR="0009433C" w:rsidRPr="0009433C">
        <w:t>290</w:t>
      </w:r>
      <w:r w:rsidRPr="0009433C">
        <w:t>.</w:t>
      </w:r>
      <w:r w:rsidR="0009433C" w:rsidRPr="0009433C">
        <w:t xml:space="preserve"> See figure </w:t>
      </w:r>
      <w:r w:rsidR="000A15B1">
        <w:t>1</w:t>
      </w:r>
      <w:r w:rsidR="0009433C" w:rsidRPr="0009433C">
        <w:t>.</w:t>
      </w:r>
    </w:p>
    <w:p w14:paraId="429DA084" w14:textId="77777777" w:rsidR="009E288A" w:rsidRDefault="009E288A" w:rsidP="009E288A">
      <w:pPr>
        <w:spacing w:line="480" w:lineRule="auto"/>
        <w:rPr>
          <w:i/>
          <w:u w:val="single"/>
        </w:rPr>
      </w:pPr>
      <w:r>
        <w:rPr>
          <w:i/>
          <w:u w:val="single"/>
        </w:rPr>
        <w:t>Perianal</w:t>
      </w:r>
      <w:r w:rsidRPr="009E288A">
        <w:rPr>
          <w:i/>
          <w:u w:val="single"/>
        </w:rPr>
        <w:t xml:space="preserve"> </w:t>
      </w:r>
      <w:r>
        <w:rPr>
          <w:i/>
          <w:u w:val="single"/>
        </w:rPr>
        <w:t>surgery</w:t>
      </w:r>
      <w:r w:rsidRPr="009E288A">
        <w:rPr>
          <w:i/>
          <w:u w:val="single"/>
        </w:rPr>
        <w:t xml:space="preserve"> </w:t>
      </w:r>
    </w:p>
    <w:p w14:paraId="3423BFEC" w14:textId="77777777" w:rsidR="009E288A" w:rsidRPr="00FD3311" w:rsidRDefault="00FD3311" w:rsidP="009E288A">
      <w:pPr>
        <w:spacing w:line="480" w:lineRule="auto"/>
      </w:pPr>
      <w:r>
        <w:t xml:space="preserve">There were 37 </w:t>
      </w:r>
      <w:r w:rsidR="00C56BA8">
        <w:t>perianal surgical procedures</w:t>
      </w:r>
      <w:r>
        <w:t xml:space="preserve"> </w:t>
      </w:r>
      <w:r w:rsidR="009D6AD8">
        <w:t xml:space="preserve">performed on 20 patients </w:t>
      </w:r>
      <w:r>
        <w:t xml:space="preserve">over the </w:t>
      </w:r>
      <w:proofErr w:type="gramStart"/>
      <w:r>
        <w:t>11 year</w:t>
      </w:r>
      <w:proofErr w:type="gramEnd"/>
      <w:r>
        <w:t xml:space="preserve"> period. There was no significant change in the perianal procedure rate from 2007 to 201</w:t>
      </w:r>
      <w:r w:rsidR="00C27072">
        <w:t xml:space="preserve">7 (1.52% to 2.33% respectively, </w:t>
      </w:r>
      <w:r w:rsidR="003C5FC7">
        <w:t>R</w:t>
      </w:r>
      <w:r w:rsidR="003C5FC7">
        <w:rPr>
          <w:vertAlign w:val="superscript"/>
        </w:rPr>
        <w:t>2</w:t>
      </w:r>
      <w:r w:rsidR="003C5FC7">
        <w:t xml:space="preserve">=0.281, </w:t>
      </w:r>
      <w:r>
        <w:t>p=</w:t>
      </w:r>
      <w:r w:rsidR="009D7634">
        <w:t>0.402)</w:t>
      </w:r>
      <w:r>
        <w:t xml:space="preserve">. </w:t>
      </w:r>
    </w:p>
    <w:p w14:paraId="5A867DA6" w14:textId="77777777" w:rsidR="009E288A" w:rsidRPr="009E288A" w:rsidRDefault="009E288A" w:rsidP="009E288A">
      <w:pPr>
        <w:spacing w:line="480" w:lineRule="auto"/>
        <w:rPr>
          <w:i/>
          <w:u w:val="single"/>
        </w:rPr>
      </w:pPr>
      <w:r>
        <w:rPr>
          <w:i/>
          <w:u w:val="single"/>
        </w:rPr>
        <w:t xml:space="preserve">Survival analysis </w:t>
      </w:r>
    </w:p>
    <w:p w14:paraId="748F3CFE" w14:textId="5BF0D0ED" w:rsidR="00976F3E" w:rsidRDefault="009D7634" w:rsidP="006A0590">
      <w:pPr>
        <w:spacing w:line="480" w:lineRule="auto"/>
      </w:pPr>
      <w:r>
        <w:t>A survival analysis of the entire cohort was performed for anti-TNF therapy</w:t>
      </w:r>
      <w:r w:rsidR="00111EE6">
        <w:t xml:space="preserve"> (figure 2) and surgical resections (figure </w:t>
      </w:r>
      <w:r w:rsidR="00FC467B">
        <w:t>3</w:t>
      </w:r>
      <w:r w:rsidR="00111EE6">
        <w:t>)</w:t>
      </w:r>
      <w:proofErr w:type="gramStart"/>
      <w:r w:rsidR="00982A91">
        <w:t>,</w:t>
      </w:r>
      <w:proofErr w:type="gramEnd"/>
      <w:r w:rsidR="00982A91">
        <w:t xml:space="preserve"> an event was classified as starting anti-TNF </w:t>
      </w:r>
      <w:r w:rsidR="00111EE6">
        <w:t xml:space="preserve">or surgical resection </w:t>
      </w:r>
      <w:r w:rsidR="00982A91">
        <w:t xml:space="preserve">respectively. Patients </w:t>
      </w:r>
      <w:proofErr w:type="gramStart"/>
      <w:r w:rsidR="00982A91">
        <w:t>were censored</w:t>
      </w:r>
      <w:proofErr w:type="gramEnd"/>
      <w:r w:rsidR="00982A91">
        <w:t xml:space="preserve"> when reaching the age of transition</w:t>
      </w:r>
      <w:r w:rsidR="00DB4BB3">
        <w:t xml:space="preserve"> to </w:t>
      </w:r>
      <w:r w:rsidR="00111EE6">
        <w:t>adult care</w:t>
      </w:r>
      <w:r w:rsidR="00982A91">
        <w:t xml:space="preserve"> (</w:t>
      </w:r>
      <w:r w:rsidR="00111EE6">
        <w:t xml:space="preserve">at </w:t>
      </w:r>
      <w:r w:rsidR="006B2819">
        <w:t>18</w:t>
      </w:r>
      <w:r w:rsidR="00982A91">
        <w:t xml:space="preserve"> years)</w:t>
      </w:r>
      <w:r>
        <w:t xml:space="preserve">. </w:t>
      </w:r>
      <w:r w:rsidR="00BC6C89">
        <w:t xml:space="preserve">Surgery at diagnosis (in some cases leading to diagnosis) accounts for an early fall in surgical survival. Following </w:t>
      </w:r>
      <w:r w:rsidR="00111EE6">
        <w:t>8 years in paediatric care 30</w:t>
      </w:r>
      <w:r w:rsidR="00BC6C89">
        <w:t>% of patients</w:t>
      </w:r>
      <w:r w:rsidR="00DB4BB3">
        <w:t xml:space="preserve"> (</w:t>
      </w:r>
      <w:r w:rsidR="00FD57E5">
        <w:t xml:space="preserve">still </w:t>
      </w:r>
      <w:r w:rsidR="00111EE6">
        <w:t>in paediatric care</w:t>
      </w:r>
      <w:r w:rsidR="00DB4BB3">
        <w:t>)</w:t>
      </w:r>
      <w:r w:rsidR="00BC6C89">
        <w:t xml:space="preserve"> </w:t>
      </w:r>
      <w:proofErr w:type="gramStart"/>
      <w:r w:rsidR="00BC6C89">
        <w:t>have been sta</w:t>
      </w:r>
      <w:r w:rsidR="00111EE6">
        <w:t>rted</w:t>
      </w:r>
      <w:proofErr w:type="gramEnd"/>
      <w:r w:rsidR="00111EE6">
        <w:t xml:space="preserve"> on an anti-TNF agent and 20</w:t>
      </w:r>
      <w:r w:rsidR="00BC6C89">
        <w:t xml:space="preserve">% have undergone a surgical resection. </w:t>
      </w:r>
    </w:p>
    <w:p w14:paraId="7F994FE1" w14:textId="651FFA73" w:rsidR="003170F7" w:rsidRDefault="006A0E7F" w:rsidP="006A0590">
      <w:pPr>
        <w:spacing w:line="480" w:lineRule="auto"/>
      </w:pPr>
      <w:r>
        <w:t>A</w:t>
      </w:r>
      <w:r w:rsidR="00982A91">
        <w:t>dditional surv</w:t>
      </w:r>
      <w:r w:rsidR="008F2B38">
        <w:t xml:space="preserve">ival </w:t>
      </w:r>
      <w:r>
        <w:t xml:space="preserve">analyses were </w:t>
      </w:r>
      <w:r w:rsidR="008F2B38">
        <w:t xml:space="preserve">performed to compared surgery in those treated with anti-TNF and those not treated with anti-TNF (event was defined as surgical resection, patients censored at age of transition). See figure </w:t>
      </w:r>
      <w:r w:rsidR="00FC467B">
        <w:t>4</w:t>
      </w:r>
      <w:r>
        <w:t>a</w:t>
      </w:r>
      <w:r w:rsidR="000A15B1">
        <w:t>.</w:t>
      </w:r>
      <w:r w:rsidR="008F2B38">
        <w:t xml:space="preserve"> There was no significant difference between </w:t>
      </w:r>
      <w:r w:rsidR="00111EE6">
        <w:t>survival in either group p=0.412</w:t>
      </w:r>
      <w:r w:rsidR="008F2B38">
        <w:t xml:space="preserve"> (Log Rank).</w:t>
      </w:r>
      <w:r w:rsidR="00111EE6">
        <w:t xml:space="preserve"> Surgical rates are very similar for patients in paediatric care up to 7 years post-</w:t>
      </w:r>
      <w:r w:rsidR="00111EE6">
        <w:lastRenderedPageBreak/>
        <w:t>diagnosis. At this point patients on anti-TNF (presumed more severe disease) have an increase in surgery, compared to anti-TNF naïve patients (presumed milder disease)</w:t>
      </w:r>
      <w:r>
        <w:t xml:space="preserve">. </w:t>
      </w:r>
    </w:p>
    <w:p w14:paraId="3623C77F" w14:textId="16D7E79F" w:rsidR="00982A91" w:rsidRDefault="006A0E7F" w:rsidP="006A0590">
      <w:pPr>
        <w:spacing w:line="480" w:lineRule="auto"/>
      </w:pPr>
      <w:r>
        <w:t xml:space="preserve">Sub analysis of Crohn’s disease (figure </w:t>
      </w:r>
      <w:r w:rsidR="00FC467B">
        <w:t>4</w:t>
      </w:r>
      <w:r>
        <w:t xml:space="preserve">b) and ulcerative colitis (figure </w:t>
      </w:r>
      <w:r w:rsidR="00FC467B">
        <w:t>4</w:t>
      </w:r>
      <w:r>
        <w:t xml:space="preserve">c) </w:t>
      </w:r>
      <w:proofErr w:type="gramStart"/>
      <w:r>
        <w:t>was conducted</w:t>
      </w:r>
      <w:proofErr w:type="gramEnd"/>
      <w:r>
        <w:t>. Crohn’s disease patients treated with anti-TNF were less likely to undergo surgery until 5 years after diagnosis</w:t>
      </w:r>
      <w:r w:rsidR="003170F7">
        <w:t xml:space="preserve">. After five </w:t>
      </w:r>
      <w:proofErr w:type="gramStart"/>
      <w:r w:rsidR="003170F7">
        <w:t>years</w:t>
      </w:r>
      <w:proofErr w:type="gramEnd"/>
      <w:r w:rsidR="003170F7">
        <w:t xml:space="preserve"> there was an increased risk of surgery in those treated with anti-TNF, presumably reflecting a high disease severity in this group. There was no overall difference in survival between the two groups (p=0.297, Log Rank). In contrast patients with ulcerative colitis treated with anti-TNF were at higher risk of surgery throughout the disease course (p=0.0001, Log Rank), reflecting more severe disease in this group of patients.</w:t>
      </w:r>
    </w:p>
    <w:p w14:paraId="15A92A48" w14:textId="77777777" w:rsidR="00976F3E" w:rsidRDefault="00976F3E" w:rsidP="006A0590">
      <w:pPr>
        <w:spacing w:line="480" w:lineRule="auto"/>
      </w:pPr>
    </w:p>
    <w:p w14:paraId="15C7C927" w14:textId="00A6FE75" w:rsidR="00F018F4" w:rsidRDefault="00F018F4" w:rsidP="006A0590">
      <w:pPr>
        <w:spacing w:line="480" w:lineRule="auto"/>
      </w:pPr>
    </w:p>
    <w:p w14:paraId="217C777E" w14:textId="3F00DDF6" w:rsidR="008B0AFF" w:rsidRDefault="008B0AFF" w:rsidP="006A0590">
      <w:pPr>
        <w:spacing w:line="480" w:lineRule="auto"/>
      </w:pPr>
    </w:p>
    <w:p w14:paraId="1F500CC2" w14:textId="5D063D4D" w:rsidR="008B0AFF" w:rsidRDefault="008B0AFF" w:rsidP="006A0590">
      <w:pPr>
        <w:spacing w:line="480" w:lineRule="auto"/>
      </w:pPr>
    </w:p>
    <w:p w14:paraId="536A901C" w14:textId="3A27538B" w:rsidR="008B0AFF" w:rsidRDefault="008B0AFF" w:rsidP="006A0590">
      <w:pPr>
        <w:spacing w:line="480" w:lineRule="auto"/>
      </w:pPr>
    </w:p>
    <w:p w14:paraId="11BCDF61" w14:textId="15D24496" w:rsidR="008B0AFF" w:rsidRDefault="008B0AFF" w:rsidP="006A0590">
      <w:pPr>
        <w:spacing w:line="480" w:lineRule="auto"/>
      </w:pPr>
    </w:p>
    <w:p w14:paraId="3E9DF8BF" w14:textId="4D5C9173" w:rsidR="008B0AFF" w:rsidRDefault="008B0AFF" w:rsidP="006A0590">
      <w:pPr>
        <w:spacing w:line="480" w:lineRule="auto"/>
      </w:pPr>
    </w:p>
    <w:p w14:paraId="7344CF5A" w14:textId="31D3A316" w:rsidR="008B0AFF" w:rsidRDefault="008B0AFF" w:rsidP="006A0590">
      <w:pPr>
        <w:spacing w:line="480" w:lineRule="auto"/>
      </w:pPr>
    </w:p>
    <w:p w14:paraId="1F245258" w14:textId="4F77BB28" w:rsidR="008B0AFF" w:rsidRDefault="008B0AFF" w:rsidP="006A0590">
      <w:pPr>
        <w:spacing w:line="480" w:lineRule="auto"/>
      </w:pPr>
    </w:p>
    <w:p w14:paraId="3F53C86B" w14:textId="0C3C9760" w:rsidR="008B0AFF" w:rsidRDefault="008B0AFF" w:rsidP="006A0590">
      <w:pPr>
        <w:spacing w:line="480" w:lineRule="auto"/>
      </w:pPr>
    </w:p>
    <w:p w14:paraId="0B8803F0" w14:textId="7C0BBB4A" w:rsidR="008B0AFF" w:rsidRDefault="008B0AFF" w:rsidP="006A0590">
      <w:pPr>
        <w:spacing w:line="480" w:lineRule="auto"/>
      </w:pPr>
    </w:p>
    <w:p w14:paraId="691D136C" w14:textId="1B7EF4B9" w:rsidR="008B0AFF" w:rsidRDefault="008B0AFF" w:rsidP="006A0590">
      <w:pPr>
        <w:spacing w:line="480" w:lineRule="auto"/>
      </w:pPr>
    </w:p>
    <w:p w14:paraId="707F128E" w14:textId="77777777" w:rsidR="008B0AFF" w:rsidRDefault="008B0AFF" w:rsidP="006A0590">
      <w:pPr>
        <w:spacing w:line="480" w:lineRule="auto"/>
      </w:pPr>
    </w:p>
    <w:p w14:paraId="2C7C8B1A" w14:textId="77777777" w:rsidR="006A0590" w:rsidRDefault="00A6387F" w:rsidP="006A0590">
      <w:pPr>
        <w:spacing w:line="480" w:lineRule="auto"/>
        <w:rPr>
          <w:u w:val="single"/>
        </w:rPr>
      </w:pPr>
      <w:r>
        <w:rPr>
          <w:u w:val="single"/>
        </w:rPr>
        <w:lastRenderedPageBreak/>
        <w:t>Di</w:t>
      </w:r>
      <w:r w:rsidR="006A0590" w:rsidRPr="006A0590">
        <w:rPr>
          <w:u w:val="single"/>
        </w:rPr>
        <w:t xml:space="preserve">scussion </w:t>
      </w:r>
    </w:p>
    <w:p w14:paraId="40F1252F" w14:textId="737830DB" w:rsidR="00FB2A17" w:rsidRDefault="00FB2A17" w:rsidP="00FB2A17">
      <w:pPr>
        <w:spacing w:line="480" w:lineRule="auto"/>
      </w:pPr>
      <w:r>
        <w:t>These data show</w:t>
      </w:r>
      <w:r w:rsidR="00402884">
        <w:t xml:space="preserve"> a significant increase in the use of anti-TNF agents</w:t>
      </w:r>
      <w:r>
        <w:t xml:space="preserve"> from 2007-2017</w:t>
      </w:r>
      <w:r w:rsidR="00402884">
        <w:t xml:space="preserve">, with over </w:t>
      </w:r>
      <w:r w:rsidR="00DD16C2">
        <w:t xml:space="preserve">25% </w:t>
      </w:r>
      <w:r w:rsidR="00402884">
        <w:t xml:space="preserve">of </w:t>
      </w:r>
      <w:r w:rsidR="007510EE">
        <w:t xml:space="preserve">paediatric IBD </w:t>
      </w:r>
      <w:r w:rsidR="00402884">
        <w:t xml:space="preserve">patients </w:t>
      </w:r>
      <w:r w:rsidR="00DD16C2">
        <w:t xml:space="preserve">having had </w:t>
      </w:r>
      <w:r w:rsidR="00D16CAA">
        <w:t xml:space="preserve">infliximab, </w:t>
      </w:r>
      <w:proofErr w:type="spellStart"/>
      <w:r w:rsidR="00402884">
        <w:t>adalimumab</w:t>
      </w:r>
      <w:proofErr w:type="spellEnd"/>
      <w:r w:rsidR="00402884">
        <w:t xml:space="preserve"> </w:t>
      </w:r>
      <w:r w:rsidR="00DD16C2">
        <w:t xml:space="preserve">or both </w:t>
      </w:r>
      <w:r w:rsidR="00402884">
        <w:t xml:space="preserve">in 2017. Over the same </w:t>
      </w:r>
      <w:proofErr w:type="gramStart"/>
      <w:r w:rsidR="00402884">
        <w:t xml:space="preserve">time </w:t>
      </w:r>
      <w:r w:rsidR="00D16CAA">
        <w:t>period</w:t>
      </w:r>
      <w:proofErr w:type="gramEnd"/>
      <w:r w:rsidR="00D16CAA">
        <w:t xml:space="preserve"> </w:t>
      </w:r>
      <w:r w:rsidR="00402884">
        <w:t>there was a significant reduction</w:t>
      </w:r>
      <w:r w:rsidR="00A967C8">
        <w:t xml:space="preserve"> </w:t>
      </w:r>
      <w:r w:rsidR="00367769">
        <w:t xml:space="preserve">in </w:t>
      </w:r>
      <w:r w:rsidR="00A967C8">
        <w:t>childhood surgical resection rates in paediatric IBD</w:t>
      </w:r>
      <w:r w:rsidR="00BC34F0">
        <w:t xml:space="preserve">, </w:t>
      </w:r>
      <w:r w:rsidR="007510EE">
        <w:t>largely accounted for</w:t>
      </w:r>
      <w:r w:rsidR="00BC34F0">
        <w:t xml:space="preserve"> by a reduction in the surgical resection rate in Crohn’s disease</w:t>
      </w:r>
      <w:r w:rsidR="00F06823">
        <w:t xml:space="preserve">. </w:t>
      </w:r>
      <w:r w:rsidR="009C3E31">
        <w:t xml:space="preserve">This </w:t>
      </w:r>
      <w:proofErr w:type="gramStart"/>
      <w:r w:rsidR="009C3E31">
        <w:t>was accompanied</w:t>
      </w:r>
      <w:proofErr w:type="gramEnd"/>
      <w:r w:rsidR="009C3E31">
        <w:t xml:space="preserve"> by a</w:t>
      </w:r>
      <w:r w:rsidR="00C3156F">
        <w:t xml:space="preserve"> significant increase in the time from diagnosis to surgery</w:t>
      </w:r>
      <w:r w:rsidR="009C3E31">
        <w:t xml:space="preserve"> (a delay in time from diagnosis to surgery)</w:t>
      </w:r>
      <w:r w:rsidR="00C3156F">
        <w:t xml:space="preserve">. </w:t>
      </w:r>
      <w:r w:rsidR="00BC34F0">
        <w:t xml:space="preserve">There was no reduction in the rates of perianal surgery across the </w:t>
      </w:r>
      <w:r w:rsidR="009C3E31">
        <w:t>study period.</w:t>
      </w:r>
      <w:r w:rsidR="00BC34F0">
        <w:t xml:space="preserve"> </w:t>
      </w:r>
      <w:r w:rsidR="00DF2D1E">
        <w:t xml:space="preserve">Following </w:t>
      </w:r>
      <w:r w:rsidR="009B1482">
        <w:t xml:space="preserve">stepwise </w:t>
      </w:r>
      <w:r w:rsidR="00DF2D1E">
        <w:t xml:space="preserve">multiple linear regression analysis the increase in anti-TNF therapy was </w:t>
      </w:r>
      <w:r w:rsidR="008379E1">
        <w:t xml:space="preserve">the only </w:t>
      </w:r>
      <w:r w:rsidR="00DF2D1E">
        <w:t>significant predictor of surgical resection rate</w:t>
      </w:r>
      <w:r w:rsidR="008379E1">
        <w:t xml:space="preserve"> in the analysis</w:t>
      </w:r>
      <w:r w:rsidR="00DF2D1E">
        <w:t xml:space="preserve">. </w:t>
      </w:r>
      <w:r w:rsidR="00B459ED">
        <w:t>These data suggest a relative and absolute reduction in surgical resection in paediatric IBD over the last 11 years</w:t>
      </w:r>
      <w:r w:rsidR="006F1059">
        <w:t xml:space="preserve"> </w:t>
      </w:r>
      <w:r w:rsidR="007510EE">
        <w:t>associated with</w:t>
      </w:r>
      <w:r w:rsidR="006F1059">
        <w:t xml:space="preserve"> an increase in anti-TNF therapy. </w:t>
      </w:r>
      <w:r w:rsidR="00DD16C2">
        <w:t xml:space="preserve">This </w:t>
      </w:r>
      <w:r w:rsidR="008E0072">
        <w:t xml:space="preserve">may be </w:t>
      </w:r>
      <w:r>
        <w:t xml:space="preserve">due to patients with severe or progressive disease previously requiring surgery now </w:t>
      </w:r>
      <w:proofErr w:type="gramStart"/>
      <w:r>
        <w:t>being treated</w:t>
      </w:r>
      <w:proofErr w:type="gramEnd"/>
      <w:r>
        <w:t xml:space="preserve"> with anti-TNF agents at an early stage, delaying or preventing the need for surgical resection.</w:t>
      </w:r>
      <w:bookmarkStart w:id="0" w:name="_GoBack"/>
      <w:bookmarkEnd w:id="0"/>
    </w:p>
    <w:p w14:paraId="4E1C7D8E" w14:textId="65025992" w:rsidR="00DD16C2" w:rsidRDefault="007510EE" w:rsidP="006A0590">
      <w:pPr>
        <w:spacing w:line="480" w:lineRule="auto"/>
      </w:pPr>
      <w:r>
        <w:t>Despite the decrease in overall surgical resection a</w:t>
      </w:r>
      <w:r w:rsidR="00B459ED">
        <w:t xml:space="preserve">cross the entire cohort there was no difference in surgical resection rates between patients treated with anti-TNF therapy and those not treated with anti-TNF therapy, which has been previously reported in other cohorts </w:t>
      </w:r>
      <w:r w:rsidR="00B459ED">
        <w:fldChar w:fldCharType="begin" w:fldLock="1"/>
      </w:r>
      <w:r w:rsidR="00E11DF8">
        <w:instrText>ADDIN CSL_CITATION { "citationItems" : [ { "id" : "ITEM-1", "itemData" : { "DOI" : "10.5217/ir.2018.16.1.62", "ISSN" : "1598-9100", "PMID" : "29422799", "abstract" : "Background/Aims The use of anti-tumor necrosis factor (anti-TNF) agents seems to reduce surgical rates and delay surgical procedures in prospective trials and population-based studies in the management of Crohn's disease (CD). This study aimed to identify whether preoperative anti-TNF agents influence the time from diagnosis to surgery. Methods An observational retrospective cohort study was conducted on patients with CD submitted to intestinal resections due to complications or medical therapy failure in a period of 7 years. The patients were allocated into 2 groups according to their previous exposure to anti-TNF agents in the preoperative period. Epidemiological aspects regarding age at diagnosis, smoking, perianal disease, and preoperative conventional therapy were considered. A Kaplan-Meier survival analysis was used to outline possible differences between the groups regarding the time to surgery. Results A total of 123 patients were included (71 and 52 with and without previous exposure to biologics, respectively). The overall time to surgery was 108\u00b16.9 months (maximum, 276 months). The survival estimation revealed no difference in the mean time to intestinal resection between the groups (99.78\u00b110.62 months in the patients without and 114.01\u00b19.07 months in those with previous anti-TNF use) (log-rank P=0.35). There was no significant difference in the time to surgery regarding perianal CD (P=0.49), smoking (P=0.63), preoperative azathioprine (P=0.073) and steroid use (P=0.58). Conclusions The time from diagnosis to surgery was not influenced by the preoperative use of anti-TNF therapy in this cohort of patients.", "author" : [ { "dropping-particle" : "", "family" : "Kotze", "given" : "Paulo Gustavo", "non-dropping-particle" : "", "parse-names" : false, "suffix" : "" }, { "dropping-particle" : "", "family" : "Magro", "given" : "Daniela Oliveira", "non-dropping-particle" : "", "parse-names" : false, "suffix" : "" }, { "dropping-particle" : "", "family" : "Saab", "given" : "Barbara", "non-dropping-particle" : "", "parse-names" : false, "suffix" : "" }, { "dropping-particle" : "", "family" : "Saab", "given" : "Mansur Paulo", "non-dropping-particle" : "", "parse-names" : false, "suffix" : "" }, { "dropping-particle" : "", "family" : "Pinheiro", "given" : "Lilian Vital", "non-dropping-particle" : "", "parse-names" : false, "suffix" : "" }, { "dropping-particle" : "", "family" : "Olandoski", "given" : "Marcia", "non-dropping-particle" : "", "parse-names" : false, "suffix" : "" }, { "dropping-particle" : "", "family" : "Ayrizono", "given" : "Maria de Lourdes Setsuko", "non-dropping-particle" : "", "parse-names" : false, "suffix" : "" }, { "dropping-particle" : "", "family" : "Martinez", "given" : "Carlos Augusto Real", "non-dropping-particle" : "", "parse-names" : false, "suffix" : "" }, { "dropping-particle" : "", "family" : "Coy", "given" : "Claudio Saddy Rodrigues", "non-dropping-particle" : "", "parse-names" : false, "suffix" : "" } ], "container-title" : "Intestinal research", "id" : "ITEM-1", "issue" : "1", "issued" : { "date-parts" : [ [ "2018", "1" ] ] }, "page" : "62-68", "publisher" : "Korean Association for the Study of Intestinal Diseases", "title" : "Comparison of time until elective intestinal resection regarding previous anti-tumor necrosis factor exposure: a Brazilian study on patients with Crohn's disease.", "type" : "article-journal", "volume" : "16" }, "uris" : [ "http://www.mendeley.com/documents/?uuid=04dd41b6-28c3-3177-9c98-95e26aa28799" ] }, { "id" : "ITEM-2", "itemData" : { "DOI" : "10.1111/apt.14224", "ISSN" : "02692813", "PMID" : "28752637", "abstract" : "BACKGROUND TNF inhibitors (TNFi) have been shown to reduce the need for surgery in Crohn's disease, but few studies have examined their effect beyond the first year of treatment. AIM To conduct a register-based observational cohort study in Sweden 2006-2014 to investigate the risk of bowel resection in bowel surgery na\u00efve TNFi-treated Crohn's disease patients and whether patients on TNFi \u226512 months are less likely to undergo bowel resection than patients discontinuing treatment before 12 months. METHODS We identified all individuals in Sweden with Crohn's disease through the Swedish National Patient Register 1987-2014 and evaluated the incidence of bowel resection after first ever dispensation of adalimumab or infliximab from 2006 and up to 7 years follow-up. RESULTS We identified 1856 Crohn's disease patients who had received TNFi. Among these patients, 90% treatment retention was observed at 6 months after start of TNFi and 65% remained on the drug after 12 months. The cumulative rates of surgery in Crohn's disease patients exposed to TNFi years 1-7 were 7%, 13%, 17%, 20%, 23%, 25% and 28%. Rates of bowel resection were similar between patients with TNFi survival &lt;12 months and \u226512 months respectively (P=.27). No predictors (eg, sex, age, extension or duration of disease) for bowel resection were identified. CONCLUSIONS The risk of bowel resection after start of anti-TNF treatment is higher in regular health care than in published RCTs. Patients on sustained TNFi treatment beyond 12 months have bowel resection rates similar to those who discontinue TNFi treatment earlier.", "author" : [ { "dropping-particle" : "", "family" : "Eberhardson", "given" : "M.", "non-dropping-particle" : "", "parse-names" : false, "suffix" : "" }, { "dropping-particle" : "", "family" : "S\u00f6derling", "given" : "J. K.", "non-dropping-particle" : "", "parse-names" : false, "suffix" : "" }, { "dropping-particle" : "", "family" : "Neovius", "given" : "M.", "non-dropping-particle" : "", "parse-names" : false, "suffix" : "" }, { "dropping-particle" : "", "family" : "Cars", "given" : "T.", "non-dropping-particle" : "", "parse-names" : false, "suffix" : "" }, { "dropping-particle" : "", "family" : "Myrelid", "given" : "P.", "non-dropping-particle" : "", "parse-names" : false, "suffix" : "" }, { "dropping-particle" : "", "family" : "Ludvigsson", "given" : "J. F.", "non-dropping-particle" : "", "parse-names" : false, "suffix" : "" }, { "dropping-particle" : "", "family" : "Askling", "given" : "J.", "non-dropping-particle" : "", "parse-names" : false, "suffix" : "" }, { "dropping-particle" : "", "family" : "Ekbom", "given" : "A.", "non-dropping-particle" : "", "parse-names" : false, "suffix" : "" }, { "dropping-particle" : "", "family" : "Ol\u00e9n", "given" : "O.", "non-dropping-particle" : "", "parse-names" : false, "suffix" : "" } ], "container-title" : "Alimentary Pharmacology &amp; Therapeutics", "id" : "ITEM-2", "issue" : "6", "issued" : { "date-parts" : [ [ "2017", "9" ] ] }, "page" : "589-598", "title" : "Anti-TNF treatment in Crohn's disease and risk of bowel resection-a population based cohort study", "type" : "article-journal", "volume" : "46" }, "uris" : [ "http://www.mendeley.com/documents/?uuid=c57fdaac-27f5-328e-b42d-9572a50b34c1" ] } ], "mendeley" : { "formattedCitation" : "[7,25]", "plainTextFormattedCitation" : "[7,25]", "previouslyFormattedCitation" : "[7,24]" }, "properties" : { "noteIndex" : 0 }, "schema" : "https://github.com/citation-style-language/schema/raw/master/csl-citation.json" }</w:instrText>
      </w:r>
      <w:r w:rsidR="00B459ED">
        <w:fldChar w:fldCharType="separate"/>
      </w:r>
      <w:r w:rsidR="00E11DF8" w:rsidRPr="00E11DF8">
        <w:rPr>
          <w:noProof/>
        </w:rPr>
        <w:t>[7,25]</w:t>
      </w:r>
      <w:r w:rsidR="00B459ED">
        <w:fldChar w:fldCharType="end"/>
      </w:r>
      <w:r w:rsidR="00B459ED">
        <w:t>.</w:t>
      </w:r>
    </w:p>
    <w:p w14:paraId="7E2C5383" w14:textId="353CC012" w:rsidR="00BC34F0" w:rsidRDefault="00B459ED" w:rsidP="006A0590">
      <w:pPr>
        <w:spacing w:line="480" w:lineRule="auto"/>
      </w:pPr>
      <w:r>
        <w:t>Analysis of the paediatric RISK IBD cohort from North America conclude</w:t>
      </w:r>
      <w:r w:rsidR="009B1482">
        <w:t>d</w:t>
      </w:r>
      <w:r>
        <w:t xml:space="preserve"> that early intervention with anti-TNF is the best predictor of improved remission rates, with this group also having better growth outcomes, </w:t>
      </w:r>
      <w:r w:rsidR="00DD16C2">
        <w:t xml:space="preserve">although </w:t>
      </w:r>
      <w:r>
        <w:t xml:space="preserve">surgical resection rates were not </w:t>
      </w:r>
      <w:r w:rsidR="00DD16C2">
        <w:t xml:space="preserve">reported </w:t>
      </w:r>
      <w:r>
        <w:fldChar w:fldCharType="begin" w:fldLock="1"/>
      </w:r>
      <w:r w:rsidR="00E11DF8">
        <w:instrText>ADDIN CSL_CITATION { "citationItems" : [ { "id" : "ITEM-1", "itemData" : { "DOI" : "10.1053/j.gastro.2013.10.027", "ISSN" : "00165085", "PMID" : "24162032", "abstract" : "BACKGROUND &amp; AIMS Standard therapy for children newly diagnosed with Crohn's disease (CD) includes early administration of immunomodulators after initial treatment with corticosteroids. We compared the effectiveness of early (\u22643 mo after diagnosis) treatment with an anti-tumor necrosis factor (TNF)\u03b1 with that of an immunomodulator in attaining clinical remission and facilitating growth of pediatric patients. METHODS We analyzed data from the RISK study, an observational research program that enrolled patients younger than age 17 diagnosed with inflammatory (nonpenetrating, nonstricturing) CD from 2008 through 2012 at 28 pediatric gastroenterology centers in North America. Patients were managed by physician dictate. From 552 children (median age, 11.8 y; 61% male; 63% with pediatric CD activity index scores &gt;30; and median C-reactive protein level 5.6-fold the upper limit of normal), we used propensity score methodology to identify 68 triads of patients matched for baseline characteristics who were treated with early anti-TNF\u03b1 therapy, early immunomodulator, or no early immunotherapy. We evaluated relationships among therapies, corticosteroid and surgery-free remission (pediatric CD activity index scores, \u226410), and growth at 1 year for 204 children. Treatment after 3 months was a covariate. RESULTS Early treatment with anti-TNF\u03b1 was superior to early treatment with an immunomodulator (85.3% vs 60.3% in remission; relative risk, 1.41; 95% confidence interval [CI], 1.14-1.75; P = .0017), whereas early immunomodulator therapy was no different than no early immunotherapy (60.3% vs 54.4% in remission; relative risk, 1.11; 95% CI, 0.83-1.48; P = .49) in achieving remission at 1 year. Accounting for therapy after 3 months, early treatment with anti-TNF\u03b1 remained superior to early treatment with an immunomodulator (relative risk, 1.51; 95% CI, 1.20-1.89; P = .0004), whereas early immunomodulator therapy was no different than no early immunotherapy (relative risk, 1.00; 95% CI, 0.75-1.34; P = .99). The mean height z-score increased compared with baseline only in the early anti-TNF\u03b1 group. CONCLUSIONS In children newly diagnosed with comparably severe CD, early monotherapy with anti-TNF\u03b1 produced better overall clinical and growth outcomes at 1 year than early monotherapy with an immunomodulator. Further data will be required to best identify children most likely to benefit from early treatment with anti-TNF\u03b1 therapy.", "author" : [ { "dropping-particle" : "", "family" : "Walters", "given" : "Thomas D.", "non-dropping-particle" : "", "parse-names" : false, "suffix" : "" }, { "dropping-particle" : "", "family" : "Kim", "given" : "Mi-Ok", "non-dropping-particle" : "", "parse-names" : false, "suffix" : "" }, { "dropping-particle" : "", "family" : "Denson", "given" : "Lee A.", "non-dropping-particle" : "", "parse-names" : false, "suffix" : "" }, { "dropping-particle" : "", "family" : "Griffiths", "given" : "Anne M.", "non-dropping-particle" : "", "parse-names" : false, "suffix" : "" }, { "dropping-particle" : "", "family" : "Dubinsky", "given" : "Marla", "non-dropping-particle" : "", "parse-names" : false, "suffix" : "" }, { "dropping-particle" : "", "family" : "Markowitz", "given" : "James", "non-dropping-particle" : "", "parse-names" : false, "suffix" : "" }, { "dropping-particle" : "", "family" : "Baldassano", "given" : "Robert", "non-dropping-particle" : "", "parse-names" : false, "suffix" : "" }, { "dropping-particle" : "", "family" : "Crandall", "given" : "Wallace", "non-dropping-particle" : "", "parse-names" : false, "suffix" : "" }, { "dropping-particle" : "", "family" : "Rosh", "given" : "Joel", "non-dropping-particle" : "", "parse-names" : false, "suffix" : "" }, { "dropping-particle" : "", "family" : "Pfefferkorn", "given" : "Marian", "non-dropping-particle" : "", "parse-names" : false, "suffix" : "" }, { "dropping-particle" : "", "family" : "Otley", "given" : "Anthony", "non-dropping-particle" : "", "parse-names" : false, "suffix" : "" }, { "dropping-particle" : "", "family" : "Heyman", "given" : "Melvin B.", "non-dropping-particle" : "", "parse-names" : false, "suffix" : "" }, { "dropping-particle" : "", "family" : "LeLeiko", "given" : "Neal", "non-dropping-particle" : "", "parse-names" : false, "suffix" : "" }, { "dropping-particle" : "", "family" : "Baker", "given" : "Susan", "non-dropping-particle" : "", "parse-names" : false, "suffix" : "" }, { "dropping-particle" : "", "family" : "Guthery", "given" : "Stephen L.", "non-dropping-particle" : "", "parse-names" : false, "suffix" : "" }, { "dropping-particle" : "", "family" : "Evans", "given" : "Jonathan", "non-dropping-particle" : "", "parse-names" : false, "suffix" : "" }, { "dropping-particle" : "", "family" : "Ziring", "given" : "David", "non-dropping-particle" : "", "parse-names" : false, "suffix" : "" }, { "dropping-particle" : "", "family" : "Kellermayer", "given" : "Richard", "non-dropping-particle" : "", "parse-names" : false, "suffix" : "" }, { "dropping-particle" : "", "family" : "Stephens", "given" : "Michael", "non-dropping-particle" : "", "parse-names" : false, "suffix" : "" }, { "dropping-particle" : "", "family" : "Mack", "given" : "David", "non-dropping-particle" : "", "parse-names" : false, "suffix" : "" }, { "dropping-particle" : "", "family" : "Oliva-Hemker", "given" : "Maria", "non-dropping-particle" : "", "parse-names" : false, "suffix" : "" }, { "dropping-particle" : "", "family" : "Patel", "given" : "Ashish S.", "non-dropping-particle" : "", "parse-names" : false, "suffix" : "" }, { "dropping-particle" : "", "family" : "Kirschner", "given" : "Barbara", "non-dropping-particle" : "", "parse-names" : false, "suffix" : "" }, { "dropping-particle" : "", "family" : "Moulton", "given" : "Dedrick", "non-dropping-particle" : "", "parse-names" : false, "suffix" : "" }, { "dropping-particle" : "", "family" : "Cohen", "given" : "Stanley", "non-dropping-particle" : "", "parse-names" : false, "suffix" : "" }, { "dropping-particle" : "", "family" : "Kim", "given" : "Sandra", "non-dropping-particle" : "", "parse-names" : false, "suffix" : "" }, { "dropping-particle" : "", "family" : "Liu", "given" : "Chunyan", "non-dropping-particle" : "", "parse-names" : false, "suffix" : "" }, { "dropping-particle" : "", "family" : "Essers", "given" : "Jonah", "non-dropping-particle" : "", "parse-names" : false, "suffix" : "" }, { "dropping-particle" : "", "family" : "Kugathasan", "given" : "Subra", "non-dropping-particle" : "", "parse-names" : false, "suffix" : "" }, { "dropping-particle" : "", "family" : "Hyams", "given" : "Jeffrey S.", "non-dropping-particle" : "", "parse-names" : false, "suffix" : "" }, { "dropping-particle" : "", "family" : "PRO-KIIDS Research Group", "given" : "", "non-dropping-particle" : "", "parse-names" : false, "suffix" : "" } ], "container-title" : "Gastroenterology", "id" : "ITEM-1", "issue" : "2", "issued" : { "date-parts" : [ [ "2014", "2" ] ] }, "page" : "383-391", "title" : "Increased Effectiveness of Early Therapy With Anti-Tumor Necrosis Factor-\u03b1 vs an Immunomodulator in Children With Crohn's Disease", "type" : "article-journal", "volume" : "146" }, "uris" : [ "http://www.mendeley.com/documents/?uuid=d24536cd-53ca-341c-882e-e25b1c294e1c" ] } ], "mendeley" : { "formattedCitation" : "[26]", "plainTextFormattedCitation" : "[26]", "previouslyFormattedCitation" : "[25]" }, "properties" : { "noteIndex" : 0 }, "schema" : "https://github.com/citation-style-language/schema/raw/master/csl-citation.json" }</w:instrText>
      </w:r>
      <w:r>
        <w:fldChar w:fldCharType="separate"/>
      </w:r>
      <w:r w:rsidR="00E11DF8" w:rsidRPr="00E11DF8">
        <w:rPr>
          <w:noProof/>
        </w:rPr>
        <w:t>[26]</w:t>
      </w:r>
      <w:r>
        <w:fldChar w:fldCharType="end"/>
      </w:r>
      <w:r>
        <w:t xml:space="preserve">. Recent adult data from Ma </w:t>
      </w:r>
      <w:r w:rsidRPr="00BC34F0">
        <w:rPr>
          <w:i/>
        </w:rPr>
        <w:t>et al</w:t>
      </w:r>
      <w:r>
        <w:t xml:space="preserve"> (2016) and Oh </w:t>
      </w:r>
      <w:r w:rsidRPr="00BC34F0">
        <w:rPr>
          <w:i/>
        </w:rPr>
        <w:t>et al</w:t>
      </w:r>
      <w:r>
        <w:t xml:space="preserve"> (2017) has also pointed towards early initiation of anti-TNF therapy being effective at reducing the need for intestinal surgery whereas starting anti-TNF later (&gt;2 years post diagnosis) was associated with increased risk of surgery, presumably due to complications already having arisen </w:t>
      </w:r>
      <w:r>
        <w:fldChar w:fldCharType="begin" w:fldLock="1"/>
      </w:r>
      <w:r w:rsidR="00E11DF8">
        <w:instrText>ADDIN CSL_CITATION { "citationItems" : [ { "id" : "ITEM-1", "itemData" : { "DOI" : "10.1371/journal.pone.0177479", "ISSN" : "1932-6203", "PMID" : "28542298", "abstract" : "Although early treatment of Crohn's disease (CD) patients with anti-tumor necrosis factor (TNF) agents or immunomodulators (IMs) may improve long-term outcomes, especially those with poor prognostic factors, their effectiveness in Asians remains unclear. In this study, Korean patients with CD na\u00efve to both intestinal surgery and intestinal complications, and with at least two risk factors for progression (diagnosis at age &lt;40 years, systemic corticosteroid treatment &lt;3 months after diagnosis, and perianal fistula at diagnosis) were retrospectively analyzed. Patients were classified into those who started anti-TNFs, or IMs but not anti-TNFs, within 2 years of diagnosis, and those who started anti-TNFs and/or IMs later. Their probabilities of intestinal surgery and intestinal complications were compared. A total of 670 patients were enrolled, 79 in the early anti-TNF, 286 in the early IM, and 305 in the late treatment group. Kaplan-Meier analysis with the log-rank test showed that from starting anti-TNFs/IMs, times to intestinal surgery (P &lt; 0.001), stricturing complications (P = 0.002), and penetrating complications (P &lt; 0.001) were significantly longer in the early anti-TNF/IM groups than in the late treatment group. Multivariate Cox regression analysis showed that, from starting anti-TNFs/IMs, late anti-TNF/IM treatment was independently associated with higher risks of intestinal surgery (adjusted hazard ratio [aHR] 2.321, 95% confidence interval [CI] 1.503-3.584, P &lt; 0.001), behavioral progression (aHR 2.001, 95% CI 1.449-2.763, P &lt; 0.001), stricturing complications (aHR 1.736, 95% CI 1.209-2.493, P = 0.003), and penetrating complications (aHR 3.315, 95% CI 2.094-5.249, P &lt; 0.001) than early treatment. In conclusion, treatment of Asian CD patients having poor prognostic factors with anti-TNFs/IMs within 2 years of diagnosis is associated with better clinical outcomes than later treatment.", "author" : [ { "dropping-particle" : "", "family" : "Oh", "given" : "Eun Hye", "non-dropping-particle" : "", "parse-names" : false, "suffix" : "" }, { "dropping-particle" : "", "family" : "Oh", "given" : "Kyunghwan", "non-dropping-particle" : "", "parse-names" : false, "suffix" : "" }, { "dropping-particle" : "", "family" : "Han", "given" : "Minkyu", "non-dropping-particle" : "", "parse-names" : false, "suffix" : "" }, { "dropping-particle" : "", "family" : "Seo", "given" : "Hyungil", "non-dropping-particle" : "", "parse-names" : false, "suffix" : "" }, { "dropping-particle" : "", "family" : "Chang", "given" : "Kiju", "non-dropping-particle" : "", "parse-names" : false, "suffix" : "" }, { "dropping-particle" : "", "family" : "Lee", "given" : "Sun-Ho", "non-dropping-particle" : "", "parse-names" : false, "suffix" : "" }, { "dropping-particle" : "", "family" : "Kim", "given" : "Gwang-Un", "non-dropping-particle" : "", "parse-names" : false, "suffix" : "" }, { "dropping-particle" : "", "family" : "Song", "given" : "Eun Mi", "non-dropping-particle" : "", "parse-names" : false, "suffix" : "" }, { "dropping-particle" : "", "family" : "Seo", "given" : "Myeongsook", "non-dropping-particle" : "", "parse-names" : false, "suffix" : "" }, { "dropping-particle" : "", "family" : "Lee", "given" : "Ho-Su", "non-dropping-particle" : "", "parse-names" : false, "suffix" : "" }, { "dropping-particle" : "", "family" : "Hwang", "given" : "Sung Wook", "non-dropping-particle" : "", "parse-names" : false, "suffix" : "" }, { "dropping-particle" : "", "family" : "Park", "given" : "Sang Hyoung", "non-dropping-particle" : "", "parse-names" : false, "suffix" : "" }, { "dropping-particle" : "", "family" : "Yang", "given" : "Dong-Hoon", "non-dropping-particle" : "", "parse-names" : false, "suffix" : "" }, { "dropping-particle" : "", "family" : "Kim", "given" : "Kyung-Jo", "non-dropping-particle" : "", "parse-names" : false, "suffix" : "" }, { "dropping-particle" : "", "family" : "Byeon", "given" : "Jeong-Sik", "non-dropping-particle" : "", "parse-names" : false, "suffix" : "" }, { "dropping-particle" : "", "family" : "Myung", "given" : "Seung-Jae", "non-dropping-particle" : "", "parse-names" : false, "suffix" : "" }, { "dropping-particle" : "", "family" : "Yang", "given" : "Suk-Kyun", "non-dropping-particle" : "", "parse-names" : false, "suffix" : "" }, { "dropping-particle" : "", "family" : "Ye", "given" : "Byong Duk", "non-dropping-particle" : "", "parse-names" : false, "suffix" : "" } ], "container-title" : "PLOS ONE", "editor" : [ { "dropping-particle" : "", "family" : "Green", "given" : "John", "non-dropping-particle" : "", "parse-names" : false, "suffix" : "" } ], "id" : "ITEM-1", "issue" : "5", "issued" : { "date-parts" : [ [ "2017", "5", "23" ] ] }, "page" : "e0177479", "title" : "Early anti-TNF/immunomodulator therapy is associated with better long-term clinical outcomes in Asian patients with Crohn\u2019s disease with poor prognostic factors", "type" : "article-journal", "volume" : "12" }, "uris" : [ "http://www.mendeley.com/documents/?uuid=13adc67a-a08f-3a1d-89c7-e90e39d4cdfa" ] }, { "id" : "ITEM-2", "itemData" : { "DOI" : "10.1097/MIB.0000000000000679", "ISSN" : "1078-0998", "PMID" : "26818419", "abstract" : "BACKGROUND Although biological agents targeting tumor necrosis factor (TNF) alpha are effective in the management of Crohn's disease (CD), use of anti-TNF agents is often delayed until after failure of other treatment modalities, resulting in potentially long delays between diagnosis and initiation of infliximab or adalimumab. We aim to determine if early treatment with anti-TNF agents reduces the rate of surgical resection and clinical secondary loss of response in CD patients. METHODS A retrospective cohort study was conducted evaluating CD outpatients who were primary responders to anti-TNF therapy, on a maintenance regimen with infliximab or adalimumab from 2003 to 2014. Patients were stratified by time to first dose of anti-TNF therapy; early initiation was defined as starting anti-TNF therapy within 2 years of diagnosis. The primary outcome was occurrence of surgical resection or clinical secondary loss of response requiring dose escalation. Kaplan-Meier analysis was used to assess time to the primary outcomes. RESULTS One hundred ninety CD patients met inclusion criteria (100 infliximab, 90 adalimumab). Median follow-up duration was 154.4 weeks (inter quartile range, 106.4-227.8). Fifty-three patients (27.9%) had early initiation of anti-TNF therapy. Fewer patients in the early initiation group required surgery (5.7% versus 30.7%, P &lt; 0.001) or experienced clinical secondary loss of response (45.3% versus 67.2%, P = 0.006). In Kaplan-Meier analysis, early initiation of anti-TNF therapy prolonged time to surgery (P = 0.001) and secondary loss of response (P = 0.006). CONCLUSIONS In CD patients, early initiation of infliximab or adalimumab within the first 2 years of diagnosis reduces the rate of surgery and secondary loss of response requiring dose escalation.", "author" : [ { "dropping-particle" : "", "family" : "Ma", "given" : "Christopher", "non-dropping-particle" : "", "parse-names" : false, "suffix" : "" }, { "dropping-particle" : "", "family" : "Beilman", "given" : "Candace L.", "non-dropping-particle" : "", "parse-names" : false, "suffix" : "" }, { "dropping-particle" : "", "family" : "Huang", "given" : "Vivian W.", "non-dropping-particle" : "", "parse-names" : false, "suffix" : "" }, { "dropping-particle" : "", "family" : "Fedorak", "given" : "Darryl K.", "non-dropping-particle" : "", "parse-names" : false, "suffix" : "" }, { "dropping-particle" : "", "family" : "Kroeker", "given" : "Karen I.", "non-dropping-particle" : "", "parse-names" : false, "suffix" : "" }, { "dropping-particle" : "", "family" : "Dieleman", "given" : "Levinus A.", "non-dropping-particle" : "", "parse-names" : false, "suffix" : "" }, { "dropping-particle" : "", "family" : "Halloran", "given" : "Brendan P.", "non-dropping-particle" : "", "parse-names" : false, "suffix" : "" }, { "dropping-particle" : "", "family" : "Fedorak", "given" : "Richard N.", "non-dropping-particle" : "", "parse-names" : false, "suffix" : "" } ], "container-title" : "Inflammatory Bowel Diseases", "id" : "ITEM-2", "issue" : "4", "issued" : { "date-parts" : [ [ "2016", "4" ] ] }, "page" : "870-879", "title" : "Anti-TNF Therapy Within 2 Years of Crohn\u02bcs Disease Diagnosis Improves Patient Outcomes", "type" : "article-journal", "volume" : "22" }, "uris" : [ "http://www.mendeley.com/documents/?uuid=451a5e53-a590-3d28-9193-e046a1354987" ] } ], "mendeley" : { "formattedCitation" : "[27,28]", "plainTextFormattedCitation" : "[27,28]", "previouslyFormattedCitation" : "[26,27]" }, "properties" : { "noteIndex" : 0 }, "schema" : "https://github.com/citation-style-language/schema/raw/master/csl-citation.json" }</w:instrText>
      </w:r>
      <w:r>
        <w:fldChar w:fldCharType="separate"/>
      </w:r>
      <w:r w:rsidR="00E11DF8" w:rsidRPr="00E11DF8">
        <w:rPr>
          <w:noProof/>
        </w:rPr>
        <w:t>[27,28]</w:t>
      </w:r>
      <w:r>
        <w:fldChar w:fldCharType="end"/>
      </w:r>
      <w:r>
        <w:t xml:space="preserve">. Further adult data from 2014 and 2016 also points towards initiation during early inflammation, rather than when complications occur, as the key driver in the reduction of intestinal resections in Crohn’s disease </w:t>
      </w:r>
      <w:r>
        <w:fldChar w:fldCharType="begin" w:fldLock="1"/>
      </w:r>
      <w:r w:rsidR="00E11DF8">
        <w:instrText>ADDIN CSL_CITATION { "citationItems" : [ { "id" : "ITEM-1", "itemData" : { "DOI" : "10.1093/ecco-jcc/jjv187", "ISSN" : "1873-9946", "PMID" : "26520164", "abstract" : "INTRODUCTION Early stages of Crohn's disease [CD] are predominantly inflammatory and early treatment could be useful to change the natural history of CD. We aimed to evaluate the impact of early treatment in our cohort of CD patients. METHODS We retrospectively reviewed clinical records of all CD patients at our centre who have received immunomodulators. Time from diagnosis to first CD-related major abdominal surgery or end of follow-up was considered. Dates of diagnosis, of starting immunomodulators (thiopurines / anti-tumour necrosis factor [TNF]), and of the first CD-related surgery when appropriate were collected. RESULTS Of 422 patients who received thiopurines, 189 operated patients started thiopurines after a median of 117 months (interquartile range [IQR] 44-196) since diagnosis; non-operated patients, after a median of 30 months [IQR 6-128], p &lt; 0,005. Odds ratio [OR] for surgery was 1.006 (95% confidence interval [CI]1.004-1008) for each month of delay in starting thiopurines. Among 272 patients who received anti-TNFs, 137 operated patients started anti-TNFs after a median of 166 months [IQR 90-233] since diagnosis; non-operated patients after a median of 59 months [IQR 14-162]; p &lt; 0,005. OR for surgery was 1.008 [95% CI 1.005-1.010] for each month of delay in starting anti-TNFs. Among 467 patients who received thiopurines and/or anti-TNF, 210 operated patients started any immunomodulator after a median of 120 months [IQR 48-197] since diagnosis and non-operated patients after a median of 30 months [IQR 6-126], p &lt; 0,005. OR for surgery was 1.008 [95% CI 1.005-1.010] for each month of delay in starting immunomodulators. CONCLUSIONS In our experience, time between diagnosis and thiopurine or anti-TNF initiation was associated with the risk of major abdominal surgery in Crohn's disease.", "author" : [ { "dropping-particle" : "", "family" : "Gonz\u00e1lez-Lama", "given" : "Yago", "non-dropping-particle" : "", "parse-names" : false, "suffix" : "" }, { "dropping-particle" : "", "family" : "Su\u00e1rez", "given" : "Cristina", "non-dropping-particle" : "", "parse-names" : false, "suffix" : "" }, { "dropping-particle" : "", "family" : "Gonz\u00e1lez-Partida", "given" : "Irene", "non-dropping-particle" : "", "parse-names" : false, "suffix" : "" }, { "dropping-particle" : "", "family" : "Calvo", "given" : "Marta", "non-dropping-particle" : "", "parse-names" : false, "suffix" : "" }, { "dropping-particle" : "", "family" : "Matallana", "given" : "Virginia", "non-dropping-particle" : "", "parse-names" : false, "suffix" : "" }, { "dropping-particle" : "", "family" : "la Revilla", "given" : "Juan", "non-dropping-particle" : "de", "parse-names" : false, "suffix" : "" }, { "dropping-particle" : "", "family" : "Magaz", "given" : "Marta", "non-dropping-particle" : "", "parse-names" : false, "suffix" : "" }, { "dropping-particle" : "", "family" : "Bernardo", "given" : "Cristina", "non-dropping-particle" : "", "parse-names" : false, "suffix" : "" }, { "dropping-particle" : "", "family" : "Agudo", "given" : "Bel\u00e9n", "non-dropping-particle" : "", "parse-names" : false, "suffix" : "" }, { "dropping-particle" : "", "family" : "Ibarrola", "given" : "Pilar", "non-dropping-particle" : "", "parse-names" : false, "suffix" : "" }, { "dropping-particle" : "", "family" : "Relea", "given" : "Luc\u00eda", "non-dropping-particle" : "", "parse-names" : false, "suffix" : "" }, { "dropping-particle" : "", "family" : "Ar\u00e9valo", "given" : "Juan", "non-dropping-particle" : "", "parse-names" : false, "suffix" : "" }, { "dropping-particle" : "", "family" : "Vera", "given" : "Mar\u00eda Isabel", "non-dropping-particle" : "", "parse-names" : false, "suffix" : "" }, { "dropping-particle" : "", "family" : "Abreu", "given" : "Luis", "non-dropping-particle" : "", "parse-names" : false, "suffix" : "" } ], "container-title" : "Journal of Crohn's and Colitis", "id" : "ITEM-1", "issue" : "1", "issued" : { "date-parts" : [ [ "2016", "1" ] ] }, "page" : "55-60", "title" : "Timing of Thiopurine or Anti-TNF Initiation Is Associated with the Risk of Major Abdominal Surgery in Crohn\u2019s Disease: A Retrospective Cohort Study", "type" : "article-journal", "volume" : "10" }, "uris" : [ "http://www.mendeley.com/documents/?uuid=d6e5723f-9d1b-30a3-bc9c-f4c35245b7ec" ] }, { "id" : "ITEM-2", "itemData" : { "DOI" : "10.1016/j.cgh.2013.08.026", "ISSN" : "15423565", "PMID" : "23978351", "abstract" : "BACKGROUND &amp; AIMS There is conflicting evidence on the effects of thiopurines (azathioprine or mercaptopurine) and anti-tumor necrosis factor (TNF) therapies on rates of surgery among patients with Crohn's disease (CD). We aimed to identify factors that identify patients who are unlikely to respond to medical therapy and will therefore require surgery. METHODS We performed a retrospective study using the Alberta Inflammatory Bowel Disease Consortium registry to identify 425 patients diagnosed with CD who received a prescription of a thiopurine and/or an anti-TNF agent from a referral center, from July 1, 1975, through September 13, 2012. We collected data on CD-related abdominal surgery after therapy and disease features when therapy was instituted. Cox proportional regression models were used to associate disease features with outcomes after adjusting for potential confounders. Risk estimates were presented as hazard rate ratios (HRRs) with 95% confidence intervals (CIs). RESULTS Among patients given thiopurines, stricturing disease (adjusted HR, 4.63; 95% CI, 2.00-10.71), ileal location (adjusted HR, 6.20; 95% CI, 1.64-23.42), and ileocolonic location (adjusted HR, 3.71; 95% CI, 1.08-12.74) at the time of prescription were associated significantly with the need for surgery. Prescription of an anti-TNF agent after prescription of a thiopurine reduced the risk for surgery, compared with patients prescribed only a thiopurine (adjusted HR, 0.41; 95% CI, 0.22-0.75). Among patients given anti-TNF agents, stricturing (adjusted HR, 6.17; 95% CI, 2.81-13.54) and penetrating disease (adjusted HR, 3.39; 95% CI, 1.45-7.92) at the time of prescription were associated significantly with surgery. Older age at diagnosis (17-40 y) reduced the risk for abdominal surgery (adjusted HR, 0.41; 95% CI, 0.21-0.80) compared with a younger age group (\u226416 y). Surgery before drug prescription reduced the risk for further surgeries among patients who received thiopurines (adjusted HR, 0.33; 95% CI, 0.13-0.68) or anti-TNF agents (adjusted HR, 0.49; 95% CI, 0.25-0.96). Terminal ileal disease location was not associated with a stricturing phenotype. CONCLUSIONS Based on a retrospective database analysis, patients prescribed thiopurine or anti-TNF therapy when they have a complicated stage of CD are more likely to require surgery. Better patient outcomes are achieved by treating CD at early inflammation stages; delayed treatment increases rates of treatment failure.", "author" : [ { "dropping-particle" : "", "family" : "Moran", "given" : "Gordon W.", "non-dropping-particle" : "", "parse-names" : false, "suffix" : "" }, { "dropping-particle" : "", "family" : "Dubeau", "given" : "Marie\u2013France", "non-dropping-particle" : "", "parse-names" : false, "suffix" : "" }, { "dropping-particle" : "", "family" : "Kaplan", "given" : "Gilaad G.", "non-dropping-particle" : "", "parse-names" : false, "suffix" : "" }, { "dropping-particle" : "", "family" : "Yang", "given" : "Hong", "non-dropping-particle" : "", "parse-names" : false, "suffix" : "" }, { "dropping-particle" : "", "family" : "Seow", "given" : "Cynthia H.", "non-dropping-particle" : "", "parse-names" : false, "suffix" : "" }, { "dropping-particle" : "", "family" : "Fedorak", "given" : "Richard N.", "non-dropping-particle" : "", "parse-names" : false, "suffix" : "" }, { "dropping-particle" : "", "family" : "Dieleman", "given" : "Levinus A.", "non-dropping-particle" : "", "parse-names" : false, "suffix" : "" }, { "dropping-particle" : "", "family" : "Barkema", "given" : "Herman W.", "non-dropping-particle" : "", "parse-names" : false, "suffix" : "" }, { "dropping-particle" : "", "family" : "Ghosh", "given" : "Subrata", "non-dropping-particle" : "", "parse-names" : false, "suffix" : "" }, { "dropping-particle" : "", "family" : "Panaccione", "given" : "Remo", "non-dropping-particle" : "", "parse-names" : false, "suffix" : "" }, { "dropping-particle" : "", "family" : "Alberta Inflammatory Bowel Disease Consortium", "given" : "", "non-dropping-particle" : "", "parse-names" : false, "suffix" : "" } ], "container-title" : "Clinical Gastroenterology and Hepatology", "id" : "ITEM-2", "issue" : "3", "issued" : { "date-parts" : [ [ "2014", "3" ] ] }, "page" : "434-442.e1", "title" : "Phenotypic Features of Crohn's Disease Associated With Failure of Medical Treatment", "type" : "article-journal", "volume" : "12" }, "uris" : [ "http://www.mendeley.com/documents/?uuid=ca6fac3e-51ac-36b2-bbfa-6ea8223e10c1" ] } ], "mendeley" : { "formattedCitation" : "[29,30]", "plainTextFormattedCitation" : "[29,30]", "previouslyFormattedCitation" : "[28,29]" }, "properties" : { "noteIndex" : 0 }, "schema" : "https://github.com/citation-style-language/schema/raw/master/csl-citation.json" }</w:instrText>
      </w:r>
      <w:r>
        <w:fldChar w:fldCharType="separate"/>
      </w:r>
      <w:r w:rsidR="00E11DF8" w:rsidRPr="00E11DF8">
        <w:rPr>
          <w:noProof/>
        </w:rPr>
        <w:t>[29,30]</w:t>
      </w:r>
      <w:r>
        <w:fldChar w:fldCharType="end"/>
      </w:r>
      <w:r>
        <w:t xml:space="preserve">. </w:t>
      </w:r>
      <w:r w:rsidR="002C2DB2">
        <w:t xml:space="preserve">Data from our cohort </w:t>
      </w:r>
      <w:r w:rsidR="00DD16C2">
        <w:t xml:space="preserve">reflects </w:t>
      </w:r>
      <w:r w:rsidR="002C2DB2">
        <w:t>a mix of earl</w:t>
      </w:r>
      <w:r w:rsidR="0006787C">
        <w:t xml:space="preserve">y and late </w:t>
      </w:r>
      <w:r w:rsidR="0006787C">
        <w:lastRenderedPageBreak/>
        <w:t>anti-TNF initiation. W</w:t>
      </w:r>
      <w:r w:rsidR="00133F5C">
        <w:t xml:space="preserve">hen comparing those starting early and late there is </w:t>
      </w:r>
      <w:r w:rsidR="00D75587">
        <w:t xml:space="preserve">a </w:t>
      </w:r>
      <w:r w:rsidR="00133F5C">
        <w:t xml:space="preserve">statistical difference in surgical resection rates </w:t>
      </w:r>
      <w:r w:rsidR="003824E1">
        <w:t xml:space="preserve">for our cohort, </w:t>
      </w:r>
      <w:r w:rsidR="009B1482">
        <w:t xml:space="preserve">with </w:t>
      </w:r>
      <w:r w:rsidR="003824E1">
        <w:t xml:space="preserve">lower rates in those treated early with anti-TNF (11.6% </w:t>
      </w:r>
      <w:r w:rsidR="00FC02B5">
        <w:t xml:space="preserve">treated with anti-TNF </w:t>
      </w:r>
      <w:r w:rsidR="003824E1">
        <w:t xml:space="preserve">vs </w:t>
      </w:r>
      <w:r w:rsidR="00D75587">
        <w:t>28.6</w:t>
      </w:r>
      <w:r w:rsidR="003824E1">
        <w:t>%</w:t>
      </w:r>
      <w:r w:rsidR="00FC02B5">
        <w:t xml:space="preserve"> untreated</w:t>
      </w:r>
      <w:r w:rsidR="003824E1">
        <w:t>, p=0.0</w:t>
      </w:r>
      <w:r w:rsidR="00D75587">
        <w:t>47</w:t>
      </w:r>
      <w:r w:rsidR="003824E1">
        <w:t>)</w:t>
      </w:r>
      <w:r w:rsidR="00D75587">
        <w:t xml:space="preserve">, echoing previous findings </w:t>
      </w:r>
      <w:r w:rsidR="00D75587">
        <w:fldChar w:fldCharType="begin" w:fldLock="1"/>
      </w:r>
      <w:r w:rsidR="00E11DF8">
        <w:instrText>ADDIN CSL_CITATION { "citationItems" : [ { "id" : "ITEM-1", "itemData" : { "DOI" : "10.1053/j.gastro.2013.10.027", "ISSN" : "00165085", "PMID" : "24162032", "abstract" : "BACKGROUND &amp; AIMS Standard therapy for children newly diagnosed with Crohn's disease (CD) includes early administration of immunomodulators after initial treatment with corticosteroids. We compared the effectiveness of early (\u22643 mo after diagnosis) treatment with an anti-tumor necrosis factor (TNF)\u03b1 with that of an immunomodulator in attaining clinical remission and facilitating growth of pediatric patients. METHODS We analyzed data from the RISK study, an observational research program that enrolled patients younger than age 17 diagnosed with inflammatory (nonpenetrating, nonstricturing) CD from 2008 through 2012 at 28 pediatric gastroenterology centers in North America. Patients were managed by physician dictate. From 552 children (median age, 11.8 y; 61% male; 63% with pediatric CD activity index scores &gt;30; and median C-reactive protein level 5.6-fold the upper limit of normal), we used propensity score methodology to identify 68 triads of patients matched for baseline characteristics who were treated with early anti-TNF\u03b1 therapy, early immunomodulator, or no early immunotherapy. We evaluated relationships among therapies, corticosteroid and surgery-free remission (pediatric CD activity index scores, \u226410), and growth at 1 year for 204 children. Treatment after 3 months was a covariate. RESULTS Early treatment with anti-TNF\u03b1 was superior to early treatment with an immunomodulator (85.3% vs 60.3% in remission; relative risk, 1.41; 95% confidence interval [CI], 1.14-1.75; P = .0017), whereas early immunomodulator therapy was no different than no early immunotherapy (60.3% vs 54.4% in remission; relative risk, 1.11; 95% CI, 0.83-1.48; P = .49) in achieving remission at 1 year. Accounting for therapy after 3 months, early treatment with anti-TNF\u03b1 remained superior to early treatment with an immunomodulator (relative risk, 1.51; 95% CI, 1.20-1.89; P = .0004), whereas early immunomodulator therapy was no different than no early immunotherapy (relative risk, 1.00; 95% CI, 0.75-1.34; P = .99). The mean height z-score increased compared with baseline only in the early anti-TNF\u03b1 group. CONCLUSIONS In children newly diagnosed with comparably severe CD, early monotherapy with anti-TNF\u03b1 produced better overall clinical and growth outcomes at 1 year than early monotherapy with an immunomodulator. Further data will be required to best identify children most likely to benefit from early treatment with anti-TNF\u03b1 therapy.", "author" : [ { "dropping-particle" : "", "family" : "Walters", "given" : "Thomas D.", "non-dropping-particle" : "", "parse-names" : false, "suffix" : "" }, { "dropping-particle" : "", "family" : "Kim", "given" : "Mi-Ok", "non-dropping-particle" : "", "parse-names" : false, "suffix" : "" }, { "dropping-particle" : "", "family" : "Denson", "given" : "Lee A.", "non-dropping-particle" : "", "parse-names" : false, "suffix" : "" }, { "dropping-particle" : "", "family" : "Griffiths", "given" : "Anne M.", "non-dropping-particle" : "", "parse-names" : false, "suffix" : "" }, { "dropping-particle" : "", "family" : "Dubinsky", "given" : "Marla", "non-dropping-particle" : "", "parse-names" : false, "suffix" : "" }, { "dropping-particle" : "", "family" : "Markowitz", "given" : "James", "non-dropping-particle" : "", "parse-names" : false, "suffix" : "" }, { "dropping-particle" : "", "family" : "Baldassano", "given" : "Robert", "non-dropping-particle" : "", "parse-names" : false, "suffix" : "" }, { "dropping-particle" : "", "family" : "Crandall", "given" : "Wallace", "non-dropping-particle" : "", "parse-names" : false, "suffix" : "" }, { "dropping-particle" : "", "family" : "Rosh", "given" : "Joel", "non-dropping-particle" : "", "parse-names" : false, "suffix" : "" }, { "dropping-particle" : "", "family" : "Pfefferkorn", "given" : "Marian", "non-dropping-particle" : "", "parse-names" : false, "suffix" : "" }, { "dropping-particle" : "", "family" : "Otley", "given" : "Anthony", "non-dropping-particle" : "", "parse-names" : false, "suffix" : "" }, { "dropping-particle" : "", "family" : "Heyman", "given" : "Melvin B.", "non-dropping-particle" : "", "parse-names" : false, "suffix" : "" }, { "dropping-particle" : "", "family" : "LeLeiko", "given" : "Neal", "non-dropping-particle" : "", "parse-names" : false, "suffix" : "" }, { "dropping-particle" : "", "family" : "Baker", "given" : "Susan", "non-dropping-particle" : "", "parse-names" : false, "suffix" : "" }, { "dropping-particle" : "", "family" : "Guthery", "given" : "Stephen L.", "non-dropping-particle" : "", "parse-names" : false, "suffix" : "" }, { "dropping-particle" : "", "family" : "Evans", "given" : "Jonathan", "non-dropping-particle" : "", "parse-names" : false, "suffix" : "" }, { "dropping-particle" : "", "family" : "Ziring", "given" : "David", "non-dropping-particle" : "", "parse-names" : false, "suffix" : "" }, { "dropping-particle" : "", "family" : "Kellermayer", "given" : "Richard", "non-dropping-particle" : "", "parse-names" : false, "suffix" : "" }, { "dropping-particle" : "", "family" : "Stephens", "given" : "Michael", "non-dropping-particle" : "", "parse-names" : false, "suffix" : "" }, { "dropping-particle" : "", "family" : "Mack", "given" : "David", "non-dropping-particle" : "", "parse-names" : false, "suffix" : "" }, { "dropping-particle" : "", "family" : "Oliva-Hemker", "given" : "Maria", "non-dropping-particle" : "", "parse-names" : false, "suffix" : "" }, { "dropping-particle" : "", "family" : "Patel", "given" : "Ashish S.", "non-dropping-particle" : "", "parse-names" : false, "suffix" : "" }, { "dropping-particle" : "", "family" : "Kirschner", "given" : "Barbara", "non-dropping-particle" : "", "parse-names" : false, "suffix" : "" }, { "dropping-particle" : "", "family" : "Moulton", "given" : "Dedrick", "non-dropping-particle" : "", "parse-names" : false, "suffix" : "" }, { "dropping-particle" : "", "family" : "Cohen", "given" : "Stanley", "non-dropping-particle" : "", "parse-names" : false, "suffix" : "" }, { "dropping-particle" : "", "family" : "Kim", "given" : "Sandra", "non-dropping-particle" : "", "parse-names" : false, "suffix" : "" }, { "dropping-particle" : "", "family" : "Liu", "given" : "Chunyan", "non-dropping-particle" : "", "parse-names" : false, "suffix" : "" }, { "dropping-particle" : "", "family" : "Essers", "given" : "Jonah", "non-dropping-particle" : "", "parse-names" : false, "suffix" : "" }, { "dropping-particle" : "", "family" : "Kugathasan", "given" : "Subra", "non-dropping-particle" : "", "parse-names" : false, "suffix" : "" }, { "dropping-particle" : "", "family" : "Hyams", "given" : "Jeffrey S.", "non-dropping-particle" : "", "parse-names" : false, "suffix" : "" }, { "dropping-particle" : "", "family" : "PRO-KIIDS Research Group", "given" : "", "non-dropping-particle" : "", "parse-names" : false, "suffix" : "" } ], "container-title" : "Gastroenterology", "id" : "ITEM-1", "issue" : "2", "issued" : { "date-parts" : [ [ "2014", "2" ] ] }, "page" : "383-391", "title" : "Increased Effectiveness of Early Therapy With Anti-Tumor Necrosis Factor-\u03b1 vs an Immunomodulator in Children With Crohn's Disease", "type" : "article-journal", "volume" : "146" }, "uris" : [ "http://www.mendeley.com/documents/?uuid=d24536cd-53ca-341c-882e-e25b1c294e1c" ] } ], "mendeley" : { "formattedCitation" : "[26]", "plainTextFormattedCitation" : "[26]", "previouslyFormattedCitation" : "[25]" }, "properties" : { "noteIndex" : 0 }, "schema" : "https://github.com/citation-style-language/schema/raw/master/csl-citation.json" }</w:instrText>
      </w:r>
      <w:r w:rsidR="00D75587">
        <w:fldChar w:fldCharType="separate"/>
      </w:r>
      <w:r w:rsidR="00E11DF8" w:rsidRPr="00E11DF8">
        <w:rPr>
          <w:noProof/>
        </w:rPr>
        <w:t>[26]</w:t>
      </w:r>
      <w:r w:rsidR="00D75587">
        <w:fldChar w:fldCharType="end"/>
      </w:r>
      <w:r w:rsidR="003824E1">
        <w:t xml:space="preserve">. </w:t>
      </w:r>
      <w:r w:rsidR="0006787C">
        <w:t xml:space="preserve">Data on the </w:t>
      </w:r>
      <w:r>
        <w:t>indication</w:t>
      </w:r>
      <w:r w:rsidR="0006787C">
        <w:t xml:space="preserve"> for starting anti-TNF was not available.  </w:t>
      </w:r>
    </w:p>
    <w:p w14:paraId="058CC7D2" w14:textId="0CB5C1A4" w:rsidR="00BD7D21" w:rsidRDefault="005F6F48" w:rsidP="006A0590">
      <w:pPr>
        <w:spacing w:line="480" w:lineRule="auto"/>
      </w:pPr>
      <w:r>
        <w:t>Previous studies have reported a delay in time to surgery with anti-TNF therapy</w:t>
      </w:r>
      <w:r w:rsidR="006149DC">
        <w:t xml:space="preserve"> in adults</w:t>
      </w:r>
      <w:r>
        <w:t xml:space="preserve">, which is also evident in this </w:t>
      </w:r>
      <w:r w:rsidR="0006787C">
        <w:t xml:space="preserve">paediatric </w:t>
      </w:r>
      <w:r>
        <w:t>cohort</w:t>
      </w:r>
      <w:r w:rsidR="00733F61">
        <w:t xml:space="preserve"> </w:t>
      </w:r>
      <w:r w:rsidR="00733F61">
        <w:fldChar w:fldCharType="begin" w:fldLock="1"/>
      </w:r>
      <w:r w:rsidR="00E11DF8">
        <w:instrText>ADDIN CSL_CITATION { "citationItems" : [ { "id" : "ITEM-1", "itemData" : { "DOI" : "10.1097/MIB.0000000000000679", "ISSN" : "1078-0998", "PMID" : "26818419", "abstract" : "BACKGROUND Although biological agents targeting tumor necrosis factor (TNF) alpha are effective in the management of Crohn's disease (CD), use of anti-TNF agents is often delayed until after failure of other treatment modalities, resulting in potentially long delays between diagnosis and initiation of infliximab or adalimumab. We aim to determine if early treatment with anti-TNF agents reduces the rate of surgical resection and clinical secondary loss of response in CD patients. METHODS A retrospective cohort study was conducted evaluating CD outpatients who were primary responders to anti-TNF therapy, on a maintenance regimen with infliximab or adalimumab from 2003 to 2014. Patients were stratified by time to first dose of anti-TNF therapy; early initiation was defined as starting anti-TNF therapy within 2 years of diagnosis. The primary outcome was occurrence of surgical resection or clinical secondary loss of response requiring dose escalation. Kaplan-Meier analysis was used to assess time to the primary outcomes. RESULTS One hundred ninety CD patients met inclusion criteria (100 infliximab, 90 adalimumab). Median follow-up duration was 154.4 weeks (inter quartile range, 106.4-227.8). Fifty-three patients (27.9%) had early initiation of anti-TNF therapy. Fewer patients in the early initiation group required surgery (5.7% versus 30.7%, P &lt; 0.001) or experienced clinical secondary loss of response (45.3% versus 67.2%, P = 0.006). In Kaplan-Meier analysis, early initiation of anti-TNF therapy prolonged time to surgery (P = 0.001) and secondary loss of response (P = 0.006). CONCLUSIONS In CD patients, early initiation of infliximab or adalimumab within the first 2 years of diagnosis reduces the rate of surgery and secondary loss of response requiring dose escalation.", "author" : [ { "dropping-particle" : "", "family" : "Ma", "given" : "Christopher", "non-dropping-particle" : "", "parse-names" : false, "suffix" : "" }, { "dropping-particle" : "", "family" : "Beilman", "given" : "Candace L.", "non-dropping-particle" : "", "parse-names" : false, "suffix" : "" }, { "dropping-particle" : "", "family" : "Huang", "given" : "Vivian W.", "non-dropping-particle" : "", "parse-names" : false, "suffix" : "" }, { "dropping-particle" : "", "family" : "Fedorak", "given" : "Darryl K.", "non-dropping-particle" : "", "parse-names" : false, "suffix" : "" }, { "dropping-particle" : "", "family" : "Kroeker", "given" : "Karen I.", "non-dropping-particle" : "", "parse-names" : false, "suffix" : "" }, { "dropping-particle" : "", "family" : "Dieleman", "given" : "Levinus A.", "non-dropping-particle" : "", "parse-names" : false, "suffix" : "" }, { "dropping-particle" : "", "family" : "Halloran", "given" : "Brendan P.", "non-dropping-particle" : "", "parse-names" : false, "suffix" : "" }, { "dropping-particle" : "", "family" : "Fedorak", "given" : "Richard N.", "non-dropping-particle" : "", "parse-names" : false, "suffix" : "" } ], "container-title" : "Inflammatory Bowel Diseases", "id" : "ITEM-1", "issue" : "4", "issued" : { "date-parts" : [ [ "2016", "4" ] ] }, "page" : "870-879", "title" : "Anti-TNF Therapy Within 2 Years of Crohn\u02bcs Disease Diagnosis Improves Patient Outcomes", "type" : "article-journal", "volume" : "22" }, "uris" : [ "http://www.mendeley.com/documents/?uuid=451a5e53-a590-3d28-9193-e046a1354987", "http://www.mendeley.com/documents/?uuid=fbeea44e-7a56-41fe-aaf6-d9d151d2e76e" ] } ], "mendeley" : { "formattedCitation" : "[28]", "plainTextFormattedCitation" : "[28]", "previouslyFormattedCitation" : "[27]" }, "properties" : { "noteIndex" : 0 }, "schema" : "https://github.com/citation-style-language/schema/raw/master/csl-citation.json" }</w:instrText>
      </w:r>
      <w:r w:rsidR="00733F61">
        <w:fldChar w:fldCharType="separate"/>
      </w:r>
      <w:r w:rsidR="00E11DF8" w:rsidRPr="00E11DF8">
        <w:rPr>
          <w:noProof/>
        </w:rPr>
        <w:t>[28]</w:t>
      </w:r>
      <w:r w:rsidR="00733F61">
        <w:fldChar w:fldCharType="end"/>
      </w:r>
      <w:r w:rsidR="00FC02B5">
        <w:t xml:space="preserve">. </w:t>
      </w:r>
      <w:proofErr w:type="gramStart"/>
      <w:r w:rsidR="00DF2D1E">
        <w:t>However</w:t>
      </w:r>
      <w:proofErr w:type="gramEnd"/>
      <w:r w:rsidR="00DF2D1E">
        <w:t xml:space="preserve"> </w:t>
      </w:r>
      <w:r w:rsidR="00BD7D21">
        <w:t>multivariate</w:t>
      </w:r>
      <w:r w:rsidR="00DF2D1E">
        <w:t xml:space="preserve"> linear regression analysis did not result in the increase in time to surgical resection being a significant predictor of reduction in surgical resection rate during childhood. </w:t>
      </w:r>
      <w:r w:rsidR="00BD7D21">
        <w:t xml:space="preserve">Univariate analysis significantly associated the reduction in time to starting anti-TNF with surgical resection rate, but this did not survive multivariate analysis. This does potentially support starting anti-TNF earlier to reduce surgical resection rates. </w:t>
      </w:r>
    </w:p>
    <w:p w14:paraId="04DA8741" w14:textId="7DEBF6E5" w:rsidR="003824E1" w:rsidRDefault="00FC02B5" w:rsidP="006A0590">
      <w:pPr>
        <w:spacing w:line="480" w:lineRule="auto"/>
      </w:pPr>
      <w:r>
        <w:t xml:space="preserve">Whether the delay results in </w:t>
      </w:r>
      <w:r w:rsidR="004F4324">
        <w:t>reduced</w:t>
      </w:r>
      <w:r>
        <w:t xml:space="preserve"> surgery in the long term</w:t>
      </w:r>
      <w:r w:rsidR="004F4324">
        <w:t xml:space="preserve"> (beyond childhood)</w:t>
      </w:r>
      <w:r w:rsidR="006149DC">
        <w:t xml:space="preserve"> is uncertain</w:t>
      </w:r>
      <w:r w:rsidR="003824E1">
        <w:t>,</w:t>
      </w:r>
      <w:r w:rsidR="006149DC">
        <w:t xml:space="preserve"> however </w:t>
      </w:r>
      <w:r w:rsidR="003824E1">
        <w:t xml:space="preserve">the benefits of </w:t>
      </w:r>
      <w:r w:rsidR="006149DC">
        <w:t xml:space="preserve">remaining well throughout </w:t>
      </w:r>
      <w:r w:rsidR="00411AFB">
        <w:t xml:space="preserve">this growth and secondary </w:t>
      </w:r>
      <w:r w:rsidR="006149DC">
        <w:t>education</w:t>
      </w:r>
      <w:r w:rsidR="00411AFB">
        <w:t xml:space="preserve"> period</w:t>
      </w:r>
      <w:r w:rsidR="006149DC">
        <w:t xml:space="preserve"> is likely to have positive impacts </w:t>
      </w:r>
      <w:r w:rsidR="003824E1">
        <w:t>in</w:t>
      </w:r>
      <w:r w:rsidR="006149DC">
        <w:t xml:space="preserve"> later life</w:t>
      </w:r>
      <w:r w:rsidR="0006787C">
        <w:t xml:space="preserve"> even if surgery is still required</w:t>
      </w:r>
      <w:r w:rsidR="006149DC">
        <w:t>.</w:t>
      </w:r>
      <w:r w:rsidR="003824E1">
        <w:t xml:space="preserve"> </w:t>
      </w:r>
    </w:p>
    <w:p w14:paraId="606BAE1E" w14:textId="6CFD5819" w:rsidR="00173B4F" w:rsidRDefault="00173B4F" w:rsidP="006A0590">
      <w:pPr>
        <w:spacing w:line="480" w:lineRule="auto"/>
      </w:pPr>
      <w:r>
        <w:t>A potential confounding variable, accounting for an increase in time from diagnosis to surgery is improved</w:t>
      </w:r>
      <w:r w:rsidR="00F13B20">
        <w:t>, earlier diagnosis</w:t>
      </w:r>
      <w:r>
        <w:t xml:space="preserve">. </w:t>
      </w:r>
      <w:r w:rsidR="00F13B20">
        <w:t>However within</w:t>
      </w:r>
      <w:r>
        <w:t xml:space="preserve"> this cohort referral patterns to the Southampton paediatric IBD referral centre have not changed over the study period, routine use of faecal calprotectin </w:t>
      </w:r>
      <w:r w:rsidR="00F13B20">
        <w:t xml:space="preserve">in children was not introduced to the region until 2016-17 and we have not observed a reduction in the disease severity at diagnosis </w:t>
      </w:r>
      <w:r w:rsidR="00F13B20">
        <w:fldChar w:fldCharType="begin" w:fldLock="1"/>
      </w:r>
      <w:r w:rsidR="00E11DF8">
        <w:instrText>ADDIN CSL_CITATION { "citationItems" : [ { "id" : "ITEM-1", "itemData" : { "DOI" : "10.1111/apa.13017", "ISSN" : "1651-2227", "author" : [ { "dropping-particle" : "", "family" : "Ashton", "given" : "J J", "non-dropping-particle" : "", "parse-names" : false, "suffix" : "" }, { "dropping-particle" : "", "family" : "Coelho", "given" : "T",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"Acta Paediatr", "id" : "ITEM-1", "issued" : { "date-parts" : [ [ "2015" ] ] }, "title" : "Presenting Phenotype of Paediatric Inflammatory Bowel Disease (PIBD) in Wessex, Southern England 2010-13", "type" : "article-journal" }, "uris" : [ "http://www.mendeley.com/documents/?uuid=83170f9d-7732-47f9-baff-ef9cd2dbf273" ] } ], "mendeley" : { "formattedCitation" : "[31]", "plainTextFormattedCitation" : "[31]", "previouslyFormattedCitation" : "[30]" }, "properties" : { "noteIndex" : 0 }, "schema" : "https://github.com/citation-style-language/schema/raw/master/csl-citation.json" }</w:instrText>
      </w:r>
      <w:r w:rsidR="00F13B20">
        <w:fldChar w:fldCharType="separate"/>
      </w:r>
      <w:r w:rsidR="00E11DF8" w:rsidRPr="00E11DF8">
        <w:rPr>
          <w:noProof/>
        </w:rPr>
        <w:t>[31]</w:t>
      </w:r>
      <w:r w:rsidR="00F13B20">
        <w:fldChar w:fldCharType="end"/>
      </w:r>
      <w:r w:rsidR="00F13B20">
        <w:t xml:space="preserve">. Additionally, data recently published does not indicate </w:t>
      </w:r>
      <w:r w:rsidR="00FA1092">
        <w:t xml:space="preserve">a general shift to </w:t>
      </w:r>
      <w:r w:rsidR="00F13B20">
        <w:t xml:space="preserve">earlier diagnosis or improved diagnostics in children with IBD, with significant diagnostic delay remaining common in recent years </w:t>
      </w:r>
      <w:r w:rsidR="00F13B20">
        <w:fldChar w:fldCharType="begin" w:fldLock="1"/>
      </w:r>
      <w:r w:rsidR="00E11DF8">
        <w:instrText>ADDIN CSL_CITATION { "citationItems" : [ { "id" : "ITEM-1", "itemData" : { "DOI" : "10.1136/archdischild-2017-313060", "ISSN" : "0003-9888", "abstract" : "Objectives To determine time to diagnosis in a paediatric inflammatory bowel disease (IBD) cohort and the relative contribution of the component intervals, and to identify factors associated with diagnostic delay.\n\nDesign Prospective cohort study\n\nSetting Single-centre study including children with incident IBD at the Hospital for Sick Children diagnosed between December 2013 and December 2015.\n\nInterventions Time to diagnosis and its subintervals were determined and patient, disease and institutional factors were tested for associations.\n\nResults Among 111 children, the median overall time to diagnosis was 4.5 (IQR 2.1\u20138.8) months. Time to diagnosis was longer in Crohn\u2019s disease (CD) than ulcerative colitis (UC) (median 6.8 (IQR 2.9\u201312.5) vs 2.4 (IQR 1.3\u20135.3) months) and patients with isolated small bowel disease. Twenty per cent of patients were diagnosed\u22651 year after symptom onset (86% CD, 14% UC, p=0.003). Time from symptom onset to gastroenterology referral was the greatest contributor to overall time to diagnosis (median 2.9 (IQR 1.6\u20138.2) months). Height impairment was independently associated with diagnostic delay (OR 0.59, p=0.02, for height-for-age z-score (HAZ), signifying almost 70% increased odds of delay for every 1 SD decrease in HAZ). This height discrepancy persisted 1 year after diagnosis. Bloody diarrhoea was protective against delay (OR 0.28, p=0.02). The subinterval from referral to diagnosis was shorter in patients with laboratory abnormalities, particularly hypoalbuminaemia.\n\nConclusions Diagnostic delay was more common in CD and associated with height impairment that persisted 1 year after presentation. The greatest contributor to time to diagnosis was time from symptom onset to referral.", "author" : [ { "dropping-particle" : "", "family" : "Ricciuto", "given" : "Amanda", "non-dropping-particle" : "", "parse-names" : false, "suffix" : "" }, { "dropping-particle" : "", "family" : "Fish", "given" : "Jennifer R", "non-dropping-particle" : "", "parse-names" : false, "suffix" : "" }, { "dropping-particle" : "", "family" : "Tomalty", "given" : "Diane E", "non-dropping-particle" : "", "parse-names" : false, "suffix" : "" }, { "dropping-particle" : "", "family" : "Carman", "given" : "Nicholas", "non-dropping-particle" : "", "parse-names" : false, "suffix" : "" }, { "dropping-particle" : "", "family" : "Crowley", "given" : "Eileen", "non-dropping-particle" : "", "parse-names" : false, "suffix" : "" }, { "dropping-particle" : "", "family" : "Popalis", "given" : "Cynthia", "non-dropping-particle" : "", "parse-names" : false, "suffix" : "" }, { "dropping-particle" : "", "family" : "Muise", "given" : "Aleixo", "non-dropping-particle" : "", "parse-names" : false, "suffix" : "" }, { "dropping-particle" : "", "family" : "Walters", "given" : "Thomas D", "non-dropping-particle" : "", "parse-names" : false, "suffix" : "" }, { "dropping-particle" : "", "family" : "Griffiths", "given" : "Anne M", "non-dropping-particle" : "", "parse-names" : false, "suffix" : "" }, { "dropping-particle" : "", "family" : "Church", "given" : "Peter C", "non-dropping-particle" : "", "parse-names" : false, "suffix" : "" } ], "container-title" : "Archives of Disease in Childhood", "id" : "ITEM-1", "issued" : { "date-parts" : [ [ "2017", "8", "9" ] ] }, "page" : "archdischild-2017-313060", "publisher" : "BMJ Publishing Group Ltd", "title" : "Diagnostic delay in Canadian children with inflammatory bowel disease is more common in Crohn\u2019s disease and associated with decreased height", "type" : "article-journal" }, "uris" : [ "http://www.mendeley.com/documents/?uuid=d8e1e901-6ca9-3492-8b61-c860a2e396a9" ] }, { "id" : "ITEM-2", "itemData" : { "DOI" : "10.1136/archdischild-2017-313955", "ISSN" : "1468-2044", "PMID" : "29175974", "abstract" : "For many conditions, delayed diagnosis results in worse outcomes, increased mortality and amplified disease burden. In children, an emphasis on rapid, accurate diagnosis in leukaemia, lymphoma and solid tumours has been associated with an increasing survival rate and reduced morbidity over the last 25 years. The challenge is to extend early diagnosis to chronic conditions in children where early intervention will improve long-term outcomes. Similarly in adult patients, rapid access clinics for specific conditions are now routine, enabling quick referral to the specialist care service to make the precise diagnosis and start the correct treatment.\n\nIn their paper, Riccuito et al reported diagnostic delay and subsequent impact on outcome in Canadian children with inflammatory bowel disease (IBD).1\n\nIBD, consisting of Crohn\u2019s disease, ulcerative colitis and IBD unclassified, is a chronic, heterogeneous, relapsing and remitting condition primarily as a consequence of inflammation within the bowel lumen. Early and effective treatment is crucial to control symptoms, minimise impact on nutrition and growth and enable the child to function well (eg, attend school). Over the last 20 years, there has been a steady increase in the incidence of paedaitric inflammatory bowel disease (PIBD), with a consequent increase in children presenting to primary, secondary and tertiary care.2 Paediatric gastroenterologists have been concerned for over 25 years that diagnostic delay is common. This delay is clearly multifactorial, and to determine how best to effect change would require an analysis of all aspects of the patient pathway.\n\nRiccuito \u2026", "author" : [ { "dropping-particle" : "", "family" : "Ashton", "given" : "James John", "non-dropping-particle" : "", "parse-names" : false, "suffix" : "" }, { "dropping-particle" : "", "family" : "Harden", "given" : "Anthony", "non-dropping-particle" : "", "parse-names" : false, "suffix" : "" }, { "dropping-particle" : "", "family" : "Beattie", "given" : "R Mark", "non-dropping-particle" : "", "parse-names" : false, "suffix" : "" } ], "container-title" : "Archives of disease in childhood", "id" : "ITEM-2", "issued" : { "date-parts" : [ [ "2017", "11", "24" ] ] }, "page" : "archdischild-2017-313955", "publisher" : "BMJ Publishing Group Ltd", "title" : "Paediatric inflammatory bowel disease: improving early diagnosis.", "type" : "article-journal" }, "uris" : [ "http://www.mendeley.com/documents/?uuid=8eaf3666-af96-34c8-a9c9-f3054c6dd9ea" ] } ], "mendeley" : { "formattedCitation" : "[32,33]", "plainTextFormattedCitation" : "[32,33]", "previouslyFormattedCitation" : "[31,32]" }, "properties" : { "noteIndex" : 0 }, "schema" : "https://github.com/citation-style-language/schema/raw/master/csl-citation.json" }</w:instrText>
      </w:r>
      <w:r w:rsidR="00F13B20">
        <w:fldChar w:fldCharType="separate"/>
      </w:r>
      <w:r w:rsidR="00E11DF8" w:rsidRPr="00E11DF8">
        <w:rPr>
          <w:noProof/>
        </w:rPr>
        <w:t>[32,33]</w:t>
      </w:r>
      <w:r w:rsidR="00F13B20">
        <w:fldChar w:fldCharType="end"/>
      </w:r>
      <w:r w:rsidR="00F13B20">
        <w:t>.</w:t>
      </w:r>
      <w:r w:rsidR="00F13B20" w:rsidRPr="00F13B20">
        <w:t xml:space="preserve"> </w:t>
      </w:r>
      <w:r w:rsidR="00F13B20">
        <w:t>These data suggest</w:t>
      </w:r>
      <w:r w:rsidR="00F13B20" w:rsidRPr="00F13B20">
        <w:t xml:space="preserve"> that the increased time from diagnosis to surgery </w:t>
      </w:r>
      <w:proofErr w:type="gramStart"/>
      <w:r w:rsidR="00F13B20" w:rsidRPr="00F13B20">
        <w:t>is not accounted for</w:t>
      </w:r>
      <w:proofErr w:type="gramEnd"/>
      <w:r w:rsidR="00F13B20" w:rsidRPr="00F13B20">
        <w:t xml:space="preserve"> by improved diagnosis</w:t>
      </w:r>
      <w:r w:rsidR="00F13B20">
        <w:t xml:space="preserve">. </w:t>
      </w:r>
      <w:r w:rsidR="00E96EE3">
        <w:t xml:space="preserve">Moreover data from Coughlan </w:t>
      </w:r>
      <w:r w:rsidR="00E96EE3" w:rsidRPr="008B0AFF">
        <w:rPr>
          <w:i/>
        </w:rPr>
        <w:t xml:space="preserve">et al </w:t>
      </w:r>
      <w:r w:rsidR="00E96EE3">
        <w:t xml:space="preserve">described patients diagnosed at an earlier age to have higher relapse rates than older patients, suggesting a more severe phenotype </w:t>
      </w:r>
      <w:r w:rsidR="00E96EE3">
        <w:fldChar w:fldCharType="begin" w:fldLock="1"/>
      </w:r>
      <w:r w:rsidR="00E11DF8">
        <w:instrText>ADDIN CSL_CITATION { "citationItems" : [ { "id" : "ITEM-1", "itemData" : { "DOI" : "10.1111/apt.14070", "ISSN" : "02692813", "PMID" : "28449214", "abstract" : "BACKGROUND The incidence of paediatric inflammatory bowel disease diagnosed before age 10\u00a0years is reportedly increasing, but national data are limited. AIM To characterise the epidemiology, phenotype and clinical outcomes of children diagnosed with inflammatory bowel disease before age 10\u00a0years, and compare with data from children diagnosed aged 10-16\u00a0years. METHODS A review of all Irish cases of early onset inflammatory bowel disease (diagnosis &lt;10\u00a0years, EO-IBD) presenting between January 2000 and December 2014 was undertaken and compared to a cohort of later onset paediatric inflammatory bowel disease patients (diagnosis between 10 and 16\u00a0years, LO-IBD). Diagnostic investigations, phenotype, treatments, and long-term clinical and surgical outcomes were analysed. RESULTS One hundred and ninety children (99 male) with EO-IBD were identified; 92 (48%) CD, 77 (41%) UC and 21 (11%) IBDU. The incidence of EO-IBD increased by 0.6 per 100\u00a0000 per year (0.8-3.2 per 100\u00a0000 per year), with a significant increase in UC by 0.06 per 100\u00a0000 per year (P=.02). Males with CD had more upper GI disease (L4a; 48% vs 21%; P=.007), more extensive disease distribution (L3\u00b1L4; 31% vs 11%; P=.05) and more severe disease activity at presentation (52% vs 31%; P=.05) than females. Fewer patients with early onset than later onset Crohn's disease had ileocolonic disease (L3; 10% vs 20%; P&lt;.001). More relapses were observed in the first year post-diagnosis in early onset than later onset IBD (1.02 vs 0.5 mean relapses; P&lt;.001). CONCLUSIONS EO-IBD is increasing in incidence. Males have more extensive and severe disease phenotypes, and younger patients have higher relapse rates than older children. Further research to explain these findings is warranted.", "author" : [ { "dropping-particle" : "", "family" : "Coughlan", "given" : "A.", "non-dropping-particle" : "", "parse-names" : false, "suffix" : "" }, { "dropping-particle" : "", "family" : "Wylde", "given" : "R.", "non-dropping-particle" : "", "parse-names" : false, "suffix" : "" }, { "dropping-particle" : "", "family" : "Lafferty", "given" : "L.", "non-dropping-particle" : "", "parse-names" : false, "suffix" : "" }, { "dropping-particle" : "", "family" : "Quinn", "given" : "S.", "non-dropping-particle" : "", "parse-names" : false, "suffix" : "" }, { "dropping-particle" : "", "family" : "Broderick", "given" : "A.", "non-dropping-particle" : "", "parse-names" : false, "suffix" : "" }, { "dropping-particle" : "", "family" : "Bourke", "given" : "B.", "non-dropping-particle" : "", "parse-names" : false, "suffix" : "" }, { "dropping-particle" : "", "family" : "Hussey", "given" : "S.", "non-dropping-particle" : "", "parse-names" : false, "suffix" : "" }, { "dropping-particle" : "", "family" : "DOCHAS Study", "given" : "", "non-dropping-particle" : "", "parse-names" : false, "suffix" : "" } ], "container-title" : "Alimentary Pharmacology &amp; Therapeutics", "id" : "ITEM-1", "issue" : "12", "issued" : { "date-parts" : [ [ "2017", "6" ] ] }, "page" : "1534-1541", "title" : "A rising incidence and poorer male outcomes characterise early onset paediatric inflammatory bowel disease", "type" : "article-journal", "volume" : "45" }, "uris" : [ "http://www.mendeley.com/documents/?uuid=90fa697d-1a8a-3650-b593-1a0339ba6a93" ] } ], "mendeley" : { "formattedCitation" : "[34]", "plainTextFormattedCitation" : "[34]", "previouslyFormattedCitation" : "[33]" }, "properties" : { "noteIndex" : 0 }, "schema" : "https://github.com/citation-style-language/schema/raw/master/csl-citation.json" }</w:instrText>
      </w:r>
      <w:r w:rsidR="00E96EE3">
        <w:fldChar w:fldCharType="separate"/>
      </w:r>
      <w:r w:rsidR="00E11DF8" w:rsidRPr="00E11DF8">
        <w:rPr>
          <w:noProof/>
        </w:rPr>
        <w:t>[34]</w:t>
      </w:r>
      <w:r w:rsidR="00E96EE3">
        <w:fldChar w:fldCharType="end"/>
      </w:r>
      <w:r w:rsidR="00E96EE3">
        <w:t xml:space="preserve">. This high relapse rate was unchanged from 2000-2014. </w:t>
      </w:r>
    </w:p>
    <w:p w14:paraId="1923E7E2" w14:textId="0A0A9C21" w:rsidR="00FA1092" w:rsidRDefault="00FA1092" w:rsidP="006A0590">
      <w:pPr>
        <w:spacing w:line="480" w:lineRule="auto"/>
      </w:pPr>
      <w:r>
        <w:rPr>
          <w:rFonts w:cstheme="minorHAnsi"/>
        </w:rPr>
        <w:lastRenderedPageBreak/>
        <w:t xml:space="preserve">A recent study from </w:t>
      </w:r>
      <w:proofErr w:type="spellStart"/>
      <w:r>
        <w:rPr>
          <w:rFonts w:cstheme="minorHAnsi"/>
        </w:rPr>
        <w:t>Nordenvall</w:t>
      </w:r>
      <w:proofErr w:type="spellEnd"/>
      <w:r>
        <w:rPr>
          <w:rFonts w:cstheme="minorHAnsi"/>
        </w:rPr>
        <w:t xml:space="preserve"> </w:t>
      </w:r>
      <w:r w:rsidRPr="00D53947">
        <w:rPr>
          <w:rFonts w:cstheme="minorHAnsi"/>
          <w:i/>
        </w:rPr>
        <w:t>et al</w:t>
      </w:r>
      <w:r>
        <w:rPr>
          <w:rFonts w:cstheme="minorHAnsi"/>
        </w:rPr>
        <w:t xml:space="preserve"> did not show an overall decrease in abdominal surgery in children with IBD over a 13 year period (2002-2014), although these did show a significant difference </w:t>
      </w:r>
      <w:r w:rsidR="009E4659">
        <w:rPr>
          <w:rFonts w:cstheme="minorHAnsi"/>
        </w:rPr>
        <w:t>between</w:t>
      </w:r>
      <w:r>
        <w:rPr>
          <w:rFonts w:cstheme="minorHAnsi"/>
        </w:rPr>
        <w:t xml:space="preserve"> patients diagnosed 2002-04 and 201</w:t>
      </w:r>
      <w:r w:rsidR="009E4659">
        <w:rPr>
          <w:rFonts w:cstheme="minorHAnsi"/>
        </w:rPr>
        <w:t>0</w:t>
      </w:r>
      <w:r>
        <w:rPr>
          <w:rFonts w:cstheme="minorHAnsi"/>
        </w:rPr>
        <w:t>-14</w:t>
      </w:r>
      <w:r w:rsidR="00C16726">
        <w:rPr>
          <w:rFonts w:cstheme="minorHAnsi"/>
        </w:rPr>
        <w:t xml:space="preserve"> </w:t>
      </w:r>
      <w:r w:rsidR="00C16726">
        <w:rPr>
          <w:rFonts w:cstheme="minorHAnsi"/>
        </w:rPr>
        <w:fldChar w:fldCharType="begin" w:fldLock="1"/>
      </w:r>
      <w:r w:rsidR="00E11DF8">
        <w:rPr>
          <w:rFonts w:cstheme="minorHAnsi"/>
        </w:rPr>
        <w:instrText>ADDIN CSL_CITATION { "citationItems" : [ { "id" : "ITEM-1", "itemData" : { "DOI" : "10.1093/ecco-jcc/jjx132", "ISSN" : "1873-9946", "PMID" : "29029152", "abstract" : "Background and Aims The incidence of childhood-onset [&lt; 18 years] inflammatory bowel disease [IBD] is increasing worldwide, and some studies suggest that it represents a more severe disease phenotype. Few nationwide, population-based studies have evaluated the surgical burden in patients with childhood-onset IBD, and whether the improved medical treatment has influenced the need for gastrointestinal surgery. The aim was to examine whether the surgical treatment at any age of patients with childhood-onset IBD has changed over time. Methods In a nationwide cohort study we identified 4695 children [&lt; 18 years] diagnosed with incident IBD in 2002-2014 through the Swedish Patient Register [ulcerative colitis: n = 2295; Crohn's disease: n = 2174; inflammatory bowel disease-unclassified: n = 226]. Abdominal [intestinal resections and colectomies] and perianal surgeries were identified through the Swedish Patient Register. The cumulative incidences of surgeries were calculated using the Kaplan-Meier method. Results In the cohort, 44% were females and 56% males. The median age at inflammatory bowel disease diagnosis was 15 years and the maximum age at end of follow-up was 31 years. The 3-year cumulative incidence of intestinal surgery was 5% in patients with ulcerative colitis and 7% in patients with Crohn's disease, and lower in children aged &lt; 6 years at inflammatory bowel disease diagnosis [3%] than in those aged 15-17 years at diagnosis [7%]. Calendar period of inflammatory bowel disease diagnosis was not associated with risk of surgery. Conclusion Over the past 13 years, the risk of surgery in childhood-onset inflammatory bowel disease has remained unchanged.", "author" : [ { "dropping-particle" : "", "family" : "Nordenvall", "given" : "Caroline", "non-dropping-particle" : "", "parse-names" : false, "suffix" : "" }, { "dropping-particle" : "", "family" : "Rosvall", "given" : "Oda", "non-dropping-particle" : "", "parse-names" : false, "suffix" : "" }, { "dropping-particle" : "", "family" : "Bottai", "given" : "Matteo", "non-dropping-particle" : "", "parse-names" : false, "suffix" : "" }, { "dropping-particle" : "", "family" : "Everhov", "given" : "\u00c5sa H", "non-dropping-particle" : "", "parse-names" : false, "suffix" : "" }, { "dropping-particle" : "", "family" : "Malmborg", "given" : "Petter", "non-dropping-particle" : "", "parse-names" : false, "suffix" : "" }, { "dropping-particle" : "", "family" : "Smedby", "given" : "Karin E", "non-dropping-particle" : "", "parse-names" : false, "suffix" : "" }, { "dropping-particle" : "", "family" : "Ekbom", "given" : "Anders", "non-dropping-particle" : "", "parse-names" : false, "suffix" : "" }, { "dropping-particle" : "", "family" : "Askling", "given" : "Johan", "non-dropping-particle" : "", "parse-names" : false, "suffix" : "" }, { "dropping-particle" : "", "family" : "Ludvigsson", "given" : "Jonas F", "non-dropping-particle" : "", "parse-names" : false, "suffix" : "" }, { "dropping-particle" : "", "family" : "Myrelid", "given" : "P\u00e4r", "non-dropping-particle" : "", "parse-names" : false, "suffix" : "" }, { "dropping-particle" : "", "family" : "Ol\u00e9n", "given" : "Ola", "non-dropping-particle" : "", "parse-names" : false, "suffix" : "" } ], "container-title" : "Journal of Crohn's and Colitis", "id" : "ITEM-1", "issue" : "2", "issued" : { "date-parts" : [ [ "2018", "1", "24" ] ] }, "page" : "157-166", "title" : "Surgical Treatment in Childhood-onset Inflammatory Bowel Disease\u2013A Nationwide Register-based Study of 4695 Incident Patients in Sweden 2002-2014", "type" : "article-journal", "volume" : "12" }, "uris" : [ "http://www.mendeley.com/documents/?uuid=064adc2b-7caa-3f4b-9a39-0b9005a0fa18" ] } ], "mendeley" : { "formattedCitation" : "[35]", "plainTextFormattedCitation" : "[35]", "previouslyFormattedCitation" : "[34]" }, "properties" : { "noteIndex" : 0 }, "schema" : "https://github.com/citation-style-language/schema/raw/master/csl-citation.json" }</w:instrText>
      </w:r>
      <w:r w:rsidR="00C16726">
        <w:rPr>
          <w:rFonts w:cstheme="minorHAnsi"/>
        </w:rPr>
        <w:fldChar w:fldCharType="separate"/>
      </w:r>
      <w:r w:rsidR="00E11DF8" w:rsidRPr="00E11DF8">
        <w:rPr>
          <w:rFonts w:cstheme="minorHAnsi"/>
          <w:noProof/>
        </w:rPr>
        <w:t>[35]</w:t>
      </w:r>
      <w:r w:rsidR="00C16726">
        <w:rPr>
          <w:rFonts w:cstheme="minorHAnsi"/>
        </w:rPr>
        <w:fldChar w:fldCharType="end"/>
      </w:r>
      <w:r>
        <w:rPr>
          <w:rFonts w:cstheme="minorHAnsi"/>
        </w:rPr>
        <w:t>. This study was unable to comment on the prevalence of anti-TNF medication</w:t>
      </w:r>
      <w:r w:rsidR="009E4659">
        <w:rPr>
          <w:rFonts w:cstheme="minorHAnsi"/>
        </w:rPr>
        <w:t xml:space="preserve"> over time due to incomplete data. Data from 1998-2013 from Larsen </w:t>
      </w:r>
      <w:r w:rsidR="009E4659" w:rsidRPr="008B0AFF">
        <w:rPr>
          <w:rFonts w:cstheme="minorHAnsi"/>
          <w:i/>
        </w:rPr>
        <w:t>et al</w:t>
      </w:r>
      <w:r>
        <w:rPr>
          <w:rFonts w:cstheme="minorHAnsi"/>
        </w:rPr>
        <w:t xml:space="preserve">  </w:t>
      </w:r>
      <w:r w:rsidR="009E4659">
        <w:rPr>
          <w:rFonts w:cstheme="minorHAnsi"/>
        </w:rPr>
        <w:t xml:space="preserve">concluded that there was decreased surgery in children with UC and a trend towards decreased surgery in CD patients over time, with a parallel increase in anti-TNF use in both groups </w:t>
      </w:r>
      <w:r w:rsidR="009E4659">
        <w:rPr>
          <w:rFonts w:cstheme="minorHAnsi"/>
        </w:rPr>
        <w:fldChar w:fldCharType="begin" w:fldLock="1"/>
      </w:r>
      <w:r w:rsidR="00E11DF8">
        <w:rPr>
          <w:rFonts w:cstheme="minorHAnsi"/>
        </w:rPr>
        <w:instrText>ADDIN CSL_CITATION { "citationItems" : [ { "id" : "ITEM-1", "itemData" : { "DOI" : "10.1093/ecco-jcc/jjw017", "abstract" : "Background and Aims: It is debated whether the need for surgery has changed following introduction of anti-TNF\u03b1 agents in the treatment of paediatric ulcerative colitis [UC] and Crohn's disease [CD]. We aimed to describe the implementation of anti-TNF\u03b1 agents in paediatric patients, and the need of first-time surgery before and after introduction of anti-TNF\u03b1 agents. Methods: In the Danish National Patient Registry, we identified incident paediatric patients diagnosed from 1998. We calculated the proportion of patients receiving anti-TNF\u03b1 agents within 5 years from diagnosis, and the cumulative 5 year proportion of surgery, according to calendar periods of diagnosis. Results: At the end of our study period [2007 and 2008], 29-41% of CD children were treated with anti-TNF\u03b1 agents within 5 years, and for UC children 17-19%. In 1278 CD patients, the 5 year cumulative proportions of surgery were 14.6-15.6% for children diagnosed in 1998-2008 and 9.7% (95% confidence interval [CI]: 6.7-13.7) for those diagnosed in 2009-2013. In 1468 UC patients, the cumulative proportion of surgery suggested a decline in patients diagnosed after mid 2005, and the hazard ratio of surgery was 0.64 [95% CI: 0.47-0.86] after the introduction of anti-TNF\u03b1 agents compared with before. For UC patients diagnosed in 2009-2013, the 5 year cumulative proportion of surgery was 7.6% [95% CI: 5.2-11.2]. Conclusions: This nationwide study showed an extensive use of anti-TNF\u03b1 agents at the end of our study period. For UC children, our data suggest a decline in the proportion of surgery in the period of increasing use of anti-TNF\u03b1 agents.", "author" : [ { "dropping-particle" : "", "family" : "Larsen", "given" : "Michael Due", "non-dropping-particle" : "", "parse-names" : false, "suffix" : "" }, { "dropping-particle" : "", "family" : "Qvist", "given" : "Niels", "non-dropping-particle" : "", "parse-names" : false, "suffix" : "" }, { "dropping-particle" : "", "family" : "Nielsen", "given" : "Jan", "non-dropping-particle" : "", "parse-names" : false, "suffix" : "" }, { "dropping-particle" : "", "family" : "Kjeldsen", "given" : "Jens", "non-dropping-particle" : "", "parse-names" : false, "suffix" : "" }, { "dropping-particle" : "", "family" : "Rasmus", "given" : "C", "non-dropping-particle" : "", "parse-names" : false, "suffix" : "" }, { "dropping-particle" : "", "family" : "Nielsen", "given" : "Gaardskaer", "non-dropping-particle" : "", "parse-names" : false, "suffix" : "" }, { "dropping-particle" : "", "family" : "Mertz N\u00f8rg\u00e5rd", "given" : "Bente", "non-dropping-particle" : "", "parse-names" : false, "suffix" : "" }, { "dropping-particle" : "", "family" : "Andersen", "given" : "Hans Christian", "non-dropping-particle" : "", "parse-names" : false, "suffix" : "" } ], "id" : "ITEM-1", "issued" : { "date-parts" : [ [ "2016" ] ] }, "title" : "Use of Anti-TNF\u03b1 Agents and Time to First-time Surgery in Paediatric Patients with Ulcerative Colitis and Crohn's Disease Anti-TNF \u03b1 Agents and Surgery in Paediatric IBD Patients", "type" : "article-journal" }, "uris" : [ "http://www.mendeley.com/documents/?uuid=ca23999c-5ad7-359e-942f-b443e9470850" ] } ], "mendeley" : { "formattedCitation" : "[36]", "plainTextFormattedCitation" : "[36]", "previouslyFormattedCitation" : "[35]" }, "properties" : { "noteIndex" : 0 }, "schema" : "https://github.com/citation-style-language/schema/raw/master/csl-citation.json" }</w:instrText>
      </w:r>
      <w:r w:rsidR="009E4659">
        <w:rPr>
          <w:rFonts w:cstheme="minorHAnsi"/>
        </w:rPr>
        <w:fldChar w:fldCharType="separate"/>
      </w:r>
      <w:r w:rsidR="00E11DF8" w:rsidRPr="00E11DF8">
        <w:rPr>
          <w:rFonts w:cstheme="minorHAnsi"/>
          <w:noProof/>
        </w:rPr>
        <w:t>[36]</w:t>
      </w:r>
      <w:r w:rsidR="009E4659">
        <w:rPr>
          <w:rFonts w:cstheme="minorHAnsi"/>
        </w:rPr>
        <w:fldChar w:fldCharType="end"/>
      </w:r>
      <w:r w:rsidR="009E4659">
        <w:rPr>
          <w:rFonts w:cstheme="minorHAnsi"/>
        </w:rPr>
        <w:t xml:space="preserve">. Both studies </w:t>
      </w:r>
      <w:r w:rsidR="00C16726">
        <w:rPr>
          <w:rFonts w:cstheme="minorHAnsi"/>
        </w:rPr>
        <w:t>include data predating</w:t>
      </w:r>
      <w:r w:rsidR="009E4659">
        <w:rPr>
          <w:rFonts w:cstheme="minorHAnsi"/>
        </w:rPr>
        <w:t xml:space="preserve"> routine use of early anti-TNF therapy, and the authors conclude that analysis of more recent data may reveal a true decrease/delay in surgery </w:t>
      </w:r>
      <w:r w:rsidR="00C16726">
        <w:rPr>
          <w:rFonts w:cstheme="minorHAnsi"/>
        </w:rPr>
        <w:t xml:space="preserve">during childhood </w:t>
      </w:r>
      <w:r w:rsidR="009E4659">
        <w:rPr>
          <w:rFonts w:cstheme="minorHAnsi"/>
        </w:rPr>
        <w:t xml:space="preserve">alongside </w:t>
      </w:r>
      <w:r w:rsidR="00C16726">
        <w:rPr>
          <w:rFonts w:cstheme="minorHAnsi"/>
        </w:rPr>
        <w:t>an increase in early anti-TNF use, as seen in our work.</w:t>
      </w:r>
    </w:p>
    <w:p w14:paraId="4E83726C" w14:textId="1F171251" w:rsidR="00DD5559" w:rsidRPr="00402884" w:rsidRDefault="00DD5559" w:rsidP="00DD5559">
      <w:pPr>
        <w:spacing w:line="480" w:lineRule="auto"/>
      </w:pPr>
      <w:r>
        <w:t xml:space="preserve">Assessment of growth outcomes in Crohn’s disease </w:t>
      </w:r>
      <w:proofErr w:type="gramStart"/>
      <w:r w:rsidR="002C231C">
        <w:t>can be used</w:t>
      </w:r>
      <w:proofErr w:type="gramEnd"/>
      <w:r>
        <w:t xml:space="preserve"> </w:t>
      </w:r>
      <w:r w:rsidR="004F4324">
        <w:t xml:space="preserve">as a proxy measure of </w:t>
      </w:r>
      <w:r w:rsidR="00DD16C2">
        <w:t>effective</w:t>
      </w:r>
      <w:r w:rsidR="004F4324">
        <w:t xml:space="preserve"> treatment, with improved growth reflecting adequately treated patients</w:t>
      </w:r>
      <w:r>
        <w:t xml:space="preserve">. </w:t>
      </w:r>
      <w:r w:rsidR="00642934">
        <w:t xml:space="preserve">Previously published 3 year outcome data from 2013-16 </w:t>
      </w:r>
      <w:r w:rsidR="00FB2A17">
        <w:t>were</w:t>
      </w:r>
      <w:r w:rsidR="00642934">
        <w:t xml:space="preserve"> available for this cohort</w:t>
      </w:r>
      <w:r w:rsidR="004F4324">
        <w:t>, including patients undergoing surgery, and reported a</w:t>
      </w:r>
      <w:r w:rsidR="00642934">
        <w:t xml:space="preserve"> height standard deviation score (SDS) for this group as -0.25 </w:t>
      </w:r>
      <w:r w:rsidR="00642934">
        <w:fldChar w:fldCharType="begin" w:fldLock="1"/>
      </w:r>
      <w:r w:rsidR="00E11DF8">
        <w:instrText>ADDIN CSL_CITATION { "citationItems" : [ { "id" : "ITEM-1", "itemData" : { "DOI" : "10.1097/MPG.0000000000001729", "ISSN" : "15364801", "abstract" : "\u00a9 Copyright 2017 by European Society for Pediatric Gastroenterology, Hepatology, and Nutrition and North American Society for Pediatric Gastroenterology, Hepatology, and Nutrition. Objectives: Discrepancies between inflammatory bowel disease (IBD) endoscopic/histological extent are documented at diagnosis. It is unclear whether these differences persist through disease course, with potential impact on categorization and management. We aimed to analyze the progression of disease over a 3-year period. Methods: Patients younger than 17 years, diagnosed between 2010 and 2013 at Southampton Children's Hospital and followed-up for 3 years were eligible. Primary outcome was disease extent at diagnosis and follow-up. Data are presented as percentage of patients undergoing endoscopy. Paris classification (PC) and PC using histological, rather than endoscopic disease, were determined. Results: One hundred and twenty-five patients were included, 66 boys; Crohn's disease (CD) 74, ulcerative colitis (UC) 40, IBD unclassified (IBDU) 11. All had endoscopy at diagnosis. One hundred and two patients underwent \u22651 repeat endoscopies. Disease extent reduced from diagnosis to first follow-up endoscopy for both endoscopic and histological disease extent (CD/UC/IBDU, all P  &lt;  0.00006). Histological extent remained greater than endoscopic in CD with significant differences in stomach, ileum, and large bowel at all follow-up points (P =  &lt;  0.045). Endoscopic matched histological extent in UC/IBDU. Applying a modified PC resulted in significant changes for CD (L3 27.4%-53.2%, P = 0.006, L3 + L4A 21%-50%, P = 0.001, and upper gastrointestinal disease 50%-80.6%, P = 0.0006) but not UC. CD height (-0.37 to -0.25) and weight (-1.09 to -0.19) standard deviation scores increased from diagnosis to follow-up. Conclusions: Histological disease is greater than endoscopic extent at diagnosis and during follow-up in CD, although not in UC/IBDU. Classification of disease extent in CD should be based on both endoscopic and histological criteria.", "author" : [ { "dropping-particle" : "", "family" : "Ashton", "given" : "J.J.", "non-dropping-particle" : "", "parse-names" : false, "suffix" : "" }, { "dropping-particle" : "", "family" : "Bonduelle", "given" : "Q.", "non-dropping-particle" : "", "parse-names" : false, "suffix" : "" }, { "dropping-particle" : "", "family" : "Mossotto", "given" : "E.", "non-dropping-particle" : "", "parse-names" : false, "suffix" : "" }, { "dropping-particle" : "", "family" : "Coelho", "given" : "T.", "non-dropping-particle" : "", "parse-names" : false, "suffix" : "" }, { "dropping-particle" : "", "family" : "Batra", "given" : "A.", "non-dropping-particle" : "", "parse-names" : false, "suffix" : "" }, { "dropping-particle" : "", "family" : "Afzal", "given" : "N.A.", "non-dropping-particle" : "", "parse-names" : false, "suffix" : "" }, { "dropping-particle" : "", "family" : "Vadgama", "given" : "B.", "non-dropping-particle" : "", "parse-names" : false, "suffix" : "" }, { "dropping-particle" : "", "family" : "Ennis", "given" : "S.", "non-dropping-particle" : "", "parse-names" : false, "suffix" : "" }, { "dropping-particle" : "", "family" : "Beattie", "given" : "R.M.", "non-dropping-particle" : "", "parse-names" : false, "suffix" : "" } ], "container-title" : "Journal of Pediatric Gastroenterology and Nutrition", "id" : "ITEM-1", "issue" : "3", "issued" : { "date-parts" : [ [ "2018" ] ] }, "title" : "Endoscopic and Histological Assessment of Paediatric Inflammatory Bowel Disease over a 3-Year Follow-up Period", "type" : "article-journal", "volume" : "66" }, "uris" : [ "http://www.mendeley.com/documents/?uuid=72ac5053-f8ba-3dab-8dcc-0c723e707438" ] } ], "mendeley" : { "formattedCitation" : "[37]", "plainTextFormattedCitation" : "[37]", "previouslyFormattedCitation" : "[36]" }, "properties" : { "noteIndex" : 0 }, "schema" : "https://github.com/citation-style-language/schema/raw/master/csl-citation.json" }</w:instrText>
      </w:r>
      <w:r w:rsidR="00642934">
        <w:fldChar w:fldCharType="separate"/>
      </w:r>
      <w:r w:rsidR="00E11DF8" w:rsidRPr="00E11DF8">
        <w:rPr>
          <w:noProof/>
        </w:rPr>
        <w:t>[37]</w:t>
      </w:r>
      <w:r w:rsidR="00642934">
        <w:fldChar w:fldCharType="end"/>
      </w:r>
      <w:r w:rsidR="00642934">
        <w:t xml:space="preserve">. Patients undergoing surgery from 2002-12 had a height SDS at 1.8 years of -0.4 </w:t>
      </w:r>
      <w:r w:rsidR="00642934">
        <w:fldChar w:fldCharType="begin" w:fldLock="1"/>
      </w:r>
      <w:r w:rsidR="00E11DF8">
        <w:instrText>ADDIN CSL_CITATION { "citationItems" : [ { "id" : "ITEM-1", "itemData" : { "DOI" : "10.1136/archdischild-2013-305214", "ISSN" : "1468-2044", "author" : [ { "dropping-particle" : "", "family" : "Blackburn", "given" : "S C", "non-dropping-particle" : "", "parse-names" : false, "suffix" : "" }, { "dropping-particle" : "", "family" : "Wiskin", "given" : "A E", "non-dropping-particle" : "", "parse-names" : false, "suffix" : "" }, { "dropping-particle" : "", "family" : "Barnes", "given" : "C", "non-dropping-particle" : "", "parse-names" : false, "suffix" : "" }, { "dropping-particle" : "", "family" : "Dick", "given" : "K", "non-dropping-particle" : "", "parse-names" : false, "suffix" : "" }, { "dropping-particle" : "", "family" : "Afzal", "given" : "N A", "non-dropping-particle" : "", "parse-names" : false, "suffix" : "" }, { "dropping-particle" : "", "family" : "Griffiths", "given" : "D M", "non-dropping-particle" : "", "parse-names" : false, "suffix" : "" }, { "dropping-particle" : "", "family" : "Beattie", "given" : "R M", "non-dropping-particle" : "", "parse-names" : false, "suffix" : "" }, { "dropping-particle" : "", "family" : "Stanton", "given" : "M P", "non-dropping-particle" : "", "parse-names" : false, "suffix" : "" } ], "container-title" : "Arch Dis Child", "id" : "ITEM-1", "issue" : "5", "issued" : { "date-parts" : [ [ "2014" ] ] }, "page" : "420-426", "title" : "Surgery for children with Crohn's disease: indications, complications and outcome", "type" : "article-journal", "volume" : "99" }, "uris" : [ "http://www.mendeley.com/documents/?uuid=b85420f2-6187-4911-a4c1-86398fbe85ca" ] } ], "mendeley" : { "formattedCitation" : "[12]", "plainTextFormattedCitation" : "[12]", "previouslyFormattedCitation" : "[12]" }, "properties" : { "noteIndex" : 0 }, "schema" : "https://github.com/citation-style-language/schema/raw/master/csl-citation.json" }</w:instrText>
      </w:r>
      <w:r w:rsidR="00642934">
        <w:fldChar w:fldCharType="separate"/>
      </w:r>
      <w:r w:rsidR="00E96EE3" w:rsidRPr="00E96EE3">
        <w:rPr>
          <w:noProof/>
        </w:rPr>
        <w:t>[12]</w:t>
      </w:r>
      <w:r w:rsidR="00642934">
        <w:fldChar w:fldCharType="end"/>
      </w:r>
      <w:r w:rsidR="00642934">
        <w:t xml:space="preserve">. These data </w:t>
      </w:r>
      <w:r w:rsidR="00FB2A17">
        <w:t>suggest</w:t>
      </w:r>
      <w:r>
        <w:t xml:space="preserve"> comparable </w:t>
      </w:r>
      <w:r w:rsidR="00642934">
        <w:t xml:space="preserve">growth </w:t>
      </w:r>
      <w:r>
        <w:t xml:space="preserve">outcome over the study period, with no worsening of growth despite decreased use of surgery </w:t>
      </w:r>
      <w:r>
        <w:fldChar w:fldCharType="begin" w:fldLock="1"/>
      </w:r>
      <w:r w:rsidR="00E11DF8">
        <w:instrText>ADDIN CSL_CITATION { "citationItems" : [ { "id" : "ITEM-1", "itemData" : { "DOI" : "10.1097/MPG.0000000000001729", "ISSN" : "15364801", "abstract" : "\u00a9 Copyright 2017 by European Society for Pediatric Gastroenterology, Hepatology, and Nutrition and North American Society for Pediatric Gastroenterology, Hepatology, and Nutrition. Objectives: Discrepancies between inflammatory bowel disease (IBD) endoscopic/histological extent are documented at diagnosis. It is unclear whether these differences persist through disease course, with potential impact on categorization and management. We aimed to analyze the progression of disease over a 3-year period. Methods: Patients younger than 17 years, diagnosed between 2010 and 2013 at Southampton Children's Hospital and followed-up for 3 years were eligible. Primary outcome was disease extent at diagnosis and follow-up. Data are presented as percentage of patients undergoing endoscopy. Paris classification (PC) and PC using histological, rather than endoscopic disease, were determined. Results: One hundred and twenty-five patients were included, 66 boys; Crohn's disease (CD) 74, ulcerative colitis (UC) 40, IBD unclassified (IBDU) 11. All had endoscopy at diagnosis. One hundred and two patients underwent \u22651 repeat endoscopies. Disease extent reduced from diagnosis to first follow-up endoscopy for both endoscopic and histological disease extent (CD/UC/IBDU, all P  &lt;  0.00006). Histological extent remained greater than endoscopic in CD with significant differences in stomach, ileum, and large bowel at all follow-up points (P =  &lt;  0.045). Endoscopic matched histological extent in UC/IBDU. Applying a modified PC resulted in significant changes for CD (L3 27.4%-53.2%, P = 0.006, L3 + L4A 21%-50%, P = 0.001, and upper gastrointestinal disease 50%-80.6%, P = 0.0006) but not UC. CD height (-0.37 to -0.25) and weight (-1.09 to -0.19) standard deviation scores increased from diagnosis to follow-up. Conclusions: Histological disease is greater than endoscopic extent at diagnosis and during follow-up in CD, although not in UC/IBDU. Classification of disease extent in CD should be based on both endoscopic and histological criteria.", "author" : [ { "dropping-particle" : "", "family" : "Ashton", "given" : "J.J.", "non-dropping-particle" : "", "parse-names" : false, "suffix" : "" }, { "dropping-particle" : "", "family" : "Bonduelle", "given" : "Q.", "non-dropping-particle" : "", "parse-names" : false, "suffix" : "" }, { "dropping-particle" : "", "family" : "Mossotto", "given" : "E.", "non-dropping-particle" : "", "parse-names" : false, "suffix" : "" }, { "dropping-particle" : "", "family" : "Coelho", "given" : "T.", "non-dropping-particle" : "", "parse-names" : false, "suffix" : "" }, { "dropping-particle" : "", "family" : "Batra", "given" : "A.", "non-dropping-particle" : "", "parse-names" : false, "suffix" : "" }, { "dropping-particle" : "", "family" : "Afzal", "given" : "N.A.", "non-dropping-particle" : "", "parse-names" : false, "suffix" : "" }, { "dropping-particle" : "", "family" : "Vadgama", "given" : "B.", "non-dropping-particle" : "", "parse-names" : false, "suffix" : "" }, { "dropping-particle" : "", "family" : "Ennis", "given" : "S.", "non-dropping-particle" : "", "parse-names" : false, "suffix" : "" }, { "dropping-particle" : "", "family" : "Beattie", "given" : "R.M.", "non-dropping-particle" : "", "parse-names" : false, "suffix" : "" } ], "container-title" : "Journal of Pediatric Gastroenterology and Nutrition", "id" : "ITEM-1", "issue" : "3", "issued" : { "date-parts" : [ [ "2018" ] ] }, "title" : "Endoscopic and Histological Assessment of Paediatric Inflammatory Bowel Disease over a 3-Year Follow-up Period", "type" : "article-journal", "volume" : "66" }, "uris" : [ "http://www.mendeley.com/documents/?uuid=72ac5053-f8ba-3dab-8dcc-0c723e707438" ] }, { "id" : "ITEM-2", "itemData" : { "DOI" : "10.1136/archdischild-2013-305214", "ISSN" : "1468-2044", "author" : [ { "dropping-particle" : "", "family" : "Blackburn", "given" : "S C", "non-dropping-particle" : "", "parse-names" : false, "suffix" : "" }, { "dropping-particle" : "", "family" : "Wiskin", "given" : "A E", "non-dropping-particle" : "", "parse-names" : false, "suffix" : "" }, { "dropping-particle" : "", "family" : "Barnes", "given" : "C", "non-dropping-particle" : "", "parse-names" : false, "suffix" : "" }, { "dropping-particle" : "", "family" : "Dick", "given" : "K", "non-dropping-particle" : "", "parse-names" : false, "suffix" : "" }, { "dropping-particle" : "", "family" : "Afzal", "given" : "N A", "non-dropping-particle" : "", "parse-names" : false, "suffix" : "" }, { "dropping-particle" : "", "family" : "Griffiths", "given" : "D M", "non-dropping-particle" : "", "parse-names" : false, "suffix" : "" }, { "dropping-particle" : "", "family" : "Beattie", "given" : "R M", "non-dropping-particle" : "", "parse-names" : false, "suffix" : "" }, { "dropping-particle" : "", "family" : "Stanton", "given" : "M P", "non-dropping-particle" : "", "parse-names" : false, "suffix" : "" } ], "container-title" : "Arch Dis Child", "id" : "ITEM-2", "issue" : "5", "issued" : { "date-parts" : [ [ "2014" ] ] }, "page" : "420-426", "title" : "Surgery for children with Crohn's disease: indications, complications and outcome", "type" : "article-journal", "volume" : "99" }, "uris" : [ "http://www.mendeley.com/documents/?uuid=b85420f2-6187-4911-a4c1-86398fbe85ca" ] } ], "mendeley" : { "formattedCitation" : "[12,37]", "plainTextFormattedCitation" : "[12,37]", "previouslyFormattedCitation" : "[12,36]" }, "properties" : { "noteIndex" : 0 }, "schema" : "https://github.com/citation-style-language/schema/raw/master/csl-citation.json" }</w:instrText>
      </w:r>
      <w:r>
        <w:fldChar w:fldCharType="separate"/>
      </w:r>
      <w:r w:rsidR="00E11DF8" w:rsidRPr="00E11DF8">
        <w:rPr>
          <w:noProof/>
        </w:rPr>
        <w:t>[12,37]</w:t>
      </w:r>
      <w:r>
        <w:fldChar w:fldCharType="end"/>
      </w:r>
      <w:r>
        <w:t xml:space="preserve">. Previously surgery has been used as a treatment to promote growth in children with severe </w:t>
      </w:r>
      <w:r w:rsidR="00446258">
        <w:t xml:space="preserve">deficits </w:t>
      </w:r>
      <w:r w:rsidR="00446258">
        <w:fldChar w:fldCharType="begin" w:fldLock="1"/>
      </w:r>
      <w:r w:rsidR="00E11DF8">
        <w:instrText>ADDIN CSL_CITATION { "citationItems" : [ { "id" : "ITEM-1", "itemData" : { "DOI" : "10.1097/MPG.0b013e3181c92c53", "ISSN" : "1536-4801", "author" : [ { "dropping-particle" : "", "family" : "Sandhu", "given" : "B K", "non-dropping-particle" : "", "parse-names" : false, "suffix" : "" }, { "dropping-particle" : "", "family" : "Fell", "given" : "J M", "non-dropping-particle" : "", "parse-names" : false, "suffix" : "" }, { "dropping-particle" : "", "family" : "Beattie", "given" : "R M", "non-dropping-particle" : "", "parse-names" : false, "suffix" : "" }, { "dropping-particle" : "", "family" : "Mitton", "given" : "S G", "non-dropping-particle" : "", "parse-names" : false, "suffix" : "" }, { "dropping-particle" : "", "family" : "Wilson", "given" : "D C", "non-dropping-particle" : "", "parse-names" : false, "suffix" : "" }, { "dropping-particle" : "", "family" : "Jenkins", "given" : "H", "non-dropping-particle" : "", "parse-names" : false, "suffix" : "" }, { "dropping-particle" : "", "family" : "of the British Society of Paediatric Gastroenterology H.patology", "given" : "", "non-dropping-particle" : "", "parse-names" : false, "suffix" : "" }, { "dropping-particle" : "", "family" : "Nutrition", "given" : "", "non-dropping-particle" : "", "parse-names" : false, "suffix" : "" } ], "container-title" : "J Pediatr Gastroenterol Nutr", "id" : "ITEM-1", "issued" : { "date-parts" : [ [ "2010" ] ] }, "page" : "S1-13", "title" : "Guidelines for the management of inflammatory bowel disease in children in the United Kingdom", "type" : "article-journal", "volume" : "50 Suppl 1" }, "uris" : [ "http://www.mendeley.com/documents/?uuid=3d063fb3-791f-4580-9e1a-237dec3c528e" ] } ], "mendeley" : { "formattedCitation" : "[38]", "plainTextFormattedCitation" : "[38]", "previouslyFormattedCitation" : "[37]" }, "properties" : { "noteIndex" : 0 }, "schema" : "https://github.com/citation-style-language/schema/raw/master/csl-citation.json" }</w:instrText>
      </w:r>
      <w:r w:rsidR="00446258">
        <w:fldChar w:fldCharType="separate"/>
      </w:r>
      <w:r w:rsidR="00E11DF8" w:rsidRPr="00E11DF8">
        <w:rPr>
          <w:noProof/>
        </w:rPr>
        <w:t>[38]</w:t>
      </w:r>
      <w:r w:rsidR="00446258">
        <w:fldChar w:fldCharType="end"/>
      </w:r>
      <w:r w:rsidR="00446258">
        <w:t xml:space="preserve">. These </w:t>
      </w:r>
      <w:r w:rsidR="00DA30BF">
        <w:t>previously published data</w:t>
      </w:r>
      <w:r w:rsidR="00446258">
        <w:t xml:space="preserve"> indicate there</w:t>
      </w:r>
      <w:r w:rsidR="00642934">
        <w:t xml:space="preserve"> is no worsening </w:t>
      </w:r>
      <w:r w:rsidR="00446258">
        <w:t xml:space="preserve">of </w:t>
      </w:r>
      <w:r w:rsidR="00642934">
        <w:t xml:space="preserve">growth in more recent years despite lower surgery rates, something </w:t>
      </w:r>
      <w:r w:rsidR="0069753C">
        <w:t>that</w:t>
      </w:r>
      <w:r w:rsidR="00642934">
        <w:t xml:space="preserve"> </w:t>
      </w:r>
      <w:proofErr w:type="gramStart"/>
      <w:r w:rsidR="00642934">
        <w:t>may be related</w:t>
      </w:r>
      <w:proofErr w:type="gramEnd"/>
      <w:r w:rsidR="00642934">
        <w:t xml:space="preserve"> to </w:t>
      </w:r>
      <w:r w:rsidR="00446258">
        <w:t xml:space="preserve">disease control with </w:t>
      </w:r>
      <w:r w:rsidR="00642934">
        <w:t>anti-TNF therapy</w:t>
      </w:r>
      <w:r w:rsidR="00446258">
        <w:t xml:space="preserve">. Previous reports from </w:t>
      </w:r>
      <w:proofErr w:type="spellStart"/>
      <w:r w:rsidR="00446258">
        <w:t>Assa</w:t>
      </w:r>
      <w:proofErr w:type="spellEnd"/>
      <w:r w:rsidR="00446258">
        <w:t xml:space="preserve"> </w:t>
      </w:r>
      <w:r w:rsidR="00446258" w:rsidRPr="00446258">
        <w:rPr>
          <w:i/>
        </w:rPr>
        <w:t>et al</w:t>
      </w:r>
      <w:r w:rsidR="00446258">
        <w:t xml:space="preserve"> (2013) and Bamberger </w:t>
      </w:r>
      <w:r w:rsidR="00446258" w:rsidRPr="00446258">
        <w:rPr>
          <w:i/>
        </w:rPr>
        <w:t>et al</w:t>
      </w:r>
      <w:r w:rsidR="00446258">
        <w:t xml:space="preserve"> (2016) both report anti-TNF agents preventing height SDS falls but not restoring full growth potential </w:t>
      </w:r>
      <w:r w:rsidR="00446258">
        <w:fldChar w:fldCharType="begin" w:fldLock="1"/>
      </w:r>
      <w:r w:rsidR="00E11DF8">
        <w:instrText>ADDIN CSL_CITATION { "citationItems" : [ { "id" : "ITEM-1", "itemData" : { "DOI" : "10.1016/j.crohns.2012.03.006", "ISSN" : "18739946", "author" : [ { "dropping-particle" : "", "family" : "Assa", "given" : "Amit", "non-dropping-particle" : "", "parse-names" : false, "suffix" : "" }, { "dropping-particle" : "", "family" : "Hartman", "given" : "Corina", "non-dropping-particle" : "", "parse-names" : false, "suffix" : "" }, { "dropping-particle" : "", "family" : "Weiss", "given" : "Batia", "non-dropping-particle" : "", "parse-names" : false, "suffix" : "" }, { "dropping-particle" : "", "family" : "Broide", "given" : "Efrat", "non-dropping-particle" : "", "parse-names" : false, "suffix" : "" }, { "dropping-particle" : "", "family" : "Rosenbach", "given" : "Yoram", "non-dropping-particle" : "", "parse-names" : false, "suffix" : "" }, { "dropping-particle" : "", "family" : "Zevit", "given" : "Noam", "non-dropping-particle" : "", "parse-names" : false, "suffix" : "" }, { "dropping-particle" : "", "family" : "Bujanover", "given" : "Yoram", "non-dropping-particle" : "", "parse-names" : false, "suffix" : "" }, { "dropping-particle" : "", "family" : "Shamir", "given" : "Raanan", "non-dropping-particle" : "", "parse-names" : false, "suffix" : "" } ], "container-title" : "Journal of Crohn's and Colitis", "id" : "ITEM-1", "issue" : "5", "issued" : { "date-parts" : [ [ "2013", "6", "1" ] ] }, "page" : "369-376", "publisher" : "Oxford University Press", "title" : "Long-term outcome of tumor necrosis factor alpha antagonist's treatment in pediatric Crohn's disease", "type" : "article-journal", "volume" : "7" }, "uris" : [ "http://www.mendeley.com/documents/?uuid=740de62f-42ec-3d23-8532-3bdfbb1cda39" ] }, { "id" : "ITEM-2", "itemData" : { "DOI" : "10.1371/journal.pone.0163126", "ISSN" : "1932-6203", "PMID" : "27636201", "abstract" : "Inflammation contributes to growth failure associated with inflammatory bowel diseases. Anti-TNF\u03b1 therapy induces sustained remission and short-term improvements in height velocity and/or height standard deviation score (H-SDS) patients with Crohn's disease. The purpose of this study was to evaluate growth and adult height in patients with Crohn's disease taking maintenance infliximab or adalimumab therapy.This university-hospital based retrospective study included 61 patients, with a median follow-up of 2.6 years (2.0; 3.3). 38 patients (62%) reached their adult height. H-SDS was collected at diagnosis and together with disease activity markers (Harvey-Bradshaw Index, albumin, and C-reactive protein) at treatment initiation (baseline), and follow-up completion. Wilcoxon's signed-rank test was chosen for comparisons. Median H-SDS decreased from diagnosis to baseline (-0.08 [-0.73; +0.77] to -0.94 [-1.44; +0.11], p&lt;0.0001) and then increased to follow-up completion (-0.63 [-1.08; 0.49], p = 0.003 versus baseline), concomitantly with an improvement in disease activity. Median adult H-SDS was within the normal range (-0.72 [-1.25; +0.42]) but did not differ from baseline H-SDS and was significantly lower than the target H-SDS (-0.09 [-0.67; +0.42], p = 0.01). Only 2 (6%) males had adult heights significantly below their target heights (10.5 and -13.5 cm [-1.75 and -2.25 SD]). In conclusion, anti-tumor necrosis factor \u03b1 (TNF) therapy prevented loss of height without fully restoring the genetic growth potential in this group of patients with CD. Earlier treatment initiation might improve growth outcomes in these patients.", "author" : [ { "dropping-particle" : "", "family" : "Bamberger", "given" : "Sarah", "non-dropping-particle" : "", "parse-names" : false, "suffix" : "" }, { "dropping-particle" : "", "family" : "Martinez Vinson", "given" : "Christine", "non-dropping-particle" : "", "parse-names" : false, "suffix" : "" }, { "dropping-particle" : "", "family" : "Mohamed", "given" : "Damir", "non-dropping-particle" : "", "parse-names" : false, "suffix" : "" }, { "dropping-particle" : "", "family" : "Viala", "given" : "J\u00e9r\u00f4me", "non-dropping-particle" : "", "parse-names" : false, "suffix" : "" }, { "dropping-particle" : "", "family" : "Carel", "given" : "Jean-Claude", "non-dropping-particle" : "", "parse-names" : false, "suffix" : "" }, { "dropping-particle" : "", "family" : "Hugot", "given" : "Jean-Pierre", "non-dropping-particle" : "", "parse-names" : false, "suffix" : "" }, { "dropping-particle" : "", "family" : "Simon", "given" : "Dominique", "non-dropping-particle" : "", "parse-names" : false, "suffix" : "" } ], "container-title" : "PLOS ONE", "editor" : [ { "dropping-particle" : "", "family" : "Green", "given" : "John", "non-dropping-particle" : "", "parse-names" : false, "suffix" : "" } ], "id" : "ITEM-2", "issue" : "9", "issued" : { "date-parts" : [ [ "2016", "9", "16" ] ] }, "page" : "e0163126", "title" : "Growth and Adult Height in Patients with Crohn's Disease Treated with Anti-Tumor Necrosis Factor \u03b1 Antibodies", "type" : "article-journal", "volume" : "11" }, "uris" : [ "http://www.mendeley.com/documents/?uuid=772aa7ae-a457-3c60-ae28-8f5ae99a9bb0" ] } ], "mendeley" : { "formattedCitation" : "[39,40]", "plainTextFormattedCitation" : "[39,40]", "previouslyFormattedCitation" : "[38,39]" }, "properties" : { "noteIndex" : 0 }, "schema" : "https://github.com/citation-style-language/schema/raw/master/csl-citation.json" }</w:instrText>
      </w:r>
      <w:r w:rsidR="00446258">
        <w:fldChar w:fldCharType="separate"/>
      </w:r>
      <w:r w:rsidR="00E11DF8" w:rsidRPr="00E11DF8">
        <w:rPr>
          <w:noProof/>
        </w:rPr>
        <w:t>[39,40]</w:t>
      </w:r>
      <w:r w:rsidR="00446258">
        <w:fldChar w:fldCharType="end"/>
      </w:r>
      <w:r w:rsidR="00446258">
        <w:t xml:space="preserve">. </w:t>
      </w:r>
      <w:r w:rsidR="0069753C">
        <w:t xml:space="preserve">Older data from </w:t>
      </w:r>
      <w:proofErr w:type="spellStart"/>
      <w:r w:rsidR="0069753C">
        <w:t>Vasseur</w:t>
      </w:r>
      <w:proofErr w:type="spellEnd"/>
      <w:r w:rsidR="0069753C">
        <w:t xml:space="preserve"> </w:t>
      </w:r>
      <w:r w:rsidR="0069753C" w:rsidRPr="0069753C">
        <w:rPr>
          <w:i/>
        </w:rPr>
        <w:t>et al</w:t>
      </w:r>
      <w:r w:rsidR="0069753C">
        <w:t xml:space="preserve"> (2010) and </w:t>
      </w:r>
      <w:proofErr w:type="spellStart"/>
      <w:r w:rsidR="0069753C">
        <w:t>Pfefferkorn</w:t>
      </w:r>
      <w:proofErr w:type="spellEnd"/>
      <w:r w:rsidR="0069753C">
        <w:t xml:space="preserve"> </w:t>
      </w:r>
      <w:r w:rsidR="0069753C" w:rsidRPr="0069753C">
        <w:rPr>
          <w:i/>
        </w:rPr>
        <w:t>et al</w:t>
      </w:r>
      <w:r w:rsidR="0069753C">
        <w:t xml:space="preserve"> (2009) both describe persistent poor growth in Crohn’s disease despite immunomodulation or biological therapy, specifically anti-TNF agents did not appear to improve height velocity </w:t>
      </w:r>
      <w:r w:rsidR="0069753C">
        <w:fldChar w:fldCharType="begin" w:fldLock="1"/>
      </w:r>
      <w:r w:rsidR="00E11DF8">
        <w:instrText>ADDIN CSL_CITATION { "citationItems" : [ { "id" : "ITEM-1", "itemData" : { "DOI" : "10.1038/ajg.2010.20", "ISSN" : "0002-9270", "PMID" : "20145606", "abstract" : "OBJECTIVES Growth retardation and malnutrition are major features of pediatric Crohn's disease (CD). We examined nutritional and growth parameters from diagnosis to maximal follow-up in a population-based pediatric cohort, and we determined predictive factors. METHODS A total of 261 patients (156 boys, 105 girls) with onset of CD before the age of 17 were identified from 1988 to 2004 through the EPIMAD registry (Registre des Maladies Inflammatoires Chroniques de l'Intestin) in northern France. Median age at diagnosis was 13 years (11.2-15.4) and median follow-up was 73 months (46-114). Z-scores of height/age, weight/age, and body mass index (BMI)/age were determined. Multivariate stepwise regression analysis identified predictive factors for malnutrition and growth retardation at maximal follow-up. RESULTS At diagnosis, 25 children (9.5%) showed height less than -2 s.d., 70 (27%) weight less than -2 s.d., and 84 (32%) BMI less than -2 s.d. At maximal follow-up, growth retardation was present in 18 children (6.9%), whereas 40 (15%) had malnutrition. Nutritional status was more severely impaired in children with stricturing disease. Growth and nutritional retardation at diagnosis, young age, male gender, and extraintestinal manifestations at diagnosis were indicators of poor prognosis. A significant compensation was observed for weight and BMI in both genders and for height in girls. No treatment was associated with height, weight, or BMI at maximal follow-up. CONCLUSIONS In our pediatric population-based study, growth retardation and severe malnutrition were still present at maximal follow-up in 6.9 and 15% of CD children, respectively. Young boys with substantial inflammatory manifestations of CD have a higher risk of subsequent growth failure, especially when growth retardation is present at diagnosis.", "author" : [ { "dropping-particle" : "", "family" : "Vasseur", "given" : "Francis", "non-dropping-particle" : "", "parse-names" : false, "suffix" : "" }, { "dropping-particle" : "", "family" : "Gower-Rousseau", "given" : "Corinne", "non-dropping-particle" : "", "parse-names" : false, "suffix" : "" }, { "dropping-particle" : "", "family" : "Vernier-Massouille", "given" : "Gwenola", "non-dropping-particle" : "", "parse-names" : false, "suffix" : "" }, { "dropping-particle" : "", "family" : "Dupas", "given" : "Jean Louis", "non-dropping-particle" : "", "parse-names" : false, "suffix" : "" }, { "dropping-particle" : "", "family" : "Merle", "given" : "Veronique", "non-dropping-particle" : "", "parse-names" : false, "suffix" : "" }, { "dropping-particle" : "", "family" : "Merlin", "given" : "Beatrice", "non-dropping-particle" : "", "parse-names" : false, "suffix" : "" }, { "dropping-particle" : "", "family" : "Lerebours", "given" : "Eric", "non-dropping-particle" : "", "parse-names" : false, "suffix" : "" }, { "dropping-particle" : "", "family" : "Savoye", "given" : "Guillaume", "non-dropping-particle" : "", "parse-names" : false, "suffix" : "" }, { "dropping-particle" : "", "family" : "Salomez", "given" : "Jean Louis", "non-dropping-particle" : "", "parse-names" : false, "suffix" : "" }, { "dropping-particle" : "", "family" : "Cortot", "given" : "Antoine", "non-dropping-particle" : "", "parse-names" : false, "suffix" : "" }, { "dropping-particle" : "", "family" : "Colombel", "given" : "Jean Frederic", "non-dropping-particle" : "", "parse-names" : false, "suffix" : "" }, { "dropping-particle" : "", "family" : "Turck", "given" : "Dominique", "non-dropping-particle" : "", "parse-names" : false, "suffix" : "" } ], "container-title" : "The American Journal of Gastroenterology", "id" : "ITEM-1", "issue" : "8", "issued" : { "date-parts" : [ [ "2010", "8", "9" ] ] }, "page" : "1893-1900", "title" : "Nutritional Status and Growth in Pediatric Crohn's Disease: A Population-Based Study", "type" : "article-journal", "volume" : "105" }, "uris" : [ "http://www.mendeley.com/documents/?uuid=720a626b-db19-32d2-bf01-e2278e5670b5" ] }, { "id" : "ITEM-2", "itemData" : { "DOI" : "10.1097/MPG.0b013e318175ca7f", "ISSN" : "0277-2116", "PMID" : "19179878", "abstract" : "OBJECTIVES We analyzed growth outcomes in children newly diagnosed with Crohn disease and determined whether growth abnormalities persist despite current therapies. PATIENTS AND METHODS Clinical and growth data were prospectively obtained on an inception cohort younger than 16 years old at diagnosis and Tanner I to III during the study. RESULTS In all, 176 children (mean age 10.1 years; 65% male) with mild (33%) or moderate/severe (67%) disease at diagnosis were studied. Disease activity at 1 year was inactive/mild (89%) or moderate/severe (11%). First-year treatments included immunomodulators (60%), corticosteroids (77%), 5-aminosalicylates (61%), infliximab (15%), and enteral nutrition (10%). By 2 years, 86% had received immunomodulators and 36% infliximab. Mean height z scores at diagnosis, 1 year, and 2 years were -0.49 +/- 1.2 standard deviations (SDs), -0.50 +/- 1.2, and -0.46 +/- 1.1, respectively. Of the subjects, 10%, 8%, and 6.5% had height z scores less than -2 SD at diagnosis, 1 year, and 2 years. A height velocity z score less than -1SD was seen in 45% of subjects at 1 year and 38% at 2 years. The mean height velocity z score, however, increased between 1 and 2 years from -0.71 to 0.26 (P &lt; 0.03). Corticosteroid use greater than 6 months in the first year was associated with abnormal height velocity at 1 year (adjusted odds ratio = 4.5; 95% confidence interval [CI] = 2.2-9.6). No statistically significant effect on height velocity z scores was noted when comparing those receiving or not receiving infliximab. CONCLUSIONS Growth delay persists in many children with CD following diagnosis, despite improved disease activity and the frequent use of immunomodulators and biologics. Additional strategies to improve growth outcomes require development.", "author" : [ { "dropping-particle" : "", "family" : "Pfefferkorn", "given" : "Marian", "non-dropping-particle" : "", "parse-names" : false, "suffix" : "" }, { "dropping-particle" : "", "family" : "Burke", "given" : "Georgine", "non-dropping-particle" : "", "parse-names" : false, "suffix" : "" }, { "dropping-particle" : "", "family" : "Griffiths", "given" : "Anne", "non-dropping-particle" : "", "parse-names" : false, "suffix" : "" }, { "dropping-particle" : "", "family" : "Markowitz", "given" : "James", "non-dropping-particle" : "", "parse-names" : false, "suffix" : "" }, { "dropping-particle" : "", "family" : "Rosh", "given" : "Joel", "non-dropping-particle" : "", "parse-names" : false, "suffix" : "" }, { "dropping-particle" : "", "family" : "Mack", "given" : "David", "non-dropping-particle" : "", "parse-names" : false, "suffix" : "" }, { "dropping-particle" : "", "family" : "Otley", "given" : "Anthony", "non-dropping-particle" : "", "parse-names" : false, "suffix" : "" }, { "dropping-particle" : "", "family" : "Kugathasan", "given" : "Subra", "non-dropping-particle" : "", "parse-names" : false, "suffix" : "" }, { "dropping-particle" : "", "family" : "Evans", "given" : "Jonathan", "non-dropping-particle" : "", "parse-names" : false, "suffix" : "" }, { "dropping-particle" : "", "family" : "Bousvaros", "given" : "Athos", "non-dropping-particle" : "", "parse-names" : false, "suffix" : "" }, { "dropping-particle" : "", "family" : "Moyer", "given" : "M Susan", "non-dropping-particle" : "", "parse-names" : false, "suffix" : "" }, { "dropping-particle" : "", "family" : "Wyllie", "given" : "Robert", "non-dropping-particle" : "", "parse-names" : false, "suffix" : "" }, { "dropping-particle" : "", "family" : "Oliva-Hemker", "given" : "Maria", "non-dropping-particle" : "", "parse-names" : false, "suffix" : "" }, { "dropping-particle" : "", "family" : "Carvalho", "given" : "Ryan", "non-dropping-particle" : "", "parse-names" : false, "suffix" : "" }, { "dropping-particle" : "", "family" : "Crandall", "given" : "Wallace", "non-dropping-particle" : "", "parse-names" : false, "suffix" : "" }, { "dropping-particle" : "", "family" : "Keljo", "given" : "David", "non-dropping-particle" : "", "parse-names" : false, "suffix" : "" }, { "dropping-particle" : "", "family" : "Walters", "given" : "TD", "non-dropping-particle" : "", "parse-names" : false, "suffix" : "" }, { "dropping-particle" : "", "family" : "LeLeiko", "given" : "Neal", "non-dropping-particle" : "", "parse-names" : false, "suffix" : "" }, { "dropping-particle" : "", "family" : "Hyams", "given" : "Jeffrey", "non-dropping-particle" : "", "parse-names" : false, "suffix" : "" } ], "container-title" : "Journal of Pediatric Gastroenterology and Nutrition", "id" : "ITEM-2", "issue" : "2", "issued" : { "date-parts" : [ [ "2009", "2" ] ] }, "page" : "168-174", "title" : "Growth Abnormalities Persist in Newly Diagnosed Children With Crohn Disease Despite Current Treatment Paradigms", "type" : "article-journal", "volume" : "48" }, "uris" : [ "http://www.mendeley.com/documents/?uuid=b61d6374-a477-3687-94b8-aaaa306c7d7e" ] } ], "mendeley" : { "formattedCitation" : "[41,42]", "plainTextFormattedCitation" : "[41,42]", "previouslyFormattedCitation" : "[40,41]" }, "properties" : { "noteIndex" : 0 }, "schema" : "https://github.com/citation-style-language/schema/raw/master/csl-citation.json" }</w:instrText>
      </w:r>
      <w:r w:rsidR="0069753C">
        <w:fldChar w:fldCharType="separate"/>
      </w:r>
      <w:r w:rsidR="00E11DF8" w:rsidRPr="00E11DF8">
        <w:rPr>
          <w:noProof/>
        </w:rPr>
        <w:t>[41,42]</w:t>
      </w:r>
      <w:r w:rsidR="0069753C">
        <w:fldChar w:fldCharType="end"/>
      </w:r>
      <w:r w:rsidR="0069753C">
        <w:t xml:space="preserve">. </w:t>
      </w:r>
    </w:p>
    <w:p w14:paraId="1B406642" w14:textId="3F03CB2B" w:rsidR="00DD16C2" w:rsidRDefault="003824E1" w:rsidP="006A0590">
      <w:pPr>
        <w:spacing w:line="480" w:lineRule="auto"/>
      </w:pPr>
      <w:r>
        <w:t>There is a trend towar</w:t>
      </w:r>
      <w:r w:rsidR="00411AFB">
        <w:t>ds top-down medicine when treating</w:t>
      </w:r>
      <w:r>
        <w:t xml:space="preserve"> IBD in adult populations, with early initiation of anti-TNF therapy </w:t>
      </w:r>
      <w:r w:rsidR="009C3E31">
        <w:t>aiming</w:t>
      </w:r>
      <w:r>
        <w:t xml:space="preserve"> to modify disease course </w:t>
      </w:r>
      <w:r>
        <w:fldChar w:fldCharType="begin" w:fldLock="1"/>
      </w:r>
      <w:r w:rsidR="00E11DF8">
        <w:instrText>ADDIN CSL_CITATION { "citationItems" : [ { "id" : "ITEM-1", "itemData" : { "DOI" : "10.1038/nrgastro.2009.222", "ISSN" : "1759-5053", "author" : [ { "dropping-particle" : "", "family" : "D'Haens", "given" : "G R", "non-dropping-particle" : "", "parse-names" : false, "suffix" : "" } ], "container-title" : "Nat Rev Gastroenterol Hepatol", "id" : "ITEM-1", "issue" : "2", "issued" : { "date-parts" : [ [ "2010" ] ] }, "page" : "86-92", "title" : "Top-down therapy for IBD: rationale and requisite evidence", "type" : "article-journal", "volume" : "7" }, "uris" : [ "http://www.mendeley.com/documents/?uuid=e001e16c-adb5-4e7c-a7a5-c303b4ed8771" ] } ], "mendeley" : { "formattedCitation" : "[43]", "plainTextFormattedCitation" : "[43]", "previouslyFormattedCitation" : "[42]" }, "properties" : { "noteIndex" : 0 }, "schema" : "https://github.com/citation-style-language/schema/raw/master/csl-citation.json" }</w:instrText>
      </w:r>
      <w:r>
        <w:fldChar w:fldCharType="separate"/>
      </w:r>
      <w:r w:rsidR="00E11DF8" w:rsidRPr="00E11DF8">
        <w:rPr>
          <w:noProof/>
        </w:rPr>
        <w:t>[43]</w:t>
      </w:r>
      <w:r>
        <w:fldChar w:fldCharType="end"/>
      </w:r>
      <w:r>
        <w:t xml:space="preserve">. Whilst this </w:t>
      </w:r>
      <w:r w:rsidR="0094558E">
        <w:t>is</w:t>
      </w:r>
      <w:r>
        <w:t xml:space="preserve"> not yet </w:t>
      </w:r>
      <w:r>
        <w:lastRenderedPageBreak/>
        <w:t xml:space="preserve">recommended in </w:t>
      </w:r>
      <w:proofErr w:type="gramStart"/>
      <w:r>
        <w:t>paediatric</w:t>
      </w:r>
      <w:proofErr w:type="gramEnd"/>
      <w:r>
        <w:t xml:space="preserve"> practice the promise of reducing surgical resection rates with prompt initiation of anti-TNF therapy </w:t>
      </w:r>
      <w:r w:rsidR="009C3E31">
        <w:t>is one of the reasons leading to increased use</w:t>
      </w:r>
      <w:r>
        <w:t xml:space="preserve">. </w:t>
      </w:r>
      <w:proofErr w:type="gramStart"/>
      <w:r w:rsidR="009C3E31">
        <w:t>However</w:t>
      </w:r>
      <w:proofErr w:type="gramEnd"/>
      <w:r w:rsidR="009C3E31">
        <w:t xml:space="preserve"> </w:t>
      </w:r>
      <w:r w:rsidR="00DD16C2">
        <w:t xml:space="preserve">it is important to remember </w:t>
      </w:r>
      <w:r w:rsidR="009C3E31">
        <w:t>n</w:t>
      </w:r>
      <w:r>
        <w:t>ot all patients will be at risk of requiring surgery</w:t>
      </w:r>
      <w:r w:rsidR="009C3E31">
        <w:t>,</w:t>
      </w:r>
      <w:r>
        <w:t xml:space="preserve"> or </w:t>
      </w:r>
      <w:r w:rsidR="009C3E31">
        <w:t xml:space="preserve">of </w:t>
      </w:r>
      <w:r>
        <w:t>disease progression</w:t>
      </w:r>
      <w:r w:rsidR="009C3E31">
        <w:t>,</w:t>
      </w:r>
      <w:r>
        <w:t xml:space="preserve"> and therefore </w:t>
      </w:r>
      <w:r w:rsidR="00DD16C2">
        <w:t>not all</w:t>
      </w:r>
      <w:r>
        <w:t xml:space="preserve"> require anti-TNF therapy</w:t>
      </w:r>
      <w:r w:rsidR="005E1CE6">
        <w:t xml:space="preserve">. </w:t>
      </w:r>
      <w:r w:rsidR="00DD16C2">
        <w:t>This is part of a complex risk</w:t>
      </w:r>
      <w:r w:rsidR="00966EF4">
        <w:t>-</w:t>
      </w:r>
      <w:r w:rsidR="00DD16C2">
        <w:t xml:space="preserve">benefit strategy and discussion. </w:t>
      </w:r>
      <w:r w:rsidR="00966EF4">
        <w:t xml:space="preserve">There is </w:t>
      </w:r>
      <w:r w:rsidR="005E1CE6">
        <w:t>the potential to</w:t>
      </w:r>
      <w:r w:rsidR="00966EF4">
        <w:t xml:space="preserve"> both over-</w:t>
      </w:r>
      <w:r w:rsidR="005E1CE6">
        <w:t>treat</w:t>
      </w:r>
      <w:r w:rsidR="005B783E">
        <w:t xml:space="preserve"> and </w:t>
      </w:r>
      <w:r w:rsidR="00966EF4">
        <w:t>f</w:t>
      </w:r>
      <w:r w:rsidR="005B783E">
        <w:t xml:space="preserve">or significant </w:t>
      </w:r>
      <w:proofErr w:type="gramStart"/>
      <w:r w:rsidR="005B783E">
        <w:t>side-effects</w:t>
      </w:r>
      <w:proofErr w:type="gramEnd"/>
      <w:r w:rsidR="00DD16C2">
        <w:t xml:space="preserve">. </w:t>
      </w:r>
      <w:r w:rsidR="00966EF4">
        <w:t>N</w:t>
      </w:r>
      <w:r w:rsidR="00DD16C2">
        <w:t xml:space="preserve">evertheless </w:t>
      </w:r>
      <w:r w:rsidR="009C3E31">
        <w:t>s</w:t>
      </w:r>
      <w:r>
        <w:t xml:space="preserve">ome will progress rapidly and early intervention </w:t>
      </w:r>
      <w:r w:rsidR="009C3E31">
        <w:t>appears</w:t>
      </w:r>
      <w:r>
        <w:t xml:space="preserve"> to modify risk in at least a subset patients </w:t>
      </w:r>
      <w:r>
        <w:fldChar w:fldCharType="begin" w:fldLock="1"/>
      </w:r>
      <w:r w:rsidR="00E11DF8">
        <w:instrText>ADDIN CSL_CITATION { "citationItems" : [ { "id" : "ITEM-1", "itemData" : { "DOI" : "10.1093/ecco-jcc/jjv187", "ISSN" : "1873-9946", "PMID" : "26520164", "abstract" : "INTRODUCTION Early stages of Crohn's disease [CD] are predominantly inflammatory and early treatment could be useful to change the natural history of CD. We aimed to evaluate the impact of early treatment in our cohort of CD patients. METHODS We retrospectively reviewed clinical records of all CD patients at our centre who have received immunomodulators. Time from diagnosis to first CD-related major abdominal surgery or end of follow-up was considered. Dates of diagnosis, of starting immunomodulators (thiopurines / anti-tumour necrosis factor [TNF]), and of the first CD-related surgery when appropriate were collected. RESULTS Of 422 patients who received thiopurines, 189 operated patients started thiopurines after a median of 117 months (interquartile range [IQR] 44-196) since diagnosis; non-operated patients, after a median of 30 months [IQR 6-128], p &lt; 0,005. Odds ratio [OR] for surgery was 1.006 (95% confidence interval [CI]1.004-1008) for each month of delay in starting thiopurines. Among 272 patients who received anti-TNFs, 137 operated patients started anti-TNFs after a median of 166 months [IQR 90-233] since diagnosis; non-operated patients after a median of 59 months [IQR 14-162]; p &lt; 0,005. OR for surgery was 1.008 [95% CI 1.005-1.010] for each month of delay in starting anti-TNFs. Among 467 patients who received thiopurines and/or anti-TNF, 210 operated patients started any immunomodulator after a median of 120 months [IQR 48-197] since diagnosis and non-operated patients after a median of 30 months [IQR 6-126], p &lt; 0,005. OR for surgery was 1.008 [95% CI 1.005-1.010] for each month of delay in starting immunomodulators. CONCLUSIONS In our experience, time between diagnosis and thiopurine or anti-TNF initiation was associated with the risk of major abdominal surgery in Crohn's disease.", "author" : [ { "dropping-particle" : "", "family" : "Gonz\u00e1lez-Lama", "given" : "Yago", "non-dropping-particle" : "", "parse-names" : false, "suffix" : "" }, { "dropping-particle" : "", "family" : "Su\u00e1rez", "given" : "Cristina", "non-dropping-particle" : "", "parse-names" : false, "suffix" : "" }, { "dropping-particle" : "", "family" : "Gonz\u00e1lez-Partida", "given" : "Irene", "non-dropping-particle" : "", "parse-names" : false, "suffix" : "" }, { "dropping-particle" : "", "family" : "Calvo", "given" : "Marta", "non-dropping-particle" : "", "parse-names" : false, "suffix" : "" }, { "dropping-particle" : "", "family" : "Matallana", "given" : "Virginia", "non-dropping-particle" : "", "parse-names" : false, "suffix" : "" }, { "dropping-particle" : "", "family" : "la Revilla", "given" : "Juan", "non-dropping-particle" : "de", "parse-names" : false, "suffix" : "" }, { "dropping-particle" : "", "family" : "Magaz", "given" : "Marta", "non-dropping-particle" : "", "parse-names" : false, "suffix" : "" }, { "dropping-particle" : "", "family" : "Bernardo", "given" : "Cristina", "non-dropping-particle" : "", "parse-names" : false, "suffix" : "" }, { "dropping-particle" : "", "family" : "Agudo", "given" : "Bel\u00e9n", "non-dropping-particle" : "", "parse-names" : false, "suffix" : "" }, { "dropping-particle" : "", "family" : "Ibarrola", "given" : "Pilar", "non-dropping-particle" : "", "parse-names" : false, "suffix" : "" }, { "dropping-particle" : "", "family" : "Relea", "given" : "Luc\u00eda", "non-dropping-particle" : "", "parse-names" : false, "suffix" : "" }, { "dropping-particle" : "", "family" : "Ar\u00e9valo", "given" : "Juan", "non-dropping-particle" : "", "parse-names" : false, "suffix" : "" }, { "dropping-particle" : "", "family" : "Vera", "given" : "Mar\u00eda Isabel", "non-dropping-particle" : "", "parse-names" : false, "suffix" : "" }, { "dropping-particle" : "", "family" : "Abreu", "given" : "Luis", "non-dropping-particle" : "", "parse-names" : false, "suffix" : "" } ], "container-title" : "Journal of Crohn's and Colitis", "id" : "ITEM-1", "issue" : "1", "issued" : { "date-parts" : [ [ "2016", "1" ] ] }, "page" : "55-60", "title" : "Timing of Thiopurine or Anti-TNF Initiation Is Associated with the Risk of Major Abdominal Surgery in Crohn\u2019s Disease: A Retrospective Cohort Study", "type" : "article-journal", "volume" : "10" }, "uris" : [ "http://www.mendeley.com/documents/?uuid=d6e5723f-9d1b-30a3-bc9c-f4c35245b7ec" ] }, { "id" : "ITEM-2", "itemData" : { "DOI" : "10.1016/S2468-1253(17)30289-3", "ISSN" : "2468-1253", "PMID" : "28939375", "author" : [ { "dropping-particle" : "", "family" : "Ashton", "given" : "James J", "non-dropping-particle" : "", "parse-names" : false, "suffix" : "" }, { "dropping-particle" : "", "family" : "Beattie", "given" : "R Mark", "non-dropping-particle" : "", "parse-names" : false, "suffix" : "" } ], "container-title" : "The lancet. Gastroenterology &amp; hepatology", "id" : "ITEM-2", "issue" : "12", "issued" : { "date-parts" : [ [ "2017", "12", "1" ] ] }, "page" : "838-839", "publisher" : "Elsevier", "title" : "Improving remission rates in newly diagnosed paediatric ulcerative colitis.", "type" : "article-journal", "volume" : "2" }, "uris" : [ "http://www.mendeley.com/documents/?uuid=bd386ede-7fe9-3d79-96b8-a14b44b5950d" ] } ], "mendeley" : { "formattedCitation" : "[29,44]", "plainTextFormattedCitation" : "[29,44]", "previouslyFormattedCitation" : "[28,43]" }, "properties" : { "noteIndex" : 0 }, "schema" : "https://github.com/citation-style-language/schema/raw/master/csl-citation.json" }</w:instrText>
      </w:r>
      <w:r>
        <w:fldChar w:fldCharType="separate"/>
      </w:r>
      <w:r w:rsidR="00E11DF8" w:rsidRPr="00E11DF8">
        <w:rPr>
          <w:noProof/>
        </w:rPr>
        <w:t>[29,44]</w:t>
      </w:r>
      <w:r>
        <w:fldChar w:fldCharType="end"/>
      </w:r>
      <w:r>
        <w:t xml:space="preserve">. </w:t>
      </w:r>
      <w:r w:rsidR="0006787C">
        <w:t xml:space="preserve">Additional factors such as dose optimisation, concurrent immunosuppression and nutritional strategies </w:t>
      </w:r>
      <w:r w:rsidR="006C7095">
        <w:t>are likely provide additional benefits</w:t>
      </w:r>
      <w:r w:rsidR="0006787C">
        <w:t xml:space="preserve"> </w:t>
      </w:r>
      <w:r w:rsidR="0006787C">
        <w:fldChar w:fldCharType="begin" w:fldLock="1"/>
      </w:r>
      <w:r w:rsidR="00E11DF8">
        <w:instrText>ADDIN CSL_CITATION { "citationItems" : [ { "id" : "ITEM-1", "itemData" : { "DOI" : "10.1136/flgastro-2014-100527", "author" : [ { "dropping-particle" : "", "family" : "Hendy", "given" : "Philip", "non-dropping-particle" : "", "parse-names" : false, "suffix" : "" }, { "dropping-particle" : "", "family" : "Hart", "given" : "Ailsa", "non-dropping-particle" : "", "parse-names" : false, "suffix" : "" }, { "dropping-particle" : "", "family" : "Irving", "given" : "Peter", "non-dropping-particle" : "", "parse-names" : false, "suffix" : "" } ], "id" : "ITEM-1", "issued" : { "date-parts" : [ [ "0" ] ] }, "title" : "Anti-TNF drug and antidrug antibody level monitoring in IBD: a practical guide", "type" : "article-journal" }, "uris" : [ "http://www.mendeley.com/documents/?uuid=9c2f389c-af49-3820-8e40-897f6320d843" ] }, { "id" : "ITEM-2", "itemData" : { "DOI" : "10.1016/j.clnu.2016.12.027", "ISSN" : "1532-1983", "author" : [ { "dropping-particle" : "", "family" : "Forbes", "given" : "A", "non-dropping-particle" : "", "parse-names" : false, "suffix" : "" }, { "dropping-particle" : "", "family" : "Escher", "given" : "J", "non-dropping-particle" : "", "parse-names" : false, "suffix" : "" }, { "dropping-particle" : "", "family" : "H\u00e9buterne", "given" : "X", "non-dropping-particle" : "", "parse-names" : false, "suffix" : "" }, { "dropping-particle" : "", "family" : "K\u0142\u0119k", "given" : "S", "non-dropping-particle" : "", "parse-names" : false, "suffix" : "" }, { "dropping-particle" : "", "family" : "Krznaric", "given" : "Z", "non-dropping-particle" : "", "parse-names" : false, "suffix" : "" }, { "dropping-particle" : "", "family" : "Schneider", "given" : "S", "non-dropping-particle" : "", "parse-names" : false, "suffix" : "" }, { "dropping-particle" : "", "family" : "Shamir", "given" : "R", "non-dropping-particle" : "", "parse-names" : false, "suffix" : "" }, { "dropping-particle" : "", "family" : "Stardelova", "given" : "K", "non-dropping-particle" : "", "parse-names" : false, "suffix" : "" }, { "dropping-particle" : "", "family" : "Wierdsma", "given" : "N", "non-dropping-particle" : "", "parse-names" : false, "suffix" : "" }, { "dropping-particle" : "", "family" : "Wiskin", "given" : "A E", "non-dropping-particle" : "", "parse-names" : false, "suffix" : "" }, { "dropping-particle" : "", "family" : "Bischoff", "given" : "S C", "non-dropping-particle" : "", "parse-names" : false, "suffix" : "" } ], "container-title" : "Clin Nutr", "id" : "ITEM-2", "issue" : "2", "issued" : { "date-parts" : [ [ "2017" ] ] }, "page" : "321-347", "title" : "ESPEN guideline: Clinical nutrition in inflammatory bowel disease", "type" : "article-journal", "volume" : "36" }, "uris" : [ "http://www.mendeley.com/documents/?uuid=04e19e1a-9fd6-41c8-a32a-f5f7215d3f50" ] } ], "mendeley" : { "formattedCitation" : "[45,46]", "plainTextFormattedCitation" : "[45,46]", "previouslyFormattedCitation" : "[44,45]" }, "properties" : { "noteIndex" : 0 }, "schema" : "https://github.com/citation-style-language/schema/raw/master/csl-citation.json" }</w:instrText>
      </w:r>
      <w:r w:rsidR="0006787C">
        <w:fldChar w:fldCharType="separate"/>
      </w:r>
      <w:r w:rsidR="00E11DF8" w:rsidRPr="00E11DF8">
        <w:rPr>
          <w:noProof/>
        </w:rPr>
        <w:t>[45,46]</w:t>
      </w:r>
      <w:r w:rsidR="0006787C">
        <w:fldChar w:fldCharType="end"/>
      </w:r>
      <w:r w:rsidR="0006787C">
        <w:t xml:space="preserve">. </w:t>
      </w:r>
    </w:p>
    <w:p w14:paraId="5C668D97" w14:textId="0277AB79" w:rsidR="00DD16C2" w:rsidRDefault="0006787C" w:rsidP="006A0590">
      <w:pPr>
        <w:spacing w:line="480" w:lineRule="auto"/>
      </w:pPr>
      <w:r>
        <w:t xml:space="preserve">Our survival analysis shows that the risk of surgery increases over time and is around </w:t>
      </w:r>
      <w:r w:rsidR="0094558E">
        <w:t>2</w:t>
      </w:r>
      <w:r w:rsidR="003830B0">
        <w:t>0</w:t>
      </w:r>
      <w:r>
        <w:t xml:space="preserve">% at </w:t>
      </w:r>
      <w:r w:rsidR="003830B0">
        <w:t>8</w:t>
      </w:r>
      <w:r>
        <w:t xml:space="preserve"> years. Similarly, those children remaining in paediatric care have a </w:t>
      </w:r>
      <w:r w:rsidR="003830B0">
        <w:t>30</w:t>
      </w:r>
      <w:r>
        <w:t xml:space="preserve">% chance of </w:t>
      </w:r>
      <w:proofErr w:type="gramStart"/>
      <w:r>
        <w:t>being prescribed</w:t>
      </w:r>
      <w:proofErr w:type="gramEnd"/>
      <w:r>
        <w:t xml:space="preserve"> an anti-TNF agent after </w:t>
      </w:r>
      <w:r w:rsidR="003830B0">
        <w:t xml:space="preserve">8 </w:t>
      </w:r>
      <w:r>
        <w:t xml:space="preserve">years. </w:t>
      </w:r>
      <w:r w:rsidR="009B1482">
        <w:t>After</w:t>
      </w:r>
      <w:r w:rsidR="00C27072">
        <w:t xml:space="preserve"> </w:t>
      </w:r>
      <w:r w:rsidR="003830B0">
        <w:t>5</w:t>
      </w:r>
      <w:r w:rsidR="00C27072">
        <w:t xml:space="preserve"> years </w:t>
      </w:r>
      <w:r w:rsidR="009B1482">
        <w:t xml:space="preserve">in paediatric care </w:t>
      </w:r>
      <w:r w:rsidR="00C27072">
        <w:t xml:space="preserve">around </w:t>
      </w:r>
      <w:r w:rsidR="003830B0">
        <w:t>25</w:t>
      </w:r>
      <w:r w:rsidR="00C27072">
        <w:t>% of children will have been started on an anti-TNF agent, similar to previously reported data</w:t>
      </w:r>
      <w:r w:rsidR="00FB2A17">
        <w:t xml:space="preserve"> showing at 3 years </w:t>
      </w:r>
      <w:r w:rsidR="009B1482">
        <w:t>a third of</w:t>
      </w:r>
      <w:r w:rsidR="00FB2A17">
        <w:t xml:space="preserve"> patients treated in North America were on an anti-TNF agent</w:t>
      </w:r>
      <w:r w:rsidR="00C27072">
        <w:t xml:space="preserve"> </w:t>
      </w:r>
      <w:r w:rsidR="00C27072">
        <w:fldChar w:fldCharType="begin" w:fldLock="1"/>
      </w:r>
      <w:r w:rsidR="00E11DF8">
        <w:instrText>ADDIN CSL_CITATION { "citationItems" : [ { "id" : "ITEM-1", "itemData" : { "DOI" : "10.1002/ibd.20845", "ISSN" : "1536-4844", "author" : [ { "dropping-particle" : "", "family" : "Hyams", "given" : "J S", "non-dropping-particle" : "", "parse-names" : false, "suffix" : "" }, { "dropping-particle" : "", "family" : "Lerer", "given" : "T", "non-dropping-particle" : "", "parse-names" : false, "suffix" : "" }, { "dropping-particle" : "", "family" : "Griffiths", "given" : "A", "non-dropping-particle" : "", "parse-names" : false, "suffix" : "" }, { "dropping-particle" : "", "family" : "Pfefferkorn", "given" : "M", "non-dropping-particle" : "", "parse-names" : false, "suffix" : "" }, { "dropping-particle" : "", "family" : "Kugathasan", "given" : "S", "non-dropping-particle" : "", "parse-names" : false, "suffix" : "" }, { "dropping-particle" : "", "family" : "Evans", "given" : "J", "non-dropping-particle" : "", "parse-names" : false, "suffix" : "" }, { "dropping-particle" : "", "family" : "Otley", "given" : "A", "non-dropping-particle" : "", "parse-names" : false, "suffix" : "" }, { "dropping-particle" : "", "family" : "Carvalho", "given" : "R", "non-dropping-particle" : "", "parse-names" : false, "suffix" : "" }, { "dropping-particle" : "", "family" : "Mack", "given" : "D", "non-dropping-particle" : "", "parse-names" : false, "suffix" : "" }, { "dropping-particle" : "", "family" : "Bousvaros", "given" : "A", "non-dropping-particle" : "", "parse-names" : false, "suffix" : "" }, { "dropping-particle" : "", "family" : "Rosh", "given" : "J", "non-dropping-particle" : "", "parse-names" : false, "suffix" : "" }, { "dropping-particle" : "", "family" : "Mamula", "given" : "P", "non-dropping-particle" : "", "parse-names" : false, "suffix" : "" }, { "dropping-particle" : "", "family" : "Kay", "given" : "M", "non-dropping-particle" : "", "parse-names" : false, "suffix" : "" }, { "dropping-particle" : "", "family" : "Crandall", "given" : "W", "non-dropping-particle" : "", "parse-names" : false, "suffix" : "" }, { "dropping-particle" : "", "family" : "Oliva-Hemker", "given" : "M", "non-dropping-particle" : "", "parse-names" : false, "suffix" : "" }, { "dropping-particle" : "", "family" : "Keljo", "given" : "D", "non-dropping-particle" : "", "parse-names" : false, "suffix" : "" }, { "dropping-particle" : "", "family" : "LeLeiko", "given" : "N", "non-dropping-particle" : "", "parse-names" : false, "suffix" : "" }, { "dropping-particle" : "", "family" : "Markowitz", "given" : "J", "non-dropping-particle" : "", "parse-names" : false, "suffix" : "" }, { "dropping-particle" : "", "family" : "Group", "given" : "Pediatric Inflammatory Bowel Disease Collaborative Research", "non-dropping-particle" : "", "parse-names" : false, "suffix" : "" } ], "container-title" : "Inflamm Bowel Dis", "id" : "ITEM-1", "issue" : "6", "issued" : { "date-parts" : [ [ "2009" ] ] }, "page" : "816-822", "title" : "Long-term outcome of maintenance infliximab therapy in children with Crohn's disease", "type" : "article-journal", "volume" : "15" }, "uris" : [ "http://www.mendeley.com/documents/?uuid=570566ae-af7d-46ab-97e9-69ae3bed167d" ] } ], "mendeley" : { "formattedCitation" : "[47]", "plainTextFormattedCitation" : "[47]", "previouslyFormattedCitation" : "[46]" }, "properties" : { "noteIndex" : 0 }, "schema" : "https://github.com/citation-style-language/schema/raw/master/csl-citation.json" }</w:instrText>
      </w:r>
      <w:r w:rsidR="00C27072">
        <w:fldChar w:fldCharType="separate"/>
      </w:r>
      <w:r w:rsidR="00E11DF8" w:rsidRPr="00E11DF8">
        <w:rPr>
          <w:noProof/>
        </w:rPr>
        <w:t>[47]</w:t>
      </w:r>
      <w:r w:rsidR="00C27072">
        <w:fldChar w:fldCharType="end"/>
      </w:r>
      <w:r w:rsidR="00C27072">
        <w:t xml:space="preserve">. </w:t>
      </w:r>
    </w:p>
    <w:p w14:paraId="23C980B6" w14:textId="2D40A313" w:rsidR="00E65117" w:rsidRDefault="0094558E" w:rsidP="006A0590">
      <w:pPr>
        <w:spacing w:line="480" w:lineRule="auto"/>
      </w:pPr>
      <w:r>
        <w:t>The promise of personalising therapy at diagnosis to start anti-TNF agents earlier where required and prevent high resection rates may become a reality in the next 5-10 years through application of clinical and multi-</w:t>
      </w:r>
      <w:proofErr w:type="spellStart"/>
      <w:r>
        <w:t>omic</w:t>
      </w:r>
      <w:proofErr w:type="spellEnd"/>
      <w:r>
        <w:t xml:space="preserve"> data </w:t>
      </w:r>
      <w:r>
        <w:fldChar w:fldCharType="begin" w:fldLock="1"/>
      </w:r>
      <w:r w:rsidR="00E11DF8">
        <w:instrText>ADDIN CSL_CITATION { "citationItems" : [ { "id" : "ITEM-1", "itemData" : { "DOI" : "10.1093/ibd/izx007", "ISSN" : "1078-0998", "author" : [ { "dropping-particle" : "", "family" : "Waljee", "given" : "Akbar K", "non-dropping-particle" : "", "parse-names" : false, "suffix" : "" }, { "dropping-particle" : "", "family" : "Lipson", "given" : "Rachel", "non-dropping-particle" : "", "parse-names" : false, "suffix" : "" }, { "dropping-particle" : "", "family" : "Wiitala", "given" : "Wyndy L", "non-dropping-particle" : "", "parse-names" : false, "suffix" : "" }, { "dropping-particle" : "", "family" : "Zhang", "given" : "Yiwei", "non-dropping-particle" : "", "parse-names" : false, "suffix" : "" }, { "dropping-particle" : "", "family" : "Liu", "given" : "Boang", "non-dropping-particle" : "", "parse-names" : false, "suffix" : "" }, { "dropping-particle" : "", "family" : "Zhu", "given" : "Ji", "non-dropping-particle" : "", "parse-names" : false, "suffix" : "" }, { "dropping-particle" : "", "family" : "Wallace", "given" : "Beth", "non-dropping-particle" : "", "parse-names" : false, "suffix" : "" }, { "dropping-particle" : "", "family" : "Govani", "given" : "Shail M", "non-dropping-particle" : "", "parse-names" : false, "suffix" : "" }, { "dropping-particle" : "", "family" : "Stidham", "given" : "Ryan W", "non-dropping-particle" : "", "parse-names" : false, "suffix" : "" }, { "dropping-particle" : "", "family" : "Hayward", "given" : "Rodney", "non-dropping-particle" : "", "parse-names" : false, "suffix" : "" }, { "dropping-particle" : "", "family" : "Higgins", "given" : "Peter D R", "non-dropping-particle" : "", "parse-names" : false, "suffix" : "" } ], "container-title" : "Inflammatory Bowel Diseases", "id" : "ITEM-1", "issue" : "1", "issued" : { "date-parts" : [ [ "2018", "1", "1" ] ] }, "page" : "45-53", "publisher" : "Oxford University Press", "title" : "Predicting Hospitalization and Outpatient Corticosteroid Use in Inflammatory Bowel Disease Patients Using Machine Learning", "type" : "article-journal", "volume" : "24" }, "uris" : [ "http://www.mendeley.com/documents/?uuid=55056ce1-6fd1-3fc4-885b-f373cb50a669" ] }, { "id" : "ITEM-2", "itemData" : { "DOI" : "10.1038/s41598-017-02606-2", "ISSN" : "20452322", "abstract" : "\u00a9 2017 The Author(s). Paediatric inflammatory bowel disease (PIBD), comprising Crohn's disease (CD), ulcerative colitis (UC) and inflammatory bowel disease unclassified (IBDU) is a complex and multifactorial condition with increasing incidence. An accurate diagnosis of PIBD is necessary for a prompt and effective treatment. This study utilises machine learning (ML) to classify disease using endoscopic and histological data for 287 children diagnosed with PIBD. Data were used to develop, train, test and validate a ML model to classify disease subtype. Unsupervised models revealed overlap of CD/UC with broad clustering but no clear subtype delineation, whereas hierarchical clustering identified four novel subgroups characterised by differing colonic involvement. Three supervised ML models were developed utilising endoscopic data only, histological only and combined endoscopic/histological data yielding classification accuracy of 71.0%, 76.9% and 82.7% respectively. The optimal combined model was tested on a statistically independent cohort of 48 PIBD patients from the same clinic, accurately classifying 83.3% of patients. This study employs mathematical modelling of endoscopic and histological data to aid diagnostic accuracy. While unsupervised modelling categorises patients into four subgroups, supervised approaches confirm the need of both endoscopic and histological evidence for an accurate diagnosis. Overall, this paper provides a blueprint for ML use with clinical data.", "author" : [ { "dropping-particle" : "", "family" : "Mossotto", "given" : "E.", "non-dropping-particle" : "", "parse-names" : false, "suffix" : "" }, { "dropping-particle" : "", "family" : "Ashton", "given" : "J.J.", "non-dropping-particle" : "", "parse-names" : false, "suffix" : "" }, { "dropping-particle" : "", "family" : "Coelho", "given" : "T.", "non-dropping-particle" : "", "parse-names" : false, "suffix" : "" }, { "dropping-particle" : "", "family" : "Beattie", "given" : "R.M.", "non-dropping-particle" : "", "parse-names" : false, "suffix" : "" }, { "dropping-particle" : "", "family" : "MacArthur", "given" : "B.D.", "non-dropping-particle" : "", "parse-names" : false, "suffix" : "" }, { "dropping-particle" : "", "family" : "Ennis", "given" : "S.", "non-dropping-particle" : "", "parse-names" : false, "suffix" : "" } ], "container-title" : "Scientific Reports", "id" : "ITEM-2", "issue" : "1", "issued" : { "date-parts" : [ [ "2017" ] ] }, "title" : "Classification of Paediatric Inflammatory Bowel Disease using Machine Learning", "type" : "article-journal", "volume" : "7" }, "uris" : [ "http://www.mendeley.com/documents/?uuid=3d7ac3ac-5a99-33e3-8099-bee5fc04a6b0" ] } ], "mendeley" : { "formattedCitation" : "[48,49]", "plainTextFormattedCitation" : "[48,49]", "previouslyFormattedCitation" : "[47,48]" }, "properties" : { "noteIndex" : 0 }, "schema" : "https://github.com/citation-style-language/schema/raw/master/csl-citation.json" }</w:instrText>
      </w:r>
      <w:r>
        <w:fldChar w:fldCharType="separate"/>
      </w:r>
      <w:r w:rsidR="00E11DF8" w:rsidRPr="00E11DF8">
        <w:rPr>
          <w:noProof/>
        </w:rPr>
        <w:t>[48,49]</w:t>
      </w:r>
      <w:r>
        <w:fldChar w:fldCharType="end"/>
      </w:r>
      <w:r>
        <w:t>.</w:t>
      </w:r>
      <w:r w:rsidR="007E5367">
        <w:t xml:space="preserve"> Tools to predict and identify patients most likely to benefit from early anti-TNF therapy are now emerging, potentially providing the ability for the clinician to predict severe patients at risk of requiring surgery and modifying their risk at an early stage </w:t>
      </w:r>
      <w:r w:rsidR="007E5367">
        <w:fldChar w:fldCharType="begin" w:fldLock="1"/>
      </w:r>
      <w:r w:rsidR="00E11DF8">
        <w:instrText>ADDIN CSL_CITATION { "citationItems" : [ { "id" : "ITEM-1", "itemData" : { "DOI" : "10.1111/apt.13460", "ISSN" : "02692813", "PMID" : "26567467", "abstract" : "BACKGROUND Early treatment for Crohn's disease (CD) with immunomodulators and/or anti-TNF agents improves outcomes in comparison to a slower 'step up' algorithm. However, there remains a limited ability to identify those who would benefit most from early intensive therapy. AIM To develop a validated, individualised, web-based tool for patients and clinicians to visualise individualised risks for developing Crohn's disease complications. METHODS A well-characterised cohort of adult patients with CD was analysed. Available data included: demographics; clinical characteristics; serologic immune responses; NOD2 status; time from diagnosis to complication; and medication exposure. Cox proportional analyses were performed to model the probability of developing a CD complication over time. The Cox model was validated externally in two independent CD cohorts. Using system dynamics analysis (SDA), these results were transformed into a simple graphical web-based display to show patients their individualised probability of developing a complication over a 3-year period. RESULTS Two hundered and forty three CD patients were included in the final model of which 142 experienced a complication. Significant variables in the multivariate Cox model included small bowel disease (HR 2.12, CI 1.05-4.29), left colonic disease (HR 0.73, CI 0.49-1.09), perianal disease (HR 4.12, CI 1.01-16.88), ASCA (HR 1.35, CI 1.16-1.58), Cbir (HR 1.29, CI 1.07-1.55), ANCA (HR 0.77, CI 0.62-0.95), and the NOD2 frameshift mutation/SNP13 (HR 2.13, CI 1.33-3.40). The Harrell's C (concordance index for predictive accuracy of the model) = 0.73. When applied to the two external validation cohorts (adult n = 109, pediatric n = 392), the concordance index was 0.73 and 0.75, respectively, for adult and pediatric patients. CONCLUSIONS A validated, web-based tool has been developed to display an individualised predicted outcome for adult patients with Crohn's disease based on clinical, serologic and genetic variables. This tool can be used to help providers and patients make personalised decisions about treatment options.", "author" : [ { "dropping-particle" : "", "family" : "Siegel", "given" : "C. A.", "non-dropping-particle" : "", "parse-names" : false, "suffix" : "" }, { "dropping-particle" : "", "family" : "Horton", "given" : "H.", "non-dropping-particle" : "", "parse-names" : false, "suffix" : "" }, { "dropping-particle" : "", "family" : "Siegel", "given" : "L. S.", "non-dropping-particle" : "", "parse-names" : false, "suffix" : "" }, { "dropping-particle" : "", "family" : "Thompson", "given" : "K. D.", "non-dropping-particle" : "", "parse-names" : false, "suffix" : "" }, { "dropping-particle" : "", "family" : "Mackenzie", "given" : "T.", "non-dropping-particle" : "", "parse-names" : false, "suffix" : "" }, { "dropping-particle" : "", "family" : "Stewart", "given" : "S. K.", "non-dropping-particle" : "", "parse-names" : false, "suffix" : "" }, { "dropping-particle" : "", "family" : "Rice", "given" : "P. W.", "non-dropping-particle" : "", "parse-names" : false, "suffix" : "" }, { "dropping-particle" : "", "family" : "Stempak", "given" : "J. M.", "non-dropping-particle" : "", "parse-names" : false, "suffix" : "" }, { "dropping-particle" : "", "family" : "Dezfoli", "given" : "S.", "non-dropping-particle" : "", "parse-names" : false, "suffix" : "" }, { "dropping-particle" : "", "family" : "Haritunians", "given" : "T.", "non-dropping-particle" : "", "parse-names" : false, "suffix" : "" }, { "dropping-particle" : "", "family" : "Levy", "given" : "A.", "non-dropping-particle" : "", "parse-names" : false, "suffix" : "" }, { "dropping-particle" : "", "family" : "Baek", "given" : "M.", "non-dropping-particle" : "", "parse-names" : false, "suffix" : "" }, { "dropping-particle" : "", "family" : "Milgrom", "given" : "R.", "non-dropping-particle" : "", "parse-names" : false, "suffix" : "" }, { "dropping-particle" : "", "family" : "Dulai", "given" : "P. S.", "non-dropping-particle" : "", "parse-names" : false, "suffix" : "" }, { "dropping-particle" : "", "family" : "Targan", "given" : "S. R.", "non-dropping-particle" : "", "parse-names" : false, "suffix" : "" }, { "dropping-particle" : "", "family" : "Silverberg", "given" : "M. S.", "non-dropping-particle" : "", "parse-names" : false, "suffix" : "" }, { "dropping-particle" : "", "family" : "Dubinsky", "given" : "M. C.", "non-dropping-particle" : "", "parse-names" : false, "suffix" : "" }, { "dropping-particle" : "", "family" : "McGovern", "given" : "D. P.", "non-dropping-particle" : "", "parse-names" : false, "suffix" : "" } ], "container-title" : "Alimentary Pharmacology &amp; Therapeutics", "id" : "ITEM-1", "issue" : "2", "issued" : { "date-parts" : [ [ "2016", "1" ] ] }, "page" : "262-271", "title" : "A validated web-based tool to display individualised Crohn's disease predicted outcomes based on clinical, serologic and genetic variables", "type" : "article-journal", "volume" : "43" }, "uris" : [ "http://www.mendeley.com/documents/?uuid=4d2a5741-4129-30a2-91c6-0a713c14ecc6" ] } ], "mendeley" : { "formattedCitation" : "[50]", "plainTextFormattedCitation" : "[50]", "previouslyFormattedCitation" : "[49]" }, "properties" : { "noteIndex" : 0 }, "schema" : "https://github.com/citation-style-language/schema/raw/master/csl-citation.json" }</w:instrText>
      </w:r>
      <w:r w:rsidR="007E5367">
        <w:fldChar w:fldCharType="separate"/>
      </w:r>
      <w:r w:rsidR="00E11DF8" w:rsidRPr="00E11DF8">
        <w:rPr>
          <w:noProof/>
        </w:rPr>
        <w:t>[50]</w:t>
      </w:r>
      <w:r w:rsidR="007E5367">
        <w:fldChar w:fldCharType="end"/>
      </w:r>
      <w:r w:rsidR="007E5367">
        <w:t xml:space="preserve">. </w:t>
      </w:r>
    </w:p>
    <w:p w14:paraId="045B9A0A" w14:textId="49DDC901" w:rsidR="001526CF" w:rsidRPr="00C3156F" w:rsidRDefault="00C3156F" w:rsidP="006A0590">
      <w:pPr>
        <w:spacing w:line="480" w:lineRule="auto"/>
      </w:pPr>
      <w:r w:rsidRPr="00C3156F">
        <w:t xml:space="preserve">This study </w:t>
      </w:r>
      <w:r>
        <w:t xml:space="preserve">benefits from a complete and prospectively entered </w:t>
      </w:r>
      <w:r w:rsidR="00682749">
        <w:t xml:space="preserve">Wessex paediatric IBD database, although some data (surgical and anti-TNF) </w:t>
      </w:r>
      <w:r w:rsidR="00C27072">
        <w:t>were</w:t>
      </w:r>
      <w:r w:rsidR="00682749">
        <w:t xml:space="preserve"> added through automated integration of the electronic patient record </w:t>
      </w:r>
      <w:r w:rsidR="001526CF">
        <w:t xml:space="preserve">at the time of analysis. Additional data on other medications (thiopurines, 5-aminosalicylates, methotrexate etc.) was not available </w:t>
      </w:r>
      <w:r w:rsidR="00610977">
        <w:t>throughout the entire study period, preventing comparison</w:t>
      </w:r>
      <w:r w:rsidR="00741038">
        <w:t xml:space="preserve"> or </w:t>
      </w:r>
      <w:r w:rsidR="00DA0E37">
        <w:t>correction (as potential confounders)</w:t>
      </w:r>
      <w:r w:rsidR="00610977">
        <w:t xml:space="preserve"> over ti</w:t>
      </w:r>
      <w:r w:rsidR="0094558E">
        <w:t>me. However p</w:t>
      </w:r>
      <w:r w:rsidR="002F0730">
        <w:t xml:space="preserve">rescribing practices of thiopurines based on local, national and international guidance </w:t>
      </w:r>
      <w:r w:rsidR="00734502">
        <w:t xml:space="preserve">has </w:t>
      </w:r>
      <w:r w:rsidR="002F0730">
        <w:t xml:space="preserve">not changed significantly over this time </w:t>
      </w:r>
      <w:r w:rsidR="002F0730">
        <w:fldChar w:fldCharType="begin" w:fldLock="1"/>
      </w:r>
      <w:r w:rsidR="00E11DF8">
        <w:instrText>ADDIN CSL_CITATION { "citationItems" : [ { "id" : "ITEM-1", "itemData" : { "DOI" : "10.1016/j.crohns.2014.04.005", "ISSN" : "1876-4479", "author" : [ { "dropping-particle" : "", "family" : "Ruemmele", "given" : "F M", "non-dropping-particle" : "", "parse-names" : false, "suffix" : "" }, { "dropping-particle" : "", "family" : "Veres", "given" : "G", "non-dropping-particle" : "", "parse-names" : false, "suffix" : "" }, { "dropping-particle" : "", "family" : "Kolho", "given" : "K L", "non-dropping-particle" : "", "parse-names" : false, "suffix" : "" }, { "dropping-particle" : "", "family" : "Griffiths", "given" : "A", "non-dropping-particle" : "", "parse-names" : false, "suffix" : "" }, { "dropping-particle" : "", "family" : "Levine", "given" : "A", "non-dropping-particle" : "", "parse-names" : false, "suffix" : "" }, { "dropping-particle" : "", "family" : "Escher", "given" : "J C", "non-dropping-particle" : "", "parse-names" : false, "suffix" : "" }, { "dropping-particle" : "", "family" : "Amil Dias", "given" : "J", "non-dropping-particle" : "", "parse-names" : false, "suffix" : "" }, { "dropping-particle" : "", "family" : "Barabino", "given" : "A", "non-dropping-particle" : "", "parse-names" : false, "suffix" : "" }, { "dropping-particle" : "", "family" : "Braegger", "given" : "C P", "non-dropping-particle" : "", "parse-names" : false, "suffix" : "" }, { "dropping-particle" : "", "family" : "Bronsky", "given" : "J", "non-dropping-particle" : "", "parse-names" : false, "suffix" : "" }, { "dropping-particle" : "", "family" : "Buderus", "given" : "S", "non-dropping-particle" : "", "parse-names" : false, "suffix" : "" }, { "dropping-particle" : "", "family" : "Mart\u00edn-de-Carpi", "given" : "J", "non-dropping-particle" : "", "parse-names" : false, "suffix" : "" }, { "dropping-particle" : "", "family" : "Ridder", "given" : "L", "non-dropping-particle" : "De", "parse-names" : false, "suffix" : "" }, { "dropping-particle" : "", "family" : "Fagerberg", "given" : "U L", "non-dropping-particle" : "", "parse-names" : false, "suffix" : "" }, { "dropping-particle" : "", "family" : "Hugot", "given" : "J P", "non-dropping-particle" : "", "parse-names" : false, "suffix" : "" }, { "dropping-particle" : "", "family" : "Kierkus", "given" : "J", "non-dropping-particle" : "", "parse-names" : false, "suffix" : "" }, { "dropping-particle" : "", "family" : "Kolacek", "given" : "S", "non-dropping-particle" : "", "parse-names" : false, "suffix" : "" }, { "dropping-particle" : "", "family" : "Koletzko", "given" : "S", "non-dropping-particle" : "", "parse-names" : false, "suffix" : "" }, { "dropping-particle" : "", "family" : "Lionetti", "given" : "P", "non-dropping-particle" : "", "parse-names" : false, "suffix" : "" }, { "dropping-particle" : "", "family" : "Miele", "given" : "E", "non-dropping-particle" : "", "parse-names" : false, "suffix" : "" }, { "dropping-particle" : "", "family" : "Navas L\u00f3pez", "given" : "V M", "non-dropping-particle" : "", "parse-names" : false, "suffix" : "" }, { "dropping-particle" : "", "family" : "Paerregaard", "given" : "A", "non-dropping-particle" : "", "parse-names" : false, "suffix" : "" }, { "dropping-particle" : "", "family" : "Russell", "given" : "R K", "non-dropping-particle" : "", "parse-names" : false, "suffix" : "" }, { "dropping-particle" : "", "family" : "Serban", "given" : "D E", "non-dropping-particle" : "", "parse-names" : false, "suffix" : "" }, { "dropping-particle" : "", "family" : "Shaoul", "given" : "R", "non-dropping-particle" : "", "parse-names" : false, "suffix" : "" }, { "dropping-particle" : "", "family" : "Rheenen", "given" : "P", "non-dropping-particle" : "Van", "parse-names" : false, "suffix" : "" }, { "dropping-particle" : "", "family" : "Veereman", "given" : "G", "non-dropping-particle" : "", "parse-names" : false, "suffix" : "" }, { "dropping-particle" : "", "family" : "Weiss", "given" : "B", "non-dropping-particle" : "", "parse-names" : false, "suffix" : "" }, { "dropping-particle" : "", "family" : "Wilson", "given" : "D", "non-dropping-particle" : "", "parse-names" : false, "suffix" : "" }, { "dropping-particle" : "", "family" : "Dignass", "given" : "A", "non-dropping-particle" : "", "parse-names" : false, "suffix" : "" }, { "dropping-particle" : "", "family" : "Eliakim", "given" : "A", "non-dropping-particle" : "", "parse-names" : false, "suffix" : "" }, { "dropping-particle" : "", "family" : "Winter", "given" : "H", "non-dropping-particle" : "", "parse-names" : false, "suffix" : "" }, { "dropping-particle" : "", "family" : "Turner", "given" : "D", "non-dropping-particle" : "", "parse-names" : false, "suffix" : "" }, { "dropping-particle" : "", "family" : "Organisation", "given" : "European Crohn's", "non-dropping-particle" : "", "parse-names" : false, "suffix" : "" }, { "dropping-particle" : "", "family" : "Colitis", "given" : "", "non-dropping-particle" : "", "parse-names" : false, "suffix" : "" }, { "dropping-particle" : "", "family" : "of Pediatric Gastroenterology", "given" : "H.patology", "non-dropping-particle" : "", "parse-names" : false, "suffix" : "" }, { "dropping-particle" : "", "family" : "Nutrition", "given" : "", "non-dropping-particle" : "", "parse-names" : false, "suffix" : "" } ], "container-title" : "J Crohns Colitis", "id" : "ITEM-1", "issue" : "10", "issued" : { "date-parts" : [ [ "2014" ] ] }, "page" : "1179-1207", "title" : "Consensus guidelines of ECCO/ESPGHAN on the medical management of pediatric Crohn's disease", "type" : "article-journal", "volume" : "8" }, "uris" : [ "http://www.mendeley.com/documents/?uuid=0abc6c58-8f5a-406a-a941-b10e83e85b22" ] }, { "id" : "ITEM-2", "itemData" : { "DOI" : "10.1097/MPG.0b013e3182662233", "ISSN" : "1536-4801", "author" : [ { "dropping-particle" : "", "family" : "Turner", "given" : "D", "non-dropping-particle" : "", "parse-names" : false, "suffix" : "" }, { "dropping-particle" : "", "family" : "Levine", "given" : "A", "non-dropping-particle" : "", "parse-names" : false, "suffix" : "" }, { "dropping-particle" : "", "family" : "Escher", "given" : "J C", "non-dropping-particle" : "", "parse-names" : false, "suffix" : "" }, { "dropping-particle" : "", "family" : "Griffiths", "given" : "A M", "non-dropping-particle" : "", "parse-names" : false, "suffix" : "" }, { "dropping-particle" : "", "family" : "Russell", "given" : "R K", "non-dropping-particle" : "", "parse-names" : false, "suffix" : "" }, { "dropping-particle" : "", "family" : "Dignass", "given" : "A", "non-dropping-particle" : "", "parse-names" : false, "suffix" : "" }, { "dropping-particle" : "", "family" : "Dias", "given" : "J A", "non-dropping-particle" : "", "parse-names" : false, "suffix" : "" }, { "dropping-particle" : "", "family" : "Bronsky", "given" : "J", "non-dropping-particle" : "", "parse-names" : false, "suffix" : "" }, { "dropping-particle" : "", "family" : "Braegger", "given" : "C P", "non-dropping-particle" : "", "parse-names" : false, "suffix" : "" }, { "dropping-particle" : "", "family" : "Cucchiara", "given" : "S", "non-dropping-particle" : "", "parse-names" : false, "suffix" : "" }, { "dropping-particle" : "", "family" : "Ridder", "given" : "L", "non-dropping-particle" : "de", "parse-names" : false, "suffix" : "" }, { "dropping-particle" : "", "family" : "Fagerberg", "given" : "U L", "non-dropping-particle" : "", "parse-names" : false, "suffix" : "" }, { "dropping-particle" : "", "family" : "Hussey", "given" : "S", "non-dropping-particle" : "", "parse-names" : false, "suffix" : "" }, { "dropping-particle" : "", "family" : "Hugot", "given" : "J P", "non-dropping-particle" : "", "parse-names" : false, "suffix" : "" }, { "dropping-particle" : "", "family" : "Kolacek", "given" : "S", "non-dropping-particle" : "", "parse-names" : false, "suffix" : "" }, { "dropping-particle" : "", "family" : "Kolho", "given" : "K L", "non-dropping-particle" : "", "parse-names" : false, "suffix" : "" }, { "dropping-particle" : "", "family" : "Lionetti", "given" : "P", "non-dropping-particle" : "", "parse-names" : false, "suffix" : "" }, { "dropping-particle" : "", "family" : "Paerregaard", "given" : "A", "non-dropping-particle" : "", "parse-names" : false, "suffix" : "" }, { "dropping-particle" : "", "family" : "Potapov", "given" : "A", "non-dropping-particle" : "", "parse-names" : false, "suffix" : "" }, { "dropping-particle" : "", "family" : "Rintala", "given" : "R", "non-dropping-particle" : "", "parse-names" : false, "suffix" : "" }, { "dropping-particle" : "", "family" : "Serban", "given" : "D E", "non-dropping-particle" : "", "parse-names" : false, "suffix" : "" }, { "dropping-particle" : "", "family" : "Staiano", "given" : "A", "non-dropping-particle" : "", "parse-names" : false, "suffix" : "" }, { "dropping-particle" : "", "family" : "Sweeny", "given" : "B", "non-dropping-particle" : "", "parse-names" : false, "suffix" : "" }, { "dropping-particle" : "", "family" : "Veerman", "given" : "G", "non-dropping-particle" : "", "parse-names" : false, "suffix" : "" }, { "dropping-particle" : "", "family" : "Veres", "given" : "G", "non-dropping-particle" : "", "parse-names" : false, "suffix" : "" }, { "dropping-particle" : "", "family" : "Wilson", "given" : "D C", "non-dropping-particle" : "", "parse-names" : false, "suffix" : "" }, { "dropping-particle" : "", "family" : "Ruemmele", "given" : "F M", "non-dropping-particle" : "", "parse-names" : false, "suffix" : "" }, { "dropping-particle" : "", "family" : "Organization", "given" : "European Crohn's", "non-dropping-particle" : "", "parse-names" : false, "suffix" : "" }, { "dropping-particle" : "", "family" : "Colitis", "given" : "", "non-dropping-particle" : "", "parse-names" : false, "suffix" : "" }, { "dropping-particle" : "", "family" : "for Paediatric Gastroenterology H.patology", "given" : "", "non-dropping-particle" : "", "parse-names" : false, "suffix" : "" }, { "dropping-particle" : "", "family" : "Nutrition", "given" : "", "non-dropping-particle" : "", "parse-names" : false, "suffix" : "" } ], "container-title" : "J Pediatr Gastroenterol Nutr", "id" : "ITEM-2", "issue" : "3", "issued" : { "date-parts" : [ [ "2012" ] ] }, "page" : "340-361", "title" : "Management of pediatric ulcerative colitis: joint ECCO and ESPGHAN evidence-based consensus guidelines", "type" : "article-journal", "volume" : "55" }, "uris" : [ "http://www.mendeley.com/documents/?uuid=f7ae6c23-2151-4bb2-81b0-86dcec9ba9ba" ] }, { "id" : "ITEM-3", "itemData" : { "DOI" : "10.1136/archdischild-2014-307217", "ISSN" : "1468-2044", "author" : [ { "dropping-particle" : "", "family" : "Kammermeier", "given" : "J", "non-dropping-particle" : "", "parse-names" : false, "suffix" : "" }, { "dropping-particle" : "", "family" : "Morris", "given" : "M A", "non-dropping-particle" : "", "parse-names" : false, "suffix" : "" }, { "dropping-particle" : "", "family" : "Garrick", "given" : "V", "non-dropping-particle" : "", "parse-names" : false, "suffix" : "" }, { "dropping-particle" : "", "family" : "Furman", "given" : "M", "non-dropping-particle" : "", "parse-names" : false, "suffix" : "" }, { "dropping-particle" : "", "family" : "Rodrigues", "given" : "A", "non-dropping-particle" : "", "parse-names" : false, "suffix" : "" }, { "dropping-particle" : "", "family" : "Russell", "given" : "R K", "non-dropping-particle" : "", "parse-names" : false, "suffix" : "" }, { "dropping-particle" : "", "family" : "Group", "given" : "BSPGHAN I B D Working", "non-dropping-particle" : "", "parse-names" : false, "suffix" : "" } ], "container-title" : "Arch Dis Child", "id" : "ITEM-3", "issue" : "5", "issued" : { "date-parts" : [ [ "2016" ] ] }, "page" : "475-480", "title" : "Management of Crohn's disease", "type" : "article-journal", "volume" : "101" }, "uris" : [ "http://www.mendeley.com/documents/?uuid=0315e1d7-e593-4d21-8114-6859f41e833e" ] }, { "id" : "ITEM-4", "itemData" : { "DOI" : "10.1097/MPG.0b013e3181c92c53", "ISSN" : "1536-4801", "author" : [ { "dropping-particle" : "", "family" : "Sandhu", "given" : "B K", "non-dropping-particle" : "", "parse-names" : false, "suffix" : "" }, { "dropping-particle" : "", "family" : "Fell", "given" : "J M", "non-dropping-particle" : "", "parse-names" : false, "suffix" : "" }, { "dropping-particle" : "", "family" : "Beattie", "given" : "R M", "non-dropping-particle" : "", "parse-names" : false, "suffix" : "" }, { "dropping-particle" : "", "family" : "Mitton", "given" : "S G", "non-dropping-particle" : "", "parse-names" : false, "suffix" : "" }, { "dropping-particle" : "", "family" : "Wilson", "given" : "D C", "non-dropping-particle" : "", "parse-names" : false, "suffix" : "" }, { "dropping-particle" : "", "family" : "Jenkins", "given" : "H", "non-dropping-particle" : "", "parse-names" : false, "suffix" : "" }, { "dropping-particle" : "", "family" : "of the British Society of Paediatric Gastroenterology H.patology", "given" : "", "non-dropping-particle" : "", "parse-names" : false, "suffix" : "" }, { "dropping-particle" : "", "family" : "Nutrition", "given" : "", "non-dropping-particle" : "", "parse-names" : false, "suffix" : "" } ], "container-title" : "J Pediatr Gastroenterol Nutr", "id" : "ITEM-4", "issued" : { "date-parts" : [ [ "2010" ] ] }, "page" : "S1-13", "title" : "Guidelines for the management of inflammatory bowel disease in children in the United Kingdom", "type" : "article-journal", "volume" : "50 Suppl 1" }, "uris" : [ "http://www.mendeley.com/documents/?uuid=3d063fb3-791f-4580-9e1a-237dec3c528e" ] } ], "mendeley" : { "formattedCitation" : "[38,51\u201353]", "plainTextFormattedCitation" : "[38,51\u201353]", "previouslyFormattedCitation" : "[37,50\u201352]" }, "properties" : { "noteIndex" : 0 }, "schema" : "https://github.com/citation-style-language/schema/raw/master/csl-citation.json" }</w:instrText>
      </w:r>
      <w:r w:rsidR="002F0730">
        <w:fldChar w:fldCharType="separate"/>
      </w:r>
      <w:r w:rsidR="00E11DF8" w:rsidRPr="00E11DF8">
        <w:rPr>
          <w:noProof/>
        </w:rPr>
        <w:t>[38,51–53]</w:t>
      </w:r>
      <w:r w:rsidR="002F0730">
        <w:fldChar w:fldCharType="end"/>
      </w:r>
      <w:r w:rsidR="002F0730">
        <w:t xml:space="preserve">. </w:t>
      </w:r>
      <w:r w:rsidR="002B531A">
        <w:t xml:space="preserve">Other potential confounders include improved imaging, </w:t>
      </w:r>
      <w:r w:rsidR="002B531A">
        <w:lastRenderedPageBreak/>
        <w:t xml:space="preserve">improved staff training and improved supportive </w:t>
      </w:r>
      <w:proofErr w:type="gramStart"/>
      <w:r w:rsidR="002B531A">
        <w:t>therapy which</w:t>
      </w:r>
      <w:proofErr w:type="gramEnd"/>
      <w:r w:rsidR="002B531A">
        <w:t xml:space="preserve"> we were unable to account for. </w:t>
      </w:r>
      <w:r w:rsidR="00093EC1">
        <w:t xml:space="preserve">Surgical </w:t>
      </w:r>
      <w:proofErr w:type="gramStart"/>
      <w:r w:rsidR="00093EC1">
        <w:t>decision making</w:t>
      </w:r>
      <w:proofErr w:type="gramEnd"/>
      <w:r w:rsidR="00093EC1">
        <w:t xml:space="preserve"> was made by a team of four paediatric gastroenterologists, eight paediatric surgeons and two adult surgeons over the study period, reflecting shared decision making over the 11 years. </w:t>
      </w:r>
      <w:r w:rsidR="009B1482">
        <w:t xml:space="preserve">Additionally there is no </w:t>
      </w:r>
      <w:proofErr w:type="spellStart"/>
      <w:proofErr w:type="gramStart"/>
      <w:r w:rsidR="009B1482">
        <w:t>well established</w:t>
      </w:r>
      <w:proofErr w:type="spellEnd"/>
      <w:proofErr w:type="gramEnd"/>
      <w:r w:rsidR="009B1482">
        <w:t xml:space="preserve"> longitudinal disease severity score, describing disease severity over several years, preventing normalisation of data by disease severity. </w:t>
      </w:r>
    </w:p>
    <w:p w14:paraId="493135E4" w14:textId="77777777" w:rsidR="00976F3E" w:rsidRDefault="00DF7142" w:rsidP="006A0590">
      <w:pPr>
        <w:spacing w:line="480" w:lineRule="auto"/>
        <w:rPr>
          <w:i/>
          <w:u w:val="single"/>
        </w:rPr>
      </w:pPr>
      <w:r w:rsidRPr="00DF7142">
        <w:rPr>
          <w:i/>
          <w:u w:val="single"/>
        </w:rPr>
        <w:t>Conclusions</w:t>
      </w:r>
    </w:p>
    <w:p w14:paraId="7FED57DF" w14:textId="1C01410A" w:rsidR="00DF7142" w:rsidRPr="00DF7142" w:rsidRDefault="00DF7142" w:rsidP="006A0590">
      <w:pPr>
        <w:spacing w:line="480" w:lineRule="auto"/>
      </w:pPr>
      <w:r>
        <w:t>There is a statistically significant increase in the prevalence of a</w:t>
      </w:r>
      <w:r w:rsidR="00861184">
        <w:t>nti-TNF therapy</w:t>
      </w:r>
      <w:r w:rsidR="00C27072" w:rsidRPr="00C27072">
        <w:t xml:space="preserve"> </w:t>
      </w:r>
      <w:r w:rsidR="00C27072">
        <w:t xml:space="preserve">over the </w:t>
      </w:r>
      <w:proofErr w:type="gramStart"/>
      <w:r w:rsidR="00C27072">
        <w:t>11 year</w:t>
      </w:r>
      <w:proofErr w:type="gramEnd"/>
      <w:r w:rsidR="00C27072">
        <w:t xml:space="preserve"> study period</w:t>
      </w:r>
      <w:r w:rsidR="00861184">
        <w:t xml:space="preserve">. </w:t>
      </w:r>
      <w:r w:rsidR="00C27072">
        <w:t xml:space="preserve">Over the same time, there was a significant decrease in the surgical resection rate in paediatric IBD. </w:t>
      </w:r>
      <w:r w:rsidR="0094558E">
        <w:t>The</w:t>
      </w:r>
      <w:r w:rsidR="009953BC">
        <w:t>se data suggest that</w:t>
      </w:r>
      <w:r w:rsidR="0094558E">
        <w:t xml:space="preserve"> anti-TNF therapy </w:t>
      </w:r>
      <w:r w:rsidR="009953BC">
        <w:t>may be modifying</w:t>
      </w:r>
      <w:r w:rsidR="0094558E">
        <w:t xml:space="preserve"> the natu</w:t>
      </w:r>
      <w:r w:rsidR="009953BC">
        <w:t>ral history of IBD in childhood</w:t>
      </w:r>
      <w:r w:rsidR="0094558E">
        <w:t>. Progression to personalising therapy within paediatric IBD now appears to be the next major challenge</w:t>
      </w:r>
      <w:r w:rsidR="005079B3">
        <w:t>, balancing</w:t>
      </w:r>
      <w:r w:rsidR="00734502">
        <w:t xml:space="preserve"> </w:t>
      </w:r>
      <w:r w:rsidR="00601213">
        <w:t>which patients</w:t>
      </w:r>
      <w:r w:rsidR="00734502">
        <w:t xml:space="preserve"> would benefit from early introduction of anti-TNF therapy and </w:t>
      </w:r>
      <w:r w:rsidR="00601213">
        <w:t>those where</w:t>
      </w:r>
      <w:r w:rsidR="00734502">
        <w:t xml:space="preserve"> a</w:t>
      </w:r>
      <w:r w:rsidR="00601213">
        <w:t>n</w:t>
      </w:r>
      <w:r w:rsidR="00734502">
        <w:t xml:space="preserve"> </w:t>
      </w:r>
      <w:r w:rsidR="00601213">
        <w:t>expectant</w:t>
      </w:r>
      <w:r w:rsidR="00734502">
        <w:t xml:space="preserve"> approach </w:t>
      </w:r>
      <w:proofErr w:type="gramStart"/>
      <w:r w:rsidR="00734502">
        <w:t>can be adopted</w:t>
      </w:r>
      <w:proofErr w:type="gramEnd"/>
      <w:r w:rsidR="00734502">
        <w:t xml:space="preserve">.   </w:t>
      </w:r>
    </w:p>
    <w:p w14:paraId="4F51035E" w14:textId="77777777" w:rsidR="006345BF" w:rsidRDefault="006345BF" w:rsidP="006A0590">
      <w:pPr>
        <w:spacing w:line="480" w:lineRule="auto"/>
        <w:rPr>
          <w:u w:val="single"/>
        </w:rPr>
      </w:pPr>
    </w:p>
    <w:p w14:paraId="71FB02A4" w14:textId="77777777" w:rsidR="006345BF" w:rsidRDefault="006345BF" w:rsidP="006A0590">
      <w:pPr>
        <w:spacing w:line="480" w:lineRule="auto"/>
        <w:rPr>
          <w:u w:val="single"/>
        </w:rPr>
      </w:pPr>
    </w:p>
    <w:p w14:paraId="45A13115" w14:textId="77777777" w:rsidR="006345BF" w:rsidRDefault="006345BF" w:rsidP="006A0590">
      <w:pPr>
        <w:spacing w:line="480" w:lineRule="auto"/>
        <w:rPr>
          <w:u w:val="single"/>
        </w:rPr>
      </w:pPr>
    </w:p>
    <w:p w14:paraId="53E4D4DC" w14:textId="77777777" w:rsidR="006345BF" w:rsidRDefault="006345BF" w:rsidP="006A0590">
      <w:pPr>
        <w:spacing w:line="480" w:lineRule="auto"/>
        <w:rPr>
          <w:u w:val="single"/>
        </w:rPr>
      </w:pPr>
    </w:p>
    <w:p w14:paraId="0CC6DAC9" w14:textId="77777777" w:rsidR="006345BF" w:rsidRDefault="006345BF" w:rsidP="006A0590">
      <w:pPr>
        <w:spacing w:line="480" w:lineRule="auto"/>
        <w:rPr>
          <w:u w:val="single"/>
        </w:rPr>
      </w:pPr>
    </w:p>
    <w:p w14:paraId="43C402D9" w14:textId="77777777" w:rsidR="006345BF" w:rsidRDefault="006345BF" w:rsidP="006A0590">
      <w:pPr>
        <w:spacing w:line="480" w:lineRule="auto"/>
        <w:rPr>
          <w:u w:val="single"/>
        </w:rPr>
      </w:pPr>
    </w:p>
    <w:p w14:paraId="51AE10A7" w14:textId="77777777" w:rsidR="006345BF" w:rsidRDefault="006345BF" w:rsidP="006A0590">
      <w:pPr>
        <w:spacing w:line="480" w:lineRule="auto"/>
        <w:rPr>
          <w:u w:val="single"/>
        </w:rPr>
      </w:pPr>
    </w:p>
    <w:p w14:paraId="1DC1BDFF" w14:textId="77777777" w:rsidR="006345BF" w:rsidRDefault="006345BF" w:rsidP="006A0590">
      <w:pPr>
        <w:spacing w:line="480" w:lineRule="auto"/>
        <w:rPr>
          <w:u w:val="single"/>
        </w:rPr>
      </w:pPr>
    </w:p>
    <w:p w14:paraId="2CA2A59F" w14:textId="77777777" w:rsidR="006345BF" w:rsidRDefault="006345BF" w:rsidP="006A0590">
      <w:pPr>
        <w:spacing w:line="480" w:lineRule="auto"/>
        <w:rPr>
          <w:u w:val="single"/>
        </w:rPr>
      </w:pPr>
    </w:p>
    <w:p w14:paraId="6915A954" w14:textId="77777777" w:rsidR="00BE27BB" w:rsidRDefault="00BE27BB" w:rsidP="00E65117">
      <w:pPr>
        <w:spacing w:line="480" w:lineRule="auto"/>
        <w:rPr>
          <w:u w:val="single"/>
        </w:rPr>
      </w:pPr>
    </w:p>
    <w:p w14:paraId="6D67E4F7" w14:textId="77777777" w:rsidR="00697166" w:rsidRDefault="00697166" w:rsidP="006A0590">
      <w:pPr>
        <w:spacing w:line="480" w:lineRule="auto"/>
        <w:rPr>
          <w:u w:val="single"/>
        </w:rPr>
      </w:pPr>
      <w:r>
        <w:rPr>
          <w:u w:val="single"/>
        </w:rPr>
        <w:lastRenderedPageBreak/>
        <w:t>References</w:t>
      </w:r>
    </w:p>
    <w:p w14:paraId="07AAA24B" w14:textId="6C3E5951" w:rsidR="00E11DF8" w:rsidRPr="00E11DF8" w:rsidRDefault="00697166" w:rsidP="00E11DF8">
      <w:pPr>
        <w:widowControl w:val="0"/>
        <w:autoSpaceDE w:val="0"/>
        <w:autoSpaceDN w:val="0"/>
        <w:adjustRightInd w:val="0"/>
        <w:spacing w:line="480" w:lineRule="auto"/>
        <w:ind w:left="640" w:hanging="640"/>
        <w:rPr>
          <w:rFonts w:ascii="Calibri" w:hAnsi="Calibri" w:cs="Calibri"/>
          <w:noProof/>
          <w:szCs w:val="24"/>
        </w:rPr>
      </w:pPr>
      <w:r>
        <w:rPr>
          <w:u w:val="single"/>
        </w:rPr>
        <w:fldChar w:fldCharType="begin" w:fldLock="1"/>
      </w:r>
      <w:r>
        <w:rPr>
          <w:u w:val="single"/>
        </w:rPr>
        <w:instrText xml:space="preserve">ADDIN Mendeley Bibliography CSL_BIBLIOGRAPHY </w:instrText>
      </w:r>
      <w:r>
        <w:rPr>
          <w:u w:val="single"/>
        </w:rPr>
        <w:fldChar w:fldCharType="separate"/>
      </w:r>
      <w:r w:rsidR="00E11DF8" w:rsidRPr="00E11DF8">
        <w:rPr>
          <w:rFonts w:ascii="Calibri" w:hAnsi="Calibri" w:cs="Calibri"/>
          <w:noProof/>
          <w:szCs w:val="24"/>
        </w:rPr>
        <w:t xml:space="preserve">1 </w:t>
      </w:r>
      <w:r w:rsidR="00E11DF8" w:rsidRPr="00E11DF8">
        <w:rPr>
          <w:rFonts w:ascii="Calibri" w:hAnsi="Calibri" w:cs="Calibri"/>
          <w:noProof/>
          <w:szCs w:val="24"/>
        </w:rPr>
        <w:tab/>
        <w:t xml:space="preserve">Oliveira SB, Monteiro IM. Diagnosis and management of inflammatory bowel disease in children. </w:t>
      </w:r>
      <w:r w:rsidR="00E11DF8" w:rsidRPr="00E11DF8">
        <w:rPr>
          <w:rFonts w:ascii="Calibri" w:hAnsi="Calibri" w:cs="Calibri"/>
          <w:i/>
          <w:iCs/>
          <w:noProof/>
          <w:szCs w:val="24"/>
        </w:rPr>
        <w:t>BMJ</w:t>
      </w:r>
      <w:r w:rsidR="00E11DF8" w:rsidRPr="00E11DF8">
        <w:rPr>
          <w:rFonts w:ascii="Calibri" w:hAnsi="Calibri" w:cs="Calibri"/>
          <w:noProof/>
          <w:szCs w:val="24"/>
        </w:rPr>
        <w:t xml:space="preserve"> 2017;</w:t>
      </w:r>
      <w:r w:rsidR="00E11DF8" w:rsidRPr="00E11DF8">
        <w:rPr>
          <w:rFonts w:ascii="Calibri" w:hAnsi="Calibri" w:cs="Calibri"/>
          <w:b/>
          <w:bCs/>
          <w:noProof/>
          <w:szCs w:val="24"/>
        </w:rPr>
        <w:t>357</w:t>
      </w:r>
      <w:r w:rsidR="00E11DF8" w:rsidRPr="00E11DF8">
        <w:rPr>
          <w:rFonts w:ascii="Calibri" w:hAnsi="Calibri" w:cs="Calibri"/>
          <w:noProof/>
          <w:szCs w:val="24"/>
        </w:rPr>
        <w:t>:j2083. doi:10.1136/BMJ.J2083</w:t>
      </w:r>
    </w:p>
    <w:p w14:paraId="3820C507"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 </w:t>
      </w:r>
      <w:r w:rsidRPr="00E11DF8">
        <w:rPr>
          <w:rFonts w:ascii="Calibri" w:hAnsi="Calibri" w:cs="Calibri"/>
          <w:noProof/>
          <w:szCs w:val="24"/>
        </w:rPr>
        <w:tab/>
        <w:t xml:space="preserve">Adler J, Sandberg KC, Shpeen BH, </w:t>
      </w:r>
      <w:r w:rsidRPr="00E11DF8">
        <w:rPr>
          <w:rFonts w:ascii="Calibri" w:hAnsi="Calibri" w:cs="Calibri"/>
          <w:i/>
          <w:iCs/>
          <w:noProof/>
          <w:szCs w:val="24"/>
        </w:rPr>
        <w:t>et al.</w:t>
      </w:r>
      <w:r w:rsidRPr="00E11DF8">
        <w:rPr>
          <w:rFonts w:ascii="Calibri" w:hAnsi="Calibri" w:cs="Calibri"/>
          <w:noProof/>
          <w:szCs w:val="24"/>
        </w:rPr>
        <w:t xml:space="preserve"> Variation in Infliximab Administration Practices in the Treatment of Pediatric Inflammatory Bowel Disease. </w:t>
      </w:r>
      <w:r w:rsidRPr="00E11DF8">
        <w:rPr>
          <w:rFonts w:ascii="Calibri" w:hAnsi="Calibri" w:cs="Calibri"/>
          <w:i/>
          <w:iCs/>
          <w:noProof/>
          <w:szCs w:val="24"/>
        </w:rPr>
        <w:t>J Pediatr Gastroenterol Nutr</w:t>
      </w:r>
      <w:r w:rsidRPr="00E11DF8">
        <w:rPr>
          <w:rFonts w:ascii="Calibri" w:hAnsi="Calibri" w:cs="Calibri"/>
          <w:noProof/>
          <w:szCs w:val="24"/>
        </w:rPr>
        <w:t xml:space="preserve"> 2013;</w:t>
      </w:r>
      <w:r w:rsidRPr="00E11DF8">
        <w:rPr>
          <w:rFonts w:ascii="Calibri" w:hAnsi="Calibri" w:cs="Calibri"/>
          <w:b/>
          <w:bCs/>
          <w:noProof/>
          <w:szCs w:val="24"/>
        </w:rPr>
        <w:t>57</w:t>
      </w:r>
      <w:r w:rsidRPr="00E11DF8">
        <w:rPr>
          <w:rFonts w:ascii="Calibri" w:hAnsi="Calibri" w:cs="Calibri"/>
          <w:noProof/>
          <w:szCs w:val="24"/>
        </w:rPr>
        <w:t>:35–8. doi:10.1097/MPG.0b013e31828f1ea2</w:t>
      </w:r>
    </w:p>
    <w:p w14:paraId="5C3376B5"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 </w:t>
      </w:r>
      <w:r w:rsidRPr="00E11DF8">
        <w:rPr>
          <w:rFonts w:ascii="Calibri" w:hAnsi="Calibri" w:cs="Calibri"/>
          <w:noProof/>
          <w:szCs w:val="24"/>
        </w:rPr>
        <w:tab/>
        <w:t xml:space="preserve">Hyams JS, Dubinsky MC, Baldassano RN, </w:t>
      </w:r>
      <w:r w:rsidRPr="00E11DF8">
        <w:rPr>
          <w:rFonts w:ascii="Calibri" w:hAnsi="Calibri" w:cs="Calibri"/>
          <w:i/>
          <w:iCs/>
          <w:noProof/>
          <w:szCs w:val="24"/>
        </w:rPr>
        <w:t>et al.</w:t>
      </w:r>
      <w:r w:rsidRPr="00E11DF8">
        <w:rPr>
          <w:rFonts w:ascii="Calibri" w:hAnsi="Calibri" w:cs="Calibri"/>
          <w:noProof/>
          <w:szCs w:val="24"/>
        </w:rPr>
        <w:t xml:space="preserve"> Infliximab not Associated With Increased Risk of Malignancy or Hemophagocytic Lymphohistiocytosis in Pediatric Patients With Inflammatory Bowel Disease. </w:t>
      </w:r>
      <w:r w:rsidRPr="00E11DF8">
        <w:rPr>
          <w:rFonts w:ascii="Calibri" w:hAnsi="Calibri" w:cs="Calibri"/>
          <w:i/>
          <w:iCs/>
          <w:noProof/>
          <w:szCs w:val="24"/>
        </w:rPr>
        <w:t>Gastroenterology</w:t>
      </w:r>
      <w:r w:rsidRPr="00E11DF8">
        <w:rPr>
          <w:rFonts w:ascii="Calibri" w:hAnsi="Calibri" w:cs="Calibri"/>
          <w:noProof/>
          <w:szCs w:val="24"/>
        </w:rPr>
        <w:t xml:space="preserve"> Published Online First: 2017. doi:10.1053/j.gastro.2017.02.004</w:t>
      </w:r>
    </w:p>
    <w:p w14:paraId="3D5DDD7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 </w:t>
      </w:r>
      <w:r w:rsidRPr="00E11DF8">
        <w:rPr>
          <w:rFonts w:ascii="Calibri" w:hAnsi="Calibri" w:cs="Calibri"/>
          <w:noProof/>
          <w:szCs w:val="24"/>
        </w:rPr>
        <w:tab/>
        <w:t xml:space="preserve">Dave M, Loftus E V. Mucosal healing in inflammatory bowel disease-a true paradigm of success? </w:t>
      </w:r>
      <w:r w:rsidRPr="00E11DF8">
        <w:rPr>
          <w:rFonts w:ascii="Calibri" w:hAnsi="Calibri" w:cs="Calibri"/>
          <w:i/>
          <w:iCs/>
          <w:noProof/>
          <w:szCs w:val="24"/>
        </w:rPr>
        <w:t>Gastroenterol Hepatol (N Y)</w:t>
      </w:r>
      <w:r w:rsidRPr="00E11DF8">
        <w:rPr>
          <w:rFonts w:ascii="Calibri" w:hAnsi="Calibri" w:cs="Calibri"/>
          <w:noProof/>
          <w:szCs w:val="24"/>
        </w:rPr>
        <w:t xml:space="preserve"> 2012;</w:t>
      </w:r>
      <w:r w:rsidRPr="00E11DF8">
        <w:rPr>
          <w:rFonts w:ascii="Calibri" w:hAnsi="Calibri" w:cs="Calibri"/>
          <w:b/>
          <w:bCs/>
          <w:noProof/>
          <w:szCs w:val="24"/>
        </w:rPr>
        <w:t>8</w:t>
      </w:r>
      <w:r w:rsidRPr="00E11DF8">
        <w:rPr>
          <w:rFonts w:ascii="Calibri" w:hAnsi="Calibri" w:cs="Calibri"/>
          <w:noProof/>
          <w:szCs w:val="24"/>
        </w:rPr>
        <w:t>:29–38.https://www.ncbi.nlm.nih.gov/pmc/articles/PMC3277196/pdf/GH-08-29.pdf</w:t>
      </w:r>
    </w:p>
    <w:p w14:paraId="5504E9CD"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5 </w:t>
      </w:r>
      <w:r w:rsidRPr="00E11DF8">
        <w:rPr>
          <w:rFonts w:ascii="Calibri" w:hAnsi="Calibri" w:cs="Calibri"/>
          <w:noProof/>
          <w:szCs w:val="24"/>
        </w:rPr>
        <w:tab/>
        <w:t xml:space="preserve">de Buck van Overstraeten A, Wolthuis A, D’Hoore A. Surgery for Crohn’s disease in the era of biologicals: a reduced need or delayed verdict? </w:t>
      </w:r>
      <w:r w:rsidRPr="00E11DF8">
        <w:rPr>
          <w:rFonts w:ascii="Calibri" w:hAnsi="Calibri" w:cs="Calibri"/>
          <w:i/>
          <w:iCs/>
          <w:noProof/>
          <w:szCs w:val="24"/>
        </w:rPr>
        <w:t>World J Gastroenterol</w:t>
      </w:r>
      <w:r w:rsidRPr="00E11DF8">
        <w:rPr>
          <w:rFonts w:ascii="Calibri" w:hAnsi="Calibri" w:cs="Calibri"/>
          <w:noProof/>
          <w:szCs w:val="24"/>
        </w:rPr>
        <w:t xml:space="preserve"> 2012;</w:t>
      </w:r>
      <w:r w:rsidRPr="00E11DF8">
        <w:rPr>
          <w:rFonts w:ascii="Calibri" w:hAnsi="Calibri" w:cs="Calibri"/>
          <w:b/>
          <w:bCs/>
          <w:noProof/>
          <w:szCs w:val="24"/>
        </w:rPr>
        <w:t>18</w:t>
      </w:r>
      <w:r w:rsidRPr="00E11DF8">
        <w:rPr>
          <w:rFonts w:ascii="Calibri" w:hAnsi="Calibri" w:cs="Calibri"/>
          <w:noProof/>
          <w:szCs w:val="24"/>
        </w:rPr>
        <w:t>:3828–32. doi:10.3748/wjg.v18.i29.3828</w:t>
      </w:r>
    </w:p>
    <w:p w14:paraId="388A4EB1"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6 </w:t>
      </w:r>
      <w:r w:rsidRPr="00E11DF8">
        <w:rPr>
          <w:rFonts w:ascii="Calibri" w:hAnsi="Calibri" w:cs="Calibri"/>
          <w:noProof/>
          <w:szCs w:val="24"/>
        </w:rPr>
        <w:tab/>
        <w:t xml:space="preserve">Afzal NA, Ozzard A, Keady S, </w:t>
      </w:r>
      <w:r w:rsidRPr="00E11DF8">
        <w:rPr>
          <w:rFonts w:ascii="Calibri" w:hAnsi="Calibri" w:cs="Calibri"/>
          <w:i/>
          <w:iCs/>
          <w:noProof/>
          <w:szCs w:val="24"/>
        </w:rPr>
        <w:t>et al.</w:t>
      </w:r>
      <w:r w:rsidRPr="00E11DF8">
        <w:rPr>
          <w:rFonts w:ascii="Calibri" w:hAnsi="Calibri" w:cs="Calibri"/>
          <w:noProof/>
          <w:szCs w:val="24"/>
        </w:rPr>
        <w:t xml:space="preserve"> Infliximab Delays but Does Not Avoid the Need for Surgery in Treatment-Resistant Pediatric Crohn’ Disease. </w:t>
      </w:r>
      <w:r w:rsidRPr="00E11DF8">
        <w:rPr>
          <w:rFonts w:ascii="Calibri" w:hAnsi="Calibri" w:cs="Calibri"/>
          <w:i/>
          <w:iCs/>
          <w:noProof/>
          <w:szCs w:val="24"/>
        </w:rPr>
        <w:t>Dig Dis Sci</w:t>
      </w:r>
      <w:r w:rsidRPr="00E11DF8">
        <w:rPr>
          <w:rFonts w:ascii="Calibri" w:hAnsi="Calibri" w:cs="Calibri"/>
          <w:noProof/>
          <w:szCs w:val="24"/>
        </w:rPr>
        <w:t xml:space="preserve"> 2007;</w:t>
      </w:r>
      <w:r w:rsidRPr="00E11DF8">
        <w:rPr>
          <w:rFonts w:ascii="Calibri" w:hAnsi="Calibri" w:cs="Calibri"/>
          <w:b/>
          <w:bCs/>
          <w:noProof/>
          <w:szCs w:val="24"/>
        </w:rPr>
        <w:t>52</w:t>
      </w:r>
      <w:r w:rsidRPr="00E11DF8">
        <w:rPr>
          <w:rFonts w:ascii="Calibri" w:hAnsi="Calibri" w:cs="Calibri"/>
          <w:noProof/>
          <w:szCs w:val="24"/>
        </w:rPr>
        <w:t>:3329–33. doi:10.1007/s10620-007-8102-1</w:t>
      </w:r>
    </w:p>
    <w:p w14:paraId="2CF9A163"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7 </w:t>
      </w:r>
      <w:r w:rsidRPr="00E11DF8">
        <w:rPr>
          <w:rFonts w:ascii="Calibri" w:hAnsi="Calibri" w:cs="Calibri"/>
          <w:noProof/>
          <w:szCs w:val="24"/>
        </w:rPr>
        <w:tab/>
        <w:t xml:space="preserve">Kotze PG, Magro DO, Saab B, </w:t>
      </w:r>
      <w:r w:rsidRPr="00E11DF8">
        <w:rPr>
          <w:rFonts w:ascii="Calibri" w:hAnsi="Calibri" w:cs="Calibri"/>
          <w:i/>
          <w:iCs/>
          <w:noProof/>
          <w:szCs w:val="24"/>
        </w:rPr>
        <w:t>et al.</w:t>
      </w:r>
      <w:r w:rsidRPr="00E11DF8">
        <w:rPr>
          <w:rFonts w:ascii="Calibri" w:hAnsi="Calibri" w:cs="Calibri"/>
          <w:noProof/>
          <w:szCs w:val="24"/>
        </w:rPr>
        <w:t xml:space="preserve"> Comparison of time until elective intestinal resection regarding previous anti-tumor necrosis factor exposure: a Brazilian study on patients with Crohn’s disease. </w:t>
      </w:r>
      <w:r w:rsidRPr="00E11DF8">
        <w:rPr>
          <w:rFonts w:ascii="Calibri" w:hAnsi="Calibri" w:cs="Calibri"/>
          <w:i/>
          <w:iCs/>
          <w:noProof/>
          <w:szCs w:val="24"/>
        </w:rPr>
        <w:t>Intest Res</w:t>
      </w:r>
      <w:r w:rsidRPr="00E11DF8">
        <w:rPr>
          <w:rFonts w:ascii="Calibri" w:hAnsi="Calibri" w:cs="Calibri"/>
          <w:noProof/>
          <w:szCs w:val="24"/>
        </w:rPr>
        <w:t xml:space="preserve"> 2018;</w:t>
      </w:r>
      <w:r w:rsidRPr="00E11DF8">
        <w:rPr>
          <w:rFonts w:ascii="Calibri" w:hAnsi="Calibri" w:cs="Calibri"/>
          <w:b/>
          <w:bCs/>
          <w:noProof/>
          <w:szCs w:val="24"/>
        </w:rPr>
        <w:t>16</w:t>
      </w:r>
      <w:r w:rsidRPr="00E11DF8">
        <w:rPr>
          <w:rFonts w:ascii="Calibri" w:hAnsi="Calibri" w:cs="Calibri"/>
          <w:noProof/>
          <w:szCs w:val="24"/>
        </w:rPr>
        <w:t>:62–8. doi:10.5217/ir.2018.16.1.62</w:t>
      </w:r>
    </w:p>
    <w:p w14:paraId="7FB11892"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8 </w:t>
      </w:r>
      <w:r w:rsidRPr="00E11DF8">
        <w:rPr>
          <w:rFonts w:ascii="Calibri" w:hAnsi="Calibri" w:cs="Calibri"/>
          <w:noProof/>
          <w:szCs w:val="24"/>
        </w:rPr>
        <w:tab/>
        <w:t xml:space="preserve">Rungoe C, Langholz E, Andersson M, </w:t>
      </w:r>
      <w:r w:rsidRPr="00E11DF8">
        <w:rPr>
          <w:rFonts w:ascii="Calibri" w:hAnsi="Calibri" w:cs="Calibri"/>
          <w:i/>
          <w:iCs/>
          <w:noProof/>
          <w:szCs w:val="24"/>
        </w:rPr>
        <w:t>et al.</w:t>
      </w:r>
      <w:r w:rsidRPr="00E11DF8">
        <w:rPr>
          <w:rFonts w:ascii="Calibri" w:hAnsi="Calibri" w:cs="Calibri"/>
          <w:noProof/>
          <w:szCs w:val="24"/>
        </w:rPr>
        <w:t xml:space="preserve"> Changes in medical treatment and surgery rates in inflammatory bowel disease: a nationwide cohort study 1979–2011. </w:t>
      </w:r>
      <w:r w:rsidRPr="00E11DF8">
        <w:rPr>
          <w:rFonts w:ascii="Calibri" w:hAnsi="Calibri" w:cs="Calibri"/>
          <w:i/>
          <w:iCs/>
          <w:noProof/>
          <w:szCs w:val="24"/>
        </w:rPr>
        <w:t>Gut</w:t>
      </w:r>
      <w:r w:rsidRPr="00E11DF8">
        <w:rPr>
          <w:rFonts w:ascii="Calibri" w:hAnsi="Calibri" w:cs="Calibri"/>
          <w:noProof/>
          <w:szCs w:val="24"/>
        </w:rPr>
        <w:t xml:space="preserve"> 2014;</w:t>
      </w:r>
      <w:r w:rsidRPr="00E11DF8">
        <w:rPr>
          <w:rFonts w:ascii="Calibri" w:hAnsi="Calibri" w:cs="Calibri"/>
          <w:b/>
          <w:bCs/>
          <w:noProof/>
          <w:szCs w:val="24"/>
        </w:rPr>
        <w:t>63</w:t>
      </w:r>
      <w:r w:rsidRPr="00E11DF8">
        <w:rPr>
          <w:rFonts w:ascii="Calibri" w:hAnsi="Calibri" w:cs="Calibri"/>
          <w:noProof/>
          <w:szCs w:val="24"/>
        </w:rPr>
        <w:t xml:space="preserve">:1607–16. </w:t>
      </w:r>
      <w:r w:rsidRPr="00E11DF8">
        <w:rPr>
          <w:rFonts w:ascii="Calibri" w:hAnsi="Calibri" w:cs="Calibri"/>
          <w:noProof/>
          <w:szCs w:val="24"/>
        </w:rPr>
        <w:lastRenderedPageBreak/>
        <w:t>doi:10.1136/gutjnl-2013-305607</w:t>
      </w:r>
    </w:p>
    <w:p w14:paraId="48088F6D"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9 </w:t>
      </w:r>
      <w:r w:rsidRPr="00E11DF8">
        <w:rPr>
          <w:rFonts w:ascii="Calibri" w:hAnsi="Calibri" w:cs="Calibri"/>
          <w:noProof/>
          <w:szCs w:val="24"/>
        </w:rPr>
        <w:tab/>
        <w:t xml:space="preserve">Lazarev M, Ullman T, Schraut WH, </w:t>
      </w:r>
      <w:r w:rsidRPr="00E11DF8">
        <w:rPr>
          <w:rFonts w:ascii="Calibri" w:hAnsi="Calibri" w:cs="Calibri"/>
          <w:i/>
          <w:iCs/>
          <w:noProof/>
          <w:szCs w:val="24"/>
        </w:rPr>
        <w:t>et al.</w:t>
      </w:r>
      <w:r w:rsidRPr="00E11DF8">
        <w:rPr>
          <w:rFonts w:ascii="Calibri" w:hAnsi="Calibri" w:cs="Calibri"/>
          <w:noProof/>
          <w:szCs w:val="24"/>
        </w:rPr>
        <w:t xml:space="preserve"> Small bowel resection rates in Crohnʼs disease and the indication for surgery over time: Experience from a large tertiary care center. </w:t>
      </w:r>
      <w:r w:rsidRPr="00E11DF8">
        <w:rPr>
          <w:rFonts w:ascii="Calibri" w:hAnsi="Calibri" w:cs="Calibri"/>
          <w:i/>
          <w:iCs/>
          <w:noProof/>
          <w:szCs w:val="24"/>
        </w:rPr>
        <w:t>Inflamm Bowel Dis</w:t>
      </w:r>
      <w:r w:rsidRPr="00E11DF8">
        <w:rPr>
          <w:rFonts w:ascii="Calibri" w:hAnsi="Calibri" w:cs="Calibri"/>
          <w:noProof/>
          <w:szCs w:val="24"/>
        </w:rPr>
        <w:t xml:space="preserve"> 2010;</w:t>
      </w:r>
      <w:r w:rsidRPr="00E11DF8">
        <w:rPr>
          <w:rFonts w:ascii="Calibri" w:hAnsi="Calibri" w:cs="Calibri"/>
          <w:b/>
          <w:bCs/>
          <w:noProof/>
          <w:szCs w:val="24"/>
        </w:rPr>
        <w:t>16</w:t>
      </w:r>
      <w:r w:rsidRPr="00E11DF8">
        <w:rPr>
          <w:rFonts w:ascii="Calibri" w:hAnsi="Calibri" w:cs="Calibri"/>
          <w:noProof/>
          <w:szCs w:val="24"/>
        </w:rPr>
        <w:t>:830–5. doi:10.1002/ibd.21118</w:t>
      </w:r>
    </w:p>
    <w:p w14:paraId="0B732224"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10 </w:t>
      </w:r>
      <w:r w:rsidRPr="00E11DF8">
        <w:rPr>
          <w:rFonts w:ascii="Calibri" w:hAnsi="Calibri" w:cs="Calibri"/>
          <w:noProof/>
          <w:szCs w:val="24"/>
        </w:rPr>
        <w:tab/>
        <w:t xml:space="preserve">Ponsioen CY, de Groof EJ, Eshuis EJ, </w:t>
      </w:r>
      <w:r w:rsidRPr="00E11DF8">
        <w:rPr>
          <w:rFonts w:ascii="Calibri" w:hAnsi="Calibri" w:cs="Calibri"/>
          <w:i/>
          <w:iCs/>
          <w:noProof/>
          <w:szCs w:val="24"/>
        </w:rPr>
        <w:t>et al.</w:t>
      </w:r>
      <w:r w:rsidRPr="00E11DF8">
        <w:rPr>
          <w:rFonts w:ascii="Calibri" w:hAnsi="Calibri" w:cs="Calibri"/>
          <w:noProof/>
          <w:szCs w:val="24"/>
        </w:rPr>
        <w:t xml:space="preserve"> Laparoscopic ileocaecal resection versus infliximab for terminal ileitis in Crohn’s disease: a randomised controlled, open-label, multicentre trial. </w:t>
      </w:r>
      <w:r w:rsidRPr="00E11DF8">
        <w:rPr>
          <w:rFonts w:ascii="Calibri" w:hAnsi="Calibri" w:cs="Calibri"/>
          <w:i/>
          <w:iCs/>
          <w:noProof/>
          <w:szCs w:val="24"/>
        </w:rPr>
        <w:t>Lancet Gastroenterol Hepatol</w:t>
      </w:r>
      <w:r w:rsidRPr="00E11DF8">
        <w:rPr>
          <w:rFonts w:ascii="Calibri" w:hAnsi="Calibri" w:cs="Calibri"/>
          <w:noProof/>
          <w:szCs w:val="24"/>
        </w:rPr>
        <w:t xml:space="preserve"> 2017;</w:t>
      </w:r>
      <w:r w:rsidRPr="00E11DF8">
        <w:rPr>
          <w:rFonts w:ascii="Calibri" w:hAnsi="Calibri" w:cs="Calibri"/>
          <w:b/>
          <w:bCs/>
          <w:noProof/>
          <w:szCs w:val="24"/>
        </w:rPr>
        <w:t>2</w:t>
      </w:r>
      <w:r w:rsidRPr="00E11DF8">
        <w:rPr>
          <w:rFonts w:ascii="Calibri" w:hAnsi="Calibri" w:cs="Calibri"/>
          <w:noProof/>
          <w:szCs w:val="24"/>
        </w:rPr>
        <w:t>:785–92. doi:10.1016/S2468-1253(17)30248-0</w:t>
      </w:r>
    </w:p>
    <w:p w14:paraId="5AF174E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11 </w:t>
      </w:r>
      <w:r w:rsidRPr="00E11DF8">
        <w:rPr>
          <w:rFonts w:ascii="Calibri" w:hAnsi="Calibri" w:cs="Calibri"/>
          <w:noProof/>
          <w:szCs w:val="24"/>
        </w:rPr>
        <w:tab/>
        <w:t xml:space="preserve">Joosse ME, Aardoom MA, Kemos P, </w:t>
      </w:r>
      <w:r w:rsidRPr="00E11DF8">
        <w:rPr>
          <w:rFonts w:ascii="Calibri" w:hAnsi="Calibri" w:cs="Calibri"/>
          <w:i/>
          <w:iCs/>
          <w:noProof/>
          <w:szCs w:val="24"/>
        </w:rPr>
        <w:t>et al.</w:t>
      </w:r>
      <w:r w:rsidRPr="00E11DF8">
        <w:rPr>
          <w:rFonts w:ascii="Calibri" w:hAnsi="Calibri" w:cs="Calibri"/>
          <w:noProof/>
          <w:szCs w:val="24"/>
        </w:rPr>
        <w:t xml:space="preserve"> Malignancy and mortality in paediatric-onset inflammatory bowel disease: a 3-year prospective, multinational study from the paediatric IBD Porto group of ESPGHAN. </w:t>
      </w:r>
      <w:r w:rsidRPr="00E11DF8">
        <w:rPr>
          <w:rFonts w:ascii="Calibri" w:hAnsi="Calibri" w:cs="Calibri"/>
          <w:i/>
          <w:iCs/>
          <w:noProof/>
          <w:szCs w:val="24"/>
        </w:rPr>
        <w:t>Aliment Pharmacol Ther</w:t>
      </w:r>
      <w:r w:rsidRPr="00E11DF8">
        <w:rPr>
          <w:rFonts w:ascii="Calibri" w:hAnsi="Calibri" w:cs="Calibri"/>
          <w:noProof/>
          <w:szCs w:val="24"/>
        </w:rPr>
        <w:t xml:space="preserve"> 2018;</w:t>
      </w:r>
      <w:r w:rsidRPr="00E11DF8">
        <w:rPr>
          <w:rFonts w:ascii="Calibri" w:hAnsi="Calibri" w:cs="Calibri"/>
          <w:b/>
          <w:bCs/>
          <w:noProof/>
          <w:szCs w:val="24"/>
        </w:rPr>
        <w:t>48</w:t>
      </w:r>
      <w:r w:rsidRPr="00E11DF8">
        <w:rPr>
          <w:rFonts w:ascii="Calibri" w:hAnsi="Calibri" w:cs="Calibri"/>
          <w:noProof/>
          <w:szCs w:val="24"/>
        </w:rPr>
        <w:t>:523–37. doi:10.1111/apt.14893</w:t>
      </w:r>
    </w:p>
    <w:p w14:paraId="7C1D9F3F"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12 </w:t>
      </w:r>
      <w:r w:rsidRPr="00E11DF8">
        <w:rPr>
          <w:rFonts w:ascii="Calibri" w:hAnsi="Calibri" w:cs="Calibri"/>
          <w:noProof/>
          <w:szCs w:val="24"/>
        </w:rPr>
        <w:tab/>
        <w:t xml:space="preserve">Blackburn SC, Wiskin AE, Barnes C, </w:t>
      </w:r>
      <w:r w:rsidRPr="00E11DF8">
        <w:rPr>
          <w:rFonts w:ascii="Calibri" w:hAnsi="Calibri" w:cs="Calibri"/>
          <w:i/>
          <w:iCs/>
          <w:noProof/>
          <w:szCs w:val="24"/>
        </w:rPr>
        <w:t>et al.</w:t>
      </w:r>
      <w:r w:rsidRPr="00E11DF8">
        <w:rPr>
          <w:rFonts w:ascii="Calibri" w:hAnsi="Calibri" w:cs="Calibri"/>
          <w:noProof/>
          <w:szCs w:val="24"/>
        </w:rPr>
        <w:t xml:space="preserve"> Surgery for children with Crohn’s disease: indications, complications and outcome. </w:t>
      </w:r>
      <w:r w:rsidRPr="00E11DF8">
        <w:rPr>
          <w:rFonts w:ascii="Calibri" w:hAnsi="Calibri" w:cs="Calibri"/>
          <w:i/>
          <w:iCs/>
          <w:noProof/>
          <w:szCs w:val="24"/>
        </w:rPr>
        <w:t>Arch Dis Child</w:t>
      </w:r>
      <w:r w:rsidRPr="00E11DF8">
        <w:rPr>
          <w:rFonts w:ascii="Calibri" w:hAnsi="Calibri" w:cs="Calibri"/>
          <w:noProof/>
          <w:szCs w:val="24"/>
        </w:rPr>
        <w:t xml:space="preserve"> 2014;</w:t>
      </w:r>
      <w:r w:rsidRPr="00E11DF8">
        <w:rPr>
          <w:rFonts w:ascii="Calibri" w:hAnsi="Calibri" w:cs="Calibri"/>
          <w:b/>
          <w:bCs/>
          <w:noProof/>
          <w:szCs w:val="24"/>
        </w:rPr>
        <w:t>99</w:t>
      </w:r>
      <w:r w:rsidRPr="00E11DF8">
        <w:rPr>
          <w:rFonts w:ascii="Calibri" w:hAnsi="Calibri" w:cs="Calibri"/>
          <w:noProof/>
          <w:szCs w:val="24"/>
        </w:rPr>
        <w:t>:420–6. doi:10.1136/archdischild-2013-305214</w:t>
      </w:r>
    </w:p>
    <w:p w14:paraId="177326FB"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13 </w:t>
      </w:r>
      <w:r w:rsidRPr="00E11DF8">
        <w:rPr>
          <w:rFonts w:ascii="Calibri" w:hAnsi="Calibri" w:cs="Calibri"/>
          <w:noProof/>
          <w:szCs w:val="24"/>
        </w:rPr>
        <w:tab/>
        <w:t xml:space="preserve">Ashton JJ, Versteegh HP, Batra A, </w:t>
      </w:r>
      <w:r w:rsidRPr="00E11DF8">
        <w:rPr>
          <w:rFonts w:ascii="Calibri" w:hAnsi="Calibri" w:cs="Calibri"/>
          <w:i/>
          <w:iCs/>
          <w:noProof/>
          <w:szCs w:val="24"/>
        </w:rPr>
        <w:t>et al.</w:t>
      </w:r>
      <w:r w:rsidRPr="00E11DF8">
        <w:rPr>
          <w:rFonts w:ascii="Calibri" w:hAnsi="Calibri" w:cs="Calibri"/>
          <w:noProof/>
          <w:szCs w:val="24"/>
        </w:rPr>
        <w:t xml:space="preserve"> Colectomy in pediatric ulcerative colitis: A single center experience of indications, outcomes, and complications. </w:t>
      </w:r>
      <w:r w:rsidRPr="00E11DF8">
        <w:rPr>
          <w:rFonts w:ascii="Calibri" w:hAnsi="Calibri" w:cs="Calibri"/>
          <w:i/>
          <w:iCs/>
          <w:noProof/>
          <w:szCs w:val="24"/>
        </w:rPr>
        <w:t>J Pediatr Surg</w:t>
      </w:r>
      <w:r w:rsidRPr="00E11DF8">
        <w:rPr>
          <w:rFonts w:ascii="Calibri" w:hAnsi="Calibri" w:cs="Calibri"/>
          <w:noProof/>
          <w:szCs w:val="24"/>
        </w:rPr>
        <w:t xml:space="preserve"> 2016;</w:t>
      </w:r>
      <w:r w:rsidRPr="00E11DF8">
        <w:rPr>
          <w:rFonts w:ascii="Calibri" w:hAnsi="Calibri" w:cs="Calibri"/>
          <w:b/>
          <w:bCs/>
          <w:noProof/>
          <w:szCs w:val="24"/>
        </w:rPr>
        <w:t>51</w:t>
      </w:r>
      <w:r w:rsidRPr="00E11DF8">
        <w:rPr>
          <w:rFonts w:ascii="Calibri" w:hAnsi="Calibri" w:cs="Calibri"/>
          <w:noProof/>
          <w:szCs w:val="24"/>
        </w:rPr>
        <w:t>. doi:10.1016/j.jpedsurg.2015.10.077</w:t>
      </w:r>
    </w:p>
    <w:p w14:paraId="37AB1EA9"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14 </w:t>
      </w:r>
      <w:r w:rsidRPr="00E11DF8">
        <w:rPr>
          <w:rFonts w:ascii="Calibri" w:hAnsi="Calibri" w:cs="Calibri"/>
          <w:noProof/>
          <w:szCs w:val="24"/>
        </w:rPr>
        <w:tab/>
        <w:t xml:space="preserve">Hyams JS, Davis P, Grancher K, </w:t>
      </w:r>
      <w:r w:rsidRPr="00E11DF8">
        <w:rPr>
          <w:rFonts w:ascii="Calibri" w:hAnsi="Calibri" w:cs="Calibri"/>
          <w:i/>
          <w:iCs/>
          <w:noProof/>
          <w:szCs w:val="24"/>
        </w:rPr>
        <w:t>et al.</w:t>
      </w:r>
      <w:r w:rsidRPr="00E11DF8">
        <w:rPr>
          <w:rFonts w:ascii="Calibri" w:hAnsi="Calibri" w:cs="Calibri"/>
          <w:noProof/>
          <w:szCs w:val="24"/>
        </w:rPr>
        <w:t xml:space="preserve"> Clinical outcome of ulcerative colitis in children. </w:t>
      </w:r>
      <w:r w:rsidRPr="00E11DF8">
        <w:rPr>
          <w:rFonts w:ascii="Calibri" w:hAnsi="Calibri" w:cs="Calibri"/>
          <w:i/>
          <w:iCs/>
          <w:noProof/>
          <w:szCs w:val="24"/>
        </w:rPr>
        <w:t>J Pediatr</w:t>
      </w:r>
      <w:r w:rsidRPr="00E11DF8">
        <w:rPr>
          <w:rFonts w:ascii="Calibri" w:hAnsi="Calibri" w:cs="Calibri"/>
          <w:noProof/>
          <w:szCs w:val="24"/>
        </w:rPr>
        <w:t xml:space="preserve"> 1996;</w:t>
      </w:r>
      <w:r w:rsidRPr="00E11DF8">
        <w:rPr>
          <w:rFonts w:ascii="Calibri" w:hAnsi="Calibri" w:cs="Calibri"/>
          <w:b/>
          <w:bCs/>
          <w:noProof/>
          <w:szCs w:val="24"/>
        </w:rPr>
        <w:t>129</w:t>
      </w:r>
      <w:r w:rsidRPr="00E11DF8">
        <w:rPr>
          <w:rFonts w:ascii="Calibri" w:hAnsi="Calibri" w:cs="Calibri"/>
          <w:noProof/>
          <w:szCs w:val="24"/>
        </w:rPr>
        <w:t>:81–8.http://www.ncbi.nlm.nih.gov/pubmed/8757566</w:t>
      </w:r>
    </w:p>
    <w:p w14:paraId="3AC40B11"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15 </w:t>
      </w:r>
      <w:r w:rsidRPr="00E11DF8">
        <w:rPr>
          <w:rFonts w:ascii="Calibri" w:hAnsi="Calibri" w:cs="Calibri"/>
          <w:noProof/>
          <w:szCs w:val="24"/>
        </w:rPr>
        <w:tab/>
        <w:t xml:space="preserve">Gower-Rousseau C, Dauchet L, Vernier-Massouille G, </w:t>
      </w:r>
      <w:r w:rsidRPr="00E11DF8">
        <w:rPr>
          <w:rFonts w:ascii="Calibri" w:hAnsi="Calibri" w:cs="Calibri"/>
          <w:i/>
          <w:iCs/>
          <w:noProof/>
          <w:szCs w:val="24"/>
        </w:rPr>
        <w:t>et al.</w:t>
      </w:r>
      <w:r w:rsidRPr="00E11DF8">
        <w:rPr>
          <w:rFonts w:ascii="Calibri" w:hAnsi="Calibri" w:cs="Calibri"/>
          <w:noProof/>
          <w:szCs w:val="24"/>
        </w:rPr>
        <w:t xml:space="preserve"> The natural history of pediatric ulcerative colitis: a population-based cohort study. </w:t>
      </w:r>
      <w:r w:rsidRPr="00E11DF8">
        <w:rPr>
          <w:rFonts w:ascii="Calibri" w:hAnsi="Calibri" w:cs="Calibri"/>
          <w:i/>
          <w:iCs/>
          <w:noProof/>
          <w:szCs w:val="24"/>
        </w:rPr>
        <w:t>Am J Gastroenterol</w:t>
      </w:r>
      <w:r w:rsidRPr="00E11DF8">
        <w:rPr>
          <w:rFonts w:ascii="Calibri" w:hAnsi="Calibri" w:cs="Calibri"/>
          <w:noProof/>
          <w:szCs w:val="24"/>
        </w:rPr>
        <w:t xml:space="preserve"> 2009;</w:t>
      </w:r>
      <w:r w:rsidRPr="00E11DF8">
        <w:rPr>
          <w:rFonts w:ascii="Calibri" w:hAnsi="Calibri" w:cs="Calibri"/>
          <w:b/>
          <w:bCs/>
          <w:noProof/>
          <w:szCs w:val="24"/>
        </w:rPr>
        <w:t>104</w:t>
      </w:r>
      <w:r w:rsidRPr="00E11DF8">
        <w:rPr>
          <w:rFonts w:ascii="Calibri" w:hAnsi="Calibri" w:cs="Calibri"/>
          <w:noProof/>
          <w:szCs w:val="24"/>
        </w:rPr>
        <w:t>:2080–8. doi:10.1038/ajg.2009.177</w:t>
      </w:r>
    </w:p>
    <w:p w14:paraId="0DE96492"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16 </w:t>
      </w:r>
      <w:r w:rsidRPr="00E11DF8">
        <w:rPr>
          <w:rFonts w:ascii="Calibri" w:hAnsi="Calibri" w:cs="Calibri"/>
          <w:noProof/>
          <w:szCs w:val="24"/>
        </w:rPr>
        <w:tab/>
        <w:t xml:space="preserve">Soon IS, Wrobel I, deBruyn JC, </w:t>
      </w:r>
      <w:r w:rsidRPr="00E11DF8">
        <w:rPr>
          <w:rFonts w:ascii="Calibri" w:hAnsi="Calibri" w:cs="Calibri"/>
          <w:i/>
          <w:iCs/>
          <w:noProof/>
          <w:szCs w:val="24"/>
        </w:rPr>
        <w:t>et al.</w:t>
      </w:r>
      <w:r w:rsidRPr="00E11DF8">
        <w:rPr>
          <w:rFonts w:ascii="Calibri" w:hAnsi="Calibri" w:cs="Calibri"/>
          <w:noProof/>
          <w:szCs w:val="24"/>
        </w:rPr>
        <w:t xml:space="preserve"> Postoperative complications following colectomy for ulcerative colitis in children. </w:t>
      </w:r>
      <w:r w:rsidRPr="00E11DF8">
        <w:rPr>
          <w:rFonts w:ascii="Calibri" w:hAnsi="Calibri" w:cs="Calibri"/>
          <w:i/>
          <w:iCs/>
          <w:noProof/>
          <w:szCs w:val="24"/>
        </w:rPr>
        <w:t>J Pediatr Gastroenterol Nutr</w:t>
      </w:r>
      <w:r w:rsidRPr="00E11DF8">
        <w:rPr>
          <w:rFonts w:ascii="Calibri" w:hAnsi="Calibri" w:cs="Calibri"/>
          <w:noProof/>
          <w:szCs w:val="24"/>
        </w:rPr>
        <w:t xml:space="preserve"> 2012;</w:t>
      </w:r>
      <w:r w:rsidRPr="00E11DF8">
        <w:rPr>
          <w:rFonts w:ascii="Calibri" w:hAnsi="Calibri" w:cs="Calibri"/>
          <w:b/>
          <w:bCs/>
          <w:noProof/>
          <w:szCs w:val="24"/>
        </w:rPr>
        <w:t>54</w:t>
      </w:r>
      <w:r w:rsidRPr="00E11DF8">
        <w:rPr>
          <w:rFonts w:ascii="Calibri" w:hAnsi="Calibri" w:cs="Calibri"/>
          <w:noProof/>
          <w:szCs w:val="24"/>
        </w:rPr>
        <w:t xml:space="preserve">:763–8. </w:t>
      </w:r>
      <w:r w:rsidRPr="00E11DF8">
        <w:rPr>
          <w:rFonts w:ascii="Calibri" w:hAnsi="Calibri" w:cs="Calibri"/>
          <w:noProof/>
          <w:szCs w:val="24"/>
        </w:rPr>
        <w:lastRenderedPageBreak/>
        <w:t>doi:10.1097/MPG.0b013e318245265c</w:t>
      </w:r>
    </w:p>
    <w:p w14:paraId="4DC3DCE7"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17 </w:t>
      </w:r>
      <w:r w:rsidRPr="00E11DF8">
        <w:rPr>
          <w:rFonts w:ascii="Calibri" w:hAnsi="Calibri" w:cs="Calibri"/>
          <w:noProof/>
          <w:szCs w:val="24"/>
        </w:rPr>
        <w:tab/>
        <w:t xml:space="preserve">Vernier-Massouille G, Balde M, Salleron J, </w:t>
      </w:r>
      <w:r w:rsidRPr="00E11DF8">
        <w:rPr>
          <w:rFonts w:ascii="Calibri" w:hAnsi="Calibri" w:cs="Calibri"/>
          <w:i/>
          <w:iCs/>
          <w:noProof/>
          <w:szCs w:val="24"/>
        </w:rPr>
        <w:t>et al.</w:t>
      </w:r>
      <w:r w:rsidRPr="00E11DF8">
        <w:rPr>
          <w:rFonts w:ascii="Calibri" w:hAnsi="Calibri" w:cs="Calibri"/>
          <w:noProof/>
          <w:szCs w:val="24"/>
        </w:rPr>
        <w:t xml:space="preserve"> Natural history of pediatric Crohn’s disease: a population-based cohort study. </w:t>
      </w:r>
      <w:r w:rsidRPr="00E11DF8">
        <w:rPr>
          <w:rFonts w:ascii="Calibri" w:hAnsi="Calibri" w:cs="Calibri"/>
          <w:i/>
          <w:iCs/>
          <w:noProof/>
          <w:szCs w:val="24"/>
        </w:rPr>
        <w:t>Gastroenterology</w:t>
      </w:r>
      <w:r w:rsidRPr="00E11DF8">
        <w:rPr>
          <w:rFonts w:ascii="Calibri" w:hAnsi="Calibri" w:cs="Calibri"/>
          <w:noProof/>
          <w:szCs w:val="24"/>
        </w:rPr>
        <w:t xml:space="preserve"> 2008;</w:t>
      </w:r>
      <w:r w:rsidRPr="00E11DF8">
        <w:rPr>
          <w:rFonts w:ascii="Calibri" w:hAnsi="Calibri" w:cs="Calibri"/>
          <w:b/>
          <w:bCs/>
          <w:noProof/>
          <w:szCs w:val="24"/>
        </w:rPr>
        <w:t>135</w:t>
      </w:r>
      <w:r w:rsidRPr="00E11DF8">
        <w:rPr>
          <w:rFonts w:ascii="Calibri" w:hAnsi="Calibri" w:cs="Calibri"/>
          <w:noProof/>
          <w:szCs w:val="24"/>
        </w:rPr>
        <w:t>:1106–13. doi:10.1053/j.gastro.2008.06.079</w:t>
      </w:r>
    </w:p>
    <w:p w14:paraId="6DFE55AB"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18 </w:t>
      </w:r>
      <w:r w:rsidRPr="00E11DF8">
        <w:rPr>
          <w:rFonts w:ascii="Calibri" w:hAnsi="Calibri" w:cs="Calibri"/>
          <w:noProof/>
          <w:szCs w:val="24"/>
        </w:rPr>
        <w:tab/>
        <w:t xml:space="preserve">Gupta N, Cohen SA, Bostrom AG, </w:t>
      </w:r>
      <w:r w:rsidRPr="00E11DF8">
        <w:rPr>
          <w:rFonts w:ascii="Calibri" w:hAnsi="Calibri" w:cs="Calibri"/>
          <w:i/>
          <w:iCs/>
          <w:noProof/>
          <w:szCs w:val="24"/>
        </w:rPr>
        <w:t>et al.</w:t>
      </w:r>
      <w:r w:rsidRPr="00E11DF8">
        <w:rPr>
          <w:rFonts w:ascii="Calibri" w:hAnsi="Calibri" w:cs="Calibri"/>
          <w:noProof/>
          <w:szCs w:val="24"/>
        </w:rPr>
        <w:t xml:space="preserve"> Risk Factors for Initial Surgery in Pediatric Patients With Crohn’s Disease. </w:t>
      </w:r>
      <w:r w:rsidRPr="00E11DF8">
        <w:rPr>
          <w:rFonts w:ascii="Calibri" w:hAnsi="Calibri" w:cs="Calibri"/>
          <w:i/>
          <w:iCs/>
          <w:noProof/>
          <w:szCs w:val="24"/>
        </w:rPr>
        <w:t>Gastroenterology</w:t>
      </w:r>
      <w:r w:rsidRPr="00E11DF8">
        <w:rPr>
          <w:rFonts w:ascii="Calibri" w:hAnsi="Calibri" w:cs="Calibri"/>
          <w:noProof/>
          <w:szCs w:val="24"/>
        </w:rPr>
        <w:t xml:space="preserve"> 2006;</w:t>
      </w:r>
      <w:r w:rsidRPr="00E11DF8">
        <w:rPr>
          <w:rFonts w:ascii="Calibri" w:hAnsi="Calibri" w:cs="Calibri"/>
          <w:b/>
          <w:bCs/>
          <w:noProof/>
          <w:szCs w:val="24"/>
        </w:rPr>
        <w:t>130</w:t>
      </w:r>
      <w:r w:rsidRPr="00E11DF8">
        <w:rPr>
          <w:rFonts w:ascii="Calibri" w:hAnsi="Calibri" w:cs="Calibri"/>
          <w:noProof/>
          <w:szCs w:val="24"/>
        </w:rPr>
        <w:t>:1069–77. doi:10.1053/j.gastro.2006.02.003</w:t>
      </w:r>
    </w:p>
    <w:p w14:paraId="51297376"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19 </w:t>
      </w:r>
      <w:r w:rsidRPr="00E11DF8">
        <w:rPr>
          <w:rFonts w:ascii="Calibri" w:hAnsi="Calibri" w:cs="Calibri"/>
          <w:noProof/>
          <w:szCs w:val="24"/>
        </w:rPr>
        <w:tab/>
        <w:t xml:space="preserve">Ashton JJ, Cullen M, Afzal NA, </w:t>
      </w:r>
      <w:r w:rsidRPr="00E11DF8">
        <w:rPr>
          <w:rFonts w:ascii="Calibri" w:hAnsi="Calibri" w:cs="Calibri"/>
          <w:i/>
          <w:iCs/>
          <w:noProof/>
          <w:szCs w:val="24"/>
        </w:rPr>
        <w:t>et al.</w:t>
      </w:r>
      <w:r w:rsidRPr="00E11DF8">
        <w:rPr>
          <w:rFonts w:ascii="Calibri" w:hAnsi="Calibri" w:cs="Calibri"/>
          <w:noProof/>
          <w:szCs w:val="24"/>
        </w:rPr>
        <w:t xml:space="preserve"> Is the incidence of paediatric inflammatory bowel disease still increasing? </w:t>
      </w:r>
      <w:r w:rsidRPr="00E11DF8">
        <w:rPr>
          <w:rFonts w:ascii="Calibri" w:hAnsi="Calibri" w:cs="Calibri"/>
          <w:i/>
          <w:iCs/>
          <w:noProof/>
          <w:szCs w:val="24"/>
        </w:rPr>
        <w:t>Arch Dis Child</w:t>
      </w:r>
      <w:r w:rsidRPr="00E11DF8">
        <w:rPr>
          <w:rFonts w:ascii="Calibri" w:hAnsi="Calibri" w:cs="Calibri"/>
          <w:noProof/>
          <w:szCs w:val="24"/>
        </w:rPr>
        <w:t xml:space="preserve"> 2018;:archdischild-2018-315038. doi:10.1136/archdischild-2018-315038</w:t>
      </w:r>
    </w:p>
    <w:p w14:paraId="3E3F56E6"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20 </w:t>
      </w:r>
      <w:r w:rsidRPr="00E11DF8">
        <w:rPr>
          <w:rFonts w:ascii="Calibri" w:hAnsi="Calibri" w:cs="Calibri"/>
          <w:noProof/>
          <w:szCs w:val="24"/>
        </w:rPr>
        <w:tab/>
        <w:t xml:space="preserve">Su HY, Gupta V, Day AS, </w:t>
      </w:r>
      <w:r w:rsidRPr="00E11DF8">
        <w:rPr>
          <w:rFonts w:ascii="Calibri" w:hAnsi="Calibri" w:cs="Calibri"/>
          <w:i/>
          <w:iCs/>
          <w:noProof/>
          <w:szCs w:val="24"/>
        </w:rPr>
        <w:t>et al.</w:t>
      </w:r>
      <w:r w:rsidRPr="00E11DF8">
        <w:rPr>
          <w:rFonts w:ascii="Calibri" w:hAnsi="Calibri" w:cs="Calibri"/>
          <w:noProof/>
          <w:szCs w:val="24"/>
        </w:rPr>
        <w:t xml:space="preserve"> Rising Incidence of Inflammatory Bowel Disease in Canterbury, New Zealand. </w:t>
      </w:r>
      <w:r w:rsidRPr="00E11DF8">
        <w:rPr>
          <w:rFonts w:ascii="Calibri" w:hAnsi="Calibri" w:cs="Calibri"/>
          <w:i/>
          <w:iCs/>
          <w:noProof/>
          <w:szCs w:val="24"/>
        </w:rPr>
        <w:t>Inflamm Bowel Dis</w:t>
      </w:r>
      <w:r w:rsidRPr="00E11DF8">
        <w:rPr>
          <w:rFonts w:ascii="Calibri" w:hAnsi="Calibri" w:cs="Calibri"/>
          <w:noProof/>
          <w:szCs w:val="24"/>
        </w:rPr>
        <w:t xml:space="preserve"> 2016;</w:t>
      </w:r>
      <w:r w:rsidRPr="00E11DF8">
        <w:rPr>
          <w:rFonts w:ascii="Calibri" w:hAnsi="Calibri" w:cs="Calibri"/>
          <w:b/>
          <w:bCs/>
          <w:noProof/>
          <w:szCs w:val="24"/>
        </w:rPr>
        <w:t>22</w:t>
      </w:r>
      <w:r w:rsidRPr="00E11DF8">
        <w:rPr>
          <w:rFonts w:ascii="Calibri" w:hAnsi="Calibri" w:cs="Calibri"/>
          <w:noProof/>
          <w:szCs w:val="24"/>
        </w:rPr>
        <w:t>:2238–44. doi:10.1097/MIB.0000000000000829</w:t>
      </w:r>
    </w:p>
    <w:p w14:paraId="1EF59803"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21 </w:t>
      </w:r>
      <w:r w:rsidRPr="00E11DF8">
        <w:rPr>
          <w:rFonts w:ascii="Calibri" w:hAnsi="Calibri" w:cs="Calibri"/>
          <w:noProof/>
          <w:szCs w:val="24"/>
        </w:rPr>
        <w:tab/>
        <w:t xml:space="preserve">Levine A, Koletzko S, Turner D, </w:t>
      </w:r>
      <w:r w:rsidRPr="00E11DF8">
        <w:rPr>
          <w:rFonts w:ascii="Calibri" w:hAnsi="Calibri" w:cs="Calibri"/>
          <w:i/>
          <w:iCs/>
          <w:noProof/>
          <w:szCs w:val="24"/>
        </w:rPr>
        <w:t>et al.</w:t>
      </w:r>
      <w:r w:rsidRPr="00E11DF8">
        <w:rPr>
          <w:rFonts w:ascii="Calibri" w:hAnsi="Calibri" w:cs="Calibri"/>
          <w:noProof/>
          <w:szCs w:val="24"/>
        </w:rPr>
        <w:t xml:space="preserve"> The ESPGHAN Revised Porto Criteria for the Diagnosis of Inflammatory Bowel Disease in Children and Adolescents. </w:t>
      </w:r>
      <w:r w:rsidRPr="00E11DF8">
        <w:rPr>
          <w:rFonts w:ascii="Calibri" w:hAnsi="Calibri" w:cs="Calibri"/>
          <w:i/>
          <w:iCs/>
          <w:noProof/>
          <w:szCs w:val="24"/>
        </w:rPr>
        <w:t>J Pediatr Gastroenterol Nutr</w:t>
      </w:r>
      <w:r w:rsidRPr="00E11DF8">
        <w:rPr>
          <w:rFonts w:ascii="Calibri" w:hAnsi="Calibri" w:cs="Calibri"/>
          <w:noProof/>
          <w:szCs w:val="24"/>
        </w:rPr>
        <w:t xml:space="preserve"> 2013;</w:t>
      </w:r>
      <w:r w:rsidRPr="00E11DF8">
        <w:rPr>
          <w:rFonts w:ascii="Calibri" w:hAnsi="Calibri" w:cs="Calibri"/>
          <w:b/>
          <w:bCs/>
          <w:noProof/>
          <w:szCs w:val="24"/>
        </w:rPr>
        <w:t>58</w:t>
      </w:r>
      <w:r w:rsidRPr="00E11DF8">
        <w:rPr>
          <w:rFonts w:ascii="Calibri" w:hAnsi="Calibri" w:cs="Calibri"/>
          <w:noProof/>
          <w:szCs w:val="24"/>
        </w:rPr>
        <w:t>:795–806. doi:10.1097/MPG.0000000000000239</w:t>
      </w:r>
    </w:p>
    <w:p w14:paraId="4ED5787D"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22 </w:t>
      </w:r>
      <w:r w:rsidRPr="00E11DF8">
        <w:rPr>
          <w:rFonts w:ascii="Calibri" w:hAnsi="Calibri" w:cs="Calibri"/>
          <w:noProof/>
          <w:szCs w:val="24"/>
        </w:rPr>
        <w:tab/>
        <w:t xml:space="preserve">IBD Working Group of the European Society for Paediatric Gastroenterology, Hepatology and Nutrition. Inflammatory bowel disease in children and adolescents: recommendations for diagnosis--the Porto criteria. </w:t>
      </w:r>
      <w:r w:rsidRPr="00E11DF8">
        <w:rPr>
          <w:rFonts w:ascii="Calibri" w:hAnsi="Calibri" w:cs="Calibri"/>
          <w:i/>
          <w:iCs/>
          <w:noProof/>
          <w:szCs w:val="24"/>
        </w:rPr>
        <w:t>J Pediatr Gastroenterol Nutr</w:t>
      </w:r>
      <w:r w:rsidRPr="00E11DF8">
        <w:rPr>
          <w:rFonts w:ascii="Calibri" w:hAnsi="Calibri" w:cs="Calibri"/>
          <w:noProof/>
          <w:szCs w:val="24"/>
        </w:rPr>
        <w:t xml:space="preserve"> 2005;</w:t>
      </w:r>
      <w:r w:rsidRPr="00E11DF8">
        <w:rPr>
          <w:rFonts w:ascii="Calibri" w:hAnsi="Calibri" w:cs="Calibri"/>
          <w:b/>
          <w:bCs/>
          <w:noProof/>
          <w:szCs w:val="24"/>
        </w:rPr>
        <w:t>41</w:t>
      </w:r>
      <w:r w:rsidRPr="00E11DF8">
        <w:rPr>
          <w:rFonts w:ascii="Calibri" w:hAnsi="Calibri" w:cs="Calibri"/>
          <w:noProof/>
          <w:szCs w:val="24"/>
        </w:rPr>
        <w:t>:1–7.http://www.ncbi.nlm.nih.gov/pubmed/15990620 (accessed 19 Feb 2018).</w:t>
      </w:r>
    </w:p>
    <w:p w14:paraId="6E7C4599"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23 </w:t>
      </w:r>
      <w:r w:rsidRPr="00E11DF8">
        <w:rPr>
          <w:rFonts w:ascii="Calibri" w:hAnsi="Calibri" w:cs="Calibri"/>
          <w:noProof/>
          <w:szCs w:val="24"/>
        </w:rPr>
        <w:tab/>
        <w:t xml:space="preserve">Ashton JJ, Wiskin AE, Ennis S, </w:t>
      </w:r>
      <w:r w:rsidRPr="00E11DF8">
        <w:rPr>
          <w:rFonts w:ascii="Calibri" w:hAnsi="Calibri" w:cs="Calibri"/>
          <w:i/>
          <w:iCs/>
          <w:noProof/>
          <w:szCs w:val="24"/>
        </w:rPr>
        <w:t>et al.</w:t>
      </w:r>
      <w:r w:rsidRPr="00E11DF8">
        <w:rPr>
          <w:rFonts w:ascii="Calibri" w:hAnsi="Calibri" w:cs="Calibri"/>
          <w:noProof/>
          <w:szCs w:val="24"/>
        </w:rPr>
        <w:t xml:space="preserve"> Rising incidence of paediatric inflammatory bowel disease (PIBD) in Wessex, Southern England. </w:t>
      </w:r>
      <w:r w:rsidRPr="00E11DF8">
        <w:rPr>
          <w:rFonts w:ascii="Calibri" w:hAnsi="Calibri" w:cs="Calibri"/>
          <w:i/>
          <w:iCs/>
          <w:noProof/>
          <w:szCs w:val="24"/>
        </w:rPr>
        <w:t>Arch Dis Child</w:t>
      </w:r>
      <w:r w:rsidRPr="00E11DF8">
        <w:rPr>
          <w:rFonts w:ascii="Calibri" w:hAnsi="Calibri" w:cs="Calibri"/>
          <w:noProof/>
          <w:szCs w:val="24"/>
        </w:rPr>
        <w:t xml:space="preserve"> 2014;</w:t>
      </w:r>
      <w:r w:rsidRPr="00E11DF8">
        <w:rPr>
          <w:rFonts w:ascii="Calibri" w:hAnsi="Calibri" w:cs="Calibri"/>
          <w:b/>
          <w:bCs/>
          <w:noProof/>
          <w:szCs w:val="24"/>
        </w:rPr>
        <w:t>99</w:t>
      </w:r>
      <w:r w:rsidRPr="00E11DF8">
        <w:rPr>
          <w:rFonts w:ascii="Calibri" w:hAnsi="Calibri" w:cs="Calibri"/>
          <w:noProof/>
          <w:szCs w:val="24"/>
        </w:rPr>
        <w:t>:659–64. doi:10.1136/archdischild-2013-305419</w:t>
      </w:r>
    </w:p>
    <w:p w14:paraId="3086F7E4"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24 </w:t>
      </w:r>
      <w:r w:rsidRPr="00E11DF8">
        <w:rPr>
          <w:rFonts w:ascii="Calibri" w:hAnsi="Calibri" w:cs="Calibri"/>
          <w:noProof/>
          <w:szCs w:val="24"/>
        </w:rPr>
        <w:tab/>
        <w:t xml:space="preserve">Nagra A, McGinnity PM, Davis N, </w:t>
      </w:r>
      <w:r w:rsidRPr="00E11DF8">
        <w:rPr>
          <w:rFonts w:ascii="Calibri" w:hAnsi="Calibri" w:cs="Calibri"/>
          <w:i/>
          <w:iCs/>
          <w:noProof/>
          <w:szCs w:val="24"/>
        </w:rPr>
        <w:t>et al.</w:t>
      </w:r>
      <w:r w:rsidRPr="00E11DF8">
        <w:rPr>
          <w:rFonts w:ascii="Calibri" w:hAnsi="Calibri" w:cs="Calibri"/>
          <w:noProof/>
          <w:szCs w:val="24"/>
        </w:rPr>
        <w:t xml:space="preserve"> Implementing transition: Ready Steady Go. </w:t>
      </w:r>
      <w:r w:rsidRPr="00E11DF8">
        <w:rPr>
          <w:rFonts w:ascii="Calibri" w:hAnsi="Calibri" w:cs="Calibri"/>
          <w:i/>
          <w:iCs/>
          <w:noProof/>
          <w:szCs w:val="24"/>
        </w:rPr>
        <w:t>Arch Dis Child Educ Pract Ed</w:t>
      </w:r>
      <w:r w:rsidRPr="00E11DF8">
        <w:rPr>
          <w:rFonts w:ascii="Calibri" w:hAnsi="Calibri" w:cs="Calibri"/>
          <w:noProof/>
          <w:szCs w:val="24"/>
        </w:rPr>
        <w:t xml:space="preserve"> 2015;</w:t>
      </w:r>
      <w:r w:rsidRPr="00E11DF8">
        <w:rPr>
          <w:rFonts w:ascii="Calibri" w:hAnsi="Calibri" w:cs="Calibri"/>
          <w:b/>
          <w:bCs/>
          <w:noProof/>
          <w:szCs w:val="24"/>
        </w:rPr>
        <w:t>100</w:t>
      </w:r>
      <w:r w:rsidRPr="00E11DF8">
        <w:rPr>
          <w:rFonts w:ascii="Calibri" w:hAnsi="Calibri" w:cs="Calibri"/>
          <w:noProof/>
          <w:szCs w:val="24"/>
        </w:rPr>
        <w:t>:313–20. doi:10.1136/archdischild-2014-307423</w:t>
      </w:r>
    </w:p>
    <w:p w14:paraId="44E0C2AA"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lastRenderedPageBreak/>
        <w:t xml:space="preserve">25 </w:t>
      </w:r>
      <w:r w:rsidRPr="00E11DF8">
        <w:rPr>
          <w:rFonts w:ascii="Calibri" w:hAnsi="Calibri" w:cs="Calibri"/>
          <w:noProof/>
          <w:szCs w:val="24"/>
        </w:rPr>
        <w:tab/>
        <w:t xml:space="preserve">Eberhardson M, Söderling JK, Neovius M, </w:t>
      </w:r>
      <w:r w:rsidRPr="00E11DF8">
        <w:rPr>
          <w:rFonts w:ascii="Calibri" w:hAnsi="Calibri" w:cs="Calibri"/>
          <w:i/>
          <w:iCs/>
          <w:noProof/>
          <w:szCs w:val="24"/>
        </w:rPr>
        <w:t>et al.</w:t>
      </w:r>
      <w:r w:rsidRPr="00E11DF8">
        <w:rPr>
          <w:rFonts w:ascii="Calibri" w:hAnsi="Calibri" w:cs="Calibri"/>
          <w:noProof/>
          <w:szCs w:val="24"/>
        </w:rPr>
        <w:t xml:space="preserve"> Anti-TNF treatment in Crohn’s disease and risk of bowel resection-a population based cohort study. </w:t>
      </w:r>
      <w:r w:rsidRPr="00E11DF8">
        <w:rPr>
          <w:rFonts w:ascii="Calibri" w:hAnsi="Calibri" w:cs="Calibri"/>
          <w:i/>
          <w:iCs/>
          <w:noProof/>
          <w:szCs w:val="24"/>
        </w:rPr>
        <w:t>Aliment Pharmacol Ther</w:t>
      </w:r>
      <w:r w:rsidRPr="00E11DF8">
        <w:rPr>
          <w:rFonts w:ascii="Calibri" w:hAnsi="Calibri" w:cs="Calibri"/>
          <w:noProof/>
          <w:szCs w:val="24"/>
        </w:rPr>
        <w:t xml:space="preserve"> 2017;</w:t>
      </w:r>
      <w:r w:rsidRPr="00E11DF8">
        <w:rPr>
          <w:rFonts w:ascii="Calibri" w:hAnsi="Calibri" w:cs="Calibri"/>
          <w:b/>
          <w:bCs/>
          <w:noProof/>
          <w:szCs w:val="24"/>
        </w:rPr>
        <w:t>46</w:t>
      </w:r>
      <w:r w:rsidRPr="00E11DF8">
        <w:rPr>
          <w:rFonts w:ascii="Calibri" w:hAnsi="Calibri" w:cs="Calibri"/>
          <w:noProof/>
          <w:szCs w:val="24"/>
        </w:rPr>
        <w:t>:589–98. doi:10.1111/apt.14224</w:t>
      </w:r>
    </w:p>
    <w:p w14:paraId="7D98CF9E"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26 </w:t>
      </w:r>
      <w:r w:rsidRPr="00E11DF8">
        <w:rPr>
          <w:rFonts w:ascii="Calibri" w:hAnsi="Calibri" w:cs="Calibri"/>
          <w:noProof/>
          <w:szCs w:val="24"/>
        </w:rPr>
        <w:tab/>
        <w:t xml:space="preserve">Walters TD, Kim M-O, Denson LA, </w:t>
      </w:r>
      <w:r w:rsidRPr="00E11DF8">
        <w:rPr>
          <w:rFonts w:ascii="Calibri" w:hAnsi="Calibri" w:cs="Calibri"/>
          <w:i/>
          <w:iCs/>
          <w:noProof/>
          <w:szCs w:val="24"/>
        </w:rPr>
        <w:t>et al.</w:t>
      </w:r>
      <w:r w:rsidRPr="00E11DF8">
        <w:rPr>
          <w:rFonts w:ascii="Calibri" w:hAnsi="Calibri" w:cs="Calibri"/>
          <w:noProof/>
          <w:szCs w:val="24"/>
        </w:rPr>
        <w:t xml:space="preserve"> Increased Effectiveness of Early Therapy With Anti-Tumor Necrosis Factor-α vs an Immunomodulator in Children With Crohn’s Disease. </w:t>
      </w:r>
      <w:r w:rsidRPr="00E11DF8">
        <w:rPr>
          <w:rFonts w:ascii="Calibri" w:hAnsi="Calibri" w:cs="Calibri"/>
          <w:i/>
          <w:iCs/>
          <w:noProof/>
          <w:szCs w:val="24"/>
        </w:rPr>
        <w:t>Gastroenterology</w:t>
      </w:r>
      <w:r w:rsidRPr="00E11DF8">
        <w:rPr>
          <w:rFonts w:ascii="Calibri" w:hAnsi="Calibri" w:cs="Calibri"/>
          <w:noProof/>
          <w:szCs w:val="24"/>
        </w:rPr>
        <w:t xml:space="preserve"> 2014;</w:t>
      </w:r>
      <w:r w:rsidRPr="00E11DF8">
        <w:rPr>
          <w:rFonts w:ascii="Calibri" w:hAnsi="Calibri" w:cs="Calibri"/>
          <w:b/>
          <w:bCs/>
          <w:noProof/>
          <w:szCs w:val="24"/>
        </w:rPr>
        <w:t>146</w:t>
      </w:r>
      <w:r w:rsidRPr="00E11DF8">
        <w:rPr>
          <w:rFonts w:ascii="Calibri" w:hAnsi="Calibri" w:cs="Calibri"/>
          <w:noProof/>
          <w:szCs w:val="24"/>
        </w:rPr>
        <w:t>:383–91. doi:10.1053/j.gastro.2013.10.027</w:t>
      </w:r>
    </w:p>
    <w:p w14:paraId="6A61D4C3"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27 </w:t>
      </w:r>
      <w:r w:rsidRPr="00E11DF8">
        <w:rPr>
          <w:rFonts w:ascii="Calibri" w:hAnsi="Calibri" w:cs="Calibri"/>
          <w:noProof/>
          <w:szCs w:val="24"/>
        </w:rPr>
        <w:tab/>
        <w:t xml:space="preserve">Oh EH, Oh K, Han M, </w:t>
      </w:r>
      <w:r w:rsidRPr="00E11DF8">
        <w:rPr>
          <w:rFonts w:ascii="Calibri" w:hAnsi="Calibri" w:cs="Calibri"/>
          <w:i/>
          <w:iCs/>
          <w:noProof/>
          <w:szCs w:val="24"/>
        </w:rPr>
        <w:t>et al.</w:t>
      </w:r>
      <w:r w:rsidRPr="00E11DF8">
        <w:rPr>
          <w:rFonts w:ascii="Calibri" w:hAnsi="Calibri" w:cs="Calibri"/>
          <w:noProof/>
          <w:szCs w:val="24"/>
        </w:rPr>
        <w:t xml:space="preserve"> Early anti-TNF/immunomodulator therapy is associated with better long-term clinical outcomes in Asian patients with Crohn’s disease with poor prognostic factors. </w:t>
      </w:r>
      <w:r w:rsidRPr="00E11DF8">
        <w:rPr>
          <w:rFonts w:ascii="Calibri" w:hAnsi="Calibri" w:cs="Calibri"/>
          <w:i/>
          <w:iCs/>
          <w:noProof/>
          <w:szCs w:val="24"/>
        </w:rPr>
        <w:t>PLoS One</w:t>
      </w:r>
      <w:r w:rsidRPr="00E11DF8">
        <w:rPr>
          <w:rFonts w:ascii="Calibri" w:hAnsi="Calibri" w:cs="Calibri"/>
          <w:noProof/>
          <w:szCs w:val="24"/>
        </w:rPr>
        <w:t xml:space="preserve"> 2017;</w:t>
      </w:r>
      <w:r w:rsidRPr="00E11DF8">
        <w:rPr>
          <w:rFonts w:ascii="Calibri" w:hAnsi="Calibri" w:cs="Calibri"/>
          <w:b/>
          <w:bCs/>
          <w:noProof/>
          <w:szCs w:val="24"/>
        </w:rPr>
        <w:t>12</w:t>
      </w:r>
      <w:r w:rsidRPr="00E11DF8">
        <w:rPr>
          <w:rFonts w:ascii="Calibri" w:hAnsi="Calibri" w:cs="Calibri"/>
          <w:noProof/>
          <w:szCs w:val="24"/>
        </w:rPr>
        <w:t>:e0177479. doi:10.1371/journal.pone.0177479</w:t>
      </w:r>
    </w:p>
    <w:p w14:paraId="462C1A2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28 </w:t>
      </w:r>
      <w:r w:rsidRPr="00E11DF8">
        <w:rPr>
          <w:rFonts w:ascii="Calibri" w:hAnsi="Calibri" w:cs="Calibri"/>
          <w:noProof/>
          <w:szCs w:val="24"/>
        </w:rPr>
        <w:tab/>
        <w:t xml:space="preserve">Ma C, Beilman CL, Huang VW, </w:t>
      </w:r>
      <w:r w:rsidRPr="00E11DF8">
        <w:rPr>
          <w:rFonts w:ascii="Calibri" w:hAnsi="Calibri" w:cs="Calibri"/>
          <w:i/>
          <w:iCs/>
          <w:noProof/>
          <w:szCs w:val="24"/>
        </w:rPr>
        <w:t>et al.</w:t>
      </w:r>
      <w:r w:rsidRPr="00E11DF8">
        <w:rPr>
          <w:rFonts w:ascii="Calibri" w:hAnsi="Calibri" w:cs="Calibri"/>
          <w:noProof/>
          <w:szCs w:val="24"/>
        </w:rPr>
        <w:t xml:space="preserve"> Anti-TNF Therapy Within 2 Years of Crohnʼs Disease Diagnosis Improves Patient Outcomes. </w:t>
      </w:r>
      <w:r w:rsidRPr="00E11DF8">
        <w:rPr>
          <w:rFonts w:ascii="Calibri" w:hAnsi="Calibri" w:cs="Calibri"/>
          <w:i/>
          <w:iCs/>
          <w:noProof/>
          <w:szCs w:val="24"/>
        </w:rPr>
        <w:t>Inflamm Bowel Dis</w:t>
      </w:r>
      <w:r w:rsidRPr="00E11DF8">
        <w:rPr>
          <w:rFonts w:ascii="Calibri" w:hAnsi="Calibri" w:cs="Calibri"/>
          <w:noProof/>
          <w:szCs w:val="24"/>
        </w:rPr>
        <w:t xml:space="preserve"> 2016;</w:t>
      </w:r>
      <w:r w:rsidRPr="00E11DF8">
        <w:rPr>
          <w:rFonts w:ascii="Calibri" w:hAnsi="Calibri" w:cs="Calibri"/>
          <w:b/>
          <w:bCs/>
          <w:noProof/>
          <w:szCs w:val="24"/>
        </w:rPr>
        <w:t>22</w:t>
      </w:r>
      <w:r w:rsidRPr="00E11DF8">
        <w:rPr>
          <w:rFonts w:ascii="Calibri" w:hAnsi="Calibri" w:cs="Calibri"/>
          <w:noProof/>
          <w:szCs w:val="24"/>
        </w:rPr>
        <w:t>:870–9. doi:10.1097/MIB.0000000000000679</w:t>
      </w:r>
    </w:p>
    <w:p w14:paraId="24F31CF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29 </w:t>
      </w:r>
      <w:r w:rsidRPr="00E11DF8">
        <w:rPr>
          <w:rFonts w:ascii="Calibri" w:hAnsi="Calibri" w:cs="Calibri"/>
          <w:noProof/>
          <w:szCs w:val="24"/>
        </w:rPr>
        <w:tab/>
        <w:t xml:space="preserve">González-Lama Y, Suárez C, González-Partida I, </w:t>
      </w:r>
      <w:r w:rsidRPr="00E11DF8">
        <w:rPr>
          <w:rFonts w:ascii="Calibri" w:hAnsi="Calibri" w:cs="Calibri"/>
          <w:i/>
          <w:iCs/>
          <w:noProof/>
          <w:szCs w:val="24"/>
        </w:rPr>
        <w:t>et al.</w:t>
      </w:r>
      <w:r w:rsidRPr="00E11DF8">
        <w:rPr>
          <w:rFonts w:ascii="Calibri" w:hAnsi="Calibri" w:cs="Calibri"/>
          <w:noProof/>
          <w:szCs w:val="24"/>
        </w:rPr>
        <w:t xml:space="preserve"> Timing of Thiopurine or Anti-TNF Initiation Is Associated with the Risk of Major Abdominal Surgery in Crohn’s Disease: A Retrospective Cohort Study. </w:t>
      </w:r>
      <w:r w:rsidRPr="00E11DF8">
        <w:rPr>
          <w:rFonts w:ascii="Calibri" w:hAnsi="Calibri" w:cs="Calibri"/>
          <w:i/>
          <w:iCs/>
          <w:noProof/>
          <w:szCs w:val="24"/>
        </w:rPr>
        <w:t>J Crohn’s Colitis</w:t>
      </w:r>
      <w:r w:rsidRPr="00E11DF8">
        <w:rPr>
          <w:rFonts w:ascii="Calibri" w:hAnsi="Calibri" w:cs="Calibri"/>
          <w:noProof/>
          <w:szCs w:val="24"/>
        </w:rPr>
        <w:t xml:space="preserve"> 2016;</w:t>
      </w:r>
      <w:r w:rsidRPr="00E11DF8">
        <w:rPr>
          <w:rFonts w:ascii="Calibri" w:hAnsi="Calibri" w:cs="Calibri"/>
          <w:b/>
          <w:bCs/>
          <w:noProof/>
          <w:szCs w:val="24"/>
        </w:rPr>
        <w:t>10</w:t>
      </w:r>
      <w:r w:rsidRPr="00E11DF8">
        <w:rPr>
          <w:rFonts w:ascii="Calibri" w:hAnsi="Calibri" w:cs="Calibri"/>
          <w:noProof/>
          <w:szCs w:val="24"/>
        </w:rPr>
        <w:t>:55–60. doi:10.1093/ecco-jcc/jjv187</w:t>
      </w:r>
    </w:p>
    <w:p w14:paraId="1DA9D877"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30 </w:t>
      </w:r>
      <w:r w:rsidRPr="00E11DF8">
        <w:rPr>
          <w:rFonts w:ascii="Calibri" w:hAnsi="Calibri" w:cs="Calibri"/>
          <w:noProof/>
          <w:szCs w:val="24"/>
        </w:rPr>
        <w:tab/>
        <w:t xml:space="preserve">Moran GW, Dubeau M, Kaplan GG, </w:t>
      </w:r>
      <w:r w:rsidRPr="00E11DF8">
        <w:rPr>
          <w:rFonts w:ascii="Calibri" w:hAnsi="Calibri" w:cs="Calibri"/>
          <w:i/>
          <w:iCs/>
          <w:noProof/>
          <w:szCs w:val="24"/>
        </w:rPr>
        <w:t>et al.</w:t>
      </w:r>
      <w:r w:rsidRPr="00E11DF8">
        <w:rPr>
          <w:rFonts w:ascii="Calibri" w:hAnsi="Calibri" w:cs="Calibri"/>
          <w:noProof/>
          <w:szCs w:val="24"/>
        </w:rPr>
        <w:t xml:space="preserve"> Phenotypic Features of Crohn’s Disease Associated With Failure of Medical Treatment. </w:t>
      </w:r>
      <w:r w:rsidRPr="00E11DF8">
        <w:rPr>
          <w:rFonts w:ascii="Calibri" w:hAnsi="Calibri" w:cs="Calibri"/>
          <w:i/>
          <w:iCs/>
          <w:noProof/>
          <w:szCs w:val="24"/>
        </w:rPr>
        <w:t>Clin Gastroenterol Hepatol</w:t>
      </w:r>
      <w:r w:rsidRPr="00E11DF8">
        <w:rPr>
          <w:rFonts w:ascii="Calibri" w:hAnsi="Calibri" w:cs="Calibri"/>
          <w:noProof/>
          <w:szCs w:val="24"/>
        </w:rPr>
        <w:t xml:space="preserve"> 2014;</w:t>
      </w:r>
      <w:r w:rsidRPr="00E11DF8">
        <w:rPr>
          <w:rFonts w:ascii="Calibri" w:hAnsi="Calibri" w:cs="Calibri"/>
          <w:b/>
          <w:bCs/>
          <w:noProof/>
          <w:szCs w:val="24"/>
        </w:rPr>
        <w:t>12</w:t>
      </w:r>
      <w:r w:rsidRPr="00E11DF8">
        <w:rPr>
          <w:rFonts w:ascii="Calibri" w:hAnsi="Calibri" w:cs="Calibri"/>
          <w:noProof/>
          <w:szCs w:val="24"/>
        </w:rPr>
        <w:t>:434–442.e1. doi:10.1016/j.cgh.2013.08.026</w:t>
      </w:r>
    </w:p>
    <w:p w14:paraId="17E20654"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31 </w:t>
      </w:r>
      <w:r w:rsidRPr="00E11DF8">
        <w:rPr>
          <w:rFonts w:ascii="Calibri" w:hAnsi="Calibri" w:cs="Calibri"/>
          <w:noProof/>
          <w:szCs w:val="24"/>
        </w:rPr>
        <w:tab/>
        <w:t xml:space="preserve">Ashton JJ, Coelho T, Ennis S, </w:t>
      </w:r>
      <w:r w:rsidRPr="00E11DF8">
        <w:rPr>
          <w:rFonts w:ascii="Calibri" w:hAnsi="Calibri" w:cs="Calibri"/>
          <w:i/>
          <w:iCs/>
          <w:noProof/>
          <w:szCs w:val="24"/>
        </w:rPr>
        <w:t>et al.</w:t>
      </w:r>
      <w:r w:rsidRPr="00E11DF8">
        <w:rPr>
          <w:rFonts w:ascii="Calibri" w:hAnsi="Calibri" w:cs="Calibri"/>
          <w:noProof/>
          <w:szCs w:val="24"/>
        </w:rPr>
        <w:t xml:space="preserve"> Presenting Phenotype of Paediatric Inflammatory Bowel Disease (PIBD) in Wessex, Southern England 2010-13. </w:t>
      </w:r>
      <w:r w:rsidRPr="00E11DF8">
        <w:rPr>
          <w:rFonts w:ascii="Calibri" w:hAnsi="Calibri" w:cs="Calibri"/>
          <w:i/>
          <w:iCs/>
          <w:noProof/>
          <w:szCs w:val="24"/>
        </w:rPr>
        <w:t>Acta Paediatr</w:t>
      </w:r>
      <w:r w:rsidRPr="00E11DF8">
        <w:rPr>
          <w:rFonts w:ascii="Calibri" w:hAnsi="Calibri" w:cs="Calibri"/>
          <w:noProof/>
          <w:szCs w:val="24"/>
        </w:rPr>
        <w:t xml:space="preserve"> Published Online First: 2015. doi:10.1111/apa.13017</w:t>
      </w:r>
    </w:p>
    <w:p w14:paraId="551987BA"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32 </w:t>
      </w:r>
      <w:r w:rsidRPr="00E11DF8">
        <w:rPr>
          <w:rFonts w:ascii="Calibri" w:hAnsi="Calibri" w:cs="Calibri"/>
          <w:noProof/>
          <w:szCs w:val="24"/>
        </w:rPr>
        <w:tab/>
        <w:t xml:space="preserve">Ricciuto A, Fish JR, Tomalty DE, </w:t>
      </w:r>
      <w:r w:rsidRPr="00E11DF8">
        <w:rPr>
          <w:rFonts w:ascii="Calibri" w:hAnsi="Calibri" w:cs="Calibri"/>
          <w:i/>
          <w:iCs/>
          <w:noProof/>
          <w:szCs w:val="24"/>
        </w:rPr>
        <w:t>et al.</w:t>
      </w:r>
      <w:r w:rsidRPr="00E11DF8">
        <w:rPr>
          <w:rFonts w:ascii="Calibri" w:hAnsi="Calibri" w:cs="Calibri"/>
          <w:noProof/>
          <w:szCs w:val="24"/>
        </w:rPr>
        <w:t xml:space="preserve"> Diagnostic delay in Canadian children with inflammatory bowel disease is more common in Crohn’s disease and associated with decreased height. </w:t>
      </w:r>
      <w:r w:rsidRPr="00E11DF8">
        <w:rPr>
          <w:rFonts w:ascii="Calibri" w:hAnsi="Calibri" w:cs="Calibri"/>
          <w:i/>
          <w:iCs/>
          <w:noProof/>
          <w:szCs w:val="24"/>
        </w:rPr>
        <w:t>Arch Dis Child</w:t>
      </w:r>
      <w:r w:rsidRPr="00E11DF8">
        <w:rPr>
          <w:rFonts w:ascii="Calibri" w:hAnsi="Calibri" w:cs="Calibri"/>
          <w:noProof/>
          <w:szCs w:val="24"/>
        </w:rPr>
        <w:t xml:space="preserve"> 2017;:archdischild-2017-313060. doi:10.1136/archdischild-2017-313060</w:t>
      </w:r>
    </w:p>
    <w:p w14:paraId="4F78C1C9"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lastRenderedPageBreak/>
        <w:t xml:space="preserve">33 </w:t>
      </w:r>
      <w:r w:rsidRPr="00E11DF8">
        <w:rPr>
          <w:rFonts w:ascii="Calibri" w:hAnsi="Calibri" w:cs="Calibri"/>
          <w:noProof/>
          <w:szCs w:val="24"/>
        </w:rPr>
        <w:tab/>
        <w:t xml:space="preserve">Ashton JJ, Harden A, Beattie RM. Paediatric inflammatory bowel disease: improving early diagnosis. </w:t>
      </w:r>
      <w:r w:rsidRPr="00E11DF8">
        <w:rPr>
          <w:rFonts w:ascii="Calibri" w:hAnsi="Calibri" w:cs="Calibri"/>
          <w:i/>
          <w:iCs/>
          <w:noProof/>
          <w:szCs w:val="24"/>
        </w:rPr>
        <w:t>Arch Dis Child</w:t>
      </w:r>
      <w:r w:rsidRPr="00E11DF8">
        <w:rPr>
          <w:rFonts w:ascii="Calibri" w:hAnsi="Calibri" w:cs="Calibri"/>
          <w:noProof/>
          <w:szCs w:val="24"/>
        </w:rPr>
        <w:t xml:space="preserve"> 2017;:archdischild-2017-313955. doi:10.1136/archdischild-2017-313955</w:t>
      </w:r>
    </w:p>
    <w:p w14:paraId="66AF2657"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34 </w:t>
      </w:r>
      <w:r w:rsidRPr="00E11DF8">
        <w:rPr>
          <w:rFonts w:ascii="Calibri" w:hAnsi="Calibri" w:cs="Calibri"/>
          <w:noProof/>
          <w:szCs w:val="24"/>
        </w:rPr>
        <w:tab/>
        <w:t xml:space="preserve">Coughlan A, Wylde R, Lafferty L, </w:t>
      </w:r>
      <w:r w:rsidRPr="00E11DF8">
        <w:rPr>
          <w:rFonts w:ascii="Calibri" w:hAnsi="Calibri" w:cs="Calibri"/>
          <w:i/>
          <w:iCs/>
          <w:noProof/>
          <w:szCs w:val="24"/>
        </w:rPr>
        <w:t>et al.</w:t>
      </w:r>
      <w:r w:rsidRPr="00E11DF8">
        <w:rPr>
          <w:rFonts w:ascii="Calibri" w:hAnsi="Calibri" w:cs="Calibri"/>
          <w:noProof/>
          <w:szCs w:val="24"/>
        </w:rPr>
        <w:t xml:space="preserve"> A rising incidence and poorer male outcomes characterise early onset paediatric inflammatory bowel disease. </w:t>
      </w:r>
      <w:r w:rsidRPr="00E11DF8">
        <w:rPr>
          <w:rFonts w:ascii="Calibri" w:hAnsi="Calibri" w:cs="Calibri"/>
          <w:i/>
          <w:iCs/>
          <w:noProof/>
          <w:szCs w:val="24"/>
        </w:rPr>
        <w:t>Aliment Pharmacol Ther</w:t>
      </w:r>
      <w:r w:rsidRPr="00E11DF8">
        <w:rPr>
          <w:rFonts w:ascii="Calibri" w:hAnsi="Calibri" w:cs="Calibri"/>
          <w:noProof/>
          <w:szCs w:val="24"/>
        </w:rPr>
        <w:t xml:space="preserve"> 2017;</w:t>
      </w:r>
      <w:r w:rsidRPr="00E11DF8">
        <w:rPr>
          <w:rFonts w:ascii="Calibri" w:hAnsi="Calibri" w:cs="Calibri"/>
          <w:b/>
          <w:bCs/>
          <w:noProof/>
          <w:szCs w:val="24"/>
        </w:rPr>
        <w:t>45</w:t>
      </w:r>
      <w:r w:rsidRPr="00E11DF8">
        <w:rPr>
          <w:rFonts w:ascii="Calibri" w:hAnsi="Calibri" w:cs="Calibri"/>
          <w:noProof/>
          <w:szCs w:val="24"/>
        </w:rPr>
        <w:t>:1534–41. doi:10.1111/apt.14070</w:t>
      </w:r>
    </w:p>
    <w:p w14:paraId="685ECE24"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35 </w:t>
      </w:r>
      <w:r w:rsidRPr="00E11DF8">
        <w:rPr>
          <w:rFonts w:ascii="Calibri" w:hAnsi="Calibri" w:cs="Calibri"/>
          <w:noProof/>
          <w:szCs w:val="24"/>
        </w:rPr>
        <w:tab/>
        <w:t xml:space="preserve">Nordenvall C, Rosvall O, Bottai M, </w:t>
      </w:r>
      <w:r w:rsidRPr="00E11DF8">
        <w:rPr>
          <w:rFonts w:ascii="Calibri" w:hAnsi="Calibri" w:cs="Calibri"/>
          <w:i/>
          <w:iCs/>
          <w:noProof/>
          <w:szCs w:val="24"/>
        </w:rPr>
        <w:t>et al.</w:t>
      </w:r>
      <w:r w:rsidRPr="00E11DF8">
        <w:rPr>
          <w:rFonts w:ascii="Calibri" w:hAnsi="Calibri" w:cs="Calibri"/>
          <w:noProof/>
          <w:szCs w:val="24"/>
        </w:rPr>
        <w:t xml:space="preserve"> Surgical Treatment in Childhood-onset Inflammatory Bowel Disease–A Nationwide Register-based Study of 4695 Incident Patients in Sweden 2002-2014. </w:t>
      </w:r>
      <w:r w:rsidRPr="00E11DF8">
        <w:rPr>
          <w:rFonts w:ascii="Calibri" w:hAnsi="Calibri" w:cs="Calibri"/>
          <w:i/>
          <w:iCs/>
          <w:noProof/>
          <w:szCs w:val="24"/>
        </w:rPr>
        <w:t>J Crohn’s Colitis</w:t>
      </w:r>
      <w:r w:rsidRPr="00E11DF8">
        <w:rPr>
          <w:rFonts w:ascii="Calibri" w:hAnsi="Calibri" w:cs="Calibri"/>
          <w:noProof/>
          <w:szCs w:val="24"/>
        </w:rPr>
        <w:t xml:space="preserve"> 2018;</w:t>
      </w:r>
      <w:r w:rsidRPr="00E11DF8">
        <w:rPr>
          <w:rFonts w:ascii="Calibri" w:hAnsi="Calibri" w:cs="Calibri"/>
          <w:b/>
          <w:bCs/>
          <w:noProof/>
          <w:szCs w:val="24"/>
        </w:rPr>
        <w:t>12</w:t>
      </w:r>
      <w:r w:rsidRPr="00E11DF8">
        <w:rPr>
          <w:rFonts w:ascii="Calibri" w:hAnsi="Calibri" w:cs="Calibri"/>
          <w:noProof/>
          <w:szCs w:val="24"/>
        </w:rPr>
        <w:t>:157–66. doi:10.1093/ecco-jcc/jjx132</w:t>
      </w:r>
    </w:p>
    <w:p w14:paraId="1817228F"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36 </w:t>
      </w:r>
      <w:r w:rsidRPr="00E11DF8">
        <w:rPr>
          <w:rFonts w:ascii="Calibri" w:hAnsi="Calibri" w:cs="Calibri"/>
          <w:noProof/>
          <w:szCs w:val="24"/>
        </w:rPr>
        <w:tab/>
        <w:t xml:space="preserve">Larsen MD, Qvist N, Nielsen J, </w:t>
      </w:r>
      <w:r w:rsidRPr="00E11DF8">
        <w:rPr>
          <w:rFonts w:ascii="Calibri" w:hAnsi="Calibri" w:cs="Calibri"/>
          <w:i/>
          <w:iCs/>
          <w:noProof/>
          <w:szCs w:val="24"/>
        </w:rPr>
        <w:t>et al.</w:t>
      </w:r>
      <w:r w:rsidRPr="00E11DF8">
        <w:rPr>
          <w:rFonts w:ascii="Calibri" w:hAnsi="Calibri" w:cs="Calibri"/>
          <w:noProof/>
          <w:szCs w:val="24"/>
        </w:rPr>
        <w:t xml:space="preserve"> Use of Anti-TNFα Agents and Time to First-time Surgery in Paediatric Patients with Ulcerative Colitis and Crohn’s Disease Anti-TNF α Agents and Surgery in Paediatric IBD Patients. Published Online First: 2016. doi:10.1093/ecco-jcc/jjw017</w:t>
      </w:r>
    </w:p>
    <w:p w14:paraId="4A957581"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37 </w:t>
      </w:r>
      <w:r w:rsidRPr="00E11DF8">
        <w:rPr>
          <w:rFonts w:ascii="Calibri" w:hAnsi="Calibri" w:cs="Calibri"/>
          <w:noProof/>
          <w:szCs w:val="24"/>
        </w:rPr>
        <w:tab/>
        <w:t xml:space="preserve">Ashton JJ, Bonduelle Q, Mossotto E, </w:t>
      </w:r>
      <w:r w:rsidRPr="00E11DF8">
        <w:rPr>
          <w:rFonts w:ascii="Calibri" w:hAnsi="Calibri" w:cs="Calibri"/>
          <w:i/>
          <w:iCs/>
          <w:noProof/>
          <w:szCs w:val="24"/>
        </w:rPr>
        <w:t>et al.</w:t>
      </w:r>
      <w:r w:rsidRPr="00E11DF8">
        <w:rPr>
          <w:rFonts w:ascii="Calibri" w:hAnsi="Calibri" w:cs="Calibri"/>
          <w:noProof/>
          <w:szCs w:val="24"/>
        </w:rPr>
        <w:t xml:space="preserve"> Endoscopic and Histological Assessment of Paediatric Inflammatory Bowel Disease over a 3-Year Follow-up Period. </w:t>
      </w:r>
      <w:r w:rsidRPr="00E11DF8">
        <w:rPr>
          <w:rFonts w:ascii="Calibri" w:hAnsi="Calibri" w:cs="Calibri"/>
          <w:i/>
          <w:iCs/>
          <w:noProof/>
          <w:szCs w:val="24"/>
        </w:rPr>
        <w:t>J Pediatr Gastroenterol Nutr</w:t>
      </w:r>
      <w:r w:rsidRPr="00E11DF8">
        <w:rPr>
          <w:rFonts w:ascii="Calibri" w:hAnsi="Calibri" w:cs="Calibri"/>
          <w:noProof/>
          <w:szCs w:val="24"/>
        </w:rPr>
        <w:t xml:space="preserve"> 2018;</w:t>
      </w:r>
      <w:r w:rsidRPr="00E11DF8">
        <w:rPr>
          <w:rFonts w:ascii="Calibri" w:hAnsi="Calibri" w:cs="Calibri"/>
          <w:b/>
          <w:bCs/>
          <w:noProof/>
          <w:szCs w:val="24"/>
        </w:rPr>
        <w:t>66</w:t>
      </w:r>
      <w:r w:rsidRPr="00E11DF8">
        <w:rPr>
          <w:rFonts w:ascii="Calibri" w:hAnsi="Calibri" w:cs="Calibri"/>
          <w:noProof/>
          <w:szCs w:val="24"/>
        </w:rPr>
        <w:t>. doi:10.1097/MPG.0000000000001729</w:t>
      </w:r>
    </w:p>
    <w:p w14:paraId="62C9C07C"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38 </w:t>
      </w:r>
      <w:r w:rsidRPr="00E11DF8">
        <w:rPr>
          <w:rFonts w:ascii="Calibri" w:hAnsi="Calibri" w:cs="Calibri"/>
          <w:noProof/>
          <w:szCs w:val="24"/>
        </w:rPr>
        <w:tab/>
        <w:t xml:space="preserve">Sandhu BK, Fell JM, Beattie RM, </w:t>
      </w:r>
      <w:r w:rsidRPr="00E11DF8">
        <w:rPr>
          <w:rFonts w:ascii="Calibri" w:hAnsi="Calibri" w:cs="Calibri"/>
          <w:i/>
          <w:iCs/>
          <w:noProof/>
          <w:szCs w:val="24"/>
        </w:rPr>
        <w:t>et al.</w:t>
      </w:r>
      <w:r w:rsidRPr="00E11DF8">
        <w:rPr>
          <w:rFonts w:ascii="Calibri" w:hAnsi="Calibri" w:cs="Calibri"/>
          <w:noProof/>
          <w:szCs w:val="24"/>
        </w:rPr>
        <w:t xml:space="preserve"> Guidelines for the management of inflammatory bowel disease in children in the United Kingdom. </w:t>
      </w:r>
      <w:r w:rsidRPr="00E11DF8">
        <w:rPr>
          <w:rFonts w:ascii="Calibri" w:hAnsi="Calibri" w:cs="Calibri"/>
          <w:i/>
          <w:iCs/>
          <w:noProof/>
          <w:szCs w:val="24"/>
        </w:rPr>
        <w:t>J Pediatr Gastroenterol Nutr</w:t>
      </w:r>
      <w:r w:rsidRPr="00E11DF8">
        <w:rPr>
          <w:rFonts w:ascii="Calibri" w:hAnsi="Calibri" w:cs="Calibri"/>
          <w:noProof/>
          <w:szCs w:val="24"/>
        </w:rPr>
        <w:t xml:space="preserve"> 2010;</w:t>
      </w:r>
      <w:r w:rsidRPr="00E11DF8">
        <w:rPr>
          <w:rFonts w:ascii="Calibri" w:hAnsi="Calibri" w:cs="Calibri"/>
          <w:b/>
          <w:bCs/>
          <w:noProof/>
          <w:szCs w:val="24"/>
        </w:rPr>
        <w:t>50 Suppl 1</w:t>
      </w:r>
      <w:r w:rsidRPr="00E11DF8">
        <w:rPr>
          <w:rFonts w:ascii="Calibri" w:hAnsi="Calibri" w:cs="Calibri"/>
          <w:noProof/>
          <w:szCs w:val="24"/>
        </w:rPr>
        <w:t>:S1-13. doi:10.1097/MPG.0b013e3181c92c53</w:t>
      </w:r>
    </w:p>
    <w:p w14:paraId="70EA4117"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39 </w:t>
      </w:r>
      <w:r w:rsidRPr="00E11DF8">
        <w:rPr>
          <w:rFonts w:ascii="Calibri" w:hAnsi="Calibri" w:cs="Calibri"/>
          <w:noProof/>
          <w:szCs w:val="24"/>
        </w:rPr>
        <w:tab/>
        <w:t xml:space="preserve">Assa A, Hartman C, Weiss B, </w:t>
      </w:r>
      <w:r w:rsidRPr="00E11DF8">
        <w:rPr>
          <w:rFonts w:ascii="Calibri" w:hAnsi="Calibri" w:cs="Calibri"/>
          <w:i/>
          <w:iCs/>
          <w:noProof/>
          <w:szCs w:val="24"/>
        </w:rPr>
        <w:t>et al.</w:t>
      </w:r>
      <w:r w:rsidRPr="00E11DF8">
        <w:rPr>
          <w:rFonts w:ascii="Calibri" w:hAnsi="Calibri" w:cs="Calibri"/>
          <w:noProof/>
          <w:szCs w:val="24"/>
        </w:rPr>
        <w:t xml:space="preserve"> Long-term outcome of tumor necrosis factor alpha antagonist’s treatment in pediatric Crohn’s disease. </w:t>
      </w:r>
      <w:r w:rsidRPr="00E11DF8">
        <w:rPr>
          <w:rFonts w:ascii="Calibri" w:hAnsi="Calibri" w:cs="Calibri"/>
          <w:i/>
          <w:iCs/>
          <w:noProof/>
          <w:szCs w:val="24"/>
        </w:rPr>
        <w:t>J Crohn’s Colitis</w:t>
      </w:r>
      <w:r w:rsidRPr="00E11DF8">
        <w:rPr>
          <w:rFonts w:ascii="Calibri" w:hAnsi="Calibri" w:cs="Calibri"/>
          <w:noProof/>
          <w:szCs w:val="24"/>
        </w:rPr>
        <w:t xml:space="preserve"> 2013;</w:t>
      </w:r>
      <w:r w:rsidRPr="00E11DF8">
        <w:rPr>
          <w:rFonts w:ascii="Calibri" w:hAnsi="Calibri" w:cs="Calibri"/>
          <w:b/>
          <w:bCs/>
          <w:noProof/>
          <w:szCs w:val="24"/>
        </w:rPr>
        <w:t>7</w:t>
      </w:r>
      <w:r w:rsidRPr="00E11DF8">
        <w:rPr>
          <w:rFonts w:ascii="Calibri" w:hAnsi="Calibri" w:cs="Calibri"/>
          <w:noProof/>
          <w:szCs w:val="24"/>
        </w:rPr>
        <w:t>:369–76. doi:10.1016/j.crohns.2012.03.006</w:t>
      </w:r>
    </w:p>
    <w:p w14:paraId="65D00CB5"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40 </w:t>
      </w:r>
      <w:r w:rsidRPr="00E11DF8">
        <w:rPr>
          <w:rFonts w:ascii="Calibri" w:hAnsi="Calibri" w:cs="Calibri"/>
          <w:noProof/>
          <w:szCs w:val="24"/>
        </w:rPr>
        <w:tab/>
        <w:t xml:space="preserve">Bamberger S, Martinez Vinson C, Mohamed D, </w:t>
      </w:r>
      <w:r w:rsidRPr="00E11DF8">
        <w:rPr>
          <w:rFonts w:ascii="Calibri" w:hAnsi="Calibri" w:cs="Calibri"/>
          <w:i/>
          <w:iCs/>
          <w:noProof/>
          <w:szCs w:val="24"/>
        </w:rPr>
        <w:t>et al.</w:t>
      </w:r>
      <w:r w:rsidRPr="00E11DF8">
        <w:rPr>
          <w:rFonts w:ascii="Calibri" w:hAnsi="Calibri" w:cs="Calibri"/>
          <w:noProof/>
          <w:szCs w:val="24"/>
        </w:rPr>
        <w:t xml:space="preserve"> Growth and Adult Height in Patients with Crohn’s Disease Treated with Anti-Tumor Necrosis Factor α Antibodies. </w:t>
      </w:r>
      <w:r w:rsidRPr="00E11DF8">
        <w:rPr>
          <w:rFonts w:ascii="Calibri" w:hAnsi="Calibri" w:cs="Calibri"/>
          <w:i/>
          <w:iCs/>
          <w:noProof/>
          <w:szCs w:val="24"/>
        </w:rPr>
        <w:t>PLoS One</w:t>
      </w:r>
      <w:r w:rsidRPr="00E11DF8">
        <w:rPr>
          <w:rFonts w:ascii="Calibri" w:hAnsi="Calibri" w:cs="Calibri"/>
          <w:noProof/>
          <w:szCs w:val="24"/>
        </w:rPr>
        <w:t xml:space="preserve"> 2016;</w:t>
      </w:r>
      <w:r w:rsidRPr="00E11DF8">
        <w:rPr>
          <w:rFonts w:ascii="Calibri" w:hAnsi="Calibri" w:cs="Calibri"/>
          <w:b/>
          <w:bCs/>
          <w:noProof/>
          <w:szCs w:val="24"/>
        </w:rPr>
        <w:t>11</w:t>
      </w:r>
      <w:r w:rsidRPr="00E11DF8">
        <w:rPr>
          <w:rFonts w:ascii="Calibri" w:hAnsi="Calibri" w:cs="Calibri"/>
          <w:noProof/>
          <w:szCs w:val="24"/>
        </w:rPr>
        <w:t>:e0163126. doi:10.1371/journal.pone.0163126</w:t>
      </w:r>
    </w:p>
    <w:p w14:paraId="7984779B"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lastRenderedPageBreak/>
        <w:t xml:space="preserve">41 </w:t>
      </w:r>
      <w:r w:rsidRPr="00E11DF8">
        <w:rPr>
          <w:rFonts w:ascii="Calibri" w:hAnsi="Calibri" w:cs="Calibri"/>
          <w:noProof/>
          <w:szCs w:val="24"/>
        </w:rPr>
        <w:tab/>
        <w:t xml:space="preserve">Vasseur F, Gower-Rousseau C, Vernier-Massouille G, </w:t>
      </w:r>
      <w:r w:rsidRPr="00E11DF8">
        <w:rPr>
          <w:rFonts w:ascii="Calibri" w:hAnsi="Calibri" w:cs="Calibri"/>
          <w:i/>
          <w:iCs/>
          <w:noProof/>
          <w:szCs w:val="24"/>
        </w:rPr>
        <w:t>et al.</w:t>
      </w:r>
      <w:r w:rsidRPr="00E11DF8">
        <w:rPr>
          <w:rFonts w:ascii="Calibri" w:hAnsi="Calibri" w:cs="Calibri"/>
          <w:noProof/>
          <w:szCs w:val="24"/>
        </w:rPr>
        <w:t xml:space="preserve"> Nutritional Status and Growth in Pediatric Crohn’s Disease: A Population-Based Study. </w:t>
      </w:r>
      <w:r w:rsidRPr="00E11DF8">
        <w:rPr>
          <w:rFonts w:ascii="Calibri" w:hAnsi="Calibri" w:cs="Calibri"/>
          <w:i/>
          <w:iCs/>
          <w:noProof/>
          <w:szCs w:val="24"/>
        </w:rPr>
        <w:t>Am J Gastroenterol</w:t>
      </w:r>
      <w:r w:rsidRPr="00E11DF8">
        <w:rPr>
          <w:rFonts w:ascii="Calibri" w:hAnsi="Calibri" w:cs="Calibri"/>
          <w:noProof/>
          <w:szCs w:val="24"/>
        </w:rPr>
        <w:t xml:space="preserve"> 2010;</w:t>
      </w:r>
      <w:r w:rsidRPr="00E11DF8">
        <w:rPr>
          <w:rFonts w:ascii="Calibri" w:hAnsi="Calibri" w:cs="Calibri"/>
          <w:b/>
          <w:bCs/>
          <w:noProof/>
          <w:szCs w:val="24"/>
        </w:rPr>
        <w:t>105</w:t>
      </w:r>
      <w:r w:rsidRPr="00E11DF8">
        <w:rPr>
          <w:rFonts w:ascii="Calibri" w:hAnsi="Calibri" w:cs="Calibri"/>
          <w:noProof/>
          <w:szCs w:val="24"/>
        </w:rPr>
        <w:t>:1893–900. doi:10.1038/ajg.2010.20</w:t>
      </w:r>
    </w:p>
    <w:p w14:paraId="69ED7F2D"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42 </w:t>
      </w:r>
      <w:r w:rsidRPr="00E11DF8">
        <w:rPr>
          <w:rFonts w:ascii="Calibri" w:hAnsi="Calibri" w:cs="Calibri"/>
          <w:noProof/>
          <w:szCs w:val="24"/>
        </w:rPr>
        <w:tab/>
        <w:t xml:space="preserve">Pfefferkorn M, Burke G, Griffiths A, </w:t>
      </w:r>
      <w:r w:rsidRPr="00E11DF8">
        <w:rPr>
          <w:rFonts w:ascii="Calibri" w:hAnsi="Calibri" w:cs="Calibri"/>
          <w:i/>
          <w:iCs/>
          <w:noProof/>
          <w:szCs w:val="24"/>
        </w:rPr>
        <w:t>et al.</w:t>
      </w:r>
      <w:r w:rsidRPr="00E11DF8">
        <w:rPr>
          <w:rFonts w:ascii="Calibri" w:hAnsi="Calibri" w:cs="Calibri"/>
          <w:noProof/>
          <w:szCs w:val="24"/>
        </w:rPr>
        <w:t xml:space="preserve"> Growth Abnormalities Persist in Newly Diagnosed Children With Crohn Disease Despite Current Treatment Paradigms. </w:t>
      </w:r>
      <w:r w:rsidRPr="00E11DF8">
        <w:rPr>
          <w:rFonts w:ascii="Calibri" w:hAnsi="Calibri" w:cs="Calibri"/>
          <w:i/>
          <w:iCs/>
          <w:noProof/>
          <w:szCs w:val="24"/>
        </w:rPr>
        <w:t>J Pediatr Gastroenterol Nutr</w:t>
      </w:r>
      <w:r w:rsidRPr="00E11DF8">
        <w:rPr>
          <w:rFonts w:ascii="Calibri" w:hAnsi="Calibri" w:cs="Calibri"/>
          <w:noProof/>
          <w:szCs w:val="24"/>
        </w:rPr>
        <w:t xml:space="preserve"> 2009;</w:t>
      </w:r>
      <w:r w:rsidRPr="00E11DF8">
        <w:rPr>
          <w:rFonts w:ascii="Calibri" w:hAnsi="Calibri" w:cs="Calibri"/>
          <w:b/>
          <w:bCs/>
          <w:noProof/>
          <w:szCs w:val="24"/>
        </w:rPr>
        <w:t>48</w:t>
      </w:r>
      <w:r w:rsidRPr="00E11DF8">
        <w:rPr>
          <w:rFonts w:ascii="Calibri" w:hAnsi="Calibri" w:cs="Calibri"/>
          <w:noProof/>
          <w:szCs w:val="24"/>
        </w:rPr>
        <w:t>:168–74. doi:10.1097/MPG.0b013e318175ca7f</w:t>
      </w:r>
    </w:p>
    <w:p w14:paraId="5734C394"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43 </w:t>
      </w:r>
      <w:r w:rsidRPr="00E11DF8">
        <w:rPr>
          <w:rFonts w:ascii="Calibri" w:hAnsi="Calibri" w:cs="Calibri"/>
          <w:noProof/>
          <w:szCs w:val="24"/>
        </w:rPr>
        <w:tab/>
        <w:t xml:space="preserve">D’Haens GR. Top-down therapy for IBD: rationale and requisite evidence. </w:t>
      </w:r>
      <w:r w:rsidRPr="00E11DF8">
        <w:rPr>
          <w:rFonts w:ascii="Calibri" w:hAnsi="Calibri" w:cs="Calibri"/>
          <w:i/>
          <w:iCs/>
          <w:noProof/>
          <w:szCs w:val="24"/>
        </w:rPr>
        <w:t>Nat Rev Gastroenterol Hepatol</w:t>
      </w:r>
      <w:r w:rsidRPr="00E11DF8">
        <w:rPr>
          <w:rFonts w:ascii="Calibri" w:hAnsi="Calibri" w:cs="Calibri"/>
          <w:noProof/>
          <w:szCs w:val="24"/>
        </w:rPr>
        <w:t xml:space="preserve"> 2010;</w:t>
      </w:r>
      <w:r w:rsidRPr="00E11DF8">
        <w:rPr>
          <w:rFonts w:ascii="Calibri" w:hAnsi="Calibri" w:cs="Calibri"/>
          <w:b/>
          <w:bCs/>
          <w:noProof/>
          <w:szCs w:val="24"/>
        </w:rPr>
        <w:t>7</w:t>
      </w:r>
      <w:r w:rsidRPr="00E11DF8">
        <w:rPr>
          <w:rFonts w:ascii="Calibri" w:hAnsi="Calibri" w:cs="Calibri"/>
          <w:noProof/>
          <w:szCs w:val="24"/>
        </w:rPr>
        <w:t>:86–92. doi:10.1038/nrgastro.2009.222</w:t>
      </w:r>
    </w:p>
    <w:p w14:paraId="1E3FE3A1"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44 </w:t>
      </w:r>
      <w:r w:rsidRPr="00E11DF8">
        <w:rPr>
          <w:rFonts w:ascii="Calibri" w:hAnsi="Calibri" w:cs="Calibri"/>
          <w:noProof/>
          <w:szCs w:val="24"/>
        </w:rPr>
        <w:tab/>
        <w:t xml:space="preserve">Ashton JJ, Beattie RM. Improving remission rates in newly diagnosed paediatric ulcerative colitis. </w:t>
      </w:r>
      <w:r w:rsidRPr="00E11DF8">
        <w:rPr>
          <w:rFonts w:ascii="Calibri" w:hAnsi="Calibri" w:cs="Calibri"/>
          <w:i/>
          <w:iCs/>
          <w:noProof/>
          <w:szCs w:val="24"/>
        </w:rPr>
        <w:t>lancet Gastroenterol Hepatol</w:t>
      </w:r>
      <w:r w:rsidRPr="00E11DF8">
        <w:rPr>
          <w:rFonts w:ascii="Calibri" w:hAnsi="Calibri" w:cs="Calibri"/>
          <w:noProof/>
          <w:szCs w:val="24"/>
        </w:rPr>
        <w:t xml:space="preserve"> 2017;</w:t>
      </w:r>
      <w:r w:rsidRPr="00E11DF8">
        <w:rPr>
          <w:rFonts w:ascii="Calibri" w:hAnsi="Calibri" w:cs="Calibri"/>
          <w:b/>
          <w:bCs/>
          <w:noProof/>
          <w:szCs w:val="24"/>
        </w:rPr>
        <w:t>2</w:t>
      </w:r>
      <w:r w:rsidRPr="00E11DF8">
        <w:rPr>
          <w:rFonts w:ascii="Calibri" w:hAnsi="Calibri" w:cs="Calibri"/>
          <w:noProof/>
          <w:szCs w:val="24"/>
        </w:rPr>
        <w:t>:838–9. doi:10.1016/S2468-1253(17)30289-3</w:t>
      </w:r>
    </w:p>
    <w:p w14:paraId="140C4952"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45 </w:t>
      </w:r>
      <w:r w:rsidRPr="00E11DF8">
        <w:rPr>
          <w:rFonts w:ascii="Calibri" w:hAnsi="Calibri" w:cs="Calibri"/>
          <w:noProof/>
          <w:szCs w:val="24"/>
        </w:rPr>
        <w:tab/>
        <w:t>Hendy P, Hart A, Irving P. Anti-TNF drug and antidrug antibody level monitoring in IBD: a practical guide. doi:10.1136/flgastro-2014-100527</w:t>
      </w:r>
    </w:p>
    <w:p w14:paraId="36657A4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46 </w:t>
      </w:r>
      <w:r w:rsidRPr="00E11DF8">
        <w:rPr>
          <w:rFonts w:ascii="Calibri" w:hAnsi="Calibri" w:cs="Calibri"/>
          <w:noProof/>
          <w:szCs w:val="24"/>
        </w:rPr>
        <w:tab/>
        <w:t xml:space="preserve">Forbes A, Escher J, Hébuterne X, </w:t>
      </w:r>
      <w:r w:rsidRPr="00E11DF8">
        <w:rPr>
          <w:rFonts w:ascii="Calibri" w:hAnsi="Calibri" w:cs="Calibri"/>
          <w:i/>
          <w:iCs/>
          <w:noProof/>
          <w:szCs w:val="24"/>
        </w:rPr>
        <w:t>et al.</w:t>
      </w:r>
      <w:r w:rsidRPr="00E11DF8">
        <w:rPr>
          <w:rFonts w:ascii="Calibri" w:hAnsi="Calibri" w:cs="Calibri"/>
          <w:noProof/>
          <w:szCs w:val="24"/>
        </w:rPr>
        <w:t xml:space="preserve"> ESPEN guideline: Clinical nutrition in inflammatory bowel disease. </w:t>
      </w:r>
      <w:r w:rsidRPr="00E11DF8">
        <w:rPr>
          <w:rFonts w:ascii="Calibri" w:hAnsi="Calibri" w:cs="Calibri"/>
          <w:i/>
          <w:iCs/>
          <w:noProof/>
          <w:szCs w:val="24"/>
        </w:rPr>
        <w:t>Clin Nutr</w:t>
      </w:r>
      <w:r w:rsidRPr="00E11DF8">
        <w:rPr>
          <w:rFonts w:ascii="Calibri" w:hAnsi="Calibri" w:cs="Calibri"/>
          <w:noProof/>
          <w:szCs w:val="24"/>
        </w:rPr>
        <w:t xml:space="preserve"> 2017;</w:t>
      </w:r>
      <w:r w:rsidRPr="00E11DF8">
        <w:rPr>
          <w:rFonts w:ascii="Calibri" w:hAnsi="Calibri" w:cs="Calibri"/>
          <w:b/>
          <w:bCs/>
          <w:noProof/>
          <w:szCs w:val="24"/>
        </w:rPr>
        <w:t>36</w:t>
      </w:r>
      <w:r w:rsidRPr="00E11DF8">
        <w:rPr>
          <w:rFonts w:ascii="Calibri" w:hAnsi="Calibri" w:cs="Calibri"/>
          <w:noProof/>
          <w:szCs w:val="24"/>
        </w:rPr>
        <w:t>:321–47. doi:10.1016/j.clnu.2016.12.027</w:t>
      </w:r>
    </w:p>
    <w:p w14:paraId="6E0FAA36"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47 </w:t>
      </w:r>
      <w:r w:rsidRPr="00E11DF8">
        <w:rPr>
          <w:rFonts w:ascii="Calibri" w:hAnsi="Calibri" w:cs="Calibri"/>
          <w:noProof/>
          <w:szCs w:val="24"/>
        </w:rPr>
        <w:tab/>
        <w:t xml:space="preserve">Hyams JS, Lerer T, Griffiths A, </w:t>
      </w:r>
      <w:r w:rsidRPr="00E11DF8">
        <w:rPr>
          <w:rFonts w:ascii="Calibri" w:hAnsi="Calibri" w:cs="Calibri"/>
          <w:i/>
          <w:iCs/>
          <w:noProof/>
          <w:szCs w:val="24"/>
        </w:rPr>
        <w:t>et al.</w:t>
      </w:r>
      <w:r w:rsidRPr="00E11DF8">
        <w:rPr>
          <w:rFonts w:ascii="Calibri" w:hAnsi="Calibri" w:cs="Calibri"/>
          <w:noProof/>
          <w:szCs w:val="24"/>
        </w:rPr>
        <w:t xml:space="preserve"> Long-term outcome of maintenance infliximab therapy in children with Crohn’s disease. </w:t>
      </w:r>
      <w:r w:rsidRPr="00E11DF8">
        <w:rPr>
          <w:rFonts w:ascii="Calibri" w:hAnsi="Calibri" w:cs="Calibri"/>
          <w:i/>
          <w:iCs/>
          <w:noProof/>
          <w:szCs w:val="24"/>
        </w:rPr>
        <w:t>Inflamm Bowel Dis</w:t>
      </w:r>
      <w:r w:rsidRPr="00E11DF8">
        <w:rPr>
          <w:rFonts w:ascii="Calibri" w:hAnsi="Calibri" w:cs="Calibri"/>
          <w:noProof/>
          <w:szCs w:val="24"/>
        </w:rPr>
        <w:t xml:space="preserve"> 2009;</w:t>
      </w:r>
      <w:r w:rsidRPr="00E11DF8">
        <w:rPr>
          <w:rFonts w:ascii="Calibri" w:hAnsi="Calibri" w:cs="Calibri"/>
          <w:b/>
          <w:bCs/>
          <w:noProof/>
          <w:szCs w:val="24"/>
        </w:rPr>
        <w:t>15</w:t>
      </w:r>
      <w:r w:rsidRPr="00E11DF8">
        <w:rPr>
          <w:rFonts w:ascii="Calibri" w:hAnsi="Calibri" w:cs="Calibri"/>
          <w:noProof/>
          <w:szCs w:val="24"/>
        </w:rPr>
        <w:t>:816–22. doi:10.1002/ibd.20845</w:t>
      </w:r>
    </w:p>
    <w:p w14:paraId="6A01C5F6"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48 </w:t>
      </w:r>
      <w:r w:rsidRPr="00E11DF8">
        <w:rPr>
          <w:rFonts w:ascii="Calibri" w:hAnsi="Calibri" w:cs="Calibri"/>
          <w:noProof/>
          <w:szCs w:val="24"/>
        </w:rPr>
        <w:tab/>
        <w:t xml:space="preserve">Waljee AK, Lipson R, Wiitala WL, </w:t>
      </w:r>
      <w:r w:rsidRPr="00E11DF8">
        <w:rPr>
          <w:rFonts w:ascii="Calibri" w:hAnsi="Calibri" w:cs="Calibri"/>
          <w:i/>
          <w:iCs/>
          <w:noProof/>
          <w:szCs w:val="24"/>
        </w:rPr>
        <w:t>et al.</w:t>
      </w:r>
      <w:r w:rsidRPr="00E11DF8">
        <w:rPr>
          <w:rFonts w:ascii="Calibri" w:hAnsi="Calibri" w:cs="Calibri"/>
          <w:noProof/>
          <w:szCs w:val="24"/>
        </w:rPr>
        <w:t xml:space="preserve"> Predicting Hospitalization and Outpatient Corticosteroid Use in Inflammatory Bowel Disease Patients Using Machine Learning. </w:t>
      </w:r>
      <w:r w:rsidRPr="00E11DF8">
        <w:rPr>
          <w:rFonts w:ascii="Calibri" w:hAnsi="Calibri" w:cs="Calibri"/>
          <w:i/>
          <w:iCs/>
          <w:noProof/>
          <w:szCs w:val="24"/>
        </w:rPr>
        <w:t>Inflamm Bowel Dis</w:t>
      </w:r>
      <w:r w:rsidRPr="00E11DF8">
        <w:rPr>
          <w:rFonts w:ascii="Calibri" w:hAnsi="Calibri" w:cs="Calibri"/>
          <w:noProof/>
          <w:szCs w:val="24"/>
        </w:rPr>
        <w:t xml:space="preserve"> 2018;</w:t>
      </w:r>
      <w:r w:rsidRPr="00E11DF8">
        <w:rPr>
          <w:rFonts w:ascii="Calibri" w:hAnsi="Calibri" w:cs="Calibri"/>
          <w:b/>
          <w:bCs/>
          <w:noProof/>
          <w:szCs w:val="24"/>
        </w:rPr>
        <w:t>24</w:t>
      </w:r>
      <w:r w:rsidRPr="00E11DF8">
        <w:rPr>
          <w:rFonts w:ascii="Calibri" w:hAnsi="Calibri" w:cs="Calibri"/>
          <w:noProof/>
          <w:szCs w:val="24"/>
        </w:rPr>
        <w:t>:45–53. doi:10.1093/ibd/izx007</w:t>
      </w:r>
    </w:p>
    <w:p w14:paraId="61146161"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49 </w:t>
      </w:r>
      <w:r w:rsidRPr="00E11DF8">
        <w:rPr>
          <w:rFonts w:ascii="Calibri" w:hAnsi="Calibri" w:cs="Calibri"/>
          <w:noProof/>
          <w:szCs w:val="24"/>
        </w:rPr>
        <w:tab/>
        <w:t xml:space="preserve">Mossotto E, Ashton JJ, Coelho T, </w:t>
      </w:r>
      <w:r w:rsidRPr="00E11DF8">
        <w:rPr>
          <w:rFonts w:ascii="Calibri" w:hAnsi="Calibri" w:cs="Calibri"/>
          <w:i/>
          <w:iCs/>
          <w:noProof/>
          <w:szCs w:val="24"/>
        </w:rPr>
        <w:t>et al.</w:t>
      </w:r>
      <w:r w:rsidRPr="00E11DF8">
        <w:rPr>
          <w:rFonts w:ascii="Calibri" w:hAnsi="Calibri" w:cs="Calibri"/>
          <w:noProof/>
          <w:szCs w:val="24"/>
        </w:rPr>
        <w:t xml:space="preserve"> Classification of Paediatric Inflammatory Bowel Disease using Machine Learning. </w:t>
      </w:r>
      <w:r w:rsidRPr="00E11DF8">
        <w:rPr>
          <w:rFonts w:ascii="Calibri" w:hAnsi="Calibri" w:cs="Calibri"/>
          <w:i/>
          <w:iCs/>
          <w:noProof/>
          <w:szCs w:val="24"/>
        </w:rPr>
        <w:t>Sci Rep</w:t>
      </w:r>
      <w:r w:rsidRPr="00E11DF8">
        <w:rPr>
          <w:rFonts w:ascii="Calibri" w:hAnsi="Calibri" w:cs="Calibri"/>
          <w:noProof/>
          <w:szCs w:val="24"/>
        </w:rPr>
        <w:t xml:space="preserve"> 2017;</w:t>
      </w:r>
      <w:r w:rsidRPr="00E11DF8">
        <w:rPr>
          <w:rFonts w:ascii="Calibri" w:hAnsi="Calibri" w:cs="Calibri"/>
          <w:b/>
          <w:bCs/>
          <w:noProof/>
          <w:szCs w:val="24"/>
        </w:rPr>
        <w:t>7</w:t>
      </w:r>
      <w:r w:rsidRPr="00E11DF8">
        <w:rPr>
          <w:rFonts w:ascii="Calibri" w:hAnsi="Calibri" w:cs="Calibri"/>
          <w:noProof/>
          <w:szCs w:val="24"/>
        </w:rPr>
        <w:t>. doi:10.1038/s41598-017-02606-2</w:t>
      </w:r>
    </w:p>
    <w:p w14:paraId="65E8BF78"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50 </w:t>
      </w:r>
      <w:r w:rsidRPr="00E11DF8">
        <w:rPr>
          <w:rFonts w:ascii="Calibri" w:hAnsi="Calibri" w:cs="Calibri"/>
          <w:noProof/>
          <w:szCs w:val="24"/>
        </w:rPr>
        <w:tab/>
        <w:t xml:space="preserve">Siegel CA, Horton H, Siegel LS, </w:t>
      </w:r>
      <w:r w:rsidRPr="00E11DF8">
        <w:rPr>
          <w:rFonts w:ascii="Calibri" w:hAnsi="Calibri" w:cs="Calibri"/>
          <w:i/>
          <w:iCs/>
          <w:noProof/>
          <w:szCs w:val="24"/>
        </w:rPr>
        <w:t>et al.</w:t>
      </w:r>
      <w:r w:rsidRPr="00E11DF8">
        <w:rPr>
          <w:rFonts w:ascii="Calibri" w:hAnsi="Calibri" w:cs="Calibri"/>
          <w:noProof/>
          <w:szCs w:val="24"/>
        </w:rPr>
        <w:t xml:space="preserve"> A validated web-based tool to display individualised Crohn’s disease predicted outcomes based on clinical, serologic and genetic variables. </w:t>
      </w:r>
      <w:r w:rsidRPr="00E11DF8">
        <w:rPr>
          <w:rFonts w:ascii="Calibri" w:hAnsi="Calibri" w:cs="Calibri"/>
          <w:i/>
          <w:iCs/>
          <w:noProof/>
          <w:szCs w:val="24"/>
        </w:rPr>
        <w:lastRenderedPageBreak/>
        <w:t>Aliment Pharmacol Ther</w:t>
      </w:r>
      <w:r w:rsidRPr="00E11DF8">
        <w:rPr>
          <w:rFonts w:ascii="Calibri" w:hAnsi="Calibri" w:cs="Calibri"/>
          <w:noProof/>
          <w:szCs w:val="24"/>
        </w:rPr>
        <w:t xml:space="preserve"> 2016;</w:t>
      </w:r>
      <w:r w:rsidRPr="00E11DF8">
        <w:rPr>
          <w:rFonts w:ascii="Calibri" w:hAnsi="Calibri" w:cs="Calibri"/>
          <w:b/>
          <w:bCs/>
          <w:noProof/>
          <w:szCs w:val="24"/>
        </w:rPr>
        <w:t>43</w:t>
      </w:r>
      <w:r w:rsidRPr="00E11DF8">
        <w:rPr>
          <w:rFonts w:ascii="Calibri" w:hAnsi="Calibri" w:cs="Calibri"/>
          <w:noProof/>
          <w:szCs w:val="24"/>
        </w:rPr>
        <w:t>:262–71. doi:10.1111/apt.13460</w:t>
      </w:r>
    </w:p>
    <w:p w14:paraId="2D065AC0"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51 </w:t>
      </w:r>
      <w:r w:rsidRPr="00E11DF8">
        <w:rPr>
          <w:rFonts w:ascii="Calibri" w:hAnsi="Calibri" w:cs="Calibri"/>
          <w:noProof/>
          <w:szCs w:val="24"/>
        </w:rPr>
        <w:tab/>
        <w:t xml:space="preserve">Ruemmele FM, Veres G, Kolho KL, </w:t>
      </w:r>
      <w:r w:rsidRPr="00E11DF8">
        <w:rPr>
          <w:rFonts w:ascii="Calibri" w:hAnsi="Calibri" w:cs="Calibri"/>
          <w:i/>
          <w:iCs/>
          <w:noProof/>
          <w:szCs w:val="24"/>
        </w:rPr>
        <w:t>et al.</w:t>
      </w:r>
      <w:r w:rsidRPr="00E11DF8">
        <w:rPr>
          <w:rFonts w:ascii="Calibri" w:hAnsi="Calibri" w:cs="Calibri"/>
          <w:noProof/>
          <w:szCs w:val="24"/>
        </w:rPr>
        <w:t xml:space="preserve"> Consensus guidelines of ECCO/ESPGHAN on the medical management of pediatric Crohn’s disease. </w:t>
      </w:r>
      <w:r w:rsidRPr="00E11DF8">
        <w:rPr>
          <w:rFonts w:ascii="Calibri" w:hAnsi="Calibri" w:cs="Calibri"/>
          <w:i/>
          <w:iCs/>
          <w:noProof/>
          <w:szCs w:val="24"/>
        </w:rPr>
        <w:t>J Crohns Colitis</w:t>
      </w:r>
      <w:r w:rsidRPr="00E11DF8">
        <w:rPr>
          <w:rFonts w:ascii="Calibri" w:hAnsi="Calibri" w:cs="Calibri"/>
          <w:noProof/>
          <w:szCs w:val="24"/>
        </w:rPr>
        <w:t xml:space="preserve"> 2014;</w:t>
      </w:r>
      <w:r w:rsidRPr="00E11DF8">
        <w:rPr>
          <w:rFonts w:ascii="Calibri" w:hAnsi="Calibri" w:cs="Calibri"/>
          <w:b/>
          <w:bCs/>
          <w:noProof/>
          <w:szCs w:val="24"/>
        </w:rPr>
        <w:t>8</w:t>
      </w:r>
      <w:r w:rsidRPr="00E11DF8">
        <w:rPr>
          <w:rFonts w:ascii="Calibri" w:hAnsi="Calibri" w:cs="Calibri"/>
          <w:noProof/>
          <w:szCs w:val="24"/>
        </w:rPr>
        <w:t>:1179–207. doi:10.1016/j.crohns.2014.04.005</w:t>
      </w:r>
    </w:p>
    <w:p w14:paraId="67D450C3"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szCs w:val="24"/>
        </w:rPr>
      </w:pPr>
      <w:r w:rsidRPr="00E11DF8">
        <w:rPr>
          <w:rFonts w:ascii="Calibri" w:hAnsi="Calibri" w:cs="Calibri"/>
          <w:noProof/>
          <w:szCs w:val="24"/>
        </w:rPr>
        <w:t xml:space="preserve">52 </w:t>
      </w:r>
      <w:r w:rsidRPr="00E11DF8">
        <w:rPr>
          <w:rFonts w:ascii="Calibri" w:hAnsi="Calibri" w:cs="Calibri"/>
          <w:noProof/>
          <w:szCs w:val="24"/>
        </w:rPr>
        <w:tab/>
        <w:t xml:space="preserve">Turner D, Levine A, Escher JC, </w:t>
      </w:r>
      <w:r w:rsidRPr="00E11DF8">
        <w:rPr>
          <w:rFonts w:ascii="Calibri" w:hAnsi="Calibri" w:cs="Calibri"/>
          <w:i/>
          <w:iCs/>
          <w:noProof/>
          <w:szCs w:val="24"/>
        </w:rPr>
        <w:t>et al.</w:t>
      </w:r>
      <w:r w:rsidRPr="00E11DF8">
        <w:rPr>
          <w:rFonts w:ascii="Calibri" w:hAnsi="Calibri" w:cs="Calibri"/>
          <w:noProof/>
          <w:szCs w:val="24"/>
        </w:rPr>
        <w:t xml:space="preserve"> Management of pediatric ulcerative colitis: joint ECCO and ESPGHAN evidence-based consensus guidelines. </w:t>
      </w:r>
      <w:r w:rsidRPr="00E11DF8">
        <w:rPr>
          <w:rFonts w:ascii="Calibri" w:hAnsi="Calibri" w:cs="Calibri"/>
          <w:i/>
          <w:iCs/>
          <w:noProof/>
          <w:szCs w:val="24"/>
        </w:rPr>
        <w:t>J Pediatr Gastroenterol Nutr</w:t>
      </w:r>
      <w:r w:rsidRPr="00E11DF8">
        <w:rPr>
          <w:rFonts w:ascii="Calibri" w:hAnsi="Calibri" w:cs="Calibri"/>
          <w:noProof/>
          <w:szCs w:val="24"/>
        </w:rPr>
        <w:t xml:space="preserve"> 2012;</w:t>
      </w:r>
      <w:r w:rsidRPr="00E11DF8">
        <w:rPr>
          <w:rFonts w:ascii="Calibri" w:hAnsi="Calibri" w:cs="Calibri"/>
          <w:b/>
          <w:bCs/>
          <w:noProof/>
          <w:szCs w:val="24"/>
        </w:rPr>
        <w:t>55</w:t>
      </w:r>
      <w:r w:rsidRPr="00E11DF8">
        <w:rPr>
          <w:rFonts w:ascii="Calibri" w:hAnsi="Calibri" w:cs="Calibri"/>
          <w:noProof/>
          <w:szCs w:val="24"/>
        </w:rPr>
        <w:t>:340–61. doi:10.1097/MPG.0b013e3182662233</w:t>
      </w:r>
    </w:p>
    <w:p w14:paraId="572B40F3" w14:textId="77777777" w:rsidR="00E11DF8" w:rsidRPr="00E11DF8" w:rsidRDefault="00E11DF8" w:rsidP="00E11DF8">
      <w:pPr>
        <w:widowControl w:val="0"/>
        <w:autoSpaceDE w:val="0"/>
        <w:autoSpaceDN w:val="0"/>
        <w:adjustRightInd w:val="0"/>
        <w:spacing w:line="480" w:lineRule="auto"/>
        <w:ind w:left="640" w:hanging="640"/>
        <w:rPr>
          <w:rFonts w:ascii="Calibri" w:hAnsi="Calibri" w:cs="Calibri"/>
          <w:noProof/>
        </w:rPr>
      </w:pPr>
      <w:r w:rsidRPr="00E11DF8">
        <w:rPr>
          <w:rFonts w:ascii="Calibri" w:hAnsi="Calibri" w:cs="Calibri"/>
          <w:noProof/>
          <w:szCs w:val="24"/>
        </w:rPr>
        <w:t xml:space="preserve">53 </w:t>
      </w:r>
      <w:r w:rsidRPr="00E11DF8">
        <w:rPr>
          <w:rFonts w:ascii="Calibri" w:hAnsi="Calibri" w:cs="Calibri"/>
          <w:noProof/>
          <w:szCs w:val="24"/>
        </w:rPr>
        <w:tab/>
        <w:t xml:space="preserve">Kammermeier J, Morris MA, Garrick V, </w:t>
      </w:r>
      <w:r w:rsidRPr="00E11DF8">
        <w:rPr>
          <w:rFonts w:ascii="Calibri" w:hAnsi="Calibri" w:cs="Calibri"/>
          <w:i/>
          <w:iCs/>
          <w:noProof/>
          <w:szCs w:val="24"/>
        </w:rPr>
        <w:t>et al.</w:t>
      </w:r>
      <w:r w:rsidRPr="00E11DF8">
        <w:rPr>
          <w:rFonts w:ascii="Calibri" w:hAnsi="Calibri" w:cs="Calibri"/>
          <w:noProof/>
          <w:szCs w:val="24"/>
        </w:rPr>
        <w:t xml:space="preserve"> Management of Crohn’s disease. </w:t>
      </w:r>
      <w:r w:rsidRPr="00E11DF8">
        <w:rPr>
          <w:rFonts w:ascii="Calibri" w:hAnsi="Calibri" w:cs="Calibri"/>
          <w:i/>
          <w:iCs/>
          <w:noProof/>
          <w:szCs w:val="24"/>
        </w:rPr>
        <w:t>Arch Dis Child</w:t>
      </w:r>
      <w:r w:rsidRPr="00E11DF8">
        <w:rPr>
          <w:rFonts w:ascii="Calibri" w:hAnsi="Calibri" w:cs="Calibri"/>
          <w:noProof/>
          <w:szCs w:val="24"/>
        </w:rPr>
        <w:t xml:space="preserve"> 2016;</w:t>
      </w:r>
      <w:r w:rsidRPr="00E11DF8">
        <w:rPr>
          <w:rFonts w:ascii="Calibri" w:hAnsi="Calibri" w:cs="Calibri"/>
          <w:b/>
          <w:bCs/>
          <w:noProof/>
          <w:szCs w:val="24"/>
        </w:rPr>
        <w:t>101</w:t>
      </w:r>
      <w:r w:rsidRPr="00E11DF8">
        <w:rPr>
          <w:rFonts w:ascii="Calibri" w:hAnsi="Calibri" w:cs="Calibri"/>
          <w:noProof/>
          <w:szCs w:val="24"/>
        </w:rPr>
        <w:t>:475–80. doi:10.1136/archdischild-2014-307217</w:t>
      </w:r>
    </w:p>
    <w:p w14:paraId="4660BBC9" w14:textId="7F0DDFEA" w:rsidR="00697166" w:rsidRDefault="00697166" w:rsidP="004D19A3">
      <w:pPr>
        <w:widowControl w:val="0"/>
        <w:autoSpaceDE w:val="0"/>
        <w:autoSpaceDN w:val="0"/>
        <w:adjustRightInd w:val="0"/>
        <w:spacing w:line="480" w:lineRule="auto"/>
        <w:ind w:left="640" w:hanging="640"/>
        <w:rPr>
          <w:u w:val="single"/>
        </w:rPr>
      </w:pPr>
      <w:r>
        <w:rPr>
          <w:u w:val="single"/>
        </w:rPr>
        <w:fldChar w:fldCharType="end"/>
      </w:r>
    </w:p>
    <w:p w14:paraId="5254237F" w14:textId="00E292FC" w:rsidR="00BE27BB" w:rsidRDefault="00BE27BB" w:rsidP="004D19A3">
      <w:pPr>
        <w:widowControl w:val="0"/>
        <w:autoSpaceDE w:val="0"/>
        <w:autoSpaceDN w:val="0"/>
        <w:adjustRightInd w:val="0"/>
        <w:spacing w:line="480" w:lineRule="auto"/>
        <w:ind w:left="640" w:hanging="640"/>
        <w:rPr>
          <w:u w:val="single"/>
        </w:rPr>
      </w:pPr>
    </w:p>
    <w:p w14:paraId="0F2D8AD7" w14:textId="613423E9" w:rsidR="00BE27BB" w:rsidRDefault="00BE27BB" w:rsidP="004D19A3">
      <w:pPr>
        <w:widowControl w:val="0"/>
        <w:autoSpaceDE w:val="0"/>
        <w:autoSpaceDN w:val="0"/>
        <w:adjustRightInd w:val="0"/>
        <w:spacing w:line="480" w:lineRule="auto"/>
        <w:ind w:left="640" w:hanging="640"/>
        <w:rPr>
          <w:u w:val="single"/>
        </w:rPr>
      </w:pPr>
    </w:p>
    <w:p w14:paraId="285283C4" w14:textId="0095B765" w:rsidR="00BE27BB" w:rsidRDefault="00BE27BB" w:rsidP="004D19A3">
      <w:pPr>
        <w:widowControl w:val="0"/>
        <w:autoSpaceDE w:val="0"/>
        <w:autoSpaceDN w:val="0"/>
        <w:adjustRightInd w:val="0"/>
        <w:spacing w:line="480" w:lineRule="auto"/>
        <w:ind w:left="640" w:hanging="640"/>
        <w:rPr>
          <w:u w:val="single"/>
        </w:rPr>
      </w:pPr>
    </w:p>
    <w:p w14:paraId="0AA95238" w14:textId="1CC3EE7C" w:rsidR="00BE27BB" w:rsidRDefault="00BE27BB" w:rsidP="004D19A3">
      <w:pPr>
        <w:widowControl w:val="0"/>
        <w:autoSpaceDE w:val="0"/>
        <w:autoSpaceDN w:val="0"/>
        <w:adjustRightInd w:val="0"/>
        <w:spacing w:line="480" w:lineRule="auto"/>
        <w:ind w:left="640" w:hanging="640"/>
        <w:rPr>
          <w:u w:val="single"/>
        </w:rPr>
      </w:pPr>
    </w:p>
    <w:p w14:paraId="23A0DC9C" w14:textId="6D3C086D" w:rsidR="00BE27BB" w:rsidRDefault="00BE27BB" w:rsidP="004D19A3">
      <w:pPr>
        <w:widowControl w:val="0"/>
        <w:autoSpaceDE w:val="0"/>
        <w:autoSpaceDN w:val="0"/>
        <w:adjustRightInd w:val="0"/>
        <w:spacing w:line="480" w:lineRule="auto"/>
        <w:ind w:left="640" w:hanging="640"/>
        <w:rPr>
          <w:u w:val="single"/>
        </w:rPr>
      </w:pPr>
    </w:p>
    <w:p w14:paraId="331C2530" w14:textId="59CB6DBD" w:rsidR="00BE27BB" w:rsidRDefault="00BE27BB" w:rsidP="004D19A3">
      <w:pPr>
        <w:widowControl w:val="0"/>
        <w:autoSpaceDE w:val="0"/>
        <w:autoSpaceDN w:val="0"/>
        <w:adjustRightInd w:val="0"/>
        <w:spacing w:line="480" w:lineRule="auto"/>
        <w:ind w:left="640" w:hanging="640"/>
        <w:rPr>
          <w:u w:val="single"/>
        </w:rPr>
      </w:pPr>
    </w:p>
    <w:p w14:paraId="6C3DDA8D" w14:textId="1BF64CD5" w:rsidR="00BE27BB" w:rsidRDefault="00BE27BB" w:rsidP="004D19A3">
      <w:pPr>
        <w:widowControl w:val="0"/>
        <w:autoSpaceDE w:val="0"/>
        <w:autoSpaceDN w:val="0"/>
        <w:adjustRightInd w:val="0"/>
        <w:spacing w:line="480" w:lineRule="auto"/>
        <w:ind w:left="640" w:hanging="640"/>
        <w:rPr>
          <w:u w:val="single"/>
        </w:rPr>
      </w:pPr>
    </w:p>
    <w:p w14:paraId="52EE59B9" w14:textId="1CF4FFF3" w:rsidR="00BE27BB" w:rsidRDefault="00BE27BB" w:rsidP="004D19A3">
      <w:pPr>
        <w:widowControl w:val="0"/>
        <w:autoSpaceDE w:val="0"/>
        <w:autoSpaceDN w:val="0"/>
        <w:adjustRightInd w:val="0"/>
        <w:spacing w:line="480" w:lineRule="auto"/>
        <w:ind w:left="640" w:hanging="640"/>
        <w:rPr>
          <w:u w:val="single"/>
        </w:rPr>
      </w:pPr>
    </w:p>
    <w:p w14:paraId="7E0BDCC6" w14:textId="28218D6B" w:rsidR="00BE27BB" w:rsidRDefault="00BE27BB" w:rsidP="004D19A3">
      <w:pPr>
        <w:widowControl w:val="0"/>
        <w:autoSpaceDE w:val="0"/>
        <w:autoSpaceDN w:val="0"/>
        <w:adjustRightInd w:val="0"/>
        <w:spacing w:line="480" w:lineRule="auto"/>
        <w:ind w:left="640" w:hanging="640"/>
        <w:rPr>
          <w:u w:val="single"/>
        </w:rPr>
      </w:pPr>
    </w:p>
    <w:p w14:paraId="2A3B1485" w14:textId="378EF335" w:rsidR="00BE27BB" w:rsidRDefault="00BE27BB" w:rsidP="004D19A3">
      <w:pPr>
        <w:widowControl w:val="0"/>
        <w:autoSpaceDE w:val="0"/>
        <w:autoSpaceDN w:val="0"/>
        <w:adjustRightInd w:val="0"/>
        <w:spacing w:line="480" w:lineRule="auto"/>
        <w:ind w:left="640" w:hanging="640"/>
        <w:rPr>
          <w:u w:val="single"/>
        </w:rPr>
      </w:pPr>
    </w:p>
    <w:p w14:paraId="0214F746" w14:textId="795EE2B0" w:rsidR="00BE27BB" w:rsidRDefault="00BE27BB" w:rsidP="004D19A3">
      <w:pPr>
        <w:widowControl w:val="0"/>
        <w:autoSpaceDE w:val="0"/>
        <w:autoSpaceDN w:val="0"/>
        <w:adjustRightInd w:val="0"/>
        <w:spacing w:line="480" w:lineRule="auto"/>
        <w:ind w:left="640" w:hanging="640"/>
        <w:rPr>
          <w:u w:val="single"/>
        </w:rPr>
      </w:pPr>
    </w:p>
    <w:p w14:paraId="482B64DD" w14:textId="43C9447B" w:rsidR="00BE27BB" w:rsidRDefault="00BE27BB" w:rsidP="004D19A3">
      <w:pPr>
        <w:widowControl w:val="0"/>
        <w:autoSpaceDE w:val="0"/>
        <w:autoSpaceDN w:val="0"/>
        <w:adjustRightInd w:val="0"/>
        <w:spacing w:line="480" w:lineRule="auto"/>
        <w:ind w:left="640" w:hanging="640"/>
        <w:rPr>
          <w:u w:val="single"/>
        </w:rPr>
      </w:pPr>
    </w:p>
    <w:p w14:paraId="1B55067E" w14:textId="27E6C127" w:rsidR="00BE27BB" w:rsidRDefault="00BE27BB" w:rsidP="004D19A3">
      <w:pPr>
        <w:widowControl w:val="0"/>
        <w:autoSpaceDE w:val="0"/>
        <w:autoSpaceDN w:val="0"/>
        <w:adjustRightInd w:val="0"/>
        <w:spacing w:line="480" w:lineRule="auto"/>
        <w:ind w:left="640" w:hanging="640"/>
        <w:rPr>
          <w:u w:val="single"/>
        </w:rPr>
      </w:pPr>
    </w:p>
    <w:p w14:paraId="5A8CC38B" w14:textId="6536852F" w:rsidR="00BE27BB" w:rsidRDefault="00BE27BB" w:rsidP="004D19A3">
      <w:pPr>
        <w:widowControl w:val="0"/>
        <w:autoSpaceDE w:val="0"/>
        <w:autoSpaceDN w:val="0"/>
        <w:adjustRightInd w:val="0"/>
        <w:spacing w:line="480" w:lineRule="auto"/>
        <w:ind w:left="640" w:hanging="640"/>
        <w:rPr>
          <w:u w:val="single"/>
        </w:rPr>
      </w:pPr>
    </w:p>
    <w:p w14:paraId="77A0462B" w14:textId="5AB0E79D" w:rsidR="00BE27BB" w:rsidRDefault="00BE27BB" w:rsidP="004D19A3">
      <w:pPr>
        <w:widowControl w:val="0"/>
        <w:autoSpaceDE w:val="0"/>
        <w:autoSpaceDN w:val="0"/>
        <w:adjustRightInd w:val="0"/>
        <w:spacing w:line="480" w:lineRule="auto"/>
        <w:ind w:left="640" w:hanging="640"/>
        <w:rPr>
          <w:u w:val="single"/>
        </w:rPr>
      </w:pPr>
    </w:p>
    <w:p w14:paraId="1C5CBDD1" w14:textId="17420A59" w:rsidR="00BE27BB" w:rsidRDefault="00BE27BB" w:rsidP="004D19A3">
      <w:pPr>
        <w:widowControl w:val="0"/>
        <w:autoSpaceDE w:val="0"/>
        <w:autoSpaceDN w:val="0"/>
        <w:adjustRightInd w:val="0"/>
        <w:spacing w:line="480" w:lineRule="auto"/>
        <w:ind w:left="640" w:hanging="640"/>
        <w:rPr>
          <w:u w:val="single"/>
        </w:rPr>
      </w:pPr>
    </w:p>
    <w:p w14:paraId="4F68E560" w14:textId="77777777" w:rsidR="00BE27BB" w:rsidRDefault="00BE27BB" w:rsidP="00BE27BB">
      <w:pPr>
        <w:spacing w:line="480" w:lineRule="auto"/>
        <w:rPr>
          <w:u w:val="single"/>
        </w:rPr>
      </w:pPr>
    </w:p>
    <w:p w14:paraId="06346267" w14:textId="77777777" w:rsidR="00BE27BB" w:rsidRDefault="00BE27BB" w:rsidP="00BE27BB">
      <w:pPr>
        <w:spacing w:line="480" w:lineRule="auto"/>
        <w:rPr>
          <w:u w:val="single"/>
        </w:rPr>
      </w:pPr>
    </w:p>
    <w:p w14:paraId="22AFCAAF" w14:textId="77777777" w:rsidR="00BE27BB" w:rsidRDefault="00BE27BB" w:rsidP="00BE27BB">
      <w:pPr>
        <w:spacing w:line="480" w:lineRule="auto"/>
        <w:rPr>
          <w:u w:val="single"/>
        </w:rPr>
        <w:sectPr w:rsidR="00BE27BB">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3282"/>
        <w:tblW w:w="16045" w:type="dxa"/>
        <w:tblLook w:val="04A0" w:firstRow="1" w:lastRow="0" w:firstColumn="1" w:lastColumn="0" w:noHBand="0" w:noVBand="1"/>
      </w:tblPr>
      <w:tblGrid>
        <w:gridCol w:w="1106"/>
        <w:gridCol w:w="1135"/>
        <w:gridCol w:w="1124"/>
        <w:gridCol w:w="1067"/>
        <w:gridCol w:w="1260"/>
        <w:gridCol w:w="1193"/>
        <w:gridCol w:w="1341"/>
        <w:gridCol w:w="1063"/>
        <w:gridCol w:w="1341"/>
        <w:gridCol w:w="1044"/>
        <w:gridCol w:w="1086"/>
        <w:gridCol w:w="1221"/>
        <w:gridCol w:w="1189"/>
        <w:gridCol w:w="920"/>
      </w:tblGrid>
      <w:tr w:rsidR="008B0AFF" w:rsidRPr="00B04A5A" w14:paraId="68C52A2C" w14:textId="77777777" w:rsidTr="008B0AFF">
        <w:trPr>
          <w:trHeight w:val="250"/>
        </w:trPr>
        <w:tc>
          <w:tcPr>
            <w:tcW w:w="1106" w:type="dxa"/>
            <w:noWrap/>
            <w:vAlign w:val="center"/>
            <w:hideMark/>
          </w:tcPr>
          <w:p w14:paraId="243C8604" w14:textId="77777777" w:rsidR="008B0AFF" w:rsidRPr="00641B1B" w:rsidRDefault="008B0AFF" w:rsidP="008B0AFF">
            <w:pPr>
              <w:rPr>
                <w:b/>
              </w:rPr>
            </w:pPr>
            <w:r w:rsidRPr="00641B1B">
              <w:rPr>
                <w:b/>
              </w:rPr>
              <w:lastRenderedPageBreak/>
              <w:t>Year</w:t>
            </w:r>
          </w:p>
        </w:tc>
        <w:tc>
          <w:tcPr>
            <w:tcW w:w="1129" w:type="dxa"/>
            <w:noWrap/>
            <w:vAlign w:val="center"/>
            <w:hideMark/>
          </w:tcPr>
          <w:p w14:paraId="40EE0C2A" w14:textId="77777777" w:rsidR="008B0AFF" w:rsidRPr="00B04A5A" w:rsidRDefault="008B0AFF" w:rsidP="008B0AFF">
            <w:pPr>
              <w:rPr>
                <w:b/>
              </w:rPr>
            </w:pPr>
            <w:r w:rsidRPr="00B04A5A">
              <w:rPr>
                <w:b/>
              </w:rPr>
              <w:t xml:space="preserve">Patients under </w:t>
            </w:r>
            <w:r>
              <w:rPr>
                <w:b/>
              </w:rPr>
              <w:t>paediatric</w:t>
            </w:r>
            <w:r w:rsidRPr="00B04A5A">
              <w:rPr>
                <w:b/>
              </w:rPr>
              <w:t xml:space="preserve"> care</w:t>
            </w:r>
          </w:p>
        </w:tc>
        <w:tc>
          <w:tcPr>
            <w:tcW w:w="1118" w:type="dxa"/>
            <w:noWrap/>
            <w:vAlign w:val="center"/>
            <w:hideMark/>
          </w:tcPr>
          <w:p w14:paraId="07557064" w14:textId="77777777" w:rsidR="008B0AFF" w:rsidRPr="00B04A5A" w:rsidRDefault="008B0AFF" w:rsidP="008B0AFF">
            <w:pPr>
              <w:rPr>
                <w:b/>
              </w:rPr>
            </w:pPr>
            <w:r>
              <w:rPr>
                <w:b/>
              </w:rPr>
              <w:t xml:space="preserve">New diagnoses </w:t>
            </w:r>
            <w:r w:rsidRPr="00B04A5A">
              <w:rPr>
                <w:b/>
              </w:rPr>
              <w:t xml:space="preserve"> per year</w:t>
            </w:r>
          </w:p>
        </w:tc>
        <w:tc>
          <w:tcPr>
            <w:tcW w:w="1062" w:type="dxa"/>
            <w:vAlign w:val="center"/>
          </w:tcPr>
          <w:p w14:paraId="73C56A97" w14:textId="77777777" w:rsidR="008B0AFF" w:rsidRPr="00B04A5A" w:rsidRDefault="008B0AFF" w:rsidP="008B0AFF">
            <w:pPr>
              <w:rPr>
                <w:b/>
              </w:rPr>
            </w:pPr>
            <w:r>
              <w:rPr>
                <w:b/>
              </w:rPr>
              <w:t>Mean age at diagnosis per year</w:t>
            </w:r>
          </w:p>
        </w:tc>
        <w:tc>
          <w:tcPr>
            <w:tcW w:w="1254" w:type="dxa"/>
            <w:noWrap/>
            <w:vAlign w:val="center"/>
            <w:hideMark/>
          </w:tcPr>
          <w:p w14:paraId="779720E2" w14:textId="77777777" w:rsidR="008B0AFF" w:rsidRPr="00B04A5A" w:rsidRDefault="008B0AFF" w:rsidP="008B0AFF">
            <w:pPr>
              <w:rPr>
                <w:b/>
              </w:rPr>
            </w:pPr>
            <w:r w:rsidRPr="00B04A5A">
              <w:rPr>
                <w:b/>
              </w:rPr>
              <w:t xml:space="preserve">Number of </w:t>
            </w:r>
            <w:r>
              <w:rPr>
                <w:b/>
              </w:rPr>
              <w:t xml:space="preserve"> abdominal </w:t>
            </w:r>
            <w:r w:rsidRPr="00B04A5A">
              <w:rPr>
                <w:b/>
              </w:rPr>
              <w:t>resections</w:t>
            </w:r>
            <w:r>
              <w:rPr>
                <w:b/>
              </w:rPr>
              <w:t xml:space="preserve">* </w:t>
            </w:r>
          </w:p>
        </w:tc>
        <w:tc>
          <w:tcPr>
            <w:tcW w:w="1187" w:type="dxa"/>
            <w:noWrap/>
            <w:vAlign w:val="center"/>
            <w:hideMark/>
          </w:tcPr>
          <w:p w14:paraId="7BD56C05" w14:textId="77777777" w:rsidR="008B0AFF" w:rsidRPr="00B04A5A" w:rsidRDefault="008B0AFF" w:rsidP="008B0AFF">
            <w:pPr>
              <w:rPr>
                <w:b/>
              </w:rPr>
            </w:pPr>
            <w:r w:rsidRPr="00B04A5A">
              <w:rPr>
                <w:b/>
              </w:rPr>
              <w:t xml:space="preserve">Rate of </w:t>
            </w:r>
            <w:r>
              <w:rPr>
                <w:b/>
              </w:rPr>
              <w:t xml:space="preserve">abdominal </w:t>
            </w:r>
            <w:r w:rsidRPr="00B04A5A">
              <w:rPr>
                <w:b/>
              </w:rPr>
              <w:t>resection</w:t>
            </w:r>
            <w:r>
              <w:rPr>
                <w:b/>
              </w:rPr>
              <w:t xml:space="preserve"> per year</w:t>
            </w:r>
          </w:p>
        </w:tc>
        <w:tc>
          <w:tcPr>
            <w:tcW w:w="1341" w:type="dxa"/>
            <w:noWrap/>
            <w:vAlign w:val="center"/>
            <w:hideMark/>
          </w:tcPr>
          <w:p w14:paraId="459DE7A3" w14:textId="77777777" w:rsidR="008B0AFF" w:rsidRPr="00B04A5A" w:rsidRDefault="008B0AFF" w:rsidP="008B0AFF">
            <w:pPr>
              <w:rPr>
                <w:b/>
              </w:rPr>
            </w:pPr>
            <w:r w:rsidRPr="00B04A5A">
              <w:rPr>
                <w:b/>
              </w:rPr>
              <w:t xml:space="preserve">Average time to </w:t>
            </w:r>
            <w:r>
              <w:rPr>
                <w:b/>
              </w:rPr>
              <w:t>abdominal resection</w:t>
            </w:r>
            <w:r w:rsidRPr="00B04A5A">
              <w:rPr>
                <w:b/>
              </w:rPr>
              <w:t xml:space="preserve"> (years)</w:t>
            </w:r>
          </w:p>
        </w:tc>
        <w:tc>
          <w:tcPr>
            <w:tcW w:w="1058" w:type="dxa"/>
            <w:vAlign w:val="center"/>
          </w:tcPr>
          <w:p w14:paraId="55CC40BD" w14:textId="77777777" w:rsidR="008B0AFF" w:rsidRPr="00B04A5A" w:rsidRDefault="008B0AFF" w:rsidP="008B0AFF">
            <w:pPr>
              <w:rPr>
                <w:b/>
              </w:rPr>
            </w:pPr>
            <w:r w:rsidRPr="00B04A5A">
              <w:rPr>
                <w:b/>
              </w:rPr>
              <w:t xml:space="preserve">Average age at </w:t>
            </w:r>
            <w:r>
              <w:rPr>
                <w:b/>
              </w:rPr>
              <w:t>resection (years)</w:t>
            </w:r>
          </w:p>
        </w:tc>
        <w:tc>
          <w:tcPr>
            <w:tcW w:w="1341" w:type="dxa"/>
            <w:noWrap/>
            <w:vAlign w:val="center"/>
            <w:hideMark/>
          </w:tcPr>
          <w:p w14:paraId="17DC7B6A" w14:textId="77777777" w:rsidR="008B0AFF" w:rsidRPr="00B04A5A" w:rsidRDefault="008B0AFF" w:rsidP="008B0AFF">
            <w:pPr>
              <w:rPr>
                <w:b/>
              </w:rPr>
            </w:pPr>
            <w:r w:rsidRPr="00B04A5A">
              <w:rPr>
                <w:b/>
              </w:rPr>
              <w:t>Number of perianal surgeries</w:t>
            </w:r>
          </w:p>
        </w:tc>
        <w:tc>
          <w:tcPr>
            <w:tcW w:w="1044" w:type="dxa"/>
            <w:noWrap/>
            <w:vAlign w:val="center"/>
            <w:hideMark/>
          </w:tcPr>
          <w:p w14:paraId="00774271" w14:textId="77777777" w:rsidR="008B0AFF" w:rsidRPr="00B04A5A" w:rsidRDefault="008B0AFF" w:rsidP="008B0AFF">
            <w:pPr>
              <w:rPr>
                <w:b/>
              </w:rPr>
            </w:pPr>
            <w:r w:rsidRPr="00B04A5A">
              <w:rPr>
                <w:b/>
              </w:rPr>
              <w:t>Rate of perianal surgery</w:t>
            </w:r>
            <w:r>
              <w:rPr>
                <w:b/>
              </w:rPr>
              <w:t xml:space="preserve"> per year</w:t>
            </w:r>
          </w:p>
        </w:tc>
        <w:tc>
          <w:tcPr>
            <w:tcW w:w="1086" w:type="dxa"/>
            <w:noWrap/>
            <w:vAlign w:val="center"/>
            <w:hideMark/>
          </w:tcPr>
          <w:p w14:paraId="7A3C8D9D" w14:textId="77777777" w:rsidR="008B0AFF" w:rsidRPr="00B04A5A" w:rsidRDefault="008B0AFF" w:rsidP="008B0AFF">
            <w:pPr>
              <w:rPr>
                <w:b/>
              </w:rPr>
            </w:pPr>
            <w:r w:rsidRPr="00B04A5A">
              <w:rPr>
                <w:b/>
              </w:rPr>
              <w:t xml:space="preserve">Patients </w:t>
            </w:r>
            <w:r>
              <w:rPr>
                <w:b/>
              </w:rPr>
              <w:t>treated with</w:t>
            </w:r>
            <w:r w:rsidRPr="00B04A5A">
              <w:rPr>
                <w:b/>
              </w:rPr>
              <w:t xml:space="preserve"> anti-TNF </w:t>
            </w:r>
          </w:p>
        </w:tc>
        <w:tc>
          <w:tcPr>
            <w:tcW w:w="1215" w:type="dxa"/>
            <w:noWrap/>
            <w:vAlign w:val="center"/>
            <w:hideMark/>
          </w:tcPr>
          <w:p w14:paraId="0011B275" w14:textId="77777777" w:rsidR="008B0AFF" w:rsidRPr="00B04A5A" w:rsidRDefault="008B0AFF" w:rsidP="008B0AFF">
            <w:pPr>
              <w:rPr>
                <w:b/>
              </w:rPr>
            </w:pPr>
            <w:r w:rsidRPr="00B04A5A">
              <w:rPr>
                <w:b/>
              </w:rPr>
              <w:t>Prevalence of anti-TNF</w:t>
            </w:r>
            <w:r>
              <w:rPr>
                <w:b/>
              </w:rPr>
              <w:t xml:space="preserve"> treated patients </w:t>
            </w:r>
          </w:p>
        </w:tc>
        <w:tc>
          <w:tcPr>
            <w:tcW w:w="1189" w:type="dxa"/>
            <w:noWrap/>
            <w:vAlign w:val="center"/>
            <w:hideMark/>
          </w:tcPr>
          <w:p w14:paraId="41F7D93E" w14:textId="77777777" w:rsidR="008B0AFF" w:rsidRPr="00B04A5A" w:rsidRDefault="008B0AFF" w:rsidP="008B0AFF">
            <w:pPr>
              <w:rPr>
                <w:b/>
              </w:rPr>
            </w:pPr>
            <w:r w:rsidRPr="00B04A5A">
              <w:rPr>
                <w:b/>
              </w:rPr>
              <w:t xml:space="preserve">Number of </w:t>
            </w:r>
            <w:r>
              <w:rPr>
                <w:b/>
              </w:rPr>
              <w:t xml:space="preserve">patients newly starting </w:t>
            </w:r>
            <w:r w:rsidRPr="00B04A5A">
              <w:rPr>
                <w:b/>
              </w:rPr>
              <w:t xml:space="preserve"> anti-TNF</w:t>
            </w:r>
            <w:r>
              <w:rPr>
                <w:b/>
              </w:rPr>
              <w:t xml:space="preserve"> </w:t>
            </w:r>
          </w:p>
        </w:tc>
        <w:tc>
          <w:tcPr>
            <w:tcW w:w="915" w:type="dxa"/>
            <w:vAlign w:val="center"/>
          </w:tcPr>
          <w:p w14:paraId="5C55F5D7" w14:textId="77777777" w:rsidR="008B0AFF" w:rsidRPr="00B04A5A" w:rsidRDefault="008B0AFF" w:rsidP="008B0AFF">
            <w:pPr>
              <w:rPr>
                <w:b/>
              </w:rPr>
            </w:pPr>
            <w:r>
              <w:rPr>
                <w:b/>
              </w:rPr>
              <w:t>Median time to starting anti-TNF (years)</w:t>
            </w:r>
          </w:p>
        </w:tc>
      </w:tr>
      <w:tr w:rsidR="008B0AFF" w:rsidRPr="00B04A5A" w14:paraId="0E7BB616" w14:textId="77777777" w:rsidTr="008B0AFF">
        <w:trPr>
          <w:trHeight w:val="250"/>
        </w:trPr>
        <w:tc>
          <w:tcPr>
            <w:tcW w:w="1106" w:type="dxa"/>
            <w:noWrap/>
            <w:vAlign w:val="center"/>
            <w:hideMark/>
          </w:tcPr>
          <w:p w14:paraId="6EEFB77E" w14:textId="77777777" w:rsidR="008B0AFF" w:rsidRPr="00641B1B" w:rsidRDefault="008B0AFF" w:rsidP="008B0AFF">
            <w:pPr>
              <w:rPr>
                <w:b/>
              </w:rPr>
            </w:pPr>
            <w:r w:rsidRPr="00641B1B">
              <w:rPr>
                <w:b/>
              </w:rPr>
              <w:t>2007</w:t>
            </w:r>
          </w:p>
        </w:tc>
        <w:tc>
          <w:tcPr>
            <w:tcW w:w="1129" w:type="dxa"/>
            <w:noWrap/>
            <w:vAlign w:val="center"/>
            <w:hideMark/>
          </w:tcPr>
          <w:p w14:paraId="7D5F50FC" w14:textId="77777777" w:rsidR="008B0AFF" w:rsidRPr="00B04A5A" w:rsidRDefault="008B0AFF" w:rsidP="008B0AFF">
            <w:r w:rsidRPr="00B04A5A">
              <w:t>198</w:t>
            </w:r>
          </w:p>
        </w:tc>
        <w:tc>
          <w:tcPr>
            <w:tcW w:w="1118" w:type="dxa"/>
            <w:noWrap/>
            <w:vAlign w:val="center"/>
            <w:hideMark/>
          </w:tcPr>
          <w:p w14:paraId="4CB2C942" w14:textId="77777777" w:rsidR="008B0AFF" w:rsidRPr="00B04A5A" w:rsidRDefault="008B0AFF" w:rsidP="008B0AFF">
            <w:r>
              <w:t>52</w:t>
            </w:r>
          </w:p>
        </w:tc>
        <w:tc>
          <w:tcPr>
            <w:tcW w:w="1062" w:type="dxa"/>
            <w:vAlign w:val="center"/>
          </w:tcPr>
          <w:p w14:paraId="01DFD09B" w14:textId="77777777" w:rsidR="008B0AFF" w:rsidRPr="00594338" w:rsidRDefault="008B0AFF" w:rsidP="008B0AFF">
            <w:r w:rsidRPr="00594338">
              <w:t>12.46</w:t>
            </w:r>
          </w:p>
        </w:tc>
        <w:tc>
          <w:tcPr>
            <w:tcW w:w="1254" w:type="dxa"/>
            <w:noWrap/>
            <w:vAlign w:val="center"/>
            <w:hideMark/>
          </w:tcPr>
          <w:p w14:paraId="025285CE" w14:textId="77777777" w:rsidR="008B0AFF" w:rsidRPr="00B04A5A" w:rsidRDefault="008B0AFF" w:rsidP="008B0AFF">
            <w:r w:rsidRPr="00B04A5A">
              <w:t>14</w:t>
            </w:r>
          </w:p>
        </w:tc>
        <w:tc>
          <w:tcPr>
            <w:tcW w:w="1187" w:type="dxa"/>
            <w:noWrap/>
            <w:vAlign w:val="center"/>
            <w:hideMark/>
          </w:tcPr>
          <w:p w14:paraId="32E3EBDB" w14:textId="77777777" w:rsidR="008B0AFF" w:rsidRPr="00B04A5A" w:rsidRDefault="008B0AFF" w:rsidP="008B0AFF">
            <w:r w:rsidRPr="00B04A5A">
              <w:t>7.07%</w:t>
            </w:r>
          </w:p>
        </w:tc>
        <w:tc>
          <w:tcPr>
            <w:tcW w:w="1341" w:type="dxa"/>
            <w:noWrap/>
            <w:vAlign w:val="center"/>
            <w:hideMark/>
          </w:tcPr>
          <w:p w14:paraId="6CDC0DFD" w14:textId="77777777" w:rsidR="008B0AFF" w:rsidRPr="00B04A5A" w:rsidRDefault="008B0AFF" w:rsidP="008B0AFF">
            <w:r>
              <w:t>1.64</w:t>
            </w:r>
          </w:p>
        </w:tc>
        <w:tc>
          <w:tcPr>
            <w:tcW w:w="1058" w:type="dxa"/>
            <w:vAlign w:val="center"/>
          </w:tcPr>
          <w:p w14:paraId="51118883" w14:textId="77777777" w:rsidR="008B0AFF" w:rsidRPr="00B04A5A" w:rsidRDefault="008B0AFF" w:rsidP="008B0AFF">
            <w:r>
              <w:t>14.93</w:t>
            </w:r>
          </w:p>
        </w:tc>
        <w:tc>
          <w:tcPr>
            <w:tcW w:w="1341" w:type="dxa"/>
            <w:noWrap/>
            <w:vAlign w:val="center"/>
            <w:hideMark/>
          </w:tcPr>
          <w:p w14:paraId="28AEEF1F" w14:textId="77777777" w:rsidR="008B0AFF" w:rsidRPr="00B04A5A" w:rsidRDefault="008B0AFF" w:rsidP="008B0AFF">
            <w:r w:rsidRPr="00B04A5A">
              <w:t>3</w:t>
            </w:r>
          </w:p>
        </w:tc>
        <w:tc>
          <w:tcPr>
            <w:tcW w:w="1044" w:type="dxa"/>
            <w:noWrap/>
            <w:vAlign w:val="center"/>
            <w:hideMark/>
          </w:tcPr>
          <w:p w14:paraId="5A183075" w14:textId="77777777" w:rsidR="008B0AFF" w:rsidRPr="00B04A5A" w:rsidRDefault="008B0AFF" w:rsidP="008B0AFF">
            <w:r w:rsidRPr="00B04A5A">
              <w:t>1.52%</w:t>
            </w:r>
          </w:p>
        </w:tc>
        <w:tc>
          <w:tcPr>
            <w:tcW w:w="1086" w:type="dxa"/>
            <w:noWrap/>
            <w:vAlign w:val="center"/>
            <w:hideMark/>
          </w:tcPr>
          <w:p w14:paraId="6D07DB2F" w14:textId="77777777" w:rsidR="008B0AFF" w:rsidRPr="00B04A5A" w:rsidRDefault="008B0AFF" w:rsidP="008B0AFF">
            <w:r w:rsidRPr="00B04A5A">
              <w:t>10</w:t>
            </w:r>
          </w:p>
        </w:tc>
        <w:tc>
          <w:tcPr>
            <w:tcW w:w="1215" w:type="dxa"/>
            <w:noWrap/>
            <w:vAlign w:val="center"/>
            <w:hideMark/>
          </w:tcPr>
          <w:p w14:paraId="61707C61" w14:textId="77777777" w:rsidR="008B0AFF" w:rsidRPr="00B04A5A" w:rsidRDefault="008B0AFF" w:rsidP="008B0AFF">
            <w:r w:rsidRPr="00B04A5A">
              <w:t>5.05%</w:t>
            </w:r>
          </w:p>
        </w:tc>
        <w:tc>
          <w:tcPr>
            <w:tcW w:w="1189" w:type="dxa"/>
            <w:noWrap/>
            <w:vAlign w:val="center"/>
            <w:hideMark/>
          </w:tcPr>
          <w:p w14:paraId="33607B11" w14:textId="77777777" w:rsidR="008B0AFF" w:rsidRPr="00B04A5A" w:rsidRDefault="008B0AFF" w:rsidP="008B0AFF">
            <w:r w:rsidRPr="00B04A5A">
              <w:t>5</w:t>
            </w:r>
          </w:p>
        </w:tc>
        <w:tc>
          <w:tcPr>
            <w:tcW w:w="915" w:type="dxa"/>
            <w:vAlign w:val="center"/>
          </w:tcPr>
          <w:p w14:paraId="175E0F40" w14:textId="77777777" w:rsidR="008B0AFF" w:rsidRPr="00C95662" w:rsidRDefault="008B0AFF" w:rsidP="008B0AFF">
            <w:pPr>
              <w:rPr>
                <w:rFonts w:ascii="Calibri" w:hAnsi="Calibri" w:cs="Calibri"/>
                <w:color w:val="000000"/>
              </w:rPr>
            </w:pPr>
            <w:r w:rsidRPr="00C95662">
              <w:rPr>
                <w:rFonts w:ascii="Calibri" w:hAnsi="Calibri" w:cs="Calibri"/>
                <w:color w:val="000000"/>
              </w:rPr>
              <w:t>3.25</w:t>
            </w:r>
          </w:p>
        </w:tc>
      </w:tr>
      <w:tr w:rsidR="008B0AFF" w:rsidRPr="00B04A5A" w14:paraId="4DA18B01" w14:textId="77777777" w:rsidTr="008B0AFF">
        <w:trPr>
          <w:trHeight w:val="250"/>
        </w:trPr>
        <w:tc>
          <w:tcPr>
            <w:tcW w:w="1106" w:type="dxa"/>
            <w:noWrap/>
            <w:vAlign w:val="center"/>
            <w:hideMark/>
          </w:tcPr>
          <w:p w14:paraId="3B05276F" w14:textId="77777777" w:rsidR="008B0AFF" w:rsidRPr="00641B1B" w:rsidRDefault="008B0AFF" w:rsidP="008B0AFF">
            <w:pPr>
              <w:rPr>
                <w:b/>
              </w:rPr>
            </w:pPr>
            <w:r w:rsidRPr="00641B1B">
              <w:rPr>
                <w:b/>
              </w:rPr>
              <w:t>2008</w:t>
            </w:r>
          </w:p>
        </w:tc>
        <w:tc>
          <w:tcPr>
            <w:tcW w:w="1129" w:type="dxa"/>
            <w:noWrap/>
            <w:vAlign w:val="center"/>
            <w:hideMark/>
          </w:tcPr>
          <w:p w14:paraId="4FC6A511" w14:textId="77777777" w:rsidR="008B0AFF" w:rsidRPr="00B04A5A" w:rsidRDefault="008B0AFF" w:rsidP="008B0AFF">
            <w:r w:rsidRPr="00B04A5A">
              <w:t>217</w:t>
            </w:r>
          </w:p>
        </w:tc>
        <w:tc>
          <w:tcPr>
            <w:tcW w:w="1118" w:type="dxa"/>
            <w:noWrap/>
            <w:vAlign w:val="center"/>
            <w:hideMark/>
          </w:tcPr>
          <w:p w14:paraId="12B74B8E" w14:textId="77777777" w:rsidR="008B0AFF" w:rsidRPr="00B04A5A" w:rsidRDefault="008B0AFF" w:rsidP="008B0AFF">
            <w:r>
              <w:t>47</w:t>
            </w:r>
          </w:p>
        </w:tc>
        <w:tc>
          <w:tcPr>
            <w:tcW w:w="1062" w:type="dxa"/>
            <w:vAlign w:val="center"/>
          </w:tcPr>
          <w:p w14:paraId="1CDA39EA" w14:textId="77777777" w:rsidR="008B0AFF" w:rsidRPr="00594338" w:rsidRDefault="008B0AFF" w:rsidP="008B0AFF">
            <w:r w:rsidRPr="00594338">
              <w:t>12.00</w:t>
            </w:r>
          </w:p>
        </w:tc>
        <w:tc>
          <w:tcPr>
            <w:tcW w:w="1254" w:type="dxa"/>
            <w:noWrap/>
            <w:vAlign w:val="center"/>
            <w:hideMark/>
          </w:tcPr>
          <w:p w14:paraId="7AEC89BD" w14:textId="77777777" w:rsidR="008B0AFF" w:rsidRPr="00B04A5A" w:rsidRDefault="008B0AFF" w:rsidP="008B0AFF">
            <w:r w:rsidRPr="00B04A5A">
              <w:t>11</w:t>
            </w:r>
          </w:p>
        </w:tc>
        <w:tc>
          <w:tcPr>
            <w:tcW w:w="1187" w:type="dxa"/>
            <w:noWrap/>
            <w:vAlign w:val="center"/>
            <w:hideMark/>
          </w:tcPr>
          <w:p w14:paraId="5F6D1FA7" w14:textId="77777777" w:rsidR="008B0AFF" w:rsidRPr="00B04A5A" w:rsidRDefault="008B0AFF" w:rsidP="008B0AFF">
            <w:r w:rsidRPr="00B04A5A">
              <w:t>5.07%</w:t>
            </w:r>
          </w:p>
        </w:tc>
        <w:tc>
          <w:tcPr>
            <w:tcW w:w="1341" w:type="dxa"/>
            <w:noWrap/>
            <w:vAlign w:val="center"/>
            <w:hideMark/>
          </w:tcPr>
          <w:p w14:paraId="78643D94" w14:textId="77777777" w:rsidR="008B0AFF" w:rsidRPr="00B04A5A" w:rsidRDefault="008B0AFF" w:rsidP="008B0AFF">
            <w:r w:rsidRPr="00B04A5A">
              <w:t>1.59</w:t>
            </w:r>
          </w:p>
        </w:tc>
        <w:tc>
          <w:tcPr>
            <w:tcW w:w="1058" w:type="dxa"/>
            <w:vAlign w:val="center"/>
          </w:tcPr>
          <w:p w14:paraId="389B56E5" w14:textId="77777777" w:rsidR="008B0AFF" w:rsidRPr="00B04A5A" w:rsidRDefault="008B0AFF" w:rsidP="008B0AFF">
            <w:r w:rsidRPr="00B04A5A">
              <w:t>14.87</w:t>
            </w:r>
          </w:p>
        </w:tc>
        <w:tc>
          <w:tcPr>
            <w:tcW w:w="1341" w:type="dxa"/>
            <w:noWrap/>
            <w:vAlign w:val="center"/>
            <w:hideMark/>
          </w:tcPr>
          <w:p w14:paraId="3A615A0C" w14:textId="77777777" w:rsidR="008B0AFF" w:rsidRPr="00B04A5A" w:rsidRDefault="008B0AFF" w:rsidP="008B0AFF">
            <w:r w:rsidRPr="00B04A5A">
              <w:t>3</w:t>
            </w:r>
          </w:p>
        </w:tc>
        <w:tc>
          <w:tcPr>
            <w:tcW w:w="1044" w:type="dxa"/>
            <w:noWrap/>
            <w:vAlign w:val="center"/>
            <w:hideMark/>
          </w:tcPr>
          <w:p w14:paraId="43C84371" w14:textId="77777777" w:rsidR="008B0AFF" w:rsidRPr="00B04A5A" w:rsidRDefault="008B0AFF" w:rsidP="008B0AFF">
            <w:r w:rsidRPr="00B04A5A">
              <w:t>1.38%</w:t>
            </w:r>
          </w:p>
        </w:tc>
        <w:tc>
          <w:tcPr>
            <w:tcW w:w="1086" w:type="dxa"/>
            <w:noWrap/>
            <w:vAlign w:val="center"/>
            <w:hideMark/>
          </w:tcPr>
          <w:p w14:paraId="74D03205" w14:textId="77777777" w:rsidR="008B0AFF" w:rsidRPr="00B04A5A" w:rsidRDefault="008B0AFF" w:rsidP="008B0AFF">
            <w:r w:rsidRPr="00B04A5A">
              <w:t>13</w:t>
            </w:r>
          </w:p>
        </w:tc>
        <w:tc>
          <w:tcPr>
            <w:tcW w:w="1215" w:type="dxa"/>
            <w:noWrap/>
            <w:vAlign w:val="center"/>
            <w:hideMark/>
          </w:tcPr>
          <w:p w14:paraId="721BE033" w14:textId="77777777" w:rsidR="008B0AFF" w:rsidRPr="00B04A5A" w:rsidRDefault="008B0AFF" w:rsidP="008B0AFF">
            <w:r w:rsidRPr="00B04A5A">
              <w:t>5.99%</w:t>
            </w:r>
          </w:p>
        </w:tc>
        <w:tc>
          <w:tcPr>
            <w:tcW w:w="1189" w:type="dxa"/>
            <w:noWrap/>
            <w:vAlign w:val="center"/>
            <w:hideMark/>
          </w:tcPr>
          <w:p w14:paraId="3275046E" w14:textId="77777777" w:rsidR="008B0AFF" w:rsidRPr="00B04A5A" w:rsidRDefault="008B0AFF" w:rsidP="008B0AFF">
            <w:r w:rsidRPr="00B04A5A">
              <w:t>3</w:t>
            </w:r>
          </w:p>
        </w:tc>
        <w:tc>
          <w:tcPr>
            <w:tcW w:w="915" w:type="dxa"/>
            <w:vAlign w:val="center"/>
          </w:tcPr>
          <w:p w14:paraId="4E37CC32" w14:textId="77777777" w:rsidR="008B0AFF" w:rsidRPr="00C95662" w:rsidRDefault="008B0AFF" w:rsidP="008B0AFF">
            <w:pPr>
              <w:rPr>
                <w:rFonts w:ascii="Calibri" w:hAnsi="Calibri" w:cs="Calibri"/>
                <w:color w:val="000000"/>
              </w:rPr>
            </w:pPr>
            <w:r w:rsidRPr="00C95662">
              <w:rPr>
                <w:rFonts w:ascii="Calibri" w:hAnsi="Calibri" w:cs="Calibri"/>
                <w:color w:val="000000"/>
              </w:rPr>
              <w:t>1.55</w:t>
            </w:r>
          </w:p>
        </w:tc>
      </w:tr>
      <w:tr w:rsidR="008B0AFF" w:rsidRPr="00B04A5A" w14:paraId="71D35566" w14:textId="77777777" w:rsidTr="008B0AFF">
        <w:trPr>
          <w:trHeight w:val="250"/>
        </w:trPr>
        <w:tc>
          <w:tcPr>
            <w:tcW w:w="1106" w:type="dxa"/>
            <w:noWrap/>
            <w:vAlign w:val="center"/>
            <w:hideMark/>
          </w:tcPr>
          <w:p w14:paraId="495E9455" w14:textId="77777777" w:rsidR="008B0AFF" w:rsidRPr="00641B1B" w:rsidRDefault="008B0AFF" w:rsidP="008B0AFF">
            <w:pPr>
              <w:rPr>
                <w:b/>
              </w:rPr>
            </w:pPr>
            <w:r w:rsidRPr="00641B1B">
              <w:rPr>
                <w:b/>
              </w:rPr>
              <w:t>2009</w:t>
            </w:r>
          </w:p>
        </w:tc>
        <w:tc>
          <w:tcPr>
            <w:tcW w:w="1129" w:type="dxa"/>
            <w:noWrap/>
            <w:vAlign w:val="center"/>
            <w:hideMark/>
          </w:tcPr>
          <w:p w14:paraId="4C6D5B18" w14:textId="77777777" w:rsidR="008B0AFF" w:rsidRPr="00B04A5A" w:rsidRDefault="008B0AFF" w:rsidP="008B0AFF">
            <w:r w:rsidRPr="00B04A5A">
              <w:t>257</w:t>
            </w:r>
          </w:p>
        </w:tc>
        <w:tc>
          <w:tcPr>
            <w:tcW w:w="1118" w:type="dxa"/>
            <w:noWrap/>
            <w:vAlign w:val="center"/>
            <w:hideMark/>
          </w:tcPr>
          <w:p w14:paraId="1A4C75DF" w14:textId="77777777" w:rsidR="008B0AFF" w:rsidRPr="00B04A5A" w:rsidRDefault="008B0AFF" w:rsidP="008B0AFF">
            <w:r w:rsidRPr="00B04A5A">
              <w:t>67</w:t>
            </w:r>
          </w:p>
        </w:tc>
        <w:tc>
          <w:tcPr>
            <w:tcW w:w="1062" w:type="dxa"/>
            <w:vAlign w:val="center"/>
          </w:tcPr>
          <w:p w14:paraId="0252B0CD" w14:textId="77777777" w:rsidR="008B0AFF" w:rsidRPr="00594338" w:rsidRDefault="008B0AFF" w:rsidP="008B0AFF">
            <w:r w:rsidRPr="00594338">
              <w:t>12.23</w:t>
            </w:r>
          </w:p>
        </w:tc>
        <w:tc>
          <w:tcPr>
            <w:tcW w:w="1254" w:type="dxa"/>
            <w:noWrap/>
            <w:vAlign w:val="center"/>
            <w:hideMark/>
          </w:tcPr>
          <w:p w14:paraId="39555235" w14:textId="77777777" w:rsidR="008B0AFF" w:rsidRPr="00B04A5A" w:rsidRDefault="008B0AFF" w:rsidP="008B0AFF">
            <w:r w:rsidRPr="00B04A5A">
              <w:t>8</w:t>
            </w:r>
          </w:p>
        </w:tc>
        <w:tc>
          <w:tcPr>
            <w:tcW w:w="1187" w:type="dxa"/>
            <w:noWrap/>
            <w:vAlign w:val="center"/>
            <w:hideMark/>
          </w:tcPr>
          <w:p w14:paraId="193F9BC4" w14:textId="77777777" w:rsidR="008B0AFF" w:rsidRPr="00B04A5A" w:rsidRDefault="008B0AFF" w:rsidP="008B0AFF">
            <w:r w:rsidRPr="00B04A5A">
              <w:t>3.11%</w:t>
            </w:r>
          </w:p>
        </w:tc>
        <w:tc>
          <w:tcPr>
            <w:tcW w:w="1341" w:type="dxa"/>
            <w:noWrap/>
            <w:vAlign w:val="center"/>
            <w:hideMark/>
          </w:tcPr>
          <w:p w14:paraId="384776E2" w14:textId="77777777" w:rsidR="008B0AFF" w:rsidRPr="00B04A5A" w:rsidRDefault="008B0AFF" w:rsidP="008B0AFF">
            <w:r>
              <w:t>0.74</w:t>
            </w:r>
          </w:p>
        </w:tc>
        <w:tc>
          <w:tcPr>
            <w:tcW w:w="1058" w:type="dxa"/>
            <w:vAlign w:val="center"/>
          </w:tcPr>
          <w:p w14:paraId="28A89D49" w14:textId="77777777" w:rsidR="008B0AFF" w:rsidRPr="00B04A5A" w:rsidRDefault="008B0AFF" w:rsidP="008B0AFF">
            <w:r>
              <w:t>14.12</w:t>
            </w:r>
          </w:p>
        </w:tc>
        <w:tc>
          <w:tcPr>
            <w:tcW w:w="1341" w:type="dxa"/>
            <w:noWrap/>
            <w:vAlign w:val="center"/>
            <w:hideMark/>
          </w:tcPr>
          <w:p w14:paraId="67A6C38C" w14:textId="77777777" w:rsidR="008B0AFF" w:rsidRPr="00B04A5A" w:rsidRDefault="008B0AFF" w:rsidP="008B0AFF">
            <w:r w:rsidRPr="00B04A5A">
              <w:t>1</w:t>
            </w:r>
          </w:p>
        </w:tc>
        <w:tc>
          <w:tcPr>
            <w:tcW w:w="1044" w:type="dxa"/>
            <w:noWrap/>
            <w:vAlign w:val="center"/>
            <w:hideMark/>
          </w:tcPr>
          <w:p w14:paraId="03A8BD63" w14:textId="77777777" w:rsidR="008B0AFF" w:rsidRPr="00B04A5A" w:rsidRDefault="008B0AFF" w:rsidP="008B0AFF">
            <w:r w:rsidRPr="00B04A5A">
              <w:t>0.39%</w:t>
            </w:r>
          </w:p>
        </w:tc>
        <w:tc>
          <w:tcPr>
            <w:tcW w:w="1086" w:type="dxa"/>
            <w:noWrap/>
            <w:vAlign w:val="center"/>
            <w:hideMark/>
          </w:tcPr>
          <w:p w14:paraId="7B76252D" w14:textId="77777777" w:rsidR="008B0AFF" w:rsidRPr="00B04A5A" w:rsidRDefault="008B0AFF" w:rsidP="008B0AFF">
            <w:r w:rsidRPr="00B04A5A">
              <w:t>12</w:t>
            </w:r>
          </w:p>
        </w:tc>
        <w:tc>
          <w:tcPr>
            <w:tcW w:w="1215" w:type="dxa"/>
            <w:noWrap/>
            <w:vAlign w:val="center"/>
            <w:hideMark/>
          </w:tcPr>
          <w:p w14:paraId="7E7D219C" w14:textId="77777777" w:rsidR="008B0AFF" w:rsidRPr="00B04A5A" w:rsidRDefault="008B0AFF" w:rsidP="008B0AFF">
            <w:r w:rsidRPr="00B04A5A">
              <w:t>4.67%</w:t>
            </w:r>
          </w:p>
        </w:tc>
        <w:tc>
          <w:tcPr>
            <w:tcW w:w="1189" w:type="dxa"/>
            <w:noWrap/>
            <w:vAlign w:val="center"/>
            <w:hideMark/>
          </w:tcPr>
          <w:p w14:paraId="217F5E07" w14:textId="77777777" w:rsidR="008B0AFF" w:rsidRPr="00B04A5A" w:rsidRDefault="008B0AFF" w:rsidP="008B0AFF">
            <w:r w:rsidRPr="00B04A5A">
              <w:t>4</w:t>
            </w:r>
          </w:p>
        </w:tc>
        <w:tc>
          <w:tcPr>
            <w:tcW w:w="915" w:type="dxa"/>
            <w:vAlign w:val="center"/>
          </w:tcPr>
          <w:p w14:paraId="2E46EBDD" w14:textId="77777777" w:rsidR="008B0AFF" w:rsidRPr="00C95662" w:rsidRDefault="008B0AFF" w:rsidP="008B0AFF">
            <w:pPr>
              <w:rPr>
                <w:rFonts w:ascii="Calibri" w:hAnsi="Calibri" w:cs="Calibri"/>
                <w:color w:val="000000"/>
              </w:rPr>
            </w:pPr>
            <w:r w:rsidRPr="00C95662">
              <w:rPr>
                <w:rFonts w:ascii="Calibri" w:hAnsi="Calibri" w:cs="Calibri"/>
                <w:color w:val="000000"/>
              </w:rPr>
              <w:t>1.22</w:t>
            </w:r>
          </w:p>
        </w:tc>
      </w:tr>
      <w:tr w:rsidR="008B0AFF" w:rsidRPr="00B04A5A" w14:paraId="2A63CB0C" w14:textId="77777777" w:rsidTr="008B0AFF">
        <w:trPr>
          <w:trHeight w:val="250"/>
        </w:trPr>
        <w:tc>
          <w:tcPr>
            <w:tcW w:w="1106" w:type="dxa"/>
            <w:noWrap/>
            <w:vAlign w:val="center"/>
            <w:hideMark/>
          </w:tcPr>
          <w:p w14:paraId="53801B45" w14:textId="77777777" w:rsidR="008B0AFF" w:rsidRPr="00641B1B" w:rsidRDefault="008B0AFF" w:rsidP="008B0AFF">
            <w:pPr>
              <w:rPr>
                <w:b/>
              </w:rPr>
            </w:pPr>
            <w:r w:rsidRPr="00641B1B">
              <w:rPr>
                <w:b/>
              </w:rPr>
              <w:t>2010</w:t>
            </w:r>
          </w:p>
        </w:tc>
        <w:tc>
          <w:tcPr>
            <w:tcW w:w="1129" w:type="dxa"/>
            <w:noWrap/>
            <w:vAlign w:val="center"/>
            <w:hideMark/>
          </w:tcPr>
          <w:p w14:paraId="74A31196" w14:textId="77777777" w:rsidR="008B0AFF" w:rsidRPr="00B04A5A" w:rsidRDefault="008B0AFF" w:rsidP="008B0AFF">
            <w:r w:rsidRPr="00B04A5A">
              <w:t>269</w:t>
            </w:r>
          </w:p>
        </w:tc>
        <w:tc>
          <w:tcPr>
            <w:tcW w:w="1118" w:type="dxa"/>
            <w:noWrap/>
            <w:vAlign w:val="center"/>
            <w:hideMark/>
          </w:tcPr>
          <w:p w14:paraId="2EE69A6F" w14:textId="77777777" w:rsidR="008B0AFF" w:rsidRPr="00B04A5A" w:rsidRDefault="008B0AFF" w:rsidP="008B0AFF">
            <w:r w:rsidRPr="00B04A5A">
              <w:t>47</w:t>
            </w:r>
          </w:p>
        </w:tc>
        <w:tc>
          <w:tcPr>
            <w:tcW w:w="1062" w:type="dxa"/>
            <w:vAlign w:val="center"/>
          </w:tcPr>
          <w:p w14:paraId="5FBF6060" w14:textId="77777777" w:rsidR="008B0AFF" w:rsidRPr="00594338" w:rsidRDefault="008B0AFF" w:rsidP="008B0AFF">
            <w:r w:rsidRPr="00594338">
              <w:t>13.20</w:t>
            </w:r>
          </w:p>
        </w:tc>
        <w:tc>
          <w:tcPr>
            <w:tcW w:w="1254" w:type="dxa"/>
            <w:noWrap/>
            <w:vAlign w:val="center"/>
            <w:hideMark/>
          </w:tcPr>
          <w:p w14:paraId="4BE12ABA" w14:textId="77777777" w:rsidR="008B0AFF" w:rsidRPr="00B04A5A" w:rsidRDefault="008B0AFF" w:rsidP="008B0AFF">
            <w:r w:rsidRPr="00B04A5A">
              <w:t>11</w:t>
            </w:r>
          </w:p>
        </w:tc>
        <w:tc>
          <w:tcPr>
            <w:tcW w:w="1187" w:type="dxa"/>
            <w:noWrap/>
            <w:vAlign w:val="center"/>
            <w:hideMark/>
          </w:tcPr>
          <w:p w14:paraId="1830F1F9" w14:textId="77777777" w:rsidR="008B0AFF" w:rsidRPr="00B04A5A" w:rsidRDefault="008B0AFF" w:rsidP="008B0AFF">
            <w:r w:rsidRPr="00B04A5A">
              <w:t>4.09%</w:t>
            </w:r>
          </w:p>
        </w:tc>
        <w:tc>
          <w:tcPr>
            <w:tcW w:w="1341" w:type="dxa"/>
            <w:noWrap/>
            <w:vAlign w:val="center"/>
            <w:hideMark/>
          </w:tcPr>
          <w:p w14:paraId="28BF8D1D" w14:textId="77777777" w:rsidR="008B0AFF" w:rsidRPr="00B04A5A" w:rsidRDefault="008B0AFF" w:rsidP="008B0AFF">
            <w:r w:rsidRPr="00B04A5A">
              <w:t>1.40</w:t>
            </w:r>
          </w:p>
        </w:tc>
        <w:tc>
          <w:tcPr>
            <w:tcW w:w="1058" w:type="dxa"/>
            <w:vAlign w:val="center"/>
          </w:tcPr>
          <w:p w14:paraId="57955917" w14:textId="77777777" w:rsidR="008B0AFF" w:rsidRPr="00B04A5A" w:rsidRDefault="008B0AFF" w:rsidP="008B0AFF">
            <w:r w:rsidRPr="00B04A5A">
              <w:t>14.23</w:t>
            </w:r>
          </w:p>
        </w:tc>
        <w:tc>
          <w:tcPr>
            <w:tcW w:w="1341" w:type="dxa"/>
            <w:noWrap/>
            <w:vAlign w:val="center"/>
            <w:hideMark/>
          </w:tcPr>
          <w:p w14:paraId="1787B31B" w14:textId="77777777" w:rsidR="008B0AFF" w:rsidRPr="00B04A5A" w:rsidRDefault="008B0AFF" w:rsidP="008B0AFF">
            <w:r w:rsidRPr="00B04A5A">
              <w:t>0</w:t>
            </w:r>
          </w:p>
        </w:tc>
        <w:tc>
          <w:tcPr>
            <w:tcW w:w="1044" w:type="dxa"/>
            <w:noWrap/>
            <w:vAlign w:val="center"/>
            <w:hideMark/>
          </w:tcPr>
          <w:p w14:paraId="4BEECDED" w14:textId="77777777" w:rsidR="008B0AFF" w:rsidRPr="00B04A5A" w:rsidRDefault="008B0AFF" w:rsidP="008B0AFF">
            <w:r w:rsidRPr="00B04A5A">
              <w:t>0.00%</w:t>
            </w:r>
          </w:p>
        </w:tc>
        <w:tc>
          <w:tcPr>
            <w:tcW w:w="1086" w:type="dxa"/>
            <w:noWrap/>
            <w:vAlign w:val="center"/>
            <w:hideMark/>
          </w:tcPr>
          <w:p w14:paraId="235EE301" w14:textId="77777777" w:rsidR="008B0AFF" w:rsidRPr="00B04A5A" w:rsidRDefault="008B0AFF" w:rsidP="008B0AFF">
            <w:r w:rsidRPr="00B04A5A">
              <w:t>17</w:t>
            </w:r>
          </w:p>
        </w:tc>
        <w:tc>
          <w:tcPr>
            <w:tcW w:w="1215" w:type="dxa"/>
            <w:noWrap/>
            <w:vAlign w:val="center"/>
            <w:hideMark/>
          </w:tcPr>
          <w:p w14:paraId="0A37520B" w14:textId="77777777" w:rsidR="008B0AFF" w:rsidRPr="00B04A5A" w:rsidRDefault="008B0AFF" w:rsidP="008B0AFF">
            <w:r w:rsidRPr="00B04A5A">
              <w:t>6.32%</w:t>
            </w:r>
          </w:p>
        </w:tc>
        <w:tc>
          <w:tcPr>
            <w:tcW w:w="1189" w:type="dxa"/>
            <w:noWrap/>
            <w:vAlign w:val="center"/>
            <w:hideMark/>
          </w:tcPr>
          <w:p w14:paraId="075317B6" w14:textId="77777777" w:rsidR="008B0AFF" w:rsidRPr="00B04A5A" w:rsidRDefault="008B0AFF" w:rsidP="008B0AFF">
            <w:r w:rsidRPr="00B04A5A">
              <w:t>7</w:t>
            </w:r>
          </w:p>
        </w:tc>
        <w:tc>
          <w:tcPr>
            <w:tcW w:w="915" w:type="dxa"/>
            <w:vAlign w:val="center"/>
          </w:tcPr>
          <w:p w14:paraId="19C15EF0" w14:textId="77777777" w:rsidR="008B0AFF" w:rsidRPr="00C95662" w:rsidRDefault="008B0AFF" w:rsidP="008B0AFF">
            <w:pPr>
              <w:rPr>
                <w:rFonts w:ascii="Calibri" w:hAnsi="Calibri" w:cs="Calibri"/>
                <w:color w:val="000000"/>
              </w:rPr>
            </w:pPr>
            <w:r w:rsidRPr="00C95662">
              <w:rPr>
                <w:rFonts w:ascii="Calibri" w:hAnsi="Calibri" w:cs="Calibri"/>
                <w:color w:val="000000"/>
              </w:rPr>
              <w:t>3.18</w:t>
            </w:r>
          </w:p>
        </w:tc>
      </w:tr>
      <w:tr w:rsidR="008B0AFF" w:rsidRPr="00B04A5A" w14:paraId="576FB1AB" w14:textId="77777777" w:rsidTr="008B0AFF">
        <w:trPr>
          <w:trHeight w:val="250"/>
        </w:trPr>
        <w:tc>
          <w:tcPr>
            <w:tcW w:w="1106" w:type="dxa"/>
            <w:noWrap/>
            <w:vAlign w:val="center"/>
            <w:hideMark/>
          </w:tcPr>
          <w:p w14:paraId="51714521" w14:textId="77777777" w:rsidR="008B0AFF" w:rsidRPr="00641B1B" w:rsidRDefault="008B0AFF" w:rsidP="008B0AFF">
            <w:pPr>
              <w:rPr>
                <w:b/>
              </w:rPr>
            </w:pPr>
            <w:r w:rsidRPr="00641B1B">
              <w:rPr>
                <w:b/>
              </w:rPr>
              <w:t>2011</w:t>
            </w:r>
          </w:p>
        </w:tc>
        <w:tc>
          <w:tcPr>
            <w:tcW w:w="1129" w:type="dxa"/>
            <w:noWrap/>
            <w:vAlign w:val="center"/>
            <w:hideMark/>
          </w:tcPr>
          <w:p w14:paraId="0175DE8E" w14:textId="77777777" w:rsidR="008B0AFF" w:rsidRPr="00B04A5A" w:rsidRDefault="008B0AFF" w:rsidP="008B0AFF">
            <w:r w:rsidRPr="00B04A5A">
              <w:t>285</w:t>
            </w:r>
          </w:p>
        </w:tc>
        <w:tc>
          <w:tcPr>
            <w:tcW w:w="1118" w:type="dxa"/>
            <w:noWrap/>
            <w:vAlign w:val="center"/>
            <w:hideMark/>
          </w:tcPr>
          <w:p w14:paraId="21E79FB7" w14:textId="77777777" w:rsidR="008B0AFF" w:rsidRPr="00B04A5A" w:rsidRDefault="008B0AFF" w:rsidP="008B0AFF">
            <w:r w:rsidRPr="00B04A5A">
              <w:t>58</w:t>
            </w:r>
          </w:p>
        </w:tc>
        <w:tc>
          <w:tcPr>
            <w:tcW w:w="1062" w:type="dxa"/>
            <w:vAlign w:val="center"/>
          </w:tcPr>
          <w:p w14:paraId="4DE6F6D0" w14:textId="77777777" w:rsidR="008B0AFF" w:rsidRPr="00594338" w:rsidRDefault="008B0AFF" w:rsidP="008B0AFF">
            <w:r w:rsidRPr="00594338">
              <w:t>12.91</w:t>
            </w:r>
          </w:p>
        </w:tc>
        <w:tc>
          <w:tcPr>
            <w:tcW w:w="1254" w:type="dxa"/>
            <w:noWrap/>
            <w:vAlign w:val="center"/>
            <w:hideMark/>
          </w:tcPr>
          <w:p w14:paraId="30976BE8" w14:textId="77777777" w:rsidR="008B0AFF" w:rsidRPr="00B04A5A" w:rsidRDefault="008B0AFF" w:rsidP="008B0AFF">
            <w:r w:rsidRPr="00B04A5A">
              <w:t>5</w:t>
            </w:r>
          </w:p>
        </w:tc>
        <w:tc>
          <w:tcPr>
            <w:tcW w:w="1187" w:type="dxa"/>
            <w:noWrap/>
            <w:vAlign w:val="center"/>
            <w:hideMark/>
          </w:tcPr>
          <w:p w14:paraId="3C137973" w14:textId="77777777" w:rsidR="008B0AFF" w:rsidRPr="00B04A5A" w:rsidRDefault="008B0AFF" w:rsidP="008B0AFF">
            <w:r w:rsidRPr="00B04A5A">
              <w:t>1.75%</w:t>
            </w:r>
          </w:p>
        </w:tc>
        <w:tc>
          <w:tcPr>
            <w:tcW w:w="1341" w:type="dxa"/>
            <w:noWrap/>
            <w:vAlign w:val="center"/>
            <w:hideMark/>
          </w:tcPr>
          <w:p w14:paraId="52270645" w14:textId="77777777" w:rsidR="008B0AFF" w:rsidRPr="00B04A5A" w:rsidRDefault="008B0AFF" w:rsidP="008B0AFF">
            <w:r w:rsidRPr="00B04A5A">
              <w:t>1.42</w:t>
            </w:r>
          </w:p>
        </w:tc>
        <w:tc>
          <w:tcPr>
            <w:tcW w:w="1058" w:type="dxa"/>
            <w:vAlign w:val="center"/>
          </w:tcPr>
          <w:p w14:paraId="3E286892" w14:textId="77777777" w:rsidR="008B0AFF" w:rsidRPr="00B04A5A" w:rsidRDefault="008B0AFF" w:rsidP="008B0AFF">
            <w:r w:rsidRPr="00B04A5A">
              <w:t>15.20</w:t>
            </w:r>
          </w:p>
        </w:tc>
        <w:tc>
          <w:tcPr>
            <w:tcW w:w="1341" w:type="dxa"/>
            <w:noWrap/>
            <w:vAlign w:val="center"/>
            <w:hideMark/>
          </w:tcPr>
          <w:p w14:paraId="2F408B45" w14:textId="77777777" w:rsidR="008B0AFF" w:rsidRPr="00B04A5A" w:rsidRDefault="008B0AFF" w:rsidP="008B0AFF">
            <w:r w:rsidRPr="00B04A5A">
              <w:t>0</w:t>
            </w:r>
          </w:p>
        </w:tc>
        <w:tc>
          <w:tcPr>
            <w:tcW w:w="1044" w:type="dxa"/>
            <w:noWrap/>
            <w:vAlign w:val="center"/>
            <w:hideMark/>
          </w:tcPr>
          <w:p w14:paraId="5A2BB4ED" w14:textId="77777777" w:rsidR="008B0AFF" w:rsidRPr="00B04A5A" w:rsidRDefault="008B0AFF" w:rsidP="008B0AFF">
            <w:r w:rsidRPr="00B04A5A">
              <w:t>0.00%</w:t>
            </w:r>
          </w:p>
        </w:tc>
        <w:tc>
          <w:tcPr>
            <w:tcW w:w="1086" w:type="dxa"/>
            <w:noWrap/>
            <w:vAlign w:val="center"/>
            <w:hideMark/>
          </w:tcPr>
          <w:p w14:paraId="59C8C049" w14:textId="77777777" w:rsidR="008B0AFF" w:rsidRPr="00B04A5A" w:rsidRDefault="008B0AFF" w:rsidP="008B0AFF">
            <w:r w:rsidRPr="00B04A5A">
              <w:t>29</w:t>
            </w:r>
          </w:p>
        </w:tc>
        <w:tc>
          <w:tcPr>
            <w:tcW w:w="1215" w:type="dxa"/>
            <w:noWrap/>
            <w:vAlign w:val="center"/>
            <w:hideMark/>
          </w:tcPr>
          <w:p w14:paraId="0585A8B5" w14:textId="77777777" w:rsidR="008B0AFF" w:rsidRPr="00B04A5A" w:rsidRDefault="008B0AFF" w:rsidP="008B0AFF">
            <w:r w:rsidRPr="00B04A5A">
              <w:t>10.18%</w:t>
            </w:r>
          </w:p>
        </w:tc>
        <w:tc>
          <w:tcPr>
            <w:tcW w:w="1189" w:type="dxa"/>
            <w:noWrap/>
            <w:vAlign w:val="center"/>
            <w:hideMark/>
          </w:tcPr>
          <w:p w14:paraId="73A5E8B7" w14:textId="77777777" w:rsidR="008B0AFF" w:rsidRPr="00B04A5A" w:rsidRDefault="008B0AFF" w:rsidP="008B0AFF">
            <w:r w:rsidRPr="00B04A5A">
              <w:t>14</w:t>
            </w:r>
          </w:p>
        </w:tc>
        <w:tc>
          <w:tcPr>
            <w:tcW w:w="915" w:type="dxa"/>
            <w:vAlign w:val="center"/>
          </w:tcPr>
          <w:p w14:paraId="3EDDA0D4" w14:textId="77777777" w:rsidR="008B0AFF" w:rsidRPr="00C95662" w:rsidRDefault="008B0AFF" w:rsidP="008B0AFF">
            <w:pPr>
              <w:rPr>
                <w:rFonts w:ascii="Calibri" w:hAnsi="Calibri" w:cs="Calibri"/>
                <w:color w:val="000000"/>
              </w:rPr>
            </w:pPr>
            <w:r w:rsidRPr="00C95662">
              <w:rPr>
                <w:rFonts w:ascii="Calibri" w:hAnsi="Calibri" w:cs="Calibri"/>
                <w:color w:val="000000"/>
              </w:rPr>
              <w:t>1.52</w:t>
            </w:r>
          </w:p>
        </w:tc>
      </w:tr>
      <w:tr w:rsidR="008B0AFF" w:rsidRPr="00B04A5A" w14:paraId="5A05BD1D" w14:textId="77777777" w:rsidTr="008B0AFF">
        <w:trPr>
          <w:trHeight w:val="250"/>
        </w:trPr>
        <w:tc>
          <w:tcPr>
            <w:tcW w:w="1106" w:type="dxa"/>
            <w:noWrap/>
            <w:vAlign w:val="center"/>
            <w:hideMark/>
          </w:tcPr>
          <w:p w14:paraId="72FFBFFD" w14:textId="77777777" w:rsidR="008B0AFF" w:rsidRPr="00641B1B" w:rsidRDefault="008B0AFF" w:rsidP="008B0AFF">
            <w:pPr>
              <w:rPr>
                <w:b/>
              </w:rPr>
            </w:pPr>
            <w:r w:rsidRPr="00641B1B">
              <w:rPr>
                <w:b/>
              </w:rPr>
              <w:t>2012</w:t>
            </w:r>
          </w:p>
        </w:tc>
        <w:tc>
          <w:tcPr>
            <w:tcW w:w="1129" w:type="dxa"/>
            <w:noWrap/>
            <w:vAlign w:val="center"/>
            <w:hideMark/>
          </w:tcPr>
          <w:p w14:paraId="58754911" w14:textId="77777777" w:rsidR="008B0AFF" w:rsidRPr="00B04A5A" w:rsidRDefault="008B0AFF" w:rsidP="008B0AFF">
            <w:r w:rsidRPr="00B04A5A">
              <w:t>309</w:t>
            </w:r>
          </w:p>
        </w:tc>
        <w:tc>
          <w:tcPr>
            <w:tcW w:w="1118" w:type="dxa"/>
            <w:noWrap/>
            <w:vAlign w:val="center"/>
            <w:hideMark/>
          </w:tcPr>
          <w:p w14:paraId="2680EA44" w14:textId="77777777" w:rsidR="008B0AFF" w:rsidRPr="00B04A5A" w:rsidRDefault="008B0AFF" w:rsidP="008B0AFF">
            <w:r w:rsidRPr="00B04A5A">
              <w:t>64</w:t>
            </w:r>
          </w:p>
        </w:tc>
        <w:tc>
          <w:tcPr>
            <w:tcW w:w="1062" w:type="dxa"/>
            <w:vAlign w:val="center"/>
          </w:tcPr>
          <w:p w14:paraId="3AA80B6B" w14:textId="77777777" w:rsidR="008B0AFF" w:rsidRPr="00594338" w:rsidRDefault="008B0AFF" w:rsidP="008B0AFF">
            <w:r w:rsidRPr="00594338">
              <w:t>13.05</w:t>
            </w:r>
          </w:p>
        </w:tc>
        <w:tc>
          <w:tcPr>
            <w:tcW w:w="1254" w:type="dxa"/>
            <w:noWrap/>
            <w:vAlign w:val="center"/>
            <w:hideMark/>
          </w:tcPr>
          <w:p w14:paraId="5BCAE41B" w14:textId="77777777" w:rsidR="008B0AFF" w:rsidRPr="00B04A5A" w:rsidRDefault="008B0AFF" w:rsidP="008B0AFF">
            <w:r w:rsidRPr="00B04A5A">
              <w:t>12</w:t>
            </w:r>
          </w:p>
        </w:tc>
        <w:tc>
          <w:tcPr>
            <w:tcW w:w="1187" w:type="dxa"/>
            <w:noWrap/>
            <w:vAlign w:val="center"/>
            <w:hideMark/>
          </w:tcPr>
          <w:p w14:paraId="119DD0A7" w14:textId="77777777" w:rsidR="008B0AFF" w:rsidRPr="00B04A5A" w:rsidRDefault="008B0AFF" w:rsidP="008B0AFF">
            <w:r w:rsidRPr="00B04A5A">
              <w:t>3.88%</w:t>
            </w:r>
          </w:p>
        </w:tc>
        <w:tc>
          <w:tcPr>
            <w:tcW w:w="1341" w:type="dxa"/>
            <w:noWrap/>
            <w:vAlign w:val="center"/>
            <w:hideMark/>
          </w:tcPr>
          <w:p w14:paraId="6E5A5F45" w14:textId="77777777" w:rsidR="008B0AFF" w:rsidRPr="00B04A5A" w:rsidRDefault="008B0AFF" w:rsidP="008B0AFF">
            <w:r w:rsidRPr="00B04A5A">
              <w:t>1.79</w:t>
            </w:r>
          </w:p>
        </w:tc>
        <w:tc>
          <w:tcPr>
            <w:tcW w:w="1058" w:type="dxa"/>
            <w:vAlign w:val="center"/>
          </w:tcPr>
          <w:p w14:paraId="1C05DAA5" w14:textId="77777777" w:rsidR="008B0AFF" w:rsidRPr="00B04A5A" w:rsidRDefault="008B0AFF" w:rsidP="008B0AFF">
            <w:r w:rsidRPr="00B04A5A">
              <w:t>15.64</w:t>
            </w:r>
          </w:p>
        </w:tc>
        <w:tc>
          <w:tcPr>
            <w:tcW w:w="1341" w:type="dxa"/>
            <w:noWrap/>
            <w:vAlign w:val="center"/>
            <w:hideMark/>
          </w:tcPr>
          <w:p w14:paraId="27A1BA18" w14:textId="77777777" w:rsidR="008B0AFF" w:rsidRPr="00B04A5A" w:rsidRDefault="008B0AFF" w:rsidP="008B0AFF">
            <w:r w:rsidRPr="00B04A5A">
              <w:t>3</w:t>
            </w:r>
          </w:p>
        </w:tc>
        <w:tc>
          <w:tcPr>
            <w:tcW w:w="1044" w:type="dxa"/>
            <w:noWrap/>
            <w:vAlign w:val="center"/>
            <w:hideMark/>
          </w:tcPr>
          <w:p w14:paraId="026CEF82" w14:textId="77777777" w:rsidR="008B0AFF" w:rsidRPr="00B04A5A" w:rsidRDefault="008B0AFF" w:rsidP="008B0AFF">
            <w:r w:rsidRPr="00B04A5A">
              <w:t>0.97%</w:t>
            </w:r>
          </w:p>
        </w:tc>
        <w:tc>
          <w:tcPr>
            <w:tcW w:w="1086" w:type="dxa"/>
            <w:noWrap/>
            <w:vAlign w:val="center"/>
            <w:hideMark/>
          </w:tcPr>
          <w:p w14:paraId="282CF7F7" w14:textId="77777777" w:rsidR="008B0AFF" w:rsidRPr="00B04A5A" w:rsidRDefault="008B0AFF" w:rsidP="008B0AFF">
            <w:r w:rsidRPr="00B04A5A">
              <w:t>48</w:t>
            </w:r>
          </w:p>
        </w:tc>
        <w:tc>
          <w:tcPr>
            <w:tcW w:w="1215" w:type="dxa"/>
            <w:noWrap/>
            <w:vAlign w:val="center"/>
            <w:hideMark/>
          </w:tcPr>
          <w:p w14:paraId="603178E0" w14:textId="77777777" w:rsidR="008B0AFF" w:rsidRPr="00B04A5A" w:rsidRDefault="008B0AFF" w:rsidP="008B0AFF">
            <w:r w:rsidRPr="00B04A5A">
              <w:t>15.53%</w:t>
            </w:r>
          </w:p>
        </w:tc>
        <w:tc>
          <w:tcPr>
            <w:tcW w:w="1189" w:type="dxa"/>
            <w:noWrap/>
            <w:vAlign w:val="center"/>
            <w:hideMark/>
          </w:tcPr>
          <w:p w14:paraId="64F7186B" w14:textId="77777777" w:rsidR="008B0AFF" w:rsidRPr="00B04A5A" w:rsidRDefault="008B0AFF" w:rsidP="008B0AFF">
            <w:r w:rsidRPr="00B04A5A">
              <w:t>22</w:t>
            </w:r>
          </w:p>
        </w:tc>
        <w:tc>
          <w:tcPr>
            <w:tcW w:w="915" w:type="dxa"/>
            <w:vAlign w:val="center"/>
          </w:tcPr>
          <w:p w14:paraId="7670A20D" w14:textId="77777777" w:rsidR="008B0AFF" w:rsidRPr="00C95662" w:rsidRDefault="008B0AFF" w:rsidP="008B0AFF">
            <w:pPr>
              <w:rPr>
                <w:rFonts w:ascii="Calibri" w:hAnsi="Calibri" w:cs="Calibri"/>
                <w:color w:val="000000"/>
              </w:rPr>
            </w:pPr>
            <w:r w:rsidRPr="00C95662">
              <w:rPr>
                <w:rFonts w:ascii="Calibri" w:hAnsi="Calibri" w:cs="Calibri"/>
                <w:color w:val="000000"/>
              </w:rPr>
              <w:t>1.52</w:t>
            </w:r>
          </w:p>
        </w:tc>
      </w:tr>
      <w:tr w:rsidR="008B0AFF" w:rsidRPr="00B04A5A" w14:paraId="52B28C4F" w14:textId="77777777" w:rsidTr="008B0AFF">
        <w:trPr>
          <w:trHeight w:val="250"/>
        </w:trPr>
        <w:tc>
          <w:tcPr>
            <w:tcW w:w="1106" w:type="dxa"/>
            <w:noWrap/>
            <w:vAlign w:val="center"/>
            <w:hideMark/>
          </w:tcPr>
          <w:p w14:paraId="2934ED0F" w14:textId="77777777" w:rsidR="008B0AFF" w:rsidRPr="00641B1B" w:rsidRDefault="008B0AFF" w:rsidP="008B0AFF">
            <w:pPr>
              <w:rPr>
                <w:b/>
              </w:rPr>
            </w:pPr>
            <w:r w:rsidRPr="00641B1B">
              <w:rPr>
                <w:b/>
              </w:rPr>
              <w:t>2013</w:t>
            </w:r>
          </w:p>
        </w:tc>
        <w:tc>
          <w:tcPr>
            <w:tcW w:w="1129" w:type="dxa"/>
            <w:noWrap/>
            <w:vAlign w:val="center"/>
            <w:hideMark/>
          </w:tcPr>
          <w:p w14:paraId="6E772506" w14:textId="77777777" w:rsidR="008B0AFF" w:rsidRPr="00B04A5A" w:rsidRDefault="008B0AFF" w:rsidP="008B0AFF">
            <w:r w:rsidRPr="00B04A5A">
              <w:t>316</w:t>
            </w:r>
          </w:p>
        </w:tc>
        <w:tc>
          <w:tcPr>
            <w:tcW w:w="1118" w:type="dxa"/>
            <w:noWrap/>
            <w:vAlign w:val="center"/>
            <w:hideMark/>
          </w:tcPr>
          <w:p w14:paraId="6BD44971" w14:textId="77777777" w:rsidR="008B0AFF" w:rsidRPr="00B04A5A" w:rsidRDefault="008B0AFF" w:rsidP="008B0AFF">
            <w:r w:rsidRPr="00B04A5A">
              <w:t>51</w:t>
            </w:r>
          </w:p>
        </w:tc>
        <w:tc>
          <w:tcPr>
            <w:tcW w:w="1062" w:type="dxa"/>
            <w:vAlign w:val="center"/>
          </w:tcPr>
          <w:p w14:paraId="4A127467" w14:textId="77777777" w:rsidR="008B0AFF" w:rsidRPr="00594338" w:rsidRDefault="008B0AFF" w:rsidP="008B0AFF">
            <w:r w:rsidRPr="00594338">
              <w:t>12.90</w:t>
            </w:r>
          </w:p>
        </w:tc>
        <w:tc>
          <w:tcPr>
            <w:tcW w:w="1254" w:type="dxa"/>
            <w:noWrap/>
            <w:vAlign w:val="center"/>
            <w:hideMark/>
          </w:tcPr>
          <w:p w14:paraId="4108731A" w14:textId="77777777" w:rsidR="008B0AFF" w:rsidRPr="00B04A5A" w:rsidRDefault="008B0AFF" w:rsidP="008B0AFF">
            <w:r w:rsidRPr="00B04A5A">
              <w:t>12</w:t>
            </w:r>
          </w:p>
        </w:tc>
        <w:tc>
          <w:tcPr>
            <w:tcW w:w="1187" w:type="dxa"/>
            <w:noWrap/>
            <w:vAlign w:val="center"/>
            <w:hideMark/>
          </w:tcPr>
          <w:p w14:paraId="7C34848F" w14:textId="77777777" w:rsidR="008B0AFF" w:rsidRPr="00B04A5A" w:rsidRDefault="008B0AFF" w:rsidP="008B0AFF">
            <w:r w:rsidRPr="00B04A5A">
              <w:t>3.80%</w:t>
            </w:r>
          </w:p>
        </w:tc>
        <w:tc>
          <w:tcPr>
            <w:tcW w:w="1341" w:type="dxa"/>
            <w:noWrap/>
            <w:vAlign w:val="center"/>
            <w:hideMark/>
          </w:tcPr>
          <w:p w14:paraId="05CE532B" w14:textId="77777777" w:rsidR="008B0AFF" w:rsidRPr="00B04A5A" w:rsidRDefault="008B0AFF" w:rsidP="008B0AFF">
            <w:r w:rsidRPr="00B04A5A">
              <w:t>2.53</w:t>
            </w:r>
          </w:p>
        </w:tc>
        <w:tc>
          <w:tcPr>
            <w:tcW w:w="1058" w:type="dxa"/>
            <w:vAlign w:val="center"/>
          </w:tcPr>
          <w:p w14:paraId="57595DC7" w14:textId="77777777" w:rsidR="008B0AFF" w:rsidRPr="00B04A5A" w:rsidRDefault="008B0AFF" w:rsidP="008B0AFF">
            <w:r w:rsidRPr="00B04A5A">
              <w:t>13.71</w:t>
            </w:r>
          </w:p>
        </w:tc>
        <w:tc>
          <w:tcPr>
            <w:tcW w:w="1341" w:type="dxa"/>
            <w:noWrap/>
            <w:vAlign w:val="center"/>
            <w:hideMark/>
          </w:tcPr>
          <w:p w14:paraId="1A6F8E3C" w14:textId="77777777" w:rsidR="008B0AFF" w:rsidRPr="00B04A5A" w:rsidRDefault="008B0AFF" w:rsidP="008B0AFF">
            <w:r w:rsidRPr="00B04A5A">
              <w:t>4</w:t>
            </w:r>
          </w:p>
        </w:tc>
        <w:tc>
          <w:tcPr>
            <w:tcW w:w="1044" w:type="dxa"/>
            <w:noWrap/>
            <w:vAlign w:val="center"/>
            <w:hideMark/>
          </w:tcPr>
          <w:p w14:paraId="44B05FB3" w14:textId="77777777" w:rsidR="008B0AFF" w:rsidRPr="00B04A5A" w:rsidRDefault="008B0AFF" w:rsidP="008B0AFF">
            <w:r w:rsidRPr="00B04A5A">
              <w:t>1.27%</w:t>
            </w:r>
          </w:p>
        </w:tc>
        <w:tc>
          <w:tcPr>
            <w:tcW w:w="1086" w:type="dxa"/>
            <w:noWrap/>
            <w:vAlign w:val="center"/>
            <w:hideMark/>
          </w:tcPr>
          <w:p w14:paraId="3D542FF1" w14:textId="77777777" w:rsidR="008B0AFF" w:rsidRPr="00B04A5A" w:rsidRDefault="008B0AFF" w:rsidP="008B0AFF">
            <w:r w:rsidRPr="00B04A5A">
              <w:t>62</w:t>
            </w:r>
          </w:p>
        </w:tc>
        <w:tc>
          <w:tcPr>
            <w:tcW w:w="1215" w:type="dxa"/>
            <w:noWrap/>
            <w:vAlign w:val="center"/>
            <w:hideMark/>
          </w:tcPr>
          <w:p w14:paraId="61C00930" w14:textId="77777777" w:rsidR="008B0AFF" w:rsidRPr="00B04A5A" w:rsidRDefault="008B0AFF" w:rsidP="008B0AFF">
            <w:r w:rsidRPr="00B04A5A">
              <w:t>19.62%</w:t>
            </w:r>
          </w:p>
        </w:tc>
        <w:tc>
          <w:tcPr>
            <w:tcW w:w="1189" w:type="dxa"/>
            <w:noWrap/>
            <w:vAlign w:val="center"/>
            <w:hideMark/>
          </w:tcPr>
          <w:p w14:paraId="1F2D7212" w14:textId="77777777" w:rsidR="008B0AFF" w:rsidRPr="00B04A5A" w:rsidRDefault="008B0AFF" w:rsidP="008B0AFF">
            <w:r w:rsidRPr="00B04A5A">
              <w:t>24</w:t>
            </w:r>
          </w:p>
        </w:tc>
        <w:tc>
          <w:tcPr>
            <w:tcW w:w="915" w:type="dxa"/>
            <w:vAlign w:val="center"/>
          </w:tcPr>
          <w:p w14:paraId="2D7DEB24" w14:textId="77777777" w:rsidR="008B0AFF" w:rsidRPr="00C95662" w:rsidRDefault="008B0AFF" w:rsidP="008B0AFF">
            <w:pPr>
              <w:rPr>
                <w:rFonts w:ascii="Calibri" w:hAnsi="Calibri" w:cs="Calibri"/>
                <w:color w:val="000000"/>
              </w:rPr>
            </w:pPr>
            <w:r w:rsidRPr="00C95662">
              <w:rPr>
                <w:rFonts w:ascii="Calibri" w:hAnsi="Calibri" w:cs="Calibri"/>
                <w:color w:val="000000"/>
              </w:rPr>
              <w:t>1.61</w:t>
            </w:r>
          </w:p>
        </w:tc>
      </w:tr>
      <w:tr w:rsidR="008B0AFF" w:rsidRPr="00B04A5A" w14:paraId="329D38A7" w14:textId="77777777" w:rsidTr="008B0AFF">
        <w:trPr>
          <w:trHeight w:val="250"/>
        </w:trPr>
        <w:tc>
          <w:tcPr>
            <w:tcW w:w="1106" w:type="dxa"/>
            <w:noWrap/>
            <w:vAlign w:val="center"/>
            <w:hideMark/>
          </w:tcPr>
          <w:p w14:paraId="26BD9070" w14:textId="77777777" w:rsidR="008B0AFF" w:rsidRPr="00641B1B" w:rsidRDefault="008B0AFF" w:rsidP="008B0AFF">
            <w:pPr>
              <w:rPr>
                <w:b/>
              </w:rPr>
            </w:pPr>
            <w:r w:rsidRPr="00641B1B">
              <w:rPr>
                <w:b/>
              </w:rPr>
              <w:t>2014</w:t>
            </w:r>
          </w:p>
        </w:tc>
        <w:tc>
          <w:tcPr>
            <w:tcW w:w="1129" w:type="dxa"/>
            <w:noWrap/>
            <w:vAlign w:val="center"/>
            <w:hideMark/>
          </w:tcPr>
          <w:p w14:paraId="515AD514" w14:textId="77777777" w:rsidR="008B0AFF" w:rsidRPr="00B04A5A" w:rsidRDefault="008B0AFF" w:rsidP="008B0AFF">
            <w:r w:rsidRPr="00B04A5A">
              <w:t>327</w:t>
            </w:r>
          </w:p>
        </w:tc>
        <w:tc>
          <w:tcPr>
            <w:tcW w:w="1118" w:type="dxa"/>
            <w:noWrap/>
            <w:vAlign w:val="center"/>
            <w:hideMark/>
          </w:tcPr>
          <w:p w14:paraId="24AD498B" w14:textId="77777777" w:rsidR="008B0AFF" w:rsidRPr="00B04A5A" w:rsidRDefault="008B0AFF" w:rsidP="008B0AFF">
            <w:r w:rsidRPr="00B04A5A">
              <w:t>58</w:t>
            </w:r>
          </w:p>
        </w:tc>
        <w:tc>
          <w:tcPr>
            <w:tcW w:w="1062" w:type="dxa"/>
            <w:vAlign w:val="center"/>
          </w:tcPr>
          <w:p w14:paraId="26EB14D7" w14:textId="77777777" w:rsidR="008B0AFF" w:rsidRPr="00594338" w:rsidRDefault="008B0AFF" w:rsidP="008B0AFF">
            <w:r w:rsidRPr="00594338">
              <w:t>12.53</w:t>
            </w:r>
          </w:p>
        </w:tc>
        <w:tc>
          <w:tcPr>
            <w:tcW w:w="1254" w:type="dxa"/>
            <w:noWrap/>
            <w:vAlign w:val="center"/>
            <w:hideMark/>
          </w:tcPr>
          <w:p w14:paraId="238B508D" w14:textId="77777777" w:rsidR="008B0AFF" w:rsidRPr="00B04A5A" w:rsidRDefault="008B0AFF" w:rsidP="008B0AFF">
            <w:r w:rsidRPr="00B04A5A">
              <w:t>6</w:t>
            </w:r>
          </w:p>
        </w:tc>
        <w:tc>
          <w:tcPr>
            <w:tcW w:w="1187" w:type="dxa"/>
            <w:noWrap/>
            <w:vAlign w:val="center"/>
            <w:hideMark/>
          </w:tcPr>
          <w:p w14:paraId="329DFFE6" w14:textId="77777777" w:rsidR="008B0AFF" w:rsidRPr="00B04A5A" w:rsidRDefault="008B0AFF" w:rsidP="008B0AFF">
            <w:r w:rsidRPr="00B04A5A">
              <w:t>1.83%</w:t>
            </w:r>
          </w:p>
        </w:tc>
        <w:tc>
          <w:tcPr>
            <w:tcW w:w="1341" w:type="dxa"/>
            <w:noWrap/>
            <w:vAlign w:val="center"/>
            <w:hideMark/>
          </w:tcPr>
          <w:p w14:paraId="726EE9C0" w14:textId="77777777" w:rsidR="008B0AFF" w:rsidRPr="00B04A5A" w:rsidRDefault="008B0AFF" w:rsidP="008B0AFF">
            <w:r>
              <w:t>3.03</w:t>
            </w:r>
          </w:p>
        </w:tc>
        <w:tc>
          <w:tcPr>
            <w:tcW w:w="1058" w:type="dxa"/>
            <w:vAlign w:val="center"/>
          </w:tcPr>
          <w:p w14:paraId="240A6ABB" w14:textId="77777777" w:rsidR="008B0AFF" w:rsidRPr="00B04A5A" w:rsidRDefault="008B0AFF" w:rsidP="008B0AFF">
            <w:r>
              <w:t>15.88</w:t>
            </w:r>
          </w:p>
        </w:tc>
        <w:tc>
          <w:tcPr>
            <w:tcW w:w="1341" w:type="dxa"/>
            <w:noWrap/>
            <w:vAlign w:val="center"/>
            <w:hideMark/>
          </w:tcPr>
          <w:p w14:paraId="3EAD44B3" w14:textId="77777777" w:rsidR="008B0AFF" w:rsidRPr="00B04A5A" w:rsidRDefault="008B0AFF" w:rsidP="008B0AFF">
            <w:r w:rsidRPr="00B04A5A">
              <w:t>10</w:t>
            </w:r>
          </w:p>
        </w:tc>
        <w:tc>
          <w:tcPr>
            <w:tcW w:w="1044" w:type="dxa"/>
            <w:noWrap/>
            <w:vAlign w:val="center"/>
            <w:hideMark/>
          </w:tcPr>
          <w:p w14:paraId="18316CC8" w14:textId="77777777" w:rsidR="008B0AFF" w:rsidRPr="00B04A5A" w:rsidRDefault="008B0AFF" w:rsidP="008B0AFF">
            <w:r w:rsidRPr="00B04A5A">
              <w:t>3.06%</w:t>
            </w:r>
          </w:p>
        </w:tc>
        <w:tc>
          <w:tcPr>
            <w:tcW w:w="1086" w:type="dxa"/>
            <w:noWrap/>
            <w:vAlign w:val="center"/>
            <w:hideMark/>
          </w:tcPr>
          <w:p w14:paraId="3B2701C2" w14:textId="77777777" w:rsidR="008B0AFF" w:rsidRPr="00B04A5A" w:rsidRDefault="008B0AFF" w:rsidP="008B0AFF">
            <w:r w:rsidRPr="00B04A5A">
              <w:t>75</w:t>
            </w:r>
          </w:p>
        </w:tc>
        <w:tc>
          <w:tcPr>
            <w:tcW w:w="1215" w:type="dxa"/>
            <w:noWrap/>
            <w:vAlign w:val="center"/>
            <w:hideMark/>
          </w:tcPr>
          <w:p w14:paraId="627B45CB" w14:textId="77777777" w:rsidR="008B0AFF" w:rsidRPr="00B04A5A" w:rsidRDefault="008B0AFF" w:rsidP="008B0AFF">
            <w:r w:rsidRPr="00B04A5A">
              <w:t>22.94%</w:t>
            </w:r>
          </w:p>
        </w:tc>
        <w:tc>
          <w:tcPr>
            <w:tcW w:w="1189" w:type="dxa"/>
            <w:noWrap/>
            <w:vAlign w:val="center"/>
            <w:hideMark/>
          </w:tcPr>
          <w:p w14:paraId="2E31602D" w14:textId="77777777" w:rsidR="008B0AFF" w:rsidRPr="00B04A5A" w:rsidRDefault="008B0AFF" w:rsidP="008B0AFF">
            <w:r w:rsidRPr="00B04A5A">
              <w:t>24</w:t>
            </w:r>
          </w:p>
        </w:tc>
        <w:tc>
          <w:tcPr>
            <w:tcW w:w="915" w:type="dxa"/>
            <w:vAlign w:val="center"/>
          </w:tcPr>
          <w:p w14:paraId="3743799C" w14:textId="77777777" w:rsidR="008B0AFF" w:rsidRPr="00C95662" w:rsidRDefault="008B0AFF" w:rsidP="008B0AFF">
            <w:pPr>
              <w:rPr>
                <w:rFonts w:ascii="Calibri" w:hAnsi="Calibri" w:cs="Calibri"/>
                <w:color w:val="000000"/>
              </w:rPr>
            </w:pPr>
            <w:r w:rsidRPr="00C95662">
              <w:rPr>
                <w:rFonts w:ascii="Calibri" w:hAnsi="Calibri" w:cs="Calibri"/>
                <w:color w:val="000000"/>
              </w:rPr>
              <w:t>1.80</w:t>
            </w:r>
          </w:p>
        </w:tc>
      </w:tr>
      <w:tr w:rsidR="008B0AFF" w:rsidRPr="00B04A5A" w14:paraId="09B5AA42" w14:textId="77777777" w:rsidTr="008B0AFF">
        <w:trPr>
          <w:trHeight w:val="250"/>
        </w:trPr>
        <w:tc>
          <w:tcPr>
            <w:tcW w:w="1106" w:type="dxa"/>
            <w:noWrap/>
            <w:vAlign w:val="center"/>
            <w:hideMark/>
          </w:tcPr>
          <w:p w14:paraId="5493367C" w14:textId="77777777" w:rsidR="008B0AFF" w:rsidRPr="00641B1B" w:rsidRDefault="008B0AFF" w:rsidP="008B0AFF">
            <w:pPr>
              <w:rPr>
                <w:b/>
              </w:rPr>
            </w:pPr>
            <w:r w:rsidRPr="00641B1B">
              <w:rPr>
                <w:b/>
              </w:rPr>
              <w:t>2015</w:t>
            </w:r>
          </w:p>
        </w:tc>
        <w:tc>
          <w:tcPr>
            <w:tcW w:w="1129" w:type="dxa"/>
            <w:noWrap/>
            <w:vAlign w:val="center"/>
            <w:hideMark/>
          </w:tcPr>
          <w:p w14:paraId="2E9E0864" w14:textId="77777777" w:rsidR="008B0AFF" w:rsidRPr="00B04A5A" w:rsidRDefault="008B0AFF" w:rsidP="008B0AFF">
            <w:r w:rsidRPr="00B04A5A">
              <w:t>329</w:t>
            </w:r>
          </w:p>
        </w:tc>
        <w:tc>
          <w:tcPr>
            <w:tcW w:w="1118" w:type="dxa"/>
            <w:noWrap/>
            <w:vAlign w:val="center"/>
            <w:hideMark/>
          </w:tcPr>
          <w:p w14:paraId="7FB4B9E5" w14:textId="77777777" w:rsidR="008B0AFF" w:rsidRPr="00B04A5A" w:rsidRDefault="008B0AFF" w:rsidP="008B0AFF">
            <w:r w:rsidRPr="00B04A5A">
              <w:t>56</w:t>
            </w:r>
          </w:p>
        </w:tc>
        <w:tc>
          <w:tcPr>
            <w:tcW w:w="1062" w:type="dxa"/>
            <w:vAlign w:val="center"/>
          </w:tcPr>
          <w:p w14:paraId="534C70AA" w14:textId="77777777" w:rsidR="008B0AFF" w:rsidRPr="00594338" w:rsidRDefault="008B0AFF" w:rsidP="008B0AFF">
            <w:r w:rsidRPr="00594338">
              <w:t>13.20</w:t>
            </w:r>
          </w:p>
        </w:tc>
        <w:tc>
          <w:tcPr>
            <w:tcW w:w="1254" w:type="dxa"/>
            <w:noWrap/>
            <w:vAlign w:val="center"/>
            <w:hideMark/>
          </w:tcPr>
          <w:p w14:paraId="368B07F2" w14:textId="77777777" w:rsidR="008B0AFF" w:rsidRPr="00B04A5A" w:rsidRDefault="008B0AFF" w:rsidP="008B0AFF">
            <w:r w:rsidRPr="00B04A5A">
              <w:t>3</w:t>
            </w:r>
          </w:p>
        </w:tc>
        <w:tc>
          <w:tcPr>
            <w:tcW w:w="1187" w:type="dxa"/>
            <w:noWrap/>
            <w:vAlign w:val="center"/>
            <w:hideMark/>
          </w:tcPr>
          <w:p w14:paraId="0EBC8EC2" w14:textId="77777777" w:rsidR="008B0AFF" w:rsidRPr="00B04A5A" w:rsidRDefault="008B0AFF" w:rsidP="008B0AFF">
            <w:r w:rsidRPr="00B04A5A">
              <w:t>0.91%</w:t>
            </w:r>
          </w:p>
        </w:tc>
        <w:tc>
          <w:tcPr>
            <w:tcW w:w="1341" w:type="dxa"/>
            <w:noWrap/>
            <w:vAlign w:val="center"/>
            <w:hideMark/>
          </w:tcPr>
          <w:p w14:paraId="72BD52A9" w14:textId="77777777" w:rsidR="008B0AFF" w:rsidRPr="00B04A5A" w:rsidRDefault="008B0AFF" w:rsidP="008B0AFF">
            <w:r w:rsidRPr="00B04A5A">
              <w:t>2.91</w:t>
            </w:r>
          </w:p>
        </w:tc>
        <w:tc>
          <w:tcPr>
            <w:tcW w:w="1058" w:type="dxa"/>
            <w:vAlign w:val="center"/>
          </w:tcPr>
          <w:p w14:paraId="64190159" w14:textId="77777777" w:rsidR="008B0AFF" w:rsidRPr="00B04A5A" w:rsidRDefault="008B0AFF" w:rsidP="008B0AFF">
            <w:r w:rsidRPr="00B04A5A">
              <w:t>15.28</w:t>
            </w:r>
          </w:p>
        </w:tc>
        <w:tc>
          <w:tcPr>
            <w:tcW w:w="1341" w:type="dxa"/>
            <w:noWrap/>
            <w:vAlign w:val="center"/>
            <w:hideMark/>
          </w:tcPr>
          <w:p w14:paraId="2E559929" w14:textId="77777777" w:rsidR="008B0AFF" w:rsidRPr="00B04A5A" w:rsidRDefault="008B0AFF" w:rsidP="008B0AFF">
            <w:r w:rsidRPr="00B04A5A">
              <w:t>5</w:t>
            </w:r>
          </w:p>
        </w:tc>
        <w:tc>
          <w:tcPr>
            <w:tcW w:w="1044" w:type="dxa"/>
            <w:noWrap/>
            <w:vAlign w:val="center"/>
            <w:hideMark/>
          </w:tcPr>
          <w:p w14:paraId="24E18DF7" w14:textId="77777777" w:rsidR="008B0AFF" w:rsidRPr="00B04A5A" w:rsidRDefault="008B0AFF" w:rsidP="008B0AFF">
            <w:r w:rsidRPr="00B04A5A">
              <w:t>1.52%</w:t>
            </w:r>
          </w:p>
        </w:tc>
        <w:tc>
          <w:tcPr>
            <w:tcW w:w="1086" w:type="dxa"/>
            <w:noWrap/>
            <w:vAlign w:val="center"/>
            <w:hideMark/>
          </w:tcPr>
          <w:p w14:paraId="7C100EEC" w14:textId="77777777" w:rsidR="008B0AFF" w:rsidRPr="00B04A5A" w:rsidRDefault="008B0AFF" w:rsidP="008B0AFF">
            <w:r w:rsidRPr="00B04A5A">
              <w:t>77</w:t>
            </w:r>
          </w:p>
        </w:tc>
        <w:tc>
          <w:tcPr>
            <w:tcW w:w="1215" w:type="dxa"/>
            <w:noWrap/>
            <w:vAlign w:val="center"/>
            <w:hideMark/>
          </w:tcPr>
          <w:p w14:paraId="0F197DE8" w14:textId="77777777" w:rsidR="008B0AFF" w:rsidRPr="00B04A5A" w:rsidRDefault="008B0AFF" w:rsidP="008B0AFF">
            <w:r w:rsidRPr="00B04A5A">
              <w:t>23.40%</w:t>
            </w:r>
          </w:p>
        </w:tc>
        <w:tc>
          <w:tcPr>
            <w:tcW w:w="1189" w:type="dxa"/>
            <w:noWrap/>
            <w:vAlign w:val="center"/>
            <w:hideMark/>
          </w:tcPr>
          <w:p w14:paraId="5FFFDEA8" w14:textId="77777777" w:rsidR="008B0AFF" w:rsidRPr="00B04A5A" w:rsidRDefault="008B0AFF" w:rsidP="008B0AFF">
            <w:r w:rsidRPr="00B04A5A">
              <w:t>15</w:t>
            </w:r>
          </w:p>
        </w:tc>
        <w:tc>
          <w:tcPr>
            <w:tcW w:w="915" w:type="dxa"/>
            <w:vAlign w:val="center"/>
          </w:tcPr>
          <w:p w14:paraId="760DC7C4" w14:textId="77777777" w:rsidR="008B0AFF" w:rsidRPr="00C95662" w:rsidRDefault="008B0AFF" w:rsidP="008B0AFF">
            <w:pPr>
              <w:rPr>
                <w:rFonts w:ascii="Calibri" w:hAnsi="Calibri" w:cs="Calibri"/>
                <w:color w:val="000000"/>
              </w:rPr>
            </w:pPr>
            <w:r w:rsidRPr="00C95662">
              <w:rPr>
                <w:rFonts w:ascii="Calibri" w:hAnsi="Calibri" w:cs="Calibri"/>
                <w:color w:val="000000"/>
              </w:rPr>
              <w:t>1.30</w:t>
            </w:r>
          </w:p>
        </w:tc>
      </w:tr>
      <w:tr w:rsidR="008B0AFF" w:rsidRPr="00B04A5A" w14:paraId="29E34E82" w14:textId="77777777" w:rsidTr="008B0AFF">
        <w:trPr>
          <w:trHeight w:val="250"/>
        </w:trPr>
        <w:tc>
          <w:tcPr>
            <w:tcW w:w="1106" w:type="dxa"/>
            <w:noWrap/>
            <w:vAlign w:val="center"/>
            <w:hideMark/>
          </w:tcPr>
          <w:p w14:paraId="195169CA" w14:textId="77777777" w:rsidR="008B0AFF" w:rsidRPr="00641B1B" w:rsidRDefault="008B0AFF" w:rsidP="008B0AFF">
            <w:pPr>
              <w:rPr>
                <w:b/>
              </w:rPr>
            </w:pPr>
            <w:r w:rsidRPr="00641B1B">
              <w:rPr>
                <w:b/>
              </w:rPr>
              <w:t>2016</w:t>
            </w:r>
          </w:p>
        </w:tc>
        <w:tc>
          <w:tcPr>
            <w:tcW w:w="1129" w:type="dxa"/>
            <w:noWrap/>
            <w:vAlign w:val="center"/>
            <w:hideMark/>
          </w:tcPr>
          <w:p w14:paraId="63542C9E" w14:textId="77777777" w:rsidR="008B0AFF" w:rsidRPr="00B04A5A" w:rsidRDefault="008B0AFF" w:rsidP="008B0AFF">
            <w:r w:rsidRPr="00B04A5A">
              <w:t>327</w:t>
            </w:r>
          </w:p>
        </w:tc>
        <w:tc>
          <w:tcPr>
            <w:tcW w:w="1118" w:type="dxa"/>
            <w:noWrap/>
            <w:vAlign w:val="center"/>
            <w:hideMark/>
          </w:tcPr>
          <w:p w14:paraId="2F40991E" w14:textId="77777777" w:rsidR="008B0AFF" w:rsidRPr="00B04A5A" w:rsidRDefault="008B0AFF" w:rsidP="008B0AFF">
            <w:r w:rsidRPr="00B04A5A">
              <w:t>56</w:t>
            </w:r>
          </w:p>
        </w:tc>
        <w:tc>
          <w:tcPr>
            <w:tcW w:w="1062" w:type="dxa"/>
            <w:vAlign w:val="center"/>
          </w:tcPr>
          <w:p w14:paraId="5C3EE711" w14:textId="77777777" w:rsidR="008B0AFF" w:rsidRPr="00594338" w:rsidRDefault="008B0AFF" w:rsidP="008B0AFF">
            <w:r w:rsidRPr="00594338">
              <w:t>12.54</w:t>
            </w:r>
          </w:p>
        </w:tc>
        <w:tc>
          <w:tcPr>
            <w:tcW w:w="1254" w:type="dxa"/>
            <w:noWrap/>
            <w:vAlign w:val="center"/>
            <w:hideMark/>
          </w:tcPr>
          <w:p w14:paraId="743368D7" w14:textId="77777777" w:rsidR="008B0AFF" w:rsidRPr="00B04A5A" w:rsidRDefault="008B0AFF" w:rsidP="008B0AFF">
            <w:r w:rsidRPr="00B04A5A">
              <w:t>4</w:t>
            </w:r>
          </w:p>
        </w:tc>
        <w:tc>
          <w:tcPr>
            <w:tcW w:w="1187" w:type="dxa"/>
            <w:noWrap/>
            <w:vAlign w:val="center"/>
            <w:hideMark/>
          </w:tcPr>
          <w:p w14:paraId="7349EEFF" w14:textId="77777777" w:rsidR="008B0AFF" w:rsidRPr="00B04A5A" w:rsidRDefault="008B0AFF" w:rsidP="008B0AFF">
            <w:r w:rsidRPr="00B04A5A">
              <w:t>1.22%</w:t>
            </w:r>
          </w:p>
        </w:tc>
        <w:tc>
          <w:tcPr>
            <w:tcW w:w="1341" w:type="dxa"/>
            <w:noWrap/>
            <w:vAlign w:val="center"/>
            <w:hideMark/>
          </w:tcPr>
          <w:p w14:paraId="7662A63E" w14:textId="77777777" w:rsidR="008B0AFF" w:rsidRPr="00B04A5A" w:rsidRDefault="008B0AFF" w:rsidP="008B0AFF">
            <w:r w:rsidRPr="00B04A5A">
              <w:t>2.50</w:t>
            </w:r>
          </w:p>
        </w:tc>
        <w:tc>
          <w:tcPr>
            <w:tcW w:w="1058" w:type="dxa"/>
            <w:vAlign w:val="center"/>
          </w:tcPr>
          <w:p w14:paraId="4190913C" w14:textId="77777777" w:rsidR="008B0AFF" w:rsidRPr="00B04A5A" w:rsidRDefault="008B0AFF" w:rsidP="008B0AFF">
            <w:r w:rsidRPr="00B04A5A">
              <w:t>15.15</w:t>
            </w:r>
          </w:p>
        </w:tc>
        <w:tc>
          <w:tcPr>
            <w:tcW w:w="1341" w:type="dxa"/>
            <w:noWrap/>
            <w:vAlign w:val="center"/>
            <w:hideMark/>
          </w:tcPr>
          <w:p w14:paraId="6220763F" w14:textId="77777777" w:rsidR="008B0AFF" w:rsidRPr="00B04A5A" w:rsidRDefault="008B0AFF" w:rsidP="008B0AFF">
            <w:r w:rsidRPr="00B04A5A">
              <w:t>0</w:t>
            </w:r>
          </w:p>
        </w:tc>
        <w:tc>
          <w:tcPr>
            <w:tcW w:w="1044" w:type="dxa"/>
            <w:noWrap/>
            <w:vAlign w:val="center"/>
            <w:hideMark/>
          </w:tcPr>
          <w:p w14:paraId="12654BB8" w14:textId="77777777" w:rsidR="008B0AFF" w:rsidRPr="00B04A5A" w:rsidRDefault="008B0AFF" w:rsidP="008B0AFF">
            <w:r w:rsidRPr="00B04A5A">
              <w:t>0.00%</w:t>
            </w:r>
          </w:p>
        </w:tc>
        <w:tc>
          <w:tcPr>
            <w:tcW w:w="1086" w:type="dxa"/>
            <w:noWrap/>
            <w:vAlign w:val="center"/>
            <w:hideMark/>
          </w:tcPr>
          <w:p w14:paraId="53169CD9" w14:textId="77777777" w:rsidR="008B0AFF" w:rsidRPr="00B04A5A" w:rsidRDefault="008B0AFF" w:rsidP="008B0AFF">
            <w:r w:rsidRPr="00B04A5A">
              <w:t>79</w:t>
            </w:r>
          </w:p>
        </w:tc>
        <w:tc>
          <w:tcPr>
            <w:tcW w:w="1215" w:type="dxa"/>
            <w:noWrap/>
            <w:vAlign w:val="center"/>
            <w:hideMark/>
          </w:tcPr>
          <w:p w14:paraId="258C03DB" w14:textId="77777777" w:rsidR="008B0AFF" w:rsidRPr="00B04A5A" w:rsidRDefault="008B0AFF" w:rsidP="008B0AFF">
            <w:r w:rsidRPr="00B04A5A">
              <w:t>24.16%</w:t>
            </w:r>
          </w:p>
        </w:tc>
        <w:tc>
          <w:tcPr>
            <w:tcW w:w="1189" w:type="dxa"/>
            <w:noWrap/>
            <w:vAlign w:val="center"/>
            <w:hideMark/>
          </w:tcPr>
          <w:p w14:paraId="077CA5EE" w14:textId="77777777" w:rsidR="008B0AFF" w:rsidRPr="00B04A5A" w:rsidRDefault="008B0AFF" w:rsidP="008B0AFF">
            <w:r w:rsidRPr="00B04A5A">
              <w:t>21</w:t>
            </w:r>
          </w:p>
        </w:tc>
        <w:tc>
          <w:tcPr>
            <w:tcW w:w="915" w:type="dxa"/>
            <w:vAlign w:val="center"/>
          </w:tcPr>
          <w:p w14:paraId="53F645DF" w14:textId="77777777" w:rsidR="008B0AFF" w:rsidRPr="00C95662" w:rsidRDefault="008B0AFF" w:rsidP="008B0AFF">
            <w:pPr>
              <w:rPr>
                <w:rFonts w:ascii="Calibri" w:hAnsi="Calibri" w:cs="Calibri"/>
                <w:color w:val="000000"/>
              </w:rPr>
            </w:pPr>
            <w:r w:rsidRPr="00C95662">
              <w:rPr>
                <w:rFonts w:ascii="Calibri" w:hAnsi="Calibri" w:cs="Calibri"/>
                <w:color w:val="000000"/>
              </w:rPr>
              <w:t>1.48</w:t>
            </w:r>
          </w:p>
        </w:tc>
      </w:tr>
      <w:tr w:rsidR="008B0AFF" w:rsidRPr="00B04A5A" w14:paraId="4ACCF156" w14:textId="77777777" w:rsidTr="008B0AFF">
        <w:trPr>
          <w:trHeight w:val="250"/>
        </w:trPr>
        <w:tc>
          <w:tcPr>
            <w:tcW w:w="1106" w:type="dxa"/>
            <w:noWrap/>
            <w:vAlign w:val="center"/>
            <w:hideMark/>
          </w:tcPr>
          <w:p w14:paraId="1047AA8B" w14:textId="77777777" w:rsidR="008B0AFF" w:rsidRPr="00641B1B" w:rsidRDefault="008B0AFF" w:rsidP="008B0AFF">
            <w:pPr>
              <w:rPr>
                <w:b/>
              </w:rPr>
            </w:pPr>
            <w:r w:rsidRPr="00641B1B">
              <w:rPr>
                <w:b/>
              </w:rPr>
              <w:t>2017</w:t>
            </w:r>
          </w:p>
        </w:tc>
        <w:tc>
          <w:tcPr>
            <w:tcW w:w="1129" w:type="dxa"/>
            <w:noWrap/>
            <w:vAlign w:val="center"/>
            <w:hideMark/>
          </w:tcPr>
          <w:p w14:paraId="28665DC1" w14:textId="77777777" w:rsidR="008B0AFF" w:rsidRPr="00B04A5A" w:rsidRDefault="008B0AFF" w:rsidP="008B0AFF">
            <w:r w:rsidRPr="00B04A5A">
              <w:t>343</w:t>
            </w:r>
          </w:p>
        </w:tc>
        <w:tc>
          <w:tcPr>
            <w:tcW w:w="1118" w:type="dxa"/>
            <w:noWrap/>
            <w:vAlign w:val="center"/>
            <w:hideMark/>
          </w:tcPr>
          <w:p w14:paraId="7A2784FC" w14:textId="77777777" w:rsidR="008B0AFF" w:rsidRPr="00B04A5A" w:rsidRDefault="008B0AFF" w:rsidP="008B0AFF">
            <w:r w:rsidRPr="00B04A5A">
              <w:t>71</w:t>
            </w:r>
          </w:p>
        </w:tc>
        <w:tc>
          <w:tcPr>
            <w:tcW w:w="1062" w:type="dxa"/>
            <w:vAlign w:val="center"/>
          </w:tcPr>
          <w:p w14:paraId="5925A983" w14:textId="77777777" w:rsidR="008B0AFF" w:rsidRDefault="008B0AFF" w:rsidP="008B0AFF">
            <w:r w:rsidRPr="00594338">
              <w:t>13.31</w:t>
            </w:r>
          </w:p>
        </w:tc>
        <w:tc>
          <w:tcPr>
            <w:tcW w:w="1254" w:type="dxa"/>
            <w:noWrap/>
            <w:vAlign w:val="center"/>
            <w:hideMark/>
          </w:tcPr>
          <w:p w14:paraId="14E4EB12" w14:textId="77777777" w:rsidR="008B0AFF" w:rsidRPr="00B04A5A" w:rsidRDefault="008B0AFF" w:rsidP="008B0AFF">
            <w:r w:rsidRPr="00B04A5A">
              <w:t>5</w:t>
            </w:r>
          </w:p>
        </w:tc>
        <w:tc>
          <w:tcPr>
            <w:tcW w:w="1187" w:type="dxa"/>
            <w:noWrap/>
            <w:vAlign w:val="center"/>
            <w:hideMark/>
          </w:tcPr>
          <w:p w14:paraId="2D1ADB45" w14:textId="77777777" w:rsidR="008B0AFF" w:rsidRPr="00B04A5A" w:rsidRDefault="008B0AFF" w:rsidP="008B0AFF">
            <w:r w:rsidRPr="00B04A5A">
              <w:t>1.46%</w:t>
            </w:r>
          </w:p>
        </w:tc>
        <w:tc>
          <w:tcPr>
            <w:tcW w:w="1341" w:type="dxa"/>
            <w:noWrap/>
            <w:vAlign w:val="center"/>
            <w:hideMark/>
          </w:tcPr>
          <w:p w14:paraId="7A5AB5B6" w14:textId="77777777" w:rsidR="008B0AFF" w:rsidRPr="00B04A5A" w:rsidRDefault="008B0AFF" w:rsidP="008B0AFF">
            <w:r>
              <w:t>2.78</w:t>
            </w:r>
          </w:p>
        </w:tc>
        <w:tc>
          <w:tcPr>
            <w:tcW w:w="1058" w:type="dxa"/>
            <w:vAlign w:val="center"/>
          </w:tcPr>
          <w:p w14:paraId="04FA0A8C" w14:textId="77777777" w:rsidR="008B0AFF" w:rsidRPr="00B04A5A" w:rsidRDefault="008B0AFF" w:rsidP="008B0AFF">
            <w:r>
              <w:t>14.53</w:t>
            </w:r>
          </w:p>
        </w:tc>
        <w:tc>
          <w:tcPr>
            <w:tcW w:w="1341" w:type="dxa"/>
            <w:noWrap/>
            <w:vAlign w:val="center"/>
            <w:hideMark/>
          </w:tcPr>
          <w:p w14:paraId="0773410E" w14:textId="77777777" w:rsidR="008B0AFF" w:rsidRPr="00B04A5A" w:rsidRDefault="008B0AFF" w:rsidP="008B0AFF">
            <w:r w:rsidRPr="00B04A5A">
              <w:t>8</w:t>
            </w:r>
          </w:p>
        </w:tc>
        <w:tc>
          <w:tcPr>
            <w:tcW w:w="1044" w:type="dxa"/>
            <w:noWrap/>
            <w:vAlign w:val="center"/>
            <w:hideMark/>
          </w:tcPr>
          <w:p w14:paraId="6B935F4B" w14:textId="77777777" w:rsidR="008B0AFF" w:rsidRPr="00B04A5A" w:rsidRDefault="008B0AFF" w:rsidP="008B0AFF">
            <w:r w:rsidRPr="00B04A5A">
              <w:t>2.33%</w:t>
            </w:r>
          </w:p>
        </w:tc>
        <w:tc>
          <w:tcPr>
            <w:tcW w:w="1086" w:type="dxa"/>
            <w:noWrap/>
            <w:vAlign w:val="center"/>
            <w:hideMark/>
          </w:tcPr>
          <w:p w14:paraId="0FBBBCB5" w14:textId="77777777" w:rsidR="008B0AFF" w:rsidRPr="00B04A5A" w:rsidRDefault="008B0AFF" w:rsidP="008B0AFF">
            <w:r w:rsidRPr="00B04A5A">
              <w:t>93</w:t>
            </w:r>
          </w:p>
        </w:tc>
        <w:tc>
          <w:tcPr>
            <w:tcW w:w="1215" w:type="dxa"/>
            <w:noWrap/>
            <w:vAlign w:val="center"/>
            <w:hideMark/>
          </w:tcPr>
          <w:p w14:paraId="304313FE" w14:textId="77777777" w:rsidR="008B0AFF" w:rsidRPr="00B04A5A" w:rsidRDefault="008B0AFF" w:rsidP="008B0AFF">
            <w:r w:rsidRPr="00B04A5A">
              <w:t>27.11%</w:t>
            </w:r>
          </w:p>
        </w:tc>
        <w:tc>
          <w:tcPr>
            <w:tcW w:w="1189" w:type="dxa"/>
            <w:noWrap/>
            <w:vAlign w:val="center"/>
            <w:hideMark/>
          </w:tcPr>
          <w:p w14:paraId="1862BF82" w14:textId="77777777" w:rsidR="008B0AFF" w:rsidRPr="00B04A5A" w:rsidRDefault="008B0AFF" w:rsidP="008B0AFF">
            <w:r w:rsidRPr="00B04A5A">
              <w:t>29</w:t>
            </w:r>
          </w:p>
        </w:tc>
        <w:tc>
          <w:tcPr>
            <w:tcW w:w="915" w:type="dxa"/>
            <w:vAlign w:val="center"/>
          </w:tcPr>
          <w:p w14:paraId="1F59959A" w14:textId="77777777" w:rsidR="008B0AFF" w:rsidRPr="00C95662" w:rsidRDefault="008B0AFF" w:rsidP="008B0AFF">
            <w:pPr>
              <w:rPr>
                <w:rFonts w:ascii="Calibri" w:hAnsi="Calibri" w:cs="Calibri"/>
                <w:color w:val="000000"/>
              </w:rPr>
            </w:pPr>
            <w:r w:rsidRPr="00C95662">
              <w:rPr>
                <w:rFonts w:ascii="Calibri" w:hAnsi="Calibri" w:cs="Calibri"/>
                <w:color w:val="000000"/>
              </w:rPr>
              <w:t>0.95</w:t>
            </w:r>
          </w:p>
        </w:tc>
      </w:tr>
      <w:tr w:rsidR="008B0AFF" w:rsidRPr="00B04A5A" w14:paraId="2C8B76FB" w14:textId="77777777" w:rsidTr="008B0AFF">
        <w:trPr>
          <w:trHeight w:val="250"/>
        </w:trPr>
        <w:tc>
          <w:tcPr>
            <w:tcW w:w="1106" w:type="dxa"/>
            <w:noWrap/>
            <w:vAlign w:val="center"/>
          </w:tcPr>
          <w:p w14:paraId="33535984" w14:textId="77777777" w:rsidR="008B0AFF" w:rsidRPr="00361FF5" w:rsidRDefault="008B0AFF" w:rsidP="008B0AFF">
            <w:pPr>
              <w:rPr>
                <w:b/>
              </w:rPr>
            </w:pPr>
            <w:r w:rsidRPr="00361FF5">
              <w:rPr>
                <w:b/>
              </w:rPr>
              <w:t>Total over 11 years</w:t>
            </w:r>
          </w:p>
        </w:tc>
        <w:tc>
          <w:tcPr>
            <w:tcW w:w="1129" w:type="dxa"/>
            <w:noWrap/>
            <w:vAlign w:val="center"/>
          </w:tcPr>
          <w:p w14:paraId="1F9DFEA9" w14:textId="77777777" w:rsidR="008B0AFF" w:rsidRPr="00361FF5" w:rsidRDefault="008B0AFF" w:rsidP="008B0AFF">
            <w:pPr>
              <w:rPr>
                <w:b/>
              </w:rPr>
            </w:pPr>
            <w:r w:rsidRPr="00361FF5">
              <w:rPr>
                <w:b/>
              </w:rPr>
              <w:t>N/A</w:t>
            </w:r>
          </w:p>
        </w:tc>
        <w:tc>
          <w:tcPr>
            <w:tcW w:w="1118" w:type="dxa"/>
            <w:noWrap/>
            <w:vAlign w:val="center"/>
          </w:tcPr>
          <w:p w14:paraId="0B3F6DD8" w14:textId="77777777" w:rsidR="008B0AFF" w:rsidRPr="00361FF5" w:rsidRDefault="008B0AFF" w:rsidP="008B0AFF">
            <w:pPr>
              <w:rPr>
                <w:b/>
              </w:rPr>
            </w:pPr>
            <w:r>
              <w:rPr>
                <w:b/>
              </w:rPr>
              <w:t>627</w:t>
            </w:r>
          </w:p>
        </w:tc>
        <w:tc>
          <w:tcPr>
            <w:tcW w:w="1062" w:type="dxa"/>
            <w:vAlign w:val="center"/>
          </w:tcPr>
          <w:p w14:paraId="1B659FC8" w14:textId="77777777" w:rsidR="008B0AFF" w:rsidRPr="00361FF5" w:rsidRDefault="008B0AFF" w:rsidP="008B0AFF">
            <w:pPr>
              <w:rPr>
                <w:b/>
              </w:rPr>
            </w:pPr>
          </w:p>
        </w:tc>
        <w:tc>
          <w:tcPr>
            <w:tcW w:w="1254" w:type="dxa"/>
            <w:noWrap/>
            <w:vAlign w:val="center"/>
          </w:tcPr>
          <w:p w14:paraId="24AF8ADC" w14:textId="77777777" w:rsidR="008B0AFF" w:rsidRPr="00361FF5" w:rsidRDefault="008B0AFF" w:rsidP="008B0AFF">
            <w:pPr>
              <w:rPr>
                <w:b/>
              </w:rPr>
            </w:pPr>
            <w:r w:rsidRPr="00361FF5">
              <w:rPr>
                <w:b/>
              </w:rPr>
              <w:t>91</w:t>
            </w:r>
          </w:p>
        </w:tc>
        <w:tc>
          <w:tcPr>
            <w:tcW w:w="1187" w:type="dxa"/>
            <w:noWrap/>
            <w:vAlign w:val="center"/>
          </w:tcPr>
          <w:p w14:paraId="7D6ECD2B" w14:textId="77777777" w:rsidR="008B0AFF" w:rsidRPr="00361FF5" w:rsidRDefault="008B0AFF" w:rsidP="008B0AFF">
            <w:pPr>
              <w:rPr>
                <w:b/>
              </w:rPr>
            </w:pPr>
          </w:p>
        </w:tc>
        <w:tc>
          <w:tcPr>
            <w:tcW w:w="1341" w:type="dxa"/>
            <w:noWrap/>
            <w:vAlign w:val="center"/>
          </w:tcPr>
          <w:p w14:paraId="1EC1F41E" w14:textId="77777777" w:rsidR="008B0AFF" w:rsidRPr="00361FF5" w:rsidRDefault="008B0AFF" w:rsidP="008B0AFF">
            <w:pPr>
              <w:rPr>
                <w:b/>
              </w:rPr>
            </w:pPr>
          </w:p>
        </w:tc>
        <w:tc>
          <w:tcPr>
            <w:tcW w:w="1058" w:type="dxa"/>
            <w:vAlign w:val="center"/>
          </w:tcPr>
          <w:p w14:paraId="11BEE25E" w14:textId="77777777" w:rsidR="008B0AFF" w:rsidRPr="00361FF5" w:rsidRDefault="008B0AFF" w:rsidP="008B0AFF">
            <w:pPr>
              <w:rPr>
                <w:rFonts w:ascii="Calibri" w:hAnsi="Calibri" w:cs="Calibri"/>
                <w:b/>
                <w:color w:val="000000"/>
              </w:rPr>
            </w:pPr>
          </w:p>
        </w:tc>
        <w:tc>
          <w:tcPr>
            <w:tcW w:w="1341" w:type="dxa"/>
            <w:noWrap/>
            <w:vAlign w:val="center"/>
          </w:tcPr>
          <w:p w14:paraId="62FEDDDA" w14:textId="77777777" w:rsidR="008B0AFF" w:rsidRPr="00361FF5" w:rsidRDefault="008B0AFF" w:rsidP="008B0AFF">
            <w:pPr>
              <w:rPr>
                <w:b/>
              </w:rPr>
            </w:pPr>
            <w:r w:rsidRPr="00361FF5">
              <w:rPr>
                <w:b/>
              </w:rPr>
              <w:t>37</w:t>
            </w:r>
          </w:p>
        </w:tc>
        <w:tc>
          <w:tcPr>
            <w:tcW w:w="1044" w:type="dxa"/>
            <w:noWrap/>
            <w:vAlign w:val="center"/>
          </w:tcPr>
          <w:p w14:paraId="6691ECC1" w14:textId="77777777" w:rsidR="008B0AFF" w:rsidRPr="00361FF5" w:rsidRDefault="008B0AFF" w:rsidP="008B0AFF">
            <w:pPr>
              <w:rPr>
                <w:b/>
              </w:rPr>
            </w:pPr>
          </w:p>
        </w:tc>
        <w:tc>
          <w:tcPr>
            <w:tcW w:w="1086" w:type="dxa"/>
            <w:noWrap/>
            <w:vAlign w:val="center"/>
          </w:tcPr>
          <w:p w14:paraId="07348BEC" w14:textId="77777777" w:rsidR="008B0AFF" w:rsidRPr="00361FF5" w:rsidRDefault="008B0AFF" w:rsidP="008B0AFF">
            <w:pPr>
              <w:rPr>
                <w:b/>
              </w:rPr>
            </w:pPr>
            <w:r w:rsidRPr="00361FF5">
              <w:rPr>
                <w:b/>
              </w:rPr>
              <w:t>N/A</w:t>
            </w:r>
          </w:p>
        </w:tc>
        <w:tc>
          <w:tcPr>
            <w:tcW w:w="1215" w:type="dxa"/>
            <w:noWrap/>
            <w:vAlign w:val="center"/>
          </w:tcPr>
          <w:p w14:paraId="05E88E1E" w14:textId="77777777" w:rsidR="008B0AFF" w:rsidRPr="00361FF5" w:rsidRDefault="008B0AFF" w:rsidP="008B0AFF">
            <w:pPr>
              <w:rPr>
                <w:b/>
              </w:rPr>
            </w:pPr>
          </w:p>
        </w:tc>
        <w:tc>
          <w:tcPr>
            <w:tcW w:w="1189" w:type="dxa"/>
            <w:noWrap/>
            <w:vAlign w:val="center"/>
          </w:tcPr>
          <w:p w14:paraId="45A0BCE9" w14:textId="77777777" w:rsidR="008B0AFF" w:rsidRPr="00361FF5" w:rsidRDefault="008B0AFF" w:rsidP="008B0AFF">
            <w:pPr>
              <w:rPr>
                <w:b/>
              </w:rPr>
            </w:pPr>
            <w:r w:rsidRPr="00361FF5">
              <w:rPr>
                <w:b/>
              </w:rPr>
              <w:t>168</w:t>
            </w:r>
          </w:p>
        </w:tc>
        <w:tc>
          <w:tcPr>
            <w:tcW w:w="915" w:type="dxa"/>
            <w:vAlign w:val="center"/>
          </w:tcPr>
          <w:p w14:paraId="427C1055" w14:textId="77777777" w:rsidR="008B0AFF" w:rsidRPr="00361FF5" w:rsidRDefault="008B0AFF" w:rsidP="008B0AFF">
            <w:pPr>
              <w:rPr>
                <w:b/>
              </w:rPr>
            </w:pPr>
          </w:p>
        </w:tc>
      </w:tr>
      <w:tr w:rsidR="008B0AFF" w:rsidRPr="00B04A5A" w14:paraId="1BCE8539" w14:textId="77777777" w:rsidTr="008B0AFF">
        <w:trPr>
          <w:trHeight w:val="250"/>
        </w:trPr>
        <w:tc>
          <w:tcPr>
            <w:tcW w:w="1106" w:type="dxa"/>
            <w:noWrap/>
            <w:vAlign w:val="center"/>
          </w:tcPr>
          <w:p w14:paraId="7D603673" w14:textId="77777777" w:rsidR="008B0AFF" w:rsidRPr="00361FF5" w:rsidRDefault="008B0AFF" w:rsidP="008B0AFF">
            <w:pPr>
              <w:rPr>
                <w:b/>
              </w:rPr>
            </w:pPr>
            <w:r w:rsidRPr="00361FF5">
              <w:rPr>
                <w:b/>
              </w:rPr>
              <w:t>Mean over 11 years</w:t>
            </w:r>
          </w:p>
        </w:tc>
        <w:tc>
          <w:tcPr>
            <w:tcW w:w="1129" w:type="dxa"/>
            <w:noWrap/>
            <w:vAlign w:val="center"/>
          </w:tcPr>
          <w:p w14:paraId="6F15CD9D" w14:textId="77777777" w:rsidR="008B0AFF" w:rsidRPr="00361FF5" w:rsidRDefault="008B0AFF" w:rsidP="008B0AFF">
            <w:pPr>
              <w:rPr>
                <w:b/>
              </w:rPr>
            </w:pPr>
          </w:p>
        </w:tc>
        <w:tc>
          <w:tcPr>
            <w:tcW w:w="1118" w:type="dxa"/>
            <w:noWrap/>
            <w:vAlign w:val="center"/>
          </w:tcPr>
          <w:p w14:paraId="327DF958" w14:textId="77777777" w:rsidR="008B0AFF" w:rsidRPr="00361FF5" w:rsidRDefault="008B0AFF" w:rsidP="008B0AFF">
            <w:pPr>
              <w:rPr>
                <w:b/>
              </w:rPr>
            </w:pPr>
          </w:p>
        </w:tc>
        <w:tc>
          <w:tcPr>
            <w:tcW w:w="1062" w:type="dxa"/>
            <w:vAlign w:val="center"/>
          </w:tcPr>
          <w:p w14:paraId="25D381CF" w14:textId="77777777" w:rsidR="008B0AFF" w:rsidRPr="00361FF5" w:rsidRDefault="008B0AFF" w:rsidP="008B0AFF">
            <w:pPr>
              <w:rPr>
                <w:b/>
              </w:rPr>
            </w:pPr>
            <w:r>
              <w:rPr>
                <w:b/>
              </w:rPr>
              <w:t>12.59</w:t>
            </w:r>
          </w:p>
        </w:tc>
        <w:tc>
          <w:tcPr>
            <w:tcW w:w="1254" w:type="dxa"/>
            <w:noWrap/>
            <w:vAlign w:val="center"/>
          </w:tcPr>
          <w:p w14:paraId="3E2797B3" w14:textId="77777777" w:rsidR="008B0AFF" w:rsidRPr="00361FF5" w:rsidRDefault="008B0AFF" w:rsidP="008B0AFF">
            <w:pPr>
              <w:rPr>
                <w:b/>
              </w:rPr>
            </w:pPr>
          </w:p>
        </w:tc>
        <w:tc>
          <w:tcPr>
            <w:tcW w:w="1187" w:type="dxa"/>
            <w:noWrap/>
            <w:vAlign w:val="center"/>
          </w:tcPr>
          <w:p w14:paraId="0FF37C08" w14:textId="77777777" w:rsidR="008B0AFF" w:rsidRPr="00361FF5" w:rsidRDefault="008B0AFF" w:rsidP="008B0AFF">
            <w:pPr>
              <w:rPr>
                <w:b/>
              </w:rPr>
            </w:pPr>
            <w:r w:rsidRPr="00361FF5">
              <w:rPr>
                <w:b/>
              </w:rPr>
              <w:t>3.11%</w:t>
            </w:r>
          </w:p>
        </w:tc>
        <w:tc>
          <w:tcPr>
            <w:tcW w:w="1341" w:type="dxa"/>
            <w:noWrap/>
            <w:vAlign w:val="center"/>
          </w:tcPr>
          <w:p w14:paraId="0AE9F5C2" w14:textId="77777777" w:rsidR="008B0AFF" w:rsidRPr="00361FF5" w:rsidRDefault="008B0AFF" w:rsidP="008B0AFF">
            <w:pPr>
              <w:rPr>
                <w:b/>
              </w:rPr>
            </w:pPr>
            <w:r>
              <w:rPr>
                <w:b/>
              </w:rPr>
              <w:t>2.03</w:t>
            </w:r>
          </w:p>
        </w:tc>
        <w:tc>
          <w:tcPr>
            <w:tcW w:w="1058" w:type="dxa"/>
            <w:vAlign w:val="center"/>
          </w:tcPr>
          <w:p w14:paraId="4C85C574" w14:textId="77777777" w:rsidR="008B0AFF" w:rsidRPr="00361FF5" w:rsidRDefault="008B0AFF" w:rsidP="008B0AFF">
            <w:pPr>
              <w:rPr>
                <w:rFonts w:ascii="Calibri" w:hAnsi="Calibri" w:cs="Calibri"/>
                <w:b/>
                <w:color w:val="000000"/>
              </w:rPr>
            </w:pPr>
            <w:r>
              <w:rPr>
                <w:rFonts w:ascii="Calibri" w:hAnsi="Calibri" w:cs="Calibri"/>
                <w:b/>
                <w:color w:val="000000"/>
              </w:rPr>
              <w:t>14.87</w:t>
            </w:r>
          </w:p>
        </w:tc>
        <w:tc>
          <w:tcPr>
            <w:tcW w:w="1341" w:type="dxa"/>
            <w:noWrap/>
            <w:vAlign w:val="center"/>
          </w:tcPr>
          <w:p w14:paraId="42F4D2E6" w14:textId="77777777" w:rsidR="008B0AFF" w:rsidRPr="00361FF5" w:rsidRDefault="008B0AFF" w:rsidP="008B0AFF">
            <w:pPr>
              <w:rPr>
                <w:b/>
              </w:rPr>
            </w:pPr>
          </w:p>
        </w:tc>
        <w:tc>
          <w:tcPr>
            <w:tcW w:w="1044" w:type="dxa"/>
            <w:noWrap/>
            <w:vAlign w:val="center"/>
          </w:tcPr>
          <w:p w14:paraId="454BA0A4" w14:textId="77777777" w:rsidR="008B0AFF" w:rsidRPr="00361FF5" w:rsidRDefault="008B0AFF" w:rsidP="008B0AFF">
            <w:pPr>
              <w:rPr>
                <w:b/>
              </w:rPr>
            </w:pPr>
            <w:r w:rsidRPr="00361FF5">
              <w:rPr>
                <w:b/>
              </w:rPr>
              <w:t>1.13%</w:t>
            </w:r>
          </w:p>
        </w:tc>
        <w:tc>
          <w:tcPr>
            <w:tcW w:w="1086" w:type="dxa"/>
            <w:noWrap/>
            <w:vAlign w:val="center"/>
          </w:tcPr>
          <w:p w14:paraId="015E7A51" w14:textId="77777777" w:rsidR="008B0AFF" w:rsidRPr="00361FF5" w:rsidRDefault="008B0AFF" w:rsidP="008B0AFF">
            <w:pPr>
              <w:rPr>
                <w:b/>
              </w:rPr>
            </w:pPr>
          </w:p>
        </w:tc>
        <w:tc>
          <w:tcPr>
            <w:tcW w:w="1215" w:type="dxa"/>
            <w:noWrap/>
            <w:vAlign w:val="center"/>
          </w:tcPr>
          <w:p w14:paraId="20871486" w14:textId="77777777" w:rsidR="008B0AFF" w:rsidRPr="00361FF5" w:rsidRDefault="008B0AFF" w:rsidP="008B0AFF">
            <w:pPr>
              <w:rPr>
                <w:b/>
              </w:rPr>
            </w:pPr>
            <w:r w:rsidRPr="00361FF5">
              <w:rPr>
                <w:b/>
              </w:rPr>
              <w:t>15.00%</w:t>
            </w:r>
          </w:p>
        </w:tc>
        <w:tc>
          <w:tcPr>
            <w:tcW w:w="1189" w:type="dxa"/>
            <w:noWrap/>
            <w:vAlign w:val="center"/>
          </w:tcPr>
          <w:p w14:paraId="792B1AC4" w14:textId="77777777" w:rsidR="008B0AFF" w:rsidRPr="00361FF5" w:rsidRDefault="008B0AFF" w:rsidP="008B0AFF">
            <w:pPr>
              <w:rPr>
                <w:b/>
              </w:rPr>
            </w:pPr>
          </w:p>
        </w:tc>
        <w:tc>
          <w:tcPr>
            <w:tcW w:w="915" w:type="dxa"/>
            <w:vAlign w:val="center"/>
          </w:tcPr>
          <w:p w14:paraId="05AEBE7D" w14:textId="77777777" w:rsidR="008B0AFF" w:rsidRPr="00361FF5" w:rsidRDefault="008B0AFF" w:rsidP="008B0AFF">
            <w:pPr>
              <w:rPr>
                <w:b/>
              </w:rPr>
            </w:pPr>
            <w:r w:rsidRPr="00361FF5">
              <w:rPr>
                <w:b/>
              </w:rPr>
              <w:t>1.23</w:t>
            </w:r>
          </w:p>
        </w:tc>
      </w:tr>
    </w:tbl>
    <w:p w14:paraId="0CE11CFE" w14:textId="77777777" w:rsidR="00BE27BB" w:rsidRDefault="00BE27BB" w:rsidP="00BE27BB">
      <w:pPr>
        <w:spacing w:line="480" w:lineRule="auto"/>
        <w:rPr>
          <w:u w:val="single"/>
        </w:rPr>
      </w:pPr>
      <w:r>
        <w:rPr>
          <w:u w:val="single"/>
        </w:rPr>
        <w:t xml:space="preserve">Tables and Figures </w:t>
      </w:r>
    </w:p>
    <w:p w14:paraId="3B784213" w14:textId="49D9C303" w:rsidR="00BE27BB" w:rsidRDefault="00BE27BB" w:rsidP="00BE27BB">
      <w:pPr>
        <w:spacing w:line="480" w:lineRule="auto"/>
      </w:pPr>
      <w:r w:rsidRPr="006B72F7">
        <w:rPr>
          <w:u w:val="single"/>
        </w:rPr>
        <w:t>Table 1-</w:t>
      </w:r>
      <w:r>
        <w:t xml:space="preserve"> Surgical, anti-TNF and patient data from 2007-2017. Data </w:t>
      </w:r>
      <w:proofErr w:type="gramStart"/>
      <w:r>
        <w:t>are expressed</w:t>
      </w:r>
      <w:proofErr w:type="gramEnd"/>
      <w:r>
        <w:t xml:space="preserve"> as absolute numbers, rates or overall prevalence per year of study. </w:t>
      </w:r>
      <w:proofErr w:type="gramStart"/>
      <w:r>
        <w:t>Overall</w:t>
      </w:r>
      <w:proofErr w:type="gramEnd"/>
      <w:r>
        <w:t xml:space="preserve"> absolute numbers and rates are calculated for the entire cohort.</w:t>
      </w:r>
      <w:r w:rsidR="008B0AFF">
        <w:t xml:space="preserve">  </w:t>
      </w:r>
    </w:p>
    <w:p w14:paraId="61B19BC3" w14:textId="77777777" w:rsidR="008B0AFF" w:rsidRDefault="008B0AFF" w:rsidP="008B0AFF"/>
    <w:p w14:paraId="623B55B6" w14:textId="0079F4D1" w:rsidR="008B0AFF" w:rsidRDefault="008B0AFF" w:rsidP="008B0AFF">
      <w:r>
        <w:t xml:space="preserve">*Abdominal resection refers to colectomy (total, subtotal, right hemi) and small bowel resections.  </w:t>
      </w:r>
    </w:p>
    <w:p w14:paraId="0F8B9884" w14:textId="77777777" w:rsidR="00BE27BB" w:rsidRDefault="00BE27BB" w:rsidP="00BE27BB">
      <w:pPr>
        <w:rPr>
          <w:b/>
        </w:rPr>
        <w:sectPr w:rsidR="00BE27BB" w:rsidSect="006B72F7">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XSpec="center" w:tblpY="1541"/>
        <w:tblW w:w="10741" w:type="dxa"/>
        <w:tblLook w:val="04A0" w:firstRow="1" w:lastRow="0" w:firstColumn="1" w:lastColumn="0" w:noHBand="0" w:noVBand="1"/>
      </w:tblPr>
      <w:tblGrid>
        <w:gridCol w:w="1367"/>
        <w:gridCol w:w="1369"/>
        <w:gridCol w:w="1241"/>
        <w:gridCol w:w="1192"/>
        <w:gridCol w:w="1084"/>
        <w:gridCol w:w="1368"/>
        <w:gridCol w:w="964"/>
        <w:gridCol w:w="964"/>
        <w:gridCol w:w="1192"/>
      </w:tblGrid>
      <w:tr w:rsidR="00BE27BB" w14:paraId="22B20C30" w14:textId="77777777" w:rsidTr="007A3159">
        <w:trPr>
          <w:trHeight w:val="172"/>
        </w:trPr>
        <w:tc>
          <w:tcPr>
            <w:tcW w:w="1367" w:type="dxa"/>
            <w:vAlign w:val="center"/>
          </w:tcPr>
          <w:p w14:paraId="7966A99C" w14:textId="77777777" w:rsidR="00BE27BB" w:rsidRPr="00DC3AD4" w:rsidRDefault="00BE27BB" w:rsidP="007A3159">
            <w:pPr>
              <w:jc w:val="center"/>
              <w:rPr>
                <w:b/>
              </w:rPr>
            </w:pPr>
          </w:p>
        </w:tc>
        <w:tc>
          <w:tcPr>
            <w:tcW w:w="1369" w:type="dxa"/>
            <w:vAlign w:val="center"/>
          </w:tcPr>
          <w:p w14:paraId="7285C592" w14:textId="77777777" w:rsidR="00BE27BB" w:rsidRPr="00DC3AD4" w:rsidRDefault="00BE27BB" w:rsidP="007A3159">
            <w:pPr>
              <w:jc w:val="center"/>
              <w:rPr>
                <w:b/>
              </w:rPr>
            </w:pPr>
          </w:p>
        </w:tc>
        <w:tc>
          <w:tcPr>
            <w:tcW w:w="1241" w:type="dxa"/>
            <w:vAlign w:val="center"/>
          </w:tcPr>
          <w:p w14:paraId="10F974A4" w14:textId="77777777" w:rsidR="00BE27BB" w:rsidRPr="00DC3AD4" w:rsidRDefault="00BE27BB" w:rsidP="007A3159">
            <w:pPr>
              <w:jc w:val="center"/>
              <w:rPr>
                <w:b/>
              </w:rPr>
            </w:pPr>
            <w:r w:rsidRPr="00DC3AD4">
              <w:rPr>
                <w:b/>
              </w:rPr>
              <w:t>Surgical Resection rate per year</w:t>
            </w:r>
          </w:p>
        </w:tc>
        <w:tc>
          <w:tcPr>
            <w:tcW w:w="1192" w:type="dxa"/>
            <w:vAlign w:val="center"/>
          </w:tcPr>
          <w:p w14:paraId="4CFC8222" w14:textId="77777777" w:rsidR="00BE27BB" w:rsidRPr="00DC3AD4" w:rsidRDefault="00BE27BB" w:rsidP="007A3159">
            <w:pPr>
              <w:jc w:val="center"/>
              <w:rPr>
                <w:b/>
              </w:rPr>
            </w:pPr>
            <w:r w:rsidRPr="00DC3AD4">
              <w:rPr>
                <w:b/>
              </w:rPr>
              <w:t xml:space="preserve">Mean time to </w:t>
            </w:r>
            <w:r>
              <w:rPr>
                <w:b/>
              </w:rPr>
              <w:t>r</w:t>
            </w:r>
            <w:r w:rsidRPr="00DC3AD4">
              <w:rPr>
                <w:b/>
              </w:rPr>
              <w:t>esection per year</w:t>
            </w:r>
          </w:p>
        </w:tc>
        <w:tc>
          <w:tcPr>
            <w:tcW w:w="1084" w:type="dxa"/>
            <w:vAlign w:val="center"/>
          </w:tcPr>
          <w:p w14:paraId="0E1921EE" w14:textId="77777777" w:rsidR="00BE27BB" w:rsidRPr="00DC3AD4" w:rsidRDefault="00BE27BB" w:rsidP="007A3159">
            <w:pPr>
              <w:jc w:val="center"/>
              <w:rPr>
                <w:b/>
              </w:rPr>
            </w:pPr>
            <w:r w:rsidRPr="00DC3AD4">
              <w:rPr>
                <w:b/>
              </w:rPr>
              <w:t>Perianal surgery rate per year</w:t>
            </w:r>
          </w:p>
        </w:tc>
        <w:tc>
          <w:tcPr>
            <w:tcW w:w="1368" w:type="dxa"/>
            <w:vAlign w:val="center"/>
          </w:tcPr>
          <w:p w14:paraId="75375730" w14:textId="77777777" w:rsidR="00BE27BB" w:rsidRPr="00DC3AD4" w:rsidRDefault="00BE27BB" w:rsidP="007A3159">
            <w:pPr>
              <w:jc w:val="center"/>
              <w:rPr>
                <w:b/>
              </w:rPr>
            </w:pPr>
            <w:r w:rsidRPr="00DC3AD4">
              <w:rPr>
                <w:b/>
              </w:rPr>
              <w:t>Anti-TNF prevalence per year</w:t>
            </w:r>
          </w:p>
        </w:tc>
        <w:tc>
          <w:tcPr>
            <w:tcW w:w="964" w:type="dxa"/>
            <w:vAlign w:val="center"/>
          </w:tcPr>
          <w:p w14:paraId="6718C153" w14:textId="77777777" w:rsidR="00BE27BB" w:rsidRPr="00DC3AD4" w:rsidRDefault="00BE27BB" w:rsidP="007A3159">
            <w:pPr>
              <w:jc w:val="center"/>
              <w:rPr>
                <w:b/>
              </w:rPr>
            </w:pPr>
            <w:r w:rsidRPr="00DC3AD4">
              <w:rPr>
                <w:b/>
              </w:rPr>
              <w:t>Mean time to anti-TNF per year</w:t>
            </w:r>
          </w:p>
        </w:tc>
        <w:tc>
          <w:tcPr>
            <w:tcW w:w="964" w:type="dxa"/>
            <w:vAlign w:val="center"/>
          </w:tcPr>
          <w:p w14:paraId="3BBD74C7" w14:textId="77777777" w:rsidR="00BE27BB" w:rsidRPr="00DC3AD4" w:rsidRDefault="00BE27BB" w:rsidP="007A3159">
            <w:pPr>
              <w:jc w:val="center"/>
              <w:rPr>
                <w:b/>
              </w:rPr>
            </w:pPr>
            <w:r w:rsidRPr="00DC3AD4">
              <w:rPr>
                <w:b/>
              </w:rPr>
              <w:t>Year of study</w:t>
            </w:r>
          </w:p>
        </w:tc>
        <w:tc>
          <w:tcPr>
            <w:tcW w:w="1192" w:type="dxa"/>
            <w:vAlign w:val="center"/>
          </w:tcPr>
          <w:p w14:paraId="6E35D826" w14:textId="77777777" w:rsidR="00BE27BB" w:rsidRPr="00DC3AD4" w:rsidRDefault="00BE27BB" w:rsidP="007A3159">
            <w:pPr>
              <w:jc w:val="center"/>
              <w:rPr>
                <w:b/>
              </w:rPr>
            </w:pPr>
            <w:r w:rsidRPr="00DC3AD4">
              <w:rPr>
                <w:b/>
              </w:rPr>
              <w:t xml:space="preserve">Mean age at </w:t>
            </w:r>
            <w:r>
              <w:rPr>
                <w:b/>
              </w:rPr>
              <w:t>resection</w:t>
            </w:r>
            <w:r w:rsidRPr="00DC3AD4">
              <w:rPr>
                <w:b/>
              </w:rPr>
              <w:t xml:space="preserve"> per year</w:t>
            </w:r>
          </w:p>
        </w:tc>
      </w:tr>
      <w:tr w:rsidR="00BE27BB" w14:paraId="43C338C3" w14:textId="77777777" w:rsidTr="007A3159">
        <w:trPr>
          <w:trHeight w:val="85"/>
        </w:trPr>
        <w:tc>
          <w:tcPr>
            <w:tcW w:w="1367" w:type="dxa"/>
            <w:vAlign w:val="center"/>
          </w:tcPr>
          <w:p w14:paraId="238A53F2" w14:textId="77777777" w:rsidR="00BE27BB" w:rsidRPr="00DC3AD4" w:rsidRDefault="00BE27BB" w:rsidP="007A3159">
            <w:pPr>
              <w:jc w:val="center"/>
              <w:rPr>
                <w:b/>
              </w:rPr>
            </w:pPr>
            <w:r w:rsidRPr="00DC3AD4">
              <w:rPr>
                <w:b/>
              </w:rPr>
              <w:t>Surgical Resection rate per year</w:t>
            </w:r>
          </w:p>
        </w:tc>
        <w:tc>
          <w:tcPr>
            <w:tcW w:w="1369" w:type="dxa"/>
            <w:vAlign w:val="center"/>
          </w:tcPr>
          <w:p w14:paraId="0CC341D6" w14:textId="77777777" w:rsidR="00BE27BB" w:rsidRPr="00AF0D97" w:rsidRDefault="00BE27BB" w:rsidP="007A3159">
            <w:pPr>
              <w:jc w:val="center"/>
            </w:pPr>
            <w:r w:rsidRPr="00AF0D97">
              <w:t>Pearson Correlation</w:t>
            </w:r>
            <w:r>
              <w:t xml:space="preserve"> (p value)</w:t>
            </w:r>
          </w:p>
        </w:tc>
        <w:tc>
          <w:tcPr>
            <w:tcW w:w="1241" w:type="dxa"/>
            <w:vAlign w:val="center"/>
          </w:tcPr>
          <w:p w14:paraId="39C156D4" w14:textId="77777777" w:rsidR="00BE27BB" w:rsidRPr="001266CD" w:rsidRDefault="00BE27BB" w:rsidP="007A3159">
            <w:pPr>
              <w:jc w:val="center"/>
            </w:pPr>
            <w:r w:rsidRPr="001266CD">
              <w:t>1</w:t>
            </w:r>
          </w:p>
        </w:tc>
        <w:tc>
          <w:tcPr>
            <w:tcW w:w="1192" w:type="dxa"/>
            <w:vAlign w:val="center"/>
          </w:tcPr>
          <w:p w14:paraId="492CE3AC" w14:textId="77777777" w:rsidR="00BE27BB" w:rsidRDefault="00BE27BB" w:rsidP="007A3159">
            <w:pPr>
              <w:jc w:val="center"/>
            </w:pPr>
            <w:r w:rsidRPr="001266CD">
              <w:t>-</w:t>
            </w:r>
            <w:r>
              <w:t>0</w:t>
            </w:r>
            <w:r w:rsidRPr="001266CD">
              <w:t>.516</w:t>
            </w:r>
            <w:r>
              <w:t xml:space="preserve"> </w:t>
            </w:r>
          </w:p>
          <w:p w14:paraId="5A272376" w14:textId="77777777" w:rsidR="00BE27BB" w:rsidRPr="001266CD" w:rsidRDefault="00BE27BB" w:rsidP="007A3159">
            <w:pPr>
              <w:jc w:val="center"/>
            </w:pPr>
            <w:r>
              <w:t>(0</w:t>
            </w:r>
            <w:r w:rsidRPr="001266CD">
              <w:t>.104</w:t>
            </w:r>
            <w:r>
              <w:t>)</w:t>
            </w:r>
          </w:p>
        </w:tc>
        <w:tc>
          <w:tcPr>
            <w:tcW w:w="1084" w:type="dxa"/>
            <w:vAlign w:val="center"/>
          </w:tcPr>
          <w:p w14:paraId="2A8847E0" w14:textId="77777777" w:rsidR="00BE27BB" w:rsidRDefault="00BE27BB" w:rsidP="007A3159">
            <w:pPr>
              <w:jc w:val="center"/>
            </w:pPr>
            <w:r w:rsidRPr="001266CD">
              <w:t>-</w:t>
            </w:r>
            <w:r>
              <w:t>0</w:t>
            </w:r>
            <w:r w:rsidRPr="001266CD">
              <w:t>.039</w:t>
            </w:r>
            <w:r>
              <w:t xml:space="preserve"> </w:t>
            </w:r>
          </w:p>
          <w:p w14:paraId="493A2654" w14:textId="77777777" w:rsidR="00BE27BB" w:rsidRPr="001266CD" w:rsidRDefault="00BE27BB" w:rsidP="007A3159">
            <w:pPr>
              <w:jc w:val="center"/>
            </w:pPr>
            <w:r>
              <w:t>(0.910)</w:t>
            </w:r>
          </w:p>
        </w:tc>
        <w:tc>
          <w:tcPr>
            <w:tcW w:w="1368" w:type="dxa"/>
            <w:vAlign w:val="center"/>
          </w:tcPr>
          <w:p w14:paraId="56DD4911" w14:textId="77777777" w:rsidR="00BE27BB" w:rsidRPr="001266CD" w:rsidRDefault="00BE27BB" w:rsidP="007A3159">
            <w:pPr>
              <w:jc w:val="center"/>
            </w:pPr>
            <w:r w:rsidRPr="001266CD">
              <w:t>-</w:t>
            </w:r>
            <w:r>
              <w:t>0</w:t>
            </w:r>
            <w:r w:rsidRPr="001266CD">
              <w:t>.727*</w:t>
            </w:r>
            <w:r>
              <w:t xml:space="preserve"> (</w:t>
            </w:r>
            <w:r w:rsidRPr="00527D97">
              <w:rPr>
                <w:b/>
              </w:rPr>
              <w:t>0.011</w:t>
            </w:r>
            <w:r>
              <w:t>)</w:t>
            </w:r>
          </w:p>
        </w:tc>
        <w:tc>
          <w:tcPr>
            <w:tcW w:w="964" w:type="dxa"/>
            <w:vAlign w:val="center"/>
          </w:tcPr>
          <w:p w14:paraId="0249083E" w14:textId="77777777" w:rsidR="00BE27BB" w:rsidRPr="001266CD" w:rsidRDefault="00BE27BB" w:rsidP="007A3159">
            <w:pPr>
              <w:jc w:val="center"/>
            </w:pPr>
            <w:r>
              <w:t>0</w:t>
            </w:r>
            <w:r w:rsidRPr="001266CD">
              <w:t>.681*</w:t>
            </w:r>
            <w:r>
              <w:t xml:space="preserve"> (</w:t>
            </w:r>
            <w:r w:rsidRPr="00D17E17">
              <w:rPr>
                <w:b/>
              </w:rPr>
              <w:t>0.021</w:t>
            </w:r>
            <w:r>
              <w:rPr>
                <w:b/>
              </w:rPr>
              <w:t>)</w:t>
            </w:r>
          </w:p>
        </w:tc>
        <w:tc>
          <w:tcPr>
            <w:tcW w:w="964" w:type="dxa"/>
            <w:vAlign w:val="center"/>
          </w:tcPr>
          <w:p w14:paraId="46CDD7B0" w14:textId="77777777" w:rsidR="00BE27BB" w:rsidRPr="001266CD" w:rsidRDefault="00BE27BB" w:rsidP="007A3159">
            <w:pPr>
              <w:jc w:val="center"/>
            </w:pPr>
            <w:r w:rsidRPr="001266CD">
              <w:t>-</w:t>
            </w:r>
            <w:r>
              <w:t>0</w:t>
            </w:r>
            <w:r w:rsidRPr="001266CD">
              <w:t>.833*</w:t>
            </w:r>
            <w:r>
              <w:t xml:space="preserve"> (</w:t>
            </w:r>
            <w:r w:rsidRPr="00D17E17">
              <w:rPr>
                <w:b/>
              </w:rPr>
              <w:t>0.001</w:t>
            </w:r>
            <w:r>
              <w:rPr>
                <w:b/>
              </w:rPr>
              <w:t>)</w:t>
            </w:r>
          </w:p>
        </w:tc>
        <w:tc>
          <w:tcPr>
            <w:tcW w:w="1192" w:type="dxa"/>
            <w:vAlign w:val="center"/>
          </w:tcPr>
          <w:p w14:paraId="61D85860" w14:textId="77777777" w:rsidR="00BE27BB" w:rsidRPr="001266CD" w:rsidRDefault="00BE27BB" w:rsidP="007A3159">
            <w:pPr>
              <w:jc w:val="center"/>
            </w:pPr>
            <w:r w:rsidRPr="001266CD">
              <w:t>-</w:t>
            </w:r>
            <w:r>
              <w:t>0</w:t>
            </w:r>
            <w:r w:rsidRPr="001266CD">
              <w:t>.254</w:t>
            </w:r>
            <w:r>
              <w:t xml:space="preserve"> (0</w:t>
            </w:r>
            <w:r w:rsidRPr="001266CD">
              <w:t>.451</w:t>
            </w:r>
            <w:r>
              <w:t>)</w:t>
            </w:r>
          </w:p>
        </w:tc>
      </w:tr>
      <w:tr w:rsidR="00BE27BB" w14:paraId="0736C7D4" w14:textId="77777777" w:rsidTr="007A3159">
        <w:trPr>
          <w:trHeight w:val="83"/>
        </w:trPr>
        <w:tc>
          <w:tcPr>
            <w:tcW w:w="1367" w:type="dxa"/>
            <w:vAlign w:val="center"/>
          </w:tcPr>
          <w:p w14:paraId="33655B2B" w14:textId="77777777" w:rsidR="00BE27BB" w:rsidRPr="00DC3AD4" w:rsidRDefault="00BE27BB" w:rsidP="007A3159">
            <w:pPr>
              <w:jc w:val="center"/>
              <w:rPr>
                <w:b/>
              </w:rPr>
            </w:pPr>
            <w:r w:rsidRPr="00DC3AD4">
              <w:rPr>
                <w:b/>
              </w:rPr>
              <w:t xml:space="preserve">Mean time to </w:t>
            </w:r>
            <w:r>
              <w:rPr>
                <w:b/>
              </w:rPr>
              <w:t>r</w:t>
            </w:r>
            <w:r w:rsidRPr="00DC3AD4">
              <w:rPr>
                <w:b/>
              </w:rPr>
              <w:t>esection per year</w:t>
            </w:r>
          </w:p>
        </w:tc>
        <w:tc>
          <w:tcPr>
            <w:tcW w:w="1369" w:type="dxa"/>
            <w:vAlign w:val="center"/>
          </w:tcPr>
          <w:p w14:paraId="526761A7"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631A261F" w14:textId="77777777" w:rsidR="00BE27BB" w:rsidRPr="001266CD" w:rsidRDefault="00BE27BB" w:rsidP="007A3159">
            <w:pPr>
              <w:jc w:val="center"/>
            </w:pPr>
          </w:p>
        </w:tc>
        <w:tc>
          <w:tcPr>
            <w:tcW w:w="1192" w:type="dxa"/>
            <w:vAlign w:val="center"/>
          </w:tcPr>
          <w:p w14:paraId="7D356706" w14:textId="77777777" w:rsidR="00BE27BB" w:rsidRPr="001266CD" w:rsidRDefault="00BE27BB" w:rsidP="007A3159">
            <w:pPr>
              <w:jc w:val="center"/>
            </w:pPr>
            <w:r w:rsidRPr="001266CD">
              <w:t>1</w:t>
            </w:r>
          </w:p>
        </w:tc>
        <w:tc>
          <w:tcPr>
            <w:tcW w:w="1084" w:type="dxa"/>
            <w:vAlign w:val="center"/>
          </w:tcPr>
          <w:p w14:paraId="04BE4360" w14:textId="77777777" w:rsidR="00BE27BB" w:rsidRDefault="00BE27BB" w:rsidP="007A3159">
            <w:pPr>
              <w:jc w:val="center"/>
            </w:pPr>
            <w:r>
              <w:t>0</w:t>
            </w:r>
            <w:r w:rsidRPr="001266CD">
              <w:t>.646*</w:t>
            </w:r>
            <w:r>
              <w:t xml:space="preserve"> </w:t>
            </w:r>
          </w:p>
          <w:p w14:paraId="122B6676" w14:textId="77777777" w:rsidR="00BE27BB" w:rsidRPr="001266CD" w:rsidRDefault="00BE27BB" w:rsidP="007A3159">
            <w:pPr>
              <w:jc w:val="center"/>
            </w:pPr>
            <w:r>
              <w:t>(</w:t>
            </w:r>
            <w:r w:rsidRPr="00D17E17">
              <w:rPr>
                <w:b/>
              </w:rPr>
              <w:t>0.032</w:t>
            </w:r>
            <w:r>
              <w:rPr>
                <w:b/>
              </w:rPr>
              <w:t>)</w:t>
            </w:r>
          </w:p>
        </w:tc>
        <w:tc>
          <w:tcPr>
            <w:tcW w:w="1368" w:type="dxa"/>
            <w:vAlign w:val="center"/>
          </w:tcPr>
          <w:p w14:paraId="26067344" w14:textId="77777777" w:rsidR="00BE27BB" w:rsidRDefault="00BE27BB" w:rsidP="007A3159">
            <w:pPr>
              <w:jc w:val="center"/>
            </w:pPr>
            <w:r>
              <w:t>0</w:t>
            </w:r>
            <w:r w:rsidRPr="001266CD">
              <w:t>.917*</w:t>
            </w:r>
            <w:r>
              <w:t xml:space="preserve"> </w:t>
            </w:r>
          </w:p>
          <w:p w14:paraId="6080CC98" w14:textId="77777777" w:rsidR="00BE27BB" w:rsidRPr="001266CD" w:rsidRDefault="00BE27BB" w:rsidP="007A3159">
            <w:pPr>
              <w:jc w:val="center"/>
            </w:pPr>
            <w:r>
              <w:t>(</w:t>
            </w:r>
            <w:r>
              <w:rPr>
                <w:b/>
              </w:rPr>
              <w:t>7x10</w:t>
            </w:r>
            <w:r>
              <w:rPr>
                <w:b/>
                <w:vertAlign w:val="superscript"/>
              </w:rPr>
              <w:t>-5</w:t>
            </w:r>
            <w:r>
              <w:rPr>
                <w:b/>
              </w:rPr>
              <w:t>)</w:t>
            </w:r>
          </w:p>
        </w:tc>
        <w:tc>
          <w:tcPr>
            <w:tcW w:w="964" w:type="dxa"/>
            <w:vAlign w:val="center"/>
          </w:tcPr>
          <w:p w14:paraId="4835DBB4" w14:textId="77777777" w:rsidR="00BE27BB" w:rsidRPr="001266CD" w:rsidRDefault="00BE27BB" w:rsidP="007A3159">
            <w:pPr>
              <w:jc w:val="center"/>
            </w:pPr>
            <w:r w:rsidRPr="001266CD">
              <w:t>-</w:t>
            </w:r>
            <w:r>
              <w:t>0</w:t>
            </w:r>
            <w:r w:rsidRPr="001266CD">
              <w:t>.294</w:t>
            </w:r>
            <w:r>
              <w:t xml:space="preserve"> (0</w:t>
            </w:r>
            <w:r w:rsidRPr="001266CD">
              <w:t>.380</w:t>
            </w:r>
            <w:r>
              <w:t>)</w:t>
            </w:r>
          </w:p>
        </w:tc>
        <w:tc>
          <w:tcPr>
            <w:tcW w:w="964" w:type="dxa"/>
            <w:vAlign w:val="center"/>
          </w:tcPr>
          <w:p w14:paraId="553A653A" w14:textId="77777777" w:rsidR="00BE27BB" w:rsidRPr="001266CD" w:rsidRDefault="00BE27BB" w:rsidP="007A3159">
            <w:pPr>
              <w:jc w:val="center"/>
            </w:pPr>
            <w:r>
              <w:t>0</w:t>
            </w:r>
            <w:r w:rsidRPr="001266CD">
              <w:t>.811*</w:t>
            </w:r>
            <w:r>
              <w:t xml:space="preserve"> (</w:t>
            </w:r>
            <w:r w:rsidRPr="00D17E17">
              <w:rPr>
                <w:b/>
              </w:rPr>
              <w:t>0.002</w:t>
            </w:r>
            <w:r>
              <w:rPr>
                <w:b/>
              </w:rPr>
              <w:t>)</w:t>
            </w:r>
          </w:p>
        </w:tc>
        <w:tc>
          <w:tcPr>
            <w:tcW w:w="1192" w:type="dxa"/>
            <w:vAlign w:val="center"/>
          </w:tcPr>
          <w:p w14:paraId="3C4A3DEF" w14:textId="77777777" w:rsidR="00BE27BB" w:rsidRPr="001266CD" w:rsidRDefault="00BE27BB" w:rsidP="007A3159">
            <w:pPr>
              <w:jc w:val="center"/>
            </w:pPr>
            <w:r>
              <w:t>0</w:t>
            </w:r>
            <w:r w:rsidRPr="001266CD">
              <w:t>.327</w:t>
            </w:r>
            <w:r>
              <w:t xml:space="preserve"> (0</w:t>
            </w:r>
            <w:r w:rsidRPr="001266CD">
              <w:t>.327</w:t>
            </w:r>
            <w:r>
              <w:t>)</w:t>
            </w:r>
          </w:p>
        </w:tc>
      </w:tr>
      <w:tr w:rsidR="00BE27BB" w14:paraId="4656B8CB" w14:textId="77777777" w:rsidTr="007A3159">
        <w:trPr>
          <w:trHeight w:val="85"/>
        </w:trPr>
        <w:tc>
          <w:tcPr>
            <w:tcW w:w="1367" w:type="dxa"/>
            <w:vAlign w:val="center"/>
          </w:tcPr>
          <w:p w14:paraId="5B9CC6DD" w14:textId="77777777" w:rsidR="00BE27BB" w:rsidRPr="00DC3AD4" w:rsidRDefault="00BE27BB" w:rsidP="007A3159">
            <w:pPr>
              <w:jc w:val="center"/>
              <w:rPr>
                <w:b/>
              </w:rPr>
            </w:pPr>
            <w:r w:rsidRPr="00DC3AD4">
              <w:rPr>
                <w:b/>
              </w:rPr>
              <w:t>Perianal surgery rate per year</w:t>
            </w:r>
          </w:p>
        </w:tc>
        <w:tc>
          <w:tcPr>
            <w:tcW w:w="1369" w:type="dxa"/>
            <w:vAlign w:val="center"/>
          </w:tcPr>
          <w:p w14:paraId="2885E4A1"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33A0ADE2" w14:textId="77777777" w:rsidR="00BE27BB" w:rsidRPr="001266CD" w:rsidRDefault="00BE27BB" w:rsidP="007A3159">
            <w:pPr>
              <w:jc w:val="center"/>
            </w:pPr>
          </w:p>
        </w:tc>
        <w:tc>
          <w:tcPr>
            <w:tcW w:w="1192" w:type="dxa"/>
            <w:shd w:val="clear" w:color="auto" w:fill="BFBFBF" w:themeFill="background1" w:themeFillShade="BF"/>
            <w:vAlign w:val="center"/>
          </w:tcPr>
          <w:p w14:paraId="363B9630" w14:textId="77777777" w:rsidR="00BE27BB" w:rsidRPr="001266CD" w:rsidRDefault="00BE27BB" w:rsidP="007A3159">
            <w:pPr>
              <w:jc w:val="center"/>
            </w:pPr>
          </w:p>
        </w:tc>
        <w:tc>
          <w:tcPr>
            <w:tcW w:w="1084" w:type="dxa"/>
            <w:vAlign w:val="center"/>
          </w:tcPr>
          <w:p w14:paraId="26FD762C" w14:textId="77777777" w:rsidR="00BE27BB" w:rsidRPr="001266CD" w:rsidRDefault="00BE27BB" w:rsidP="007A3159">
            <w:pPr>
              <w:jc w:val="center"/>
            </w:pPr>
            <w:r w:rsidRPr="001266CD">
              <w:t>1</w:t>
            </w:r>
          </w:p>
        </w:tc>
        <w:tc>
          <w:tcPr>
            <w:tcW w:w="1368" w:type="dxa"/>
            <w:vAlign w:val="center"/>
          </w:tcPr>
          <w:p w14:paraId="64AB3B71" w14:textId="77777777" w:rsidR="00BE27BB" w:rsidRPr="001266CD" w:rsidRDefault="00BE27BB" w:rsidP="007A3159">
            <w:pPr>
              <w:jc w:val="center"/>
            </w:pPr>
            <w:r>
              <w:t>0</w:t>
            </w:r>
            <w:r w:rsidRPr="001266CD">
              <w:t>.458</w:t>
            </w:r>
            <w:r>
              <w:t xml:space="preserve"> (0</w:t>
            </w:r>
            <w:r w:rsidRPr="001266CD">
              <w:t>.157</w:t>
            </w:r>
            <w:r>
              <w:t>)</w:t>
            </w:r>
          </w:p>
        </w:tc>
        <w:tc>
          <w:tcPr>
            <w:tcW w:w="964" w:type="dxa"/>
            <w:vAlign w:val="center"/>
          </w:tcPr>
          <w:p w14:paraId="18144681" w14:textId="77777777" w:rsidR="00BE27BB" w:rsidRPr="001266CD" w:rsidRDefault="00BE27BB" w:rsidP="007A3159">
            <w:pPr>
              <w:jc w:val="center"/>
            </w:pPr>
            <w:r w:rsidRPr="001266CD">
              <w:t>-</w:t>
            </w:r>
            <w:r>
              <w:t>0</w:t>
            </w:r>
            <w:r w:rsidRPr="001266CD">
              <w:t>.153</w:t>
            </w:r>
            <w:r>
              <w:t xml:space="preserve"> (0</w:t>
            </w:r>
            <w:r w:rsidRPr="001266CD">
              <w:t>.654</w:t>
            </w:r>
            <w:r>
              <w:t>)</w:t>
            </w:r>
          </w:p>
        </w:tc>
        <w:tc>
          <w:tcPr>
            <w:tcW w:w="964" w:type="dxa"/>
            <w:vAlign w:val="center"/>
          </w:tcPr>
          <w:p w14:paraId="5CE17E48" w14:textId="77777777" w:rsidR="00BE27BB" w:rsidRPr="001266CD" w:rsidRDefault="00BE27BB" w:rsidP="007A3159">
            <w:pPr>
              <w:jc w:val="center"/>
            </w:pPr>
            <w:r>
              <w:t>0</w:t>
            </w:r>
            <w:r w:rsidRPr="001266CD">
              <w:t>.281</w:t>
            </w:r>
            <w:r>
              <w:t xml:space="preserve"> (0</w:t>
            </w:r>
            <w:r w:rsidRPr="001266CD">
              <w:t>.402</w:t>
            </w:r>
            <w:r>
              <w:t>)</w:t>
            </w:r>
          </w:p>
        </w:tc>
        <w:tc>
          <w:tcPr>
            <w:tcW w:w="1192" w:type="dxa"/>
            <w:vAlign w:val="center"/>
          </w:tcPr>
          <w:p w14:paraId="51B66B91" w14:textId="77777777" w:rsidR="00BE27BB" w:rsidRDefault="00BE27BB" w:rsidP="007A3159">
            <w:pPr>
              <w:jc w:val="center"/>
            </w:pPr>
            <w:r>
              <w:t>0</w:t>
            </w:r>
            <w:r w:rsidRPr="001266CD">
              <w:t>.306</w:t>
            </w:r>
            <w:r>
              <w:t xml:space="preserve"> </w:t>
            </w:r>
          </w:p>
          <w:p w14:paraId="5E498A97" w14:textId="77777777" w:rsidR="00BE27BB" w:rsidRPr="001266CD" w:rsidRDefault="00BE27BB" w:rsidP="007A3159">
            <w:pPr>
              <w:jc w:val="center"/>
            </w:pPr>
            <w:r>
              <w:t>(0</w:t>
            </w:r>
            <w:r w:rsidRPr="001266CD">
              <w:t>.360</w:t>
            </w:r>
            <w:r>
              <w:t>)</w:t>
            </w:r>
          </w:p>
        </w:tc>
      </w:tr>
      <w:tr w:rsidR="00BE27BB" w14:paraId="433333BF" w14:textId="77777777" w:rsidTr="007A3159">
        <w:trPr>
          <w:trHeight w:val="85"/>
        </w:trPr>
        <w:tc>
          <w:tcPr>
            <w:tcW w:w="1367" w:type="dxa"/>
            <w:vAlign w:val="center"/>
          </w:tcPr>
          <w:p w14:paraId="07FC19D8" w14:textId="77777777" w:rsidR="00BE27BB" w:rsidRPr="00DC3AD4" w:rsidRDefault="00BE27BB" w:rsidP="007A3159">
            <w:pPr>
              <w:jc w:val="center"/>
              <w:rPr>
                <w:b/>
              </w:rPr>
            </w:pPr>
            <w:r w:rsidRPr="00DC3AD4">
              <w:rPr>
                <w:b/>
              </w:rPr>
              <w:t>Anti-TNF prevalence per year</w:t>
            </w:r>
          </w:p>
        </w:tc>
        <w:tc>
          <w:tcPr>
            <w:tcW w:w="1369" w:type="dxa"/>
            <w:vAlign w:val="center"/>
          </w:tcPr>
          <w:p w14:paraId="6D781BA1"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33C8D71D" w14:textId="77777777" w:rsidR="00BE27BB" w:rsidRPr="001266CD" w:rsidRDefault="00BE27BB" w:rsidP="007A3159">
            <w:pPr>
              <w:jc w:val="center"/>
            </w:pPr>
          </w:p>
        </w:tc>
        <w:tc>
          <w:tcPr>
            <w:tcW w:w="1192" w:type="dxa"/>
            <w:shd w:val="clear" w:color="auto" w:fill="BFBFBF" w:themeFill="background1" w:themeFillShade="BF"/>
            <w:vAlign w:val="center"/>
          </w:tcPr>
          <w:p w14:paraId="3AF15578" w14:textId="77777777" w:rsidR="00BE27BB" w:rsidRPr="001266CD" w:rsidRDefault="00BE27BB" w:rsidP="007A3159">
            <w:pPr>
              <w:jc w:val="center"/>
            </w:pPr>
          </w:p>
        </w:tc>
        <w:tc>
          <w:tcPr>
            <w:tcW w:w="1084" w:type="dxa"/>
            <w:shd w:val="clear" w:color="auto" w:fill="BFBFBF" w:themeFill="background1" w:themeFillShade="BF"/>
            <w:vAlign w:val="center"/>
          </w:tcPr>
          <w:p w14:paraId="57689F94" w14:textId="77777777" w:rsidR="00BE27BB" w:rsidRPr="001266CD" w:rsidRDefault="00BE27BB" w:rsidP="007A3159">
            <w:pPr>
              <w:jc w:val="center"/>
            </w:pPr>
          </w:p>
        </w:tc>
        <w:tc>
          <w:tcPr>
            <w:tcW w:w="1368" w:type="dxa"/>
            <w:vAlign w:val="center"/>
          </w:tcPr>
          <w:p w14:paraId="63BED970" w14:textId="77777777" w:rsidR="00BE27BB" w:rsidRPr="001266CD" w:rsidRDefault="00BE27BB" w:rsidP="007A3159">
            <w:pPr>
              <w:jc w:val="center"/>
            </w:pPr>
            <w:r w:rsidRPr="001266CD">
              <w:t>1</w:t>
            </w:r>
          </w:p>
        </w:tc>
        <w:tc>
          <w:tcPr>
            <w:tcW w:w="964" w:type="dxa"/>
            <w:vAlign w:val="center"/>
          </w:tcPr>
          <w:p w14:paraId="2BA89460" w14:textId="77777777" w:rsidR="00BE27BB" w:rsidRPr="001266CD" w:rsidRDefault="00BE27BB" w:rsidP="007A3159">
            <w:pPr>
              <w:jc w:val="center"/>
            </w:pPr>
            <w:r w:rsidRPr="001266CD">
              <w:t>-</w:t>
            </w:r>
            <w:r>
              <w:t>0</w:t>
            </w:r>
            <w:r w:rsidRPr="001266CD">
              <w:t>.534</w:t>
            </w:r>
            <w:r>
              <w:t xml:space="preserve"> (0.091)</w:t>
            </w:r>
          </w:p>
        </w:tc>
        <w:tc>
          <w:tcPr>
            <w:tcW w:w="964" w:type="dxa"/>
            <w:vAlign w:val="center"/>
          </w:tcPr>
          <w:p w14:paraId="7D50F5EC" w14:textId="77777777" w:rsidR="00BE27BB" w:rsidRDefault="00BE27BB" w:rsidP="007A3159">
            <w:pPr>
              <w:jc w:val="center"/>
            </w:pPr>
            <w:r>
              <w:t>0</w:t>
            </w:r>
            <w:r w:rsidRPr="001266CD">
              <w:t>.968*</w:t>
            </w:r>
            <w:r>
              <w:t xml:space="preserve"> </w:t>
            </w:r>
          </w:p>
          <w:p w14:paraId="25F750C7" w14:textId="77777777" w:rsidR="00BE27BB" w:rsidRPr="001266CD" w:rsidRDefault="00BE27BB" w:rsidP="007A3159">
            <w:pPr>
              <w:jc w:val="center"/>
            </w:pPr>
            <w:r>
              <w:t>(</w:t>
            </w:r>
            <w:r>
              <w:rPr>
                <w:b/>
              </w:rPr>
              <w:t>1x10</w:t>
            </w:r>
            <w:r>
              <w:rPr>
                <w:b/>
                <w:vertAlign w:val="superscript"/>
              </w:rPr>
              <w:t>-6</w:t>
            </w:r>
            <w:r>
              <w:rPr>
                <w:b/>
              </w:rPr>
              <w:t>)</w:t>
            </w:r>
          </w:p>
        </w:tc>
        <w:tc>
          <w:tcPr>
            <w:tcW w:w="1192" w:type="dxa"/>
            <w:vAlign w:val="center"/>
          </w:tcPr>
          <w:p w14:paraId="1BE2A774" w14:textId="77777777" w:rsidR="00BE27BB" w:rsidRDefault="00BE27BB" w:rsidP="007A3159">
            <w:pPr>
              <w:jc w:val="center"/>
            </w:pPr>
            <w:r>
              <w:t>0</w:t>
            </w:r>
            <w:r w:rsidRPr="001266CD">
              <w:t>.276</w:t>
            </w:r>
            <w:r>
              <w:t xml:space="preserve"> </w:t>
            </w:r>
          </w:p>
          <w:p w14:paraId="613ED9B7" w14:textId="77777777" w:rsidR="00BE27BB" w:rsidRPr="001266CD" w:rsidRDefault="00BE27BB" w:rsidP="007A3159">
            <w:pPr>
              <w:jc w:val="center"/>
            </w:pPr>
            <w:r>
              <w:t>(0</w:t>
            </w:r>
            <w:r w:rsidRPr="001266CD">
              <w:t>.4</w:t>
            </w:r>
            <w:r>
              <w:t>12)</w:t>
            </w:r>
          </w:p>
        </w:tc>
      </w:tr>
      <w:tr w:rsidR="00BE27BB" w14:paraId="319BAD79" w14:textId="77777777" w:rsidTr="007A3159">
        <w:trPr>
          <w:trHeight w:val="83"/>
        </w:trPr>
        <w:tc>
          <w:tcPr>
            <w:tcW w:w="1367" w:type="dxa"/>
            <w:vAlign w:val="center"/>
          </w:tcPr>
          <w:p w14:paraId="1E55004E" w14:textId="77777777" w:rsidR="00BE27BB" w:rsidRPr="00DC3AD4" w:rsidRDefault="00BE27BB" w:rsidP="007A3159">
            <w:pPr>
              <w:jc w:val="center"/>
              <w:rPr>
                <w:b/>
              </w:rPr>
            </w:pPr>
            <w:r w:rsidRPr="00DC3AD4">
              <w:rPr>
                <w:b/>
              </w:rPr>
              <w:t>Mean time to anti-TNF per year</w:t>
            </w:r>
          </w:p>
        </w:tc>
        <w:tc>
          <w:tcPr>
            <w:tcW w:w="1369" w:type="dxa"/>
            <w:vAlign w:val="center"/>
          </w:tcPr>
          <w:p w14:paraId="3DF9629D"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2348F64E" w14:textId="77777777" w:rsidR="00BE27BB" w:rsidRPr="001266CD" w:rsidRDefault="00BE27BB" w:rsidP="007A3159">
            <w:pPr>
              <w:jc w:val="center"/>
            </w:pPr>
          </w:p>
        </w:tc>
        <w:tc>
          <w:tcPr>
            <w:tcW w:w="1192" w:type="dxa"/>
            <w:shd w:val="clear" w:color="auto" w:fill="BFBFBF" w:themeFill="background1" w:themeFillShade="BF"/>
            <w:vAlign w:val="center"/>
          </w:tcPr>
          <w:p w14:paraId="411DDCF0" w14:textId="77777777" w:rsidR="00BE27BB" w:rsidRPr="001266CD" w:rsidRDefault="00BE27BB" w:rsidP="007A3159">
            <w:pPr>
              <w:jc w:val="center"/>
            </w:pPr>
          </w:p>
        </w:tc>
        <w:tc>
          <w:tcPr>
            <w:tcW w:w="1084" w:type="dxa"/>
            <w:shd w:val="clear" w:color="auto" w:fill="BFBFBF" w:themeFill="background1" w:themeFillShade="BF"/>
            <w:vAlign w:val="center"/>
          </w:tcPr>
          <w:p w14:paraId="31B1AB6B" w14:textId="77777777" w:rsidR="00BE27BB" w:rsidRPr="001266CD" w:rsidRDefault="00BE27BB" w:rsidP="007A3159">
            <w:pPr>
              <w:jc w:val="center"/>
            </w:pPr>
          </w:p>
        </w:tc>
        <w:tc>
          <w:tcPr>
            <w:tcW w:w="1368" w:type="dxa"/>
            <w:shd w:val="clear" w:color="auto" w:fill="BFBFBF" w:themeFill="background1" w:themeFillShade="BF"/>
            <w:vAlign w:val="center"/>
          </w:tcPr>
          <w:p w14:paraId="080A059C" w14:textId="77777777" w:rsidR="00BE27BB" w:rsidRPr="001266CD" w:rsidRDefault="00BE27BB" w:rsidP="007A3159">
            <w:pPr>
              <w:jc w:val="center"/>
            </w:pPr>
          </w:p>
        </w:tc>
        <w:tc>
          <w:tcPr>
            <w:tcW w:w="964" w:type="dxa"/>
            <w:vAlign w:val="center"/>
          </w:tcPr>
          <w:p w14:paraId="0385EE11" w14:textId="77777777" w:rsidR="00BE27BB" w:rsidRPr="001266CD" w:rsidRDefault="00BE27BB" w:rsidP="007A3159">
            <w:pPr>
              <w:jc w:val="center"/>
            </w:pPr>
            <w:r w:rsidRPr="001266CD">
              <w:t>1</w:t>
            </w:r>
          </w:p>
        </w:tc>
        <w:tc>
          <w:tcPr>
            <w:tcW w:w="964" w:type="dxa"/>
            <w:vAlign w:val="center"/>
          </w:tcPr>
          <w:p w14:paraId="440AC516" w14:textId="77777777" w:rsidR="00BE27BB" w:rsidRPr="001266CD" w:rsidRDefault="00BE27BB" w:rsidP="007A3159">
            <w:pPr>
              <w:jc w:val="center"/>
            </w:pPr>
            <w:r w:rsidRPr="001266CD">
              <w:t>-</w:t>
            </w:r>
            <w:r>
              <w:t>0</w:t>
            </w:r>
            <w:r w:rsidRPr="001266CD">
              <w:t>.570</w:t>
            </w:r>
            <w:r>
              <w:t xml:space="preserve"> (0</w:t>
            </w:r>
            <w:r w:rsidRPr="001266CD">
              <w:t>.067</w:t>
            </w:r>
            <w:r>
              <w:t>)</w:t>
            </w:r>
          </w:p>
        </w:tc>
        <w:tc>
          <w:tcPr>
            <w:tcW w:w="1192" w:type="dxa"/>
            <w:vAlign w:val="center"/>
          </w:tcPr>
          <w:p w14:paraId="6C37BEB2" w14:textId="77777777" w:rsidR="00BE27BB" w:rsidRPr="001266CD" w:rsidRDefault="00BE27BB" w:rsidP="007A3159">
            <w:pPr>
              <w:jc w:val="center"/>
            </w:pPr>
            <w:r w:rsidRPr="001266CD">
              <w:t>-</w:t>
            </w:r>
            <w:r>
              <w:t>0</w:t>
            </w:r>
            <w:r w:rsidRPr="001266CD">
              <w:t>.091</w:t>
            </w:r>
            <w:r>
              <w:t xml:space="preserve"> (0</w:t>
            </w:r>
            <w:r w:rsidRPr="001266CD">
              <w:t>.790</w:t>
            </w:r>
            <w:r>
              <w:t>)</w:t>
            </w:r>
          </w:p>
        </w:tc>
      </w:tr>
      <w:tr w:rsidR="00BE27BB" w14:paraId="733AF0C2" w14:textId="77777777" w:rsidTr="007A3159">
        <w:trPr>
          <w:trHeight w:val="85"/>
        </w:trPr>
        <w:tc>
          <w:tcPr>
            <w:tcW w:w="1367" w:type="dxa"/>
            <w:vAlign w:val="center"/>
          </w:tcPr>
          <w:p w14:paraId="3C5AC9B5" w14:textId="77777777" w:rsidR="00BE27BB" w:rsidRPr="00DC3AD4" w:rsidRDefault="00BE27BB" w:rsidP="007A3159">
            <w:pPr>
              <w:jc w:val="center"/>
              <w:rPr>
                <w:b/>
              </w:rPr>
            </w:pPr>
            <w:r w:rsidRPr="00DC3AD4">
              <w:rPr>
                <w:b/>
              </w:rPr>
              <w:t>Year of study</w:t>
            </w:r>
          </w:p>
        </w:tc>
        <w:tc>
          <w:tcPr>
            <w:tcW w:w="1369" w:type="dxa"/>
            <w:vAlign w:val="center"/>
          </w:tcPr>
          <w:p w14:paraId="01F8FAED"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47BF053A" w14:textId="77777777" w:rsidR="00BE27BB" w:rsidRPr="001266CD" w:rsidRDefault="00BE27BB" w:rsidP="007A3159">
            <w:pPr>
              <w:jc w:val="center"/>
            </w:pPr>
          </w:p>
        </w:tc>
        <w:tc>
          <w:tcPr>
            <w:tcW w:w="1192" w:type="dxa"/>
            <w:shd w:val="clear" w:color="auto" w:fill="BFBFBF" w:themeFill="background1" w:themeFillShade="BF"/>
            <w:vAlign w:val="center"/>
          </w:tcPr>
          <w:p w14:paraId="06386595" w14:textId="77777777" w:rsidR="00BE27BB" w:rsidRPr="001266CD" w:rsidRDefault="00BE27BB" w:rsidP="007A3159">
            <w:pPr>
              <w:jc w:val="center"/>
            </w:pPr>
          </w:p>
        </w:tc>
        <w:tc>
          <w:tcPr>
            <w:tcW w:w="1084" w:type="dxa"/>
            <w:shd w:val="clear" w:color="auto" w:fill="BFBFBF" w:themeFill="background1" w:themeFillShade="BF"/>
            <w:vAlign w:val="center"/>
          </w:tcPr>
          <w:p w14:paraId="3C9DB1A3" w14:textId="77777777" w:rsidR="00BE27BB" w:rsidRPr="001266CD" w:rsidRDefault="00BE27BB" w:rsidP="007A3159">
            <w:pPr>
              <w:jc w:val="center"/>
            </w:pPr>
          </w:p>
        </w:tc>
        <w:tc>
          <w:tcPr>
            <w:tcW w:w="1368" w:type="dxa"/>
            <w:shd w:val="clear" w:color="auto" w:fill="BFBFBF" w:themeFill="background1" w:themeFillShade="BF"/>
            <w:vAlign w:val="center"/>
          </w:tcPr>
          <w:p w14:paraId="08B49003" w14:textId="77777777" w:rsidR="00BE27BB" w:rsidRPr="001266CD" w:rsidRDefault="00BE27BB" w:rsidP="007A3159">
            <w:pPr>
              <w:jc w:val="center"/>
            </w:pPr>
          </w:p>
        </w:tc>
        <w:tc>
          <w:tcPr>
            <w:tcW w:w="964" w:type="dxa"/>
            <w:shd w:val="clear" w:color="auto" w:fill="BFBFBF" w:themeFill="background1" w:themeFillShade="BF"/>
            <w:vAlign w:val="center"/>
          </w:tcPr>
          <w:p w14:paraId="120575BF" w14:textId="77777777" w:rsidR="00BE27BB" w:rsidRPr="001266CD" w:rsidRDefault="00BE27BB" w:rsidP="007A3159">
            <w:pPr>
              <w:jc w:val="center"/>
            </w:pPr>
          </w:p>
        </w:tc>
        <w:tc>
          <w:tcPr>
            <w:tcW w:w="964" w:type="dxa"/>
            <w:vAlign w:val="center"/>
          </w:tcPr>
          <w:p w14:paraId="7682CBC4" w14:textId="77777777" w:rsidR="00BE27BB" w:rsidRPr="001266CD" w:rsidRDefault="00BE27BB" w:rsidP="007A3159">
            <w:pPr>
              <w:jc w:val="center"/>
            </w:pPr>
            <w:r w:rsidRPr="001266CD">
              <w:t>1</w:t>
            </w:r>
          </w:p>
        </w:tc>
        <w:tc>
          <w:tcPr>
            <w:tcW w:w="1192" w:type="dxa"/>
            <w:shd w:val="clear" w:color="auto" w:fill="auto"/>
            <w:vAlign w:val="center"/>
          </w:tcPr>
          <w:p w14:paraId="12D024ED" w14:textId="77777777" w:rsidR="00BE27BB" w:rsidRDefault="00BE27BB" w:rsidP="007A3159">
            <w:pPr>
              <w:jc w:val="center"/>
            </w:pPr>
            <w:r>
              <w:t>0</w:t>
            </w:r>
            <w:r w:rsidRPr="001266CD">
              <w:t>.200</w:t>
            </w:r>
            <w:r>
              <w:t xml:space="preserve"> </w:t>
            </w:r>
          </w:p>
          <w:p w14:paraId="5625625A" w14:textId="77777777" w:rsidR="00BE27BB" w:rsidRPr="001266CD" w:rsidRDefault="00BE27BB" w:rsidP="007A3159">
            <w:pPr>
              <w:jc w:val="center"/>
            </w:pPr>
            <w:r>
              <w:t>(0</w:t>
            </w:r>
            <w:r w:rsidRPr="001266CD">
              <w:t>.555</w:t>
            </w:r>
            <w:r>
              <w:t>)</w:t>
            </w:r>
          </w:p>
        </w:tc>
      </w:tr>
      <w:tr w:rsidR="00BE27BB" w14:paraId="5203A8F0" w14:textId="77777777" w:rsidTr="007A3159">
        <w:trPr>
          <w:trHeight w:val="85"/>
        </w:trPr>
        <w:tc>
          <w:tcPr>
            <w:tcW w:w="1367" w:type="dxa"/>
            <w:vAlign w:val="center"/>
          </w:tcPr>
          <w:p w14:paraId="3733290E" w14:textId="77777777" w:rsidR="00BE27BB" w:rsidRPr="00DC3AD4" w:rsidRDefault="00BE27BB" w:rsidP="007A3159">
            <w:pPr>
              <w:jc w:val="center"/>
              <w:rPr>
                <w:b/>
              </w:rPr>
            </w:pPr>
            <w:r w:rsidRPr="00DC3AD4">
              <w:rPr>
                <w:b/>
              </w:rPr>
              <w:t xml:space="preserve">Mean age at </w:t>
            </w:r>
            <w:r>
              <w:rPr>
                <w:b/>
              </w:rPr>
              <w:t>resection</w:t>
            </w:r>
            <w:r w:rsidRPr="00DC3AD4">
              <w:rPr>
                <w:b/>
              </w:rPr>
              <w:t xml:space="preserve"> per year</w:t>
            </w:r>
          </w:p>
        </w:tc>
        <w:tc>
          <w:tcPr>
            <w:tcW w:w="1369" w:type="dxa"/>
            <w:vAlign w:val="center"/>
          </w:tcPr>
          <w:p w14:paraId="40BACB30" w14:textId="77777777" w:rsidR="00BE27BB" w:rsidRPr="00AF0D97" w:rsidRDefault="00BE27BB" w:rsidP="007A3159">
            <w:pPr>
              <w:jc w:val="center"/>
            </w:pPr>
            <w:r w:rsidRPr="00AF0D97">
              <w:t>Pearson Correlation</w:t>
            </w:r>
            <w:r>
              <w:t xml:space="preserve"> (p value)</w:t>
            </w:r>
          </w:p>
        </w:tc>
        <w:tc>
          <w:tcPr>
            <w:tcW w:w="1241" w:type="dxa"/>
            <w:shd w:val="clear" w:color="auto" w:fill="BFBFBF" w:themeFill="background1" w:themeFillShade="BF"/>
            <w:vAlign w:val="center"/>
          </w:tcPr>
          <w:p w14:paraId="5911C6C1" w14:textId="77777777" w:rsidR="00BE27BB" w:rsidRPr="001266CD" w:rsidRDefault="00BE27BB" w:rsidP="007A3159">
            <w:pPr>
              <w:jc w:val="center"/>
            </w:pPr>
          </w:p>
        </w:tc>
        <w:tc>
          <w:tcPr>
            <w:tcW w:w="1192" w:type="dxa"/>
            <w:shd w:val="clear" w:color="auto" w:fill="BFBFBF" w:themeFill="background1" w:themeFillShade="BF"/>
            <w:vAlign w:val="center"/>
          </w:tcPr>
          <w:p w14:paraId="1A02BD8C" w14:textId="77777777" w:rsidR="00BE27BB" w:rsidRPr="001266CD" w:rsidRDefault="00BE27BB" w:rsidP="007A3159">
            <w:pPr>
              <w:jc w:val="center"/>
            </w:pPr>
          </w:p>
        </w:tc>
        <w:tc>
          <w:tcPr>
            <w:tcW w:w="1084" w:type="dxa"/>
            <w:shd w:val="clear" w:color="auto" w:fill="BFBFBF" w:themeFill="background1" w:themeFillShade="BF"/>
            <w:vAlign w:val="center"/>
          </w:tcPr>
          <w:p w14:paraId="762E58C1" w14:textId="77777777" w:rsidR="00BE27BB" w:rsidRPr="001266CD" w:rsidRDefault="00BE27BB" w:rsidP="007A3159">
            <w:pPr>
              <w:jc w:val="center"/>
            </w:pPr>
          </w:p>
        </w:tc>
        <w:tc>
          <w:tcPr>
            <w:tcW w:w="1368" w:type="dxa"/>
            <w:shd w:val="clear" w:color="auto" w:fill="BFBFBF" w:themeFill="background1" w:themeFillShade="BF"/>
            <w:vAlign w:val="center"/>
          </w:tcPr>
          <w:p w14:paraId="6B0FED74" w14:textId="77777777" w:rsidR="00BE27BB" w:rsidRPr="001266CD" w:rsidRDefault="00BE27BB" w:rsidP="007A3159">
            <w:pPr>
              <w:jc w:val="center"/>
            </w:pPr>
          </w:p>
        </w:tc>
        <w:tc>
          <w:tcPr>
            <w:tcW w:w="964" w:type="dxa"/>
            <w:shd w:val="clear" w:color="auto" w:fill="BFBFBF" w:themeFill="background1" w:themeFillShade="BF"/>
            <w:vAlign w:val="center"/>
          </w:tcPr>
          <w:p w14:paraId="5D157965" w14:textId="77777777" w:rsidR="00BE27BB" w:rsidRPr="001266CD" w:rsidRDefault="00BE27BB" w:rsidP="007A3159">
            <w:pPr>
              <w:jc w:val="center"/>
            </w:pPr>
          </w:p>
        </w:tc>
        <w:tc>
          <w:tcPr>
            <w:tcW w:w="964" w:type="dxa"/>
            <w:shd w:val="clear" w:color="auto" w:fill="BFBFBF" w:themeFill="background1" w:themeFillShade="BF"/>
            <w:vAlign w:val="center"/>
          </w:tcPr>
          <w:p w14:paraId="1BDEF415" w14:textId="77777777" w:rsidR="00BE27BB" w:rsidRPr="001266CD" w:rsidRDefault="00BE27BB" w:rsidP="007A3159">
            <w:pPr>
              <w:jc w:val="center"/>
            </w:pPr>
          </w:p>
        </w:tc>
        <w:tc>
          <w:tcPr>
            <w:tcW w:w="1192" w:type="dxa"/>
            <w:vAlign w:val="center"/>
          </w:tcPr>
          <w:p w14:paraId="53467BAE" w14:textId="77777777" w:rsidR="00BE27BB" w:rsidRPr="001266CD" w:rsidRDefault="00BE27BB" w:rsidP="007A3159">
            <w:pPr>
              <w:jc w:val="center"/>
            </w:pPr>
            <w:r w:rsidRPr="001266CD">
              <w:t>1</w:t>
            </w:r>
          </w:p>
        </w:tc>
      </w:tr>
    </w:tbl>
    <w:p w14:paraId="7174DA26" w14:textId="77777777" w:rsidR="00BE27BB" w:rsidRDefault="00BE27BB" w:rsidP="00BE27BB">
      <w:pPr>
        <w:spacing w:line="480" w:lineRule="auto"/>
      </w:pPr>
      <w:r w:rsidRPr="00B46C36">
        <w:rPr>
          <w:u w:val="single"/>
        </w:rPr>
        <w:t>Table 2-</w:t>
      </w:r>
      <w:r>
        <w:t xml:space="preserve"> Pearson correlation analysis for all variables for 2007-2017. Correlation ranges from </w:t>
      </w:r>
      <w:proofErr w:type="gramStart"/>
      <w:r>
        <w:t>-1</w:t>
      </w:r>
      <w:proofErr w:type="gramEnd"/>
      <w:r>
        <w:t xml:space="preserve"> (perfect negative correlation) to 0 (no correlation) to 1 (perfect positive correlation. Year of study was entered as 1 (2007) to 11 (2017). </w:t>
      </w:r>
    </w:p>
    <w:p w14:paraId="2AE1D147" w14:textId="77777777" w:rsidR="00BE27BB" w:rsidRDefault="00BE27BB" w:rsidP="00BE27BB">
      <w:pPr>
        <w:spacing w:line="480" w:lineRule="auto"/>
      </w:pPr>
    </w:p>
    <w:p w14:paraId="342652CE" w14:textId="77777777" w:rsidR="00BE27BB" w:rsidRDefault="00BE27BB" w:rsidP="00BE27BB">
      <w:pPr>
        <w:spacing w:line="480" w:lineRule="auto"/>
      </w:pPr>
    </w:p>
    <w:p w14:paraId="3D4383A6" w14:textId="77777777" w:rsidR="00BE27BB" w:rsidRDefault="00BE27BB" w:rsidP="00BE27BB">
      <w:pPr>
        <w:spacing w:line="480" w:lineRule="auto"/>
      </w:pPr>
    </w:p>
    <w:p w14:paraId="621E56D6" w14:textId="77777777" w:rsidR="00BE27BB" w:rsidRDefault="00BE27BB" w:rsidP="00BE27BB">
      <w:pPr>
        <w:spacing w:line="480" w:lineRule="auto"/>
      </w:pPr>
    </w:p>
    <w:p w14:paraId="40F64049" w14:textId="77777777" w:rsidR="00BE27BB" w:rsidRDefault="00BE27BB" w:rsidP="00BE27BB">
      <w:pPr>
        <w:spacing w:line="480" w:lineRule="auto"/>
      </w:pPr>
    </w:p>
    <w:p w14:paraId="420D039D" w14:textId="77777777" w:rsidR="00BE27BB" w:rsidRDefault="00BE27BB" w:rsidP="00BE27BB">
      <w:pPr>
        <w:spacing w:line="480" w:lineRule="auto"/>
      </w:pPr>
    </w:p>
    <w:p w14:paraId="085088BD" w14:textId="77777777" w:rsidR="00BE27BB" w:rsidRDefault="00BE27BB" w:rsidP="00BE27BB">
      <w:pPr>
        <w:spacing w:line="480" w:lineRule="auto"/>
        <w:rPr>
          <w:u w:val="single"/>
        </w:rPr>
        <w:sectPr w:rsidR="00BE27BB">
          <w:pgSz w:w="11906" w:h="16838"/>
          <w:pgMar w:top="1440" w:right="1440" w:bottom="1440" w:left="1440" w:header="708" w:footer="708" w:gutter="0"/>
          <w:cols w:space="708"/>
          <w:docGrid w:linePitch="360"/>
        </w:sectPr>
      </w:pPr>
    </w:p>
    <w:p w14:paraId="149A60F4" w14:textId="77777777" w:rsidR="00BE27BB" w:rsidRDefault="00BE27BB" w:rsidP="00BE27BB">
      <w:pPr>
        <w:spacing w:line="480" w:lineRule="auto"/>
      </w:pPr>
      <w:r w:rsidRPr="00B46C36">
        <w:rPr>
          <w:u w:val="single"/>
        </w:rPr>
        <w:lastRenderedPageBreak/>
        <w:t>Table 3-</w:t>
      </w:r>
      <w:r>
        <w:t xml:space="preserve"> Stepwise backward multiple regression model. Dependant variable- surgical resection rate per year. Following application of all </w:t>
      </w:r>
      <w:proofErr w:type="gramStart"/>
      <w:r>
        <w:t>4</w:t>
      </w:r>
      <w:proofErr w:type="gramEnd"/>
      <w:r>
        <w:t xml:space="preserve"> models only anti-TNF prevalence was a significant predictor of surgical resection rate over the study period.  </w:t>
      </w:r>
    </w:p>
    <w:tbl>
      <w:tblPr>
        <w:tblStyle w:val="TableGrid"/>
        <w:tblW w:w="14435" w:type="dxa"/>
        <w:tblLook w:val="04A0" w:firstRow="1" w:lastRow="0" w:firstColumn="1" w:lastColumn="0" w:noHBand="0" w:noVBand="1"/>
      </w:tblPr>
      <w:tblGrid>
        <w:gridCol w:w="1392"/>
        <w:gridCol w:w="2385"/>
        <w:gridCol w:w="2009"/>
        <w:gridCol w:w="1617"/>
        <w:gridCol w:w="2048"/>
        <w:gridCol w:w="1057"/>
        <w:gridCol w:w="893"/>
        <w:gridCol w:w="1809"/>
        <w:gridCol w:w="1225"/>
      </w:tblGrid>
      <w:tr w:rsidR="00BE27BB" w14:paraId="0903A342" w14:textId="77777777" w:rsidTr="007A3159">
        <w:trPr>
          <w:trHeight w:val="560"/>
        </w:trPr>
        <w:tc>
          <w:tcPr>
            <w:tcW w:w="1392" w:type="dxa"/>
            <w:tcBorders>
              <w:top w:val="single" w:sz="4" w:space="0" w:color="auto"/>
              <w:left w:val="single" w:sz="4" w:space="0" w:color="auto"/>
              <w:bottom w:val="single" w:sz="4" w:space="0" w:color="auto"/>
              <w:right w:val="single" w:sz="4" w:space="0" w:color="auto"/>
            </w:tcBorders>
            <w:hideMark/>
          </w:tcPr>
          <w:p w14:paraId="01861D27" w14:textId="77777777" w:rsidR="00BE27BB" w:rsidRDefault="00BE27BB" w:rsidP="007A3159">
            <w:pPr>
              <w:rPr>
                <w:b/>
              </w:rPr>
            </w:pPr>
            <w:r>
              <w:rPr>
                <w:b/>
              </w:rPr>
              <w:t>Model</w:t>
            </w:r>
          </w:p>
        </w:tc>
        <w:tc>
          <w:tcPr>
            <w:tcW w:w="2385" w:type="dxa"/>
            <w:tcBorders>
              <w:top w:val="single" w:sz="4" w:space="0" w:color="auto"/>
              <w:left w:val="single" w:sz="4" w:space="0" w:color="auto"/>
              <w:bottom w:val="single" w:sz="4" w:space="0" w:color="auto"/>
              <w:right w:val="single" w:sz="4" w:space="0" w:color="auto"/>
            </w:tcBorders>
          </w:tcPr>
          <w:p w14:paraId="1119109A" w14:textId="77777777" w:rsidR="00BE27BB" w:rsidRDefault="00BE27BB" w:rsidP="007A3159">
            <w:pPr>
              <w:rPr>
                <w:b/>
              </w:rPr>
            </w:pPr>
          </w:p>
        </w:tc>
        <w:tc>
          <w:tcPr>
            <w:tcW w:w="2009" w:type="dxa"/>
            <w:tcBorders>
              <w:top w:val="single" w:sz="4" w:space="0" w:color="auto"/>
              <w:left w:val="single" w:sz="4" w:space="0" w:color="auto"/>
              <w:bottom w:val="single" w:sz="4" w:space="0" w:color="auto"/>
              <w:right w:val="single" w:sz="4" w:space="0" w:color="auto"/>
            </w:tcBorders>
            <w:hideMark/>
          </w:tcPr>
          <w:p w14:paraId="099E969A" w14:textId="77777777" w:rsidR="00BE27BB" w:rsidRDefault="00BE27BB" w:rsidP="007A3159">
            <w:pPr>
              <w:rPr>
                <w:b/>
              </w:rPr>
            </w:pPr>
            <w:r>
              <w:rPr>
                <w:b/>
              </w:rPr>
              <w:t>Unstandardized Coefficients</w:t>
            </w:r>
          </w:p>
        </w:tc>
        <w:tc>
          <w:tcPr>
            <w:tcW w:w="1617" w:type="dxa"/>
            <w:tcBorders>
              <w:top w:val="single" w:sz="4" w:space="0" w:color="auto"/>
              <w:left w:val="single" w:sz="4" w:space="0" w:color="auto"/>
              <w:bottom w:val="single" w:sz="4" w:space="0" w:color="auto"/>
              <w:right w:val="single" w:sz="4" w:space="0" w:color="auto"/>
            </w:tcBorders>
          </w:tcPr>
          <w:p w14:paraId="240448D5" w14:textId="77777777" w:rsidR="00BE27BB" w:rsidRDefault="00BE27BB" w:rsidP="007A3159">
            <w:pPr>
              <w:rPr>
                <w:b/>
              </w:rPr>
            </w:pPr>
          </w:p>
        </w:tc>
        <w:tc>
          <w:tcPr>
            <w:tcW w:w="2048" w:type="dxa"/>
            <w:tcBorders>
              <w:top w:val="single" w:sz="4" w:space="0" w:color="auto"/>
              <w:left w:val="single" w:sz="4" w:space="0" w:color="auto"/>
              <w:bottom w:val="single" w:sz="4" w:space="0" w:color="auto"/>
              <w:right w:val="single" w:sz="4" w:space="0" w:color="auto"/>
            </w:tcBorders>
            <w:hideMark/>
          </w:tcPr>
          <w:p w14:paraId="536ADC05" w14:textId="77777777" w:rsidR="00BE27BB" w:rsidRDefault="00BE27BB" w:rsidP="007A3159">
            <w:pPr>
              <w:rPr>
                <w:b/>
              </w:rPr>
            </w:pPr>
            <w:r>
              <w:rPr>
                <w:b/>
              </w:rPr>
              <w:t>Standardized Coefficients</w:t>
            </w:r>
          </w:p>
        </w:tc>
        <w:tc>
          <w:tcPr>
            <w:tcW w:w="1057" w:type="dxa"/>
            <w:tcBorders>
              <w:top w:val="single" w:sz="4" w:space="0" w:color="auto"/>
              <w:left w:val="single" w:sz="4" w:space="0" w:color="auto"/>
              <w:bottom w:val="single" w:sz="4" w:space="0" w:color="auto"/>
              <w:right w:val="single" w:sz="4" w:space="0" w:color="auto"/>
            </w:tcBorders>
            <w:hideMark/>
          </w:tcPr>
          <w:p w14:paraId="45879CB2" w14:textId="77777777" w:rsidR="00BE27BB" w:rsidRDefault="00BE27BB" w:rsidP="007A3159">
            <w:pPr>
              <w:rPr>
                <w:b/>
              </w:rPr>
            </w:pPr>
            <w:r>
              <w:rPr>
                <w:b/>
              </w:rPr>
              <w:t>t</w:t>
            </w:r>
          </w:p>
        </w:tc>
        <w:tc>
          <w:tcPr>
            <w:tcW w:w="893" w:type="dxa"/>
            <w:tcBorders>
              <w:top w:val="single" w:sz="4" w:space="0" w:color="auto"/>
              <w:left w:val="single" w:sz="4" w:space="0" w:color="auto"/>
              <w:bottom w:val="single" w:sz="4" w:space="0" w:color="auto"/>
              <w:right w:val="single" w:sz="4" w:space="0" w:color="auto"/>
            </w:tcBorders>
            <w:hideMark/>
          </w:tcPr>
          <w:p w14:paraId="7E9337F8" w14:textId="77777777" w:rsidR="00BE27BB" w:rsidRDefault="00BE27BB" w:rsidP="007A3159">
            <w:pPr>
              <w:rPr>
                <w:b/>
              </w:rPr>
            </w:pPr>
            <w:r>
              <w:rPr>
                <w:b/>
              </w:rPr>
              <w:t>P value =</w:t>
            </w:r>
          </w:p>
        </w:tc>
        <w:tc>
          <w:tcPr>
            <w:tcW w:w="3034" w:type="dxa"/>
            <w:gridSpan w:val="2"/>
            <w:tcBorders>
              <w:top w:val="single" w:sz="4" w:space="0" w:color="auto"/>
              <w:left w:val="single" w:sz="4" w:space="0" w:color="auto"/>
              <w:bottom w:val="single" w:sz="4" w:space="0" w:color="auto"/>
              <w:right w:val="single" w:sz="4" w:space="0" w:color="auto"/>
            </w:tcBorders>
            <w:hideMark/>
          </w:tcPr>
          <w:p w14:paraId="70D72717" w14:textId="77777777" w:rsidR="00BE27BB" w:rsidRDefault="00BE27BB" w:rsidP="007A3159">
            <w:pPr>
              <w:rPr>
                <w:b/>
              </w:rPr>
            </w:pPr>
            <w:r>
              <w:rPr>
                <w:b/>
              </w:rPr>
              <w:t>95.0% Confidence Interval for B</w:t>
            </w:r>
          </w:p>
        </w:tc>
      </w:tr>
      <w:tr w:rsidR="00BE27BB" w14:paraId="20CF3A48" w14:textId="77777777" w:rsidTr="007A3159">
        <w:trPr>
          <w:trHeight w:val="421"/>
        </w:trPr>
        <w:tc>
          <w:tcPr>
            <w:tcW w:w="1392" w:type="dxa"/>
            <w:tcBorders>
              <w:top w:val="single" w:sz="4" w:space="0" w:color="auto"/>
              <w:left w:val="single" w:sz="4" w:space="0" w:color="auto"/>
              <w:bottom w:val="single" w:sz="4" w:space="0" w:color="auto"/>
              <w:right w:val="single" w:sz="4" w:space="0" w:color="auto"/>
            </w:tcBorders>
          </w:tcPr>
          <w:p w14:paraId="6B9ABEDD"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tcPr>
          <w:p w14:paraId="2A9924B7" w14:textId="77777777" w:rsidR="00BE27BB" w:rsidRDefault="00BE27BB" w:rsidP="007A3159">
            <w:pPr>
              <w:rPr>
                <w:b/>
              </w:rPr>
            </w:pPr>
          </w:p>
        </w:tc>
        <w:tc>
          <w:tcPr>
            <w:tcW w:w="2009" w:type="dxa"/>
            <w:tcBorders>
              <w:top w:val="single" w:sz="4" w:space="0" w:color="auto"/>
              <w:left w:val="single" w:sz="4" w:space="0" w:color="auto"/>
              <w:bottom w:val="single" w:sz="4" w:space="0" w:color="auto"/>
              <w:right w:val="single" w:sz="4" w:space="0" w:color="auto"/>
            </w:tcBorders>
            <w:hideMark/>
          </w:tcPr>
          <w:p w14:paraId="502240D8" w14:textId="77777777" w:rsidR="00BE27BB" w:rsidRDefault="00BE27BB" w:rsidP="007A3159">
            <w:pPr>
              <w:rPr>
                <w:b/>
              </w:rPr>
            </w:pPr>
            <w:r>
              <w:rPr>
                <w:b/>
              </w:rPr>
              <w:t>B</w:t>
            </w:r>
          </w:p>
        </w:tc>
        <w:tc>
          <w:tcPr>
            <w:tcW w:w="1617" w:type="dxa"/>
            <w:tcBorders>
              <w:top w:val="single" w:sz="4" w:space="0" w:color="auto"/>
              <w:left w:val="single" w:sz="4" w:space="0" w:color="auto"/>
              <w:bottom w:val="single" w:sz="4" w:space="0" w:color="auto"/>
              <w:right w:val="single" w:sz="4" w:space="0" w:color="auto"/>
            </w:tcBorders>
            <w:hideMark/>
          </w:tcPr>
          <w:p w14:paraId="4D1E796E" w14:textId="77777777" w:rsidR="00BE27BB" w:rsidRDefault="00BE27BB" w:rsidP="007A3159">
            <w:pPr>
              <w:rPr>
                <w:b/>
              </w:rPr>
            </w:pPr>
            <w:r>
              <w:rPr>
                <w:b/>
              </w:rPr>
              <w:t>Std. Error</w:t>
            </w:r>
          </w:p>
        </w:tc>
        <w:tc>
          <w:tcPr>
            <w:tcW w:w="2048" w:type="dxa"/>
            <w:tcBorders>
              <w:top w:val="single" w:sz="4" w:space="0" w:color="auto"/>
              <w:left w:val="single" w:sz="4" w:space="0" w:color="auto"/>
              <w:bottom w:val="single" w:sz="4" w:space="0" w:color="auto"/>
              <w:right w:val="single" w:sz="4" w:space="0" w:color="auto"/>
            </w:tcBorders>
            <w:hideMark/>
          </w:tcPr>
          <w:p w14:paraId="25255E6F" w14:textId="77777777" w:rsidR="00BE27BB" w:rsidRDefault="00BE27BB" w:rsidP="007A3159">
            <w:pPr>
              <w:rPr>
                <w:b/>
              </w:rPr>
            </w:pPr>
            <w:r>
              <w:rPr>
                <w:b/>
              </w:rPr>
              <w:t>Beta</w:t>
            </w:r>
          </w:p>
        </w:tc>
        <w:tc>
          <w:tcPr>
            <w:tcW w:w="1057" w:type="dxa"/>
            <w:tcBorders>
              <w:top w:val="single" w:sz="4" w:space="0" w:color="auto"/>
              <w:left w:val="single" w:sz="4" w:space="0" w:color="auto"/>
              <w:bottom w:val="single" w:sz="4" w:space="0" w:color="auto"/>
              <w:right w:val="single" w:sz="4" w:space="0" w:color="auto"/>
            </w:tcBorders>
          </w:tcPr>
          <w:p w14:paraId="25A48A43" w14:textId="77777777" w:rsidR="00BE27BB" w:rsidRDefault="00BE27BB" w:rsidP="007A3159">
            <w:pPr>
              <w:rPr>
                <w:b/>
              </w:rPr>
            </w:pPr>
          </w:p>
        </w:tc>
        <w:tc>
          <w:tcPr>
            <w:tcW w:w="893" w:type="dxa"/>
            <w:tcBorders>
              <w:top w:val="single" w:sz="4" w:space="0" w:color="auto"/>
              <w:left w:val="single" w:sz="4" w:space="0" w:color="auto"/>
              <w:bottom w:val="single" w:sz="4" w:space="0" w:color="auto"/>
              <w:right w:val="single" w:sz="4" w:space="0" w:color="auto"/>
            </w:tcBorders>
          </w:tcPr>
          <w:p w14:paraId="34590030" w14:textId="77777777" w:rsidR="00BE27BB" w:rsidRDefault="00BE27BB" w:rsidP="007A3159">
            <w:pPr>
              <w:rPr>
                <w:b/>
              </w:rPr>
            </w:pPr>
          </w:p>
        </w:tc>
        <w:tc>
          <w:tcPr>
            <w:tcW w:w="1809" w:type="dxa"/>
            <w:tcBorders>
              <w:top w:val="single" w:sz="4" w:space="0" w:color="auto"/>
              <w:left w:val="single" w:sz="4" w:space="0" w:color="auto"/>
              <w:bottom w:val="single" w:sz="4" w:space="0" w:color="auto"/>
              <w:right w:val="single" w:sz="4" w:space="0" w:color="auto"/>
            </w:tcBorders>
            <w:hideMark/>
          </w:tcPr>
          <w:p w14:paraId="5568EEBA" w14:textId="77777777" w:rsidR="00BE27BB" w:rsidRDefault="00BE27BB" w:rsidP="007A3159">
            <w:pPr>
              <w:rPr>
                <w:b/>
              </w:rPr>
            </w:pPr>
            <w:r>
              <w:rPr>
                <w:b/>
              </w:rPr>
              <w:t>Lower Bound</w:t>
            </w:r>
          </w:p>
        </w:tc>
        <w:tc>
          <w:tcPr>
            <w:tcW w:w="1225" w:type="dxa"/>
            <w:tcBorders>
              <w:top w:val="single" w:sz="4" w:space="0" w:color="auto"/>
              <w:left w:val="single" w:sz="4" w:space="0" w:color="auto"/>
              <w:bottom w:val="single" w:sz="4" w:space="0" w:color="auto"/>
              <w:right w:val="single" w:sz="4" w:space="0" w:color="auto"/>
            </w:tcBorders>
            <w:hideMark/>
          </w:tcPr>
          <w:p w14:paraId="359B45BD" w14:textId="77777777" w:rsidR="00BE27BB" w:rsidRDefault="00BE27BB" w:rsidP="007A3159">
            <w:pPr>
              <w:rPr>
                <w:b/>
              </w:rPr>
            </w:pPr>
            <w:r>
              <w:rPr>
                <w:b/>
              </w:rPr>
              <w:t>Upper Bound</w:t>
            </w:r>
          </w:p>
        </w:tc>
      </w:tr>
      <w:tr w:rsidR="00BE27BB" w14:paraId="4F05A502" w14:textId="77777777" w:rsidTr="007A3159">
        <w:trPr>
          <w:trHeight w:val="92"/>
        </w:trPr>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B8EBC" w14:textId="77777777" w:rsidR="00BE27BB" w:rsidRDefault="00BE27BB" w:rsidP="007A3159"/>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F8D13" w14:textId="77777777" w:rsidR="00BE27BB" w:rsidRDefault="00BE27BB" w:rsidP="007A3159"/>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3F663" w14:textId="77777777" w:rsidR="00BE27BB" w:rsidRDefault="00BE27BB" w:rsidP="007A3159"/>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FD769" w14:textId="77777777" w:rsidR="00BE27BB" w:rsidRDefault="00BE27BB" w:rsidP="007A3159"/>
        </w:tc>
        <w:tc>
          <w:tcPr>
            <w:tcW w:w="2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78767" w14:textId="77777777" w:rsidR="00BE27BB" w:rsidRDefault="00BE27BB" w:rsidP="007A3159"/>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22CFE" w14:textId="77777777" w:rsidR="00BE27BB" w:rsidRDefault="00BE27BB" w:rsidP="007A3159"/>
        </w:tc>
        <w:tc>
          <w:tcPr>
            <w:tcW w:w="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FD6B" w14:textId="77777777" w:rsidR="00BE27BB" w:rsidRDefault="00BE27BB" w:rsidP="007A3159"/>
        </w:tc>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AB023" w14:textId="77777777" w:rsidR="00BE27BB" w:rsidRDefault="00BE27BB" w:rsidP="007A3159"/>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40661" w14:textId="77777777" w:rsidR="00BE27BB" w:rsidRDefault="00BE27BB" w:rsidP="007A3159"/>
        </w:tc>
      </w:tr>
      <w:tr w:rsidR="00BE27BB" w14:paraId="39DC43AD" w14:textId="77777777" w:rsidTr="007A3159">
        <w:trPr>
          <w:trHeight w:val="421"/>
        </w:trPr>
        <w:tc>
          <w:tcPr>
            <w:tcW w:w="1392" w:type="dxa"/>
            <w:tcBorders>
              <w:top w:val="single" w:sz="4" w:space="0" w:color="auto"/>
              <w:left w:val="single" w:sz="4" w:space="0" w:color="auto"/>
              <w:bottom w:val="single" w:sz="4" w:space="0" w:color="auto"/>
              <w:right w:val="single" w:sz="4" w:space="0" w:color="auto"/>
            </w:tcBorders>
            <w:hideMark/>
          </w:tcPr>
          <w:p w14:paraId="26981B8A" w14:textId="77777777" w:rsidR="00BE27BB" w:rsidRDefault="00BE27BB" w:rsidP="007A3159">
            <w:pPr>
              <w:rPr>
                <w:b/>
              </w:rPr>
            </w:pPr>
            <w:r>
              <w:rPr>
                <w:b/>
              </w:rPr>
              <w:t>1</w:t>
            </w:r>
          </w:p>
        </w:tc>
        <w:tc>
          <w:tcPr>
            <w:tcW w:w="2385" w:type="dxa"/>
            <w:tcBorders>
              <w:top w:val="single" w:sz="4" w:space="0" w:color="auto"/>
              <w:left w:val="single" w:sz="4" w:space="0" w:color="auto"/>
              <w:bottom w:val="single" w:sz="4" w:space="0" w:color="auto"/>
              <w:right w:val="single" w:sz="4" w:space="0" w:color="auto"/>
            </w:tcBorders>
            <w:hideMark/>
          </w:tcPr>
          <w:p w14:paraId="3465407F" w14:textId="77777777" w:rsidR="00BE27BB" w:rsidRDefault="00BE27BB" w:rsidP="007A3159">
            <w:r>
              <w:t>Mean age at surgery per year</w:t>
            </w:r>
          </w:p>
        </w:tc>
        <w:tc>
          <w:tcPr>
            <w:tcW w:w="2009" w:type="dxa"/>
            <w:tcBorders>
              <w:top w:val="single" w:sz="4" w:space="0" w:color="auto"/>
              <w:left w:val="single" w:sz="4" w:space="0" w:color="auto"/>
              <w:bottom w:val="single" w:sz="4" w:space="0" w:color="auto"/>
              <w:right w:val="single" w:sz="4" w:space="0" w:color="auto"/>
            </w:tcBorders>
            <w:hideMark/>
          </w:tcPr>
          <w:p w14:paraId="2B6806EE" w14:textId="77777777" w:rsidR="00BE27BB" w:rsidRDefault="00BE27BB" w:rsidP="007A3159">
            <w:r>
              <w:t>-.372</w:t>
            </w:r>
          </w:p>
        </w:tc>
        <w:tc>
          <w:tcPr>
            <w:tcW w:w="1617" w:type="dxa"/>
            <w:tcBorders>
              <w:top w:val="single" w:sz="4" w:space="0" w:color="auto"/>
              <w:left w:val="single" w:sz="4" w:space="0" w:color="auto"/>
              <w:bottom w:val="single" w:sz="4" w:space="0" w:color="auto"/>
              <w:right w:val="single" w:sz="4" w:space="0" w:color="auto"/>
            </w:tcBorders>
            <w:hideMark/>
          </w:tcPr>
          <w:p w14:paraId="50DE942E" w14:textId="77777777" w:rsidR="00BE27BB" w:rsidRDefault="00BE27BB" w:rsidP="007A3159">
            <w:r>
              <w:t>.670</w:t>
            </w:r>
          </w:p>
        </w:tc>
        <w:tc>
          <w:tcPr>
            <w:tcW w:w="2048" w:type="dxa"/>
            <w:tcBorders>
              <w:top w:val="single" w:sz="4" w:space="0" w:color="auto"/>
              <w:left w:val="single" w:sz="4" w:space="0" w:color="auto"/>
              <w:bottom w:val="single" w:sz="4" w:space="0" w:color="auto"/>
              <w:right w:val="single" w:sz="4" w:space="0" w:color="auto"/>
            </w:tcBorders>
            <w:hideMark/>
          </w:tcPr>
          <w:p w14:paraId="05E779A3" w14:textId="77777777" w:rsidR="00BE27BB" w:rsidRDefault="00BE27BB" w:rsidP="007A3159">
            <w:r>
              <w:t>-.130</w:t>
            </w:r>
          </w:p>
        </w:tc>
        <w:tc>
          <w:tcPr>
            <w:tcW w:w="1057" w:type="dxa"/>
            <w:tcBorders>
              <w:top w:val="single" w:sz="4" w:space="0" w:color="auto"/>
              <w:left w:val="single" w:sz="4" w:space="0" w:color="auto"/>
              <w:bottom w:val="single" w:sz="4" w:space="0" w:color="auto"/>
              <w:right w:val="single" w:sz="4" w:space="0" w:color="auto"/>
            </w:tcBorders>
            <w:hideMark/>
          </w:tcPr>
          <w:p w14:paraId="1C321C49" w14:textId="77777777" w:rsidR="00BE27BB" w:rsidRDefault="00BE27BB" w:rsidP="007A3159">
            <w:r>
              <w:t>-.555</w:t>
            </w:r>
          </w:p>
        </w:tc>
        <w:tc>
          <w:tcPr>
            <w:tcW w:w="893" w:type="dxa"/>
            <w:tcBorders>
              <w:top w:val="single" w:sz="4" w:space="0" w:color="auto"/>
              <w:left w:val="single" w:sz="4" w:space="0" w:color="auto"/>
              <w:bottom w:val="single" w:sz="4" w:space="0" w:color="auto"/>
              <w:right w:val="single" w:sz="4" w:space="0" w:color="auto"/>
            </w:tcBorders>
            <w:hideMark/>
          </w:tcPr>
          <w:p w14:paraId="4973ED97" w14:textId="77777777" w:rsidR="00BE27BB" w:rsidRDefault="00BE27BB" w:rsidP="007A3159">
            <w:r>
              <w:t>.599</w:t>
            </w:r>
          </w:p>
        </w:tc>
        <w:tc>
          <w:tcPr>
            <w:tcW w:w="1809" w:type="dxa"/>
            <w:tcBorders>
              <w:top w:val="single" w:sz="4" w:space="0" w:color="auto"/>
              <w:left w:val="single" w:sz="4" w:space="0" w:color="auto"/>
              <w:bottom w:val="single" w:sz="4" w:space="0" w:color="auto"/>
              <w:right w:val="single" w:sz="4" w:space="0" w:color="auto"/>
            </w:tcBorders>
            <w:hideMark/>
          </w:tcPr>
          <w:p w14:paraId="7F6EA839" w14:textId="77777777" w:rsidR="00BE27BB" w:rsidRDefault="00BE27BB" w:rsidP="007A3159">
            <w:r>
              <w:t>-2.012</w:t>
            </w:r>
          </w:p>
        </w:tc>
        <w:tc>
          <w:tcPr>
            <w:tcW w:w="1225" w:type="dxa"/>
            <w:tcBorders>
              <w:top w:val="single" w:sz="4" w:space="0" w:color="auto"/>
              <w:left w:val="single" w:sz="4" w:space="0" w:color="auto"/>
              <w:bottom w:val="single" w:sz="4" w:space="0" w:color="auto"/>
              <w:right w:val="single" w:sz="4" w:space="0" w:color="auto"/>
            </w:tcBorders>
            <w:hideMark/>
          </w:tcPr>
          <w:p w14:paraId="533881E6" w14:textId="77777777" w:rsidR="00BE27BB" w:rsidRDefault="00BE27BB" w:rsidP="007A3159">
            <w:r>
              <w:t>1.268</w:t>
            </w:r>
          </w:p>
        </w:tc>
      </w:tr>
      <w:tr w:rsidR="00BE27BB" w14:paraId="53EAEF28"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tcPr>
          <w:p w14:paraId="521D05A2"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3E6E0420" w14:textId="77777777" w:rsidR="00BE27BB" w:rsidRDefault="00BE27BB" w:rsidP="007A3159">
            <w:r>
              <w:t>Anti-TNF prevalence per year</w:t>
            </w:r>
          </w:p>
        </w:tc>
        <w:tc>
          <w:tcPr>
            <w:tcW w:w="2009" w:type="dxa"/>
            <w:tcBorders>
              <w:top w:val="single" w:sz="4" w:space="0" w:color="auto"/>
              <w:left w:val="single" w:sz="4" w:space="0" w:color="auto"/>
              <w:bottom w:val="single" w:sz="4" w:space="0" w:color="auto"/>
              <w:right w:val="single" w:sz="4" w:space="0" w:color="auto"/>
            </w:tcBorders>
            <w:hideMark/>
          </w:tcPr>
          <w:p w14:paraId="1DA10529" w14:textId="77777777" w:rsidR="00BE27BB" w:rsidRDefault="00BE27BB" w:rsidP="007A3159">
            <w:r>
              <w:t>-.268</w:t>
            </w:r>
          </w:p>
        </w:tc>
        <w:tc>
          <w:tcPr>
            <w:tcW w:w="1617" w:type="dxa"/>
            <w:tcBorders>
              <w:top w:val="single" w:sz="4" w:space="0" w:color="auto"/>
              <w:left w:val="single" w:sz="4" w:space="0" w:color="auto"/>
              <w:bottom w:val="single" w:sz="4" w:space="0" w:color="auto"/>
              <w:right w:val="single" w:sz="4" w:space="0" w:color="auto"/>
            </w:tcBorders>
            <w:hideMark/>
          </w:tcPr>
          <w:p w14:paraId="454FBEF3" w14:textId="77777777" w:rsidR="00BE27BB" w:rsidRDefault="00BE27BB" w:rsidP="007A3159">
            <w:r>
              <w:t>.166</w:t>
            </w:r>
          </w:p>
        </w:tc>
        <w:tc>
          <w:tcPr>
            <w:tcW w:w="2048" w:type="dxa"/>
            <w:tcBorders>
              <w:top w:val="single" w:sz="4" w:space="0" w:color="auto"/>
              <w:left w:val="single" w:sz="4" w:space="0" w:color="auto"/>
              <w:bottom w:val="single" w:sz="4" w:space="0" w:color="auto"/>
              <w:right w:val="single" w:sz="4" w:space="0" w:color="auto"/>
            </w:tcBorders>
            <w:hideMark/>
          </w:tcPr>
          <w:p w14:paraId="1F5D4DF1" w14:textId="77777777" w:rsidR="00BE27BB" w:rsidRDefault="00BE27BB" w:rsidP="007A3159">
            <w:r>
              <w:t>-1.238</w:t>
            </w:r>
          </w:p>
        </w:tc>
        <w:tc>
          <w:tcPr>
            <w:tcW w:w="1057" w:type="dxa"/>
            <w:tcBorders>
              <w:top w:val="single" w:sz="4" w:space="0" w:color="auto"/>
              <w:left w:val="single" w:sz="4" w:space="0" w:color="auto"/>
              <w:bottom w:val="single" w:sz="4" w:space="0" w:color="auto"/>
              <w:right w:val="single" w:sz="4" w:space="0" w:color="auto"/>
            </w:tcBorders>
            <w:hideMark/>
          </w:tcPr>
          <w:p w14:paraId="5983CBF9" w14:textId="77777777" w:rsidR="00BE27BB" w:rsidRDefault="00BE27BB" w:rsidP="007A3159">
            <w:r>
              <w:t>-1.616</w:t>
            </w:r>
          </w:p>
        </w:tc>
        <w:tc>
          <w:tcPr>
            <w:tcW w:w="893" w:type="dxa"/>
            <w:tcBorders>
              <w:top w:val="single" w:sz="4" w:space="0" w:color="auto"/>
              <w:left w:val="single" w:sz="4" w:space="0" w:color="auto"/>
              <w:bottom w:val="single" w:sz="4" w:space="0" w:color="auto"/>
              <w:right w:val="single" w:sz="4" w:space="0" w:color="auto"/>
            </w:tcBorders>
            <w:hideMark/>
          </w:tcPr>
          <w:p w14:paraId="3034FCDB" w14:textId="77777777" w:rsidR="00BE27BB" w:rsidRDefault="00BE27BB" w:rsidP="007A3159">
            <w:r>
              <w:t>.157</w:t>
            </w:r>
          </w:p>
        </w:tc>
        <w:tc>
          <w:tcPr>
            <w:tcW w:w="1809" w:type="dxa"/>
            <w:tcBorders>
              <w:top w:val="single" w:sz="4" w:space="0" w:color="auto"/>
              <w:left w:val="single" w:sz="4" w:space="0" w:color="auto"/>
              <w:bottom w:val="single" w:sz="4" w:space="0" w:color="auto"/>
              <w:right w:val="single" w:sz="4" w:space="0" w:color="auto"/>
            </w:tcBorders>
            <w:hideMark/>
          </w:tcPr>
          <w:p w14:paraId="7BD51886" w14:textId="77777777" w:rsidR="00BE27BB" w:rsidRDefault="00BE27BB" w:rsidP="007A3159">
            <w:r>
              <w:t>-.674</w:t>
            </w:r>
          </w:p>
        </w:tc>
        <w:tc>
          <w:tcPr>
            <w:tcW w:w="1225" w:type="dxa"/>
            <w:tcBorders>
              <w:top w:val="single" w:sz="4" w:space="0" w:color="auto"/>
              <w:left w:val="single" w:sz="4" w:space="0" w:color="auto"/>
              <w:bottom w:val="single" w:sz="4" w:space="0" w:color="auto"/>
              <w:right w:val="single" w:sz="4" w:space="0" w:color="auto"/>
            </w:tcBorders>
            <w:hideMark/>
          </w:tcPr>
          <w:p w14:paraId="391ACB02" w14:textId="77777777" w:rsidR="00BE27BB" w:rsidRDefault="00BE27BB" w:rsidP="007A3159">
            <w:r>
              <w:t>.138</w:t>
            </w:r>
          </w:p>
        </w:tc>
      </w:tr>
      <w:tr w:rsidR="00BE27BB" w14:paraId="19B84405"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tcPr>
          <w:p w14:paraId="76E5ACCA"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6422CAB9" w14:textId="77777777" w:rsidR="00BE27BB" w:rsidRDefault="00BE27BB" w:rsidP="007A3159">
            <w:r>
              <w:t>Mean time to anti-TNF per year</w:t>
            </w:r>
          </w:p>
        </w:tc>
        <w:tc>
          <w:tcPr>
            <w:tcW w:w="2009" w:type="dxa"/>
            <w:tcBorders>
              <w:top w:val="single" w:sz="4" w:space="0" w:color="auto"/>
              <w:left w:val="single" w:sz="4" w:space="0" w:color="auto"/>
              <w:bottom w:val="single" w:sz="4" w:space="0" w:color="auto"/>
              <w:right w:val="single" w:sz="4" w:space="0" w:color="auto"/>
            </w:tcBorders>
            <w:hideMark/>
          </w:tcPr>
          <w:p w14:paraId="25C81977" w14:textId="77777777" w:rsidR="00BE27BB" w:rsidRDefault="00BE27BB" w:rsidP="007A3159">
            <w:r>
              <w:t>.561</w:t>
            </w:r>
          </w:p>
        </w:tc>
        <w:tc>
          <w:tcPr>
            <w:tcW w:w="1617" w:type="dxa"/>
            <w:tcBorders>
              <w:top w:val="single" w:sz="4" w:space="0" w:color="auto"/>
              <w:left w:val="single" w:sz="4" w:space="0" w:color="auto"/>
              <w:bottom w:val="single" w:sz="4" w:space="0" w:color="auto"/>
              <w:right w:val="single" w:sz="4" w:space="0" w:color="auto"/>
            </w:tcBorders>
            <w:hideMark/>
          </w:tcPr>
          <w:p w14:paraId="0885A02F" w14:textId="77777777" w:rsidR="00BE27BB" w:rsidRDefault="00BE27BB" w:rsidP="007A3159">
            <w:r>
              <w:t>.809</w:t>
            </w:r>
          </w:p>
        </w:tc>
        <w:tc>
          <w:tcPr>
            <w:tcW w:w="2048" w:type="dxa"/>
            <w:tcBorders>
              <w:top w:val="single" w:sz="4" w:space="0" w:color="auto"/>
              <w:left w:val="single" w:sz="4" w:space="0" w:color="auto"/>
              <w:bottom w:val="single" w:sz="4" w:space="0" w:color="auto"/>
              <w:right w:val="single" w:sz="4" w:space="0" w:color="auto"/>
            </w:tcBorders>
            <w:hideMark/>
          </w:tcPr>
          <w:p w14:paraId="095ED629" w14:textId="77777777" w:rsidR="00BE27BB" w:rsidRDefault="00BE27BB" w:rsidP="007A3159">
            <w:r>
              <w:t>.222</w:t>
            </w:r>
          </w:p>
        </w:tc>
        <w:tc>
          <w:tcPr>
            <w:tcW w:w="1057" w:type="dxa"/>
            <w:tcBorders>
              <w:top w:val="single" w:sz="4" w:space="0" w:color="auto"/>
              <w:left w:val="single" w:sz="4" w:space="0" w:color="auto"/>
              <w:bottom w:val="single" w:sz="4" w:space="0" w:color="auto"/>
              <w:right w:val="single" w:sz="4" w:space="0" w:color="auto"/>
            </w:tcBorders>
            <w:hideMark/>
          </w:tcPr>
          <w:p w14:paraId="164AA762" w14:textId="77777777" w:rsidR="00BE27BB" w:rsidRDefault="00BE27BB" w:rsidP="007A3159">
            <w:r>
              <w:t>.694</w:t>
            </w:r>
          </w:p>
        </w:tc>
        <w:tc>
          <w:tcPr>
            <w:tcW w:w="893" w:type="dxa"/>
            <w:tcBorders>
              <w:top w:val="single" w:sz="4" w:space="0" w:color="auto"/>
              <w:left w:val="single" w:sz="4" w:space="0" w:color="auto"/>
              <w:bottom w:val="single" w:sz="4" w:space="0" w:color="auto"/>
              <w:right w:val="single" w:sz="4" w:space="0" w:color="auto"/>
            </w:tcBorders>
            <w:hideMark/>
          </w:tcPr>
          <w:p w14:paraId="49040ED4" w14:textId="77777777" w:rsidR="00BE27BB" w:rsidRDefault="00BE27BB" w:rsidP="007A3159">
            <w:r>
              <w:t>.514</w:t>
            </w:r>
          </w:p>
        </w:tc>
        <w:tc>
          <w:tcPr>
            <w:tcW w:w="1809" w:type="dxa"/>
            <w:tcBorders>
              <w:top w:val="single" w:sz="4" w:space="0" w:color="auto"/>
              <w:left w:val="single" w:sz="4" w:space="0" w:color="auto"/>
              <w:bottom w:val="single" w:sz="4" w:space="0" w:color="auto"/>
              <w:right w:val="single" w:sz="4" w:space="0" w:color="auto"/>
            </w:tcBorders>
            <w:hideMark/>
          </w:tcPr>
          <w:p w14:paraId="3BB9A5A5" w14:textId="77777777" w:rsidR="00BE27BB" w:rsidRDefault="00BE27BB" w:rsidP="007A3159">
            <w:r>
              <w:t>-1.418</w:t>
            </w:r>
          </w:p>
        </w:tc>
        <w:tc>
          <w:tcPr>
            <w:tcW w:w="1225" w:type="dxa"/>
            <w:tcBorders>
              <w:top w:val="single" w:sz="4" w:space="0" w:color="auto"/>
              <w:left w:val="single" w:sz="4" w:space="0" w:color="auto"/>
              <w:bottom w:val="single" w:sz="4" w:space="0" w:color="auto"/>
              <w:right w:val="single" w:sz="4" w:space="0" w:color="auto"/>
            </w:tcBorders>
            <w:hideMark/>
          </w:tcPr>
          <w:p w14:paraId="5C14817B" w14:textId="77777777" w:rsidR="00BE27BB" w:rsidRDefault="00BE27BB" w:rsidP="007A3159">
            <w:r>
              <w:t>2.540</w:t>
            </w:r>
          </w:p>
        </w:tc>
      </w:tr>
      <w:tr w:rsidR="00BE27BB" w14:paraId="18FB6260" w14:textId="77777777" w:rsidTr="007A3159">
        <w:trPr>
          <w:trHeight w:val="280"/>
        </w:trPr>
        <w:tc>
          <w:tcPr>
            <w:tcW w:w="1392" w:type="dxa"/>
            <w:tcBorders>
              <w:top w:val="single" w:sz="4" w:space="0" w:color="auto"/>
              <w:left w:val="single" w:sz="4" w:space="0" w:color="auto"/>
              <w:bottom w:val="single" w:sz="4" w:space="0" w:color="auto"/>
              <w:right w:val="single" w:sz="4" w:space="0" w:color="auto"/>
            </w:tcBorders>
          </w:tcPr>
          <w:p w14:paraId="4D1642B7"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6A0A4A95" w14:textId="77777777" w:rsidR="00BE27BB" w:rsidRDefault="00BE27BB" w:rsidP="007A3159">
            <w:r>
              <w:t>Mean time to surgical resection per year</w:t>
            </w:r>
          </w:p>
        </w:tc>
        <w:tc>
          <w:tcPr>
            <w:tcW w:w="2009" w:type="dxa"/>
            <w:tcBorders>
              <w:top w:val="single" w:sz="4" w:space="0" w:color="auto"/>
              <w:left w:val="single" w:sz="4" w:space="0" w:color="auto"/>
              <w:bottom w:val="single" w:sz="4" w:space="0" w:color="auto"/>
              <w:right w:val="single" w:sz="4" w:space="0" w:color="auto"/>
            </w:tcBorders>
            <w:hideMark/>
          </w:tcPr>
          <w:p w14:paraId="27DC29BF" w14:textId="77777777" w:rsidR="00BE27BB" w:rsidRDefault="00BE27BB" w:rsidP="007A3159">
            <w:r>
              <w:t>1.840</w:t>
            </w:r>
          </w:p>
        </w:tc>
        <w:tc>
          <w:tcPr>
            <w:tcW w:w="1617" w:type="dxa"/>
            <w:tcBorders>
              <w:top w:val="single" w:sz="4" w:space="0" w:color="auto"/>
              <w:left w:val="single" w:sz="4" w:space="0" w:color="auto"/>
              <w:bottom w:val="single" w:sz="4" w:space="0" w:color="auto"/>
              <w:right w:val="single" w:sz="4" w:space="0" w:color="auto"/>
            </w:tcBorders>
            <w:hideMark/>
          </w:tcPr>
          <w:p w14:paraId="443A4247" w14:textId="77777777" w:rsidR="00BE27BB" w:rsidRDefault="00BE27BB" w:rsidP="007A3159">
            <w:r>
              <w:t>1.742</w:t>
            </w:r>
          </w:p>
        </w:tc>
        <w:tc>
          <w:tcPr>
            <w:tcW w:w="2048" w:type="dxa"/>
            <w:tcBorders>
              <w:top w:val="single" w:sz="4" w:space="0" w:color="auto"/>
              <w:left w:val="single" w:sz="4" w:space="0" w:color="auto"/>
              <w:bottom w:val="single" w:sz="4" w:space="0" w:color="auto"/>
              <w:right w:val="single" w:sz="4" w:space="0" w:color="auto"/>
            </w:tcBorders>
            <w:hideMark/>
          </w:tcPr>
          <w:p w14:paraId="0A0D78FC" w14:textId="77777777" w:rsidR="00BE27BB" w:rsidRDefault="00BE27BB" w:rsidP="007A3159">
            <w:r>
              <w:t>.727</w:t>
            </w:r>
          </w:p>
        </w:tc>
        <w:tc>
          <w:tcPr>
            <w:tcW w:w="1057" w:type="dxa"/>
            <w:tcBorders>
              <w:top w:val="single" w:sz="4" w:space="0" w:color="auto"/>
              <w:left w:val="single" w:sz="4" w:space="0" w:color="auto"/>
              <w:bottom w:val="single" w:sz="4" w:space="0" w:color="auto"/>
              <w:right w:val="single" w:sz="4" w:space="0" w:color="auto"/>
            </w:tcBorders>
            <w:hideMark/>
          </w:tcPr>
          <w:p w14:paraId="41E71132" w14:textId="77777777" w:rsidR="00BE27BB" w:rsidRDefault="00BE27BB" w:rsidP="007A3159">
            <w:r>
              <w:t>1.056</w:t>
            </w:r>
          </w:p>
        </w:tc>
        <w:tc>
          <w:tcPr>
            <w:tcW w:w="893" w:type="dxa"/>
            <w:tcBorders>
              <w:top w:val="single" w:sz="4" w:space="0" w:color="auto"/>
              <w:left w:val="single" w:sz="4" w:space="0" w:color="auto"/>
              <w:bottom w:val="single" w:sz="4" w:space="0" w:color="auto"/>
              <w:right w:val="single" w:sz="4" w:space="0" w:color="auto"/>
            </w:tcBorders>
            <w:hideMark/>
          </w:tcPr>
          <w:p w14:paraId="588B871A" w14:textId="77777777" w:rsidR="00BE27BB" w:rsidRDefault="00BE27BB" w:rsidP="007A3159">
            <w:r>
              <w:t>.331</w:t>
            </w:r>
          </w:p>
        </w:tc>
        <w:tc>
          <w:tcPr>
            <w:tcW w:w="1809" w:type="dxa"/>
            <w:tcBorders>
              <w:top w:val="single" w:sz="4" w:space="0" w:color="auto"/>
              <w:left w:val="single" w:sz="4" w:space="0" w:color="auto"/>
              <w:bottom w:val="single" w:sz="4" w:space="0" w:color="auto"/>
              <w:right w:val="single" w:sz="4" w:space="0" w:color="auto"/>
            </w:tcBorders>
            <w:hideMark/>
          </w:tcPr>
          <w:p w14:paraId="7BCAC569" w14:textId="77777777" w:rsidR="00BE27BB" w:rsidRDefault="00BE27BB" w:rsidP="007A3159">
            <w:r>
              <w:t>-2.422</w:t>
            </w:r>
          </w:p>
        </w:tc>
        <w:tc>
          <w:tcPr>
            <w:tcW w:w="1225" w:type="dxa"/>
            <w:tcBorders>
              <w:top w:val="single" w:sz="4" w:space="0" w:color="auto"/>
              <w:left w:val="single" w:sz="4" w:space="0" w:color="auto"/>
              <w:bottom w:val="single" w:sz="4" w:space="0" w:color="auto"/>
              <w:right w:val="single" w:sz="4" w:space="0" w:color="auto"/>
            </w:tcBorders>
            <w:hideMark/>
          </w:tcPr>
          <w:p w14:paraId="2D044C99" w14:textId="77777777" w:rsidR="00BE27BB" w:rsidRDefault="00BE27BB" w:rsidP="007A3159">
            <w:r>
              <w:t>6.101</w:t>
            </w:r>
          </w:p>
        </w:tc>
      </w:tr>
      <w:tr w:rsidR="00BE27BB" w14:paraId="1D7F64F9"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9B9B7"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68E33" w14:textId="77777777" w:rsidR="00BE27BB" w:rsidRDefault="00BE27BB" w:rsidP="007A3159"/>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A29F3" w14:textId="77777777" w:rsidR="00BE27BB" w:rsidRDefault="00BE27BB" w:rsidP="007A3159"/>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80694" w14:textId="77777777" w:rsidR="00BE27BB" w:rsidRDefault="00BE27BB" w:rsidP="007A3159"/>
        </w:tc>
        <w:tc>
          <w:tcPr>
            <w:tcW w:w="2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11131" w14:textId="77777777" w:rsidR="00BE27BB" w:rsidRDefault="00BE27BB" w:rsidP="007A3159"/>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4BD5" w14:textId="77777777" w:rsidR="00BE27BB" w:rsidRDefault="00BE27BB" w:rsidP="007A3159"/>
        </w:tc>
        <w:tc>
          <w:tcPr>
            <w:tcW w:w="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30BB5" w14:textId="77777777" w:rsidR="00BE27BB" w:rsidRDefault="00BE27BB" w:rsidP="007A3159"/>
        </w:tc>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51D15" w14:textId="77777777" w:rsidR="00BE27BB" w:rsidRDefault="00BE27BB" w:rsidP="007A3159"/>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991EA" w14:textId="77777777" w:rsidR="00BE27BB" w:rsidRDefault="00BE27BB" w:rsidP="007A3159"/>
        </w:tc>
      </w:tr>
      <w:tr w:rsidR="00BE27BB" w14:paraId="61C27AAB" w14:textId="77777777" w:rsidTr="007A3159">
        <w:trPr>
          <w:trHeight w:val="421"/>
        </w:trPr>
        <w:tc>
          <w:tcPr>
            <w:tcW w:w="1392" w:type="dxa"/>
            <w:tcBorders>
              <w:top w:val="single" w:sz="4" w:space="0" w:color="auto"/>
              <w:left w:val="single" w:sz="4" w:space="0" w:color="auto"/>
              <w:bottom w:val="single" w:sz="4" w:space="0" w:color="auto"/>
              <w:right w:val="single" w:sz="4" w:space="0" w:color="auto"/>
            </w:tcBorders>
            <w:hideMark/>
          </w:tcPr>
          <w:p w14:paraId="3B516951" w14:textId="77777777" w:rsidR="00BE27BB" w:rsidRDefault="00BE27BB" w:rsidP="007A3159">
            <w:pPr>
              <w:rPr>
                <w:b/>
              </w:rPr>
            </w:pPr>
            <w:r>
              <w:rPr>
                <w:b/>
              </w:rPr>
              <w:t>2</w:t>
            </w:r>
          </w:p>
        </w:tc>
        <w:tc>
          <w:tcPr>
            <w:tcW w:w="2385" w:type="dxa"/>
            <w:tcBorders>
              <w:top w:val="single" w:sz="4" w:space="0" w:color="auto"/>
              <w:left w:val="single" w:sz="4" w:space="0" w:color="auto"/>
              <w:bottom w:val="single" w:sz="4" w:space="0" w:color="auto"/>
              <w:right w:val="single" w:sz="4" w:space="0" w:color="auto"/>
            </w:tcBorders>
            <w:hideMark/>
          </w:tcPr>
          <w:p w14:paraId="3D421F7E" w14:textId="77777777" w:rsidR="00BE27BB" w:rsidRDefault="00BE27BB" w:rsidP="007A3159">
            <w:r>
              <w:t>Anti-TNF prevalence per year</w:t>
            </w:r>
          </w:p>
        </w:tc>
        <w:tc>
          <w:tcPr>
            <w:tcW w:w="2009" w:type="dxa"/>
            <w:tcBorders>
              <w:top w:val="single" w:sz="4" w:space="0" w:color="auto"/>
              <w:left w:val="single" w:sz="4" w:space="0" w:color="auto"/>
              <w:bottom w:val="single" w:sz="4" w:space="0" w:color="auto"/>
              <w:right w:val="single" w:sz="4" w:space="0" w:color="auto"/>
            </w:tcBorders>
            <w:hideMark/>
          </w:tcPr>
          <w:p w14:paraId="2CBF0129" w14:textId="77777777" w:rsidR="00BE27BB" w:rsidRDefault="00BE27BB" w:rsidP="007A3159">
            <w:r>
              <w:t>-.261</w:t>
            </w:r>
          </w:p>
        </w:tc>
        <w:tc>
          <w:tcPr>
            <w:tcW w:w="1617" w:type="dxa"/>
            <w:tcBorders>
              <w:top w:val="single" w:sz="4" w:space="0" w:color="auto"/>
              <w:left w:val="single" w:sz="4" w:space="0" w:color="auto"/>
              <w:bottom w:val="single" w:sz="4" w:space="0" w:color="auto"/>
              <w:right w:val="single" w:sz="4" w:space="0" w:color="auto"/>
            </w:tcBorders>
            <w:hideMark/>
          </w:tcPr>
          <w:p w14:paraId="369C5A50" w14:textId="77777777" w:rsidR="00BE27BB" w:rsidRDefault="00BE27BB" w:rsidP="007A3159">
            <w:r>
              <w:t>.157</w:t>
            </w:r>
          </w:p>
        </w:tc>
        <w:tc>
          <w:tcPr>
            <w:tcW w:w="2048" w:type="dxa"/>
            <w:tcBorders>
              <w:top w:val="single" w:sz="4" w:space="0" w:color="auto"/>
              <w:left w:val="single" w:sz="4" w:space="0" w:color="auto"/>
              <w:bottom w:val="single" w:sz="4" w:space="0" w:color="auto"/>
              <w:right w:val="single" w:sz="4" w:space="0" w:color="auto"/>
            </w:tcBorders>
            <w:hideMark/>
          </w:tcPr>
          <w:p w14:paraId="27416F6E" w14:textId="77777777" w:rsidR="00BE27BB" w:rsidRDefault="00BE27BB" w:rsidP="007A3159">
            <w:r>
              <w:t>-1.204</w:t>
            </w:r>
          </w:p>
        </w:tc>
        <w:tc>
          <w:tcPr>
            <w:tcW w:w="1057" w:type="dxa"/>
            <w:tcBorders>
              <w:top w:val="single" w:sz="4" w:space="0" w:color="auto"/>
              <w:left w:val="single" w:sz="4" w:space="0" w:color="auto"/>
              <w:bottom w:val="single" w:sz="4" w:space="0" w:color="auto"/>
              <w:right w:val="single" w:sz="4" w:space="0" w:color="auto"/>
            </w:tcBorders>
            <w:hideMark/>
          </w:tcPr>
          <w:p w14:paraId="145C8390" w14:textId="77777777" w:rsidR="00BE27BB" w:rsidRDefault="00BE27BB" w:rsidP="007A3159">
            <w:r>
              <w:t>-1.660</w:t>
            </w:r>
          </w:p>
        </w:tc>
        <w:tc>
          <w:tcPr>
            <w:tcW w:w="893" w:type="dxa"/>
            <w:tcBorders>
              <w:top w:val="single" w:sz="4" w:space="0" w:color="auto"/>
              <w:left w:val="single" w:sz="4" w:space="0" w:color="auto"/>
              <w:bottom w:val="single" w:sz="4" w:space="0" w:color="auto"/>
              <w:right w:val="single" w:sz="4" w:space="0" w:color="auto"/>
            </w:tcBorders>
            <w:hideMark/>
          </w:tcPr>
          <w:p w14:paraId="3C2FF26C" w14:textId="77777777" w:rsidR="00BE27BB" w:rsidRDefault="00BE27BB" w:rsidP="007A3159">
            <w:r>
              <w:t>.141</w:t>
            </w:r>
          </w:p>
        </w:tc>
        <w:tc>
          <w:tcPr>
            <w:tcW w:w="1809" w:type="dxa"/>
            <w:tcBorders>
              <w:top w:val="single" w:sz="4" w:space="0" w:color="auto"/>
              <w:left w:val="single" w:sz="4" w:space="0" w:color="auto"/>
              <w:bottom w:val="single" w:sz="4" w:space="0" w:color="auto"/>
              <w:right w:val="single" w:sz="4" w:space="0" w:color="auto"/>
            </w:tcBorders>
            <w:hideMark/>
          </w:tcPr>
          <w:p w14:paraId="1673DB2D" w14:textId="77777777" w:rsidR="00BE27BB" w:rsidRDefault="00BE27BB" w:rsidP="007A3159">
            <w:r>
              <w:t>-.632</w:t>
            </w:r>
          </w:p>
        </w:tc>
        <w:tc>
          <w:tcPr>
            <w:tcW w:w="1225" w:type="dxa"/>
            <w:tcBorders>
              <w:top w:val="single" w:sz="4" w:space="0" w:color="auto"/>
              <w:left w:val="single" w:sz="4" w:space="0" w:color="auto"/>
              <w:bottom w:val="single" w:sz="4" w:space="0" w:color="auto"/>
              <w:right w:val="single" w:sz="4" w:space="0" w:color="auto"/>
            </w:tcBorders>
            <w:hideMark/>
          </w:tcPr>
          <w:p w14:paraId="75ABFAD4" w14:textId="77777777" w:rsidR="00BE27BB" w:rsidRDefault="00BE27BB" w:rsidP="007A3159">
            <w:r>
              <w:t>.111</w:t>
            </w:r>
          </w:p>
        </w:tc>
      </w:tr>
      <w:tr w:rsidR="00BE27BB" w14:paraId="08548460"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tcPr>
          <w:p w14:paraId="7CE8E26F"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0D43C73F" w14:textId="77777777" w:rsidR="00BE27BB" w:rsidRDefault="00BE27BB" w:rsidP="007A3159">
            <w:r>
              <w:t>Mean time to anti-TNF per year</w:t>
            </w:r>
          </w:p>
        </w:tc>
        <w:tc>
          <w:tcPr>
            <w:tcW w:w="2009" w:type="dxa"/>
            <w:tcBorders>
              <w:top w:val="single" w:sz="4" w:space="0" w:color="auto"/>
              <w:left w:val="single" w:sz="4" w:space="0" w:color="auto"/>
              <w:bottom w:val="single" w:sz="4" w:space="0" w:color="auto"/>
              <w:right w:val="single" w:sz="4" w:space="0" w:color="auto"/>
            </w:tcBorders>
            <w:hideMark/>
          </w:tcPr>
          <w:p w14:paraId="7C3F665E" w14:textId="77777777" w:rsidR="00BE27BB" w:rsidRDefault="00BE27BB" w:rsidP="007A3159">
            <w:r>
              <w:t>.585</w:t>
            </w:r>
          </w:p>
        </w:tc>
        <w:tc>
          <w:tcPr>
            <w:tcW w:w="1617" w:type="dxa"/>
            <w:tcBorders>
              <w:top w:val="single" w:sz="4" w:space="0" w:color="auto"/>
              <w:left w:val="single" w:sz="4" w:space="0" w:color="auto"/>
              <w:bottom w:val="single" w:sz="4" w:space="0" w:color="auto"/>
              <w:right w:val="single" w:sz="4" w:space="0" w:color="auto"/>
            </w:tcBorders>
            <w:hideMark/>
          </w:tcPr>
          <w:p w14:paraId="274723FA" w14:textId="77777777" w:rsidR="00BE27BB" w:rsidRDefault="00BE27BB" w:rsidP="007A3159">
            <w:r>
              <w:t>.767</w:t>
            </w:r>
          </w:p>
        </w:tc>
        <w:tc>
          <w:tcPr>
            <w:tcW w:w="2048" w:type="dxa"/>
            <w:tcBorders>
              <w:top w:val="single" w:sz="4" w:space="0" w:color="auto"/>
              <w:left w:val="single" w:sz="4" w:space="0" w:color="auto"/>
              <w:bottom w:val="single" w:sz="4" w:space="0" w:color="auto"/>
              <w:right w:val="single" w:sz="4" w:space="0" w:color="auto"/>
            </w:tcBorders>
            <w:hideMark/>
          </w:tcPr>
          <w:p w14:paraId="6F3C0329" w14:textId="77777777" w:rsidR="00BE27BB" w:rsidRDefault="00BE27BB" w:rsidP="007A3159">
            <w:r>
              <w:t>.231</w:t>
            </w:r>
          </w:p>
        </w:tc>
        <w:tc>
          <w:tcPr>
            <w:tcW w:w="1057" w:type="dxa"/>
            <w:tcBorders>
              <w:top w:val="single" w:sz="4" w:space="0" w:color="auto"/>
              <w:left w:val="single" w:sz="4" w:space="0" w:color="auto"/>
              <w:bottom w:val="single" w:sz="4" w:space="0" w:color="auto"/>
              <w:right w:val="single" w:sz="4" w:space="0" w:color="auto"/>
            </w:tcBorders>
            <w:hideMark/>
          </w:tcPr>
          <w:p w14:paraId="6C5237D3" w14:textId="77777777" w:rsidR="00BE27BB" w:rsidRDefault="00BE27BB" w:rsidP="007A3159">
            <w:r>
              <w:t>.763</w:t>
            </w:r>
          </w:p>
        </w:tc>
        <w:tc>
          <w:tcPr>
            <w:tcW w:w="893" w:type="dxa"/>
            <w:tcBorders>
              <w:top w:val="single" w:sz="4" w:space="0" w:color="auto"/>
              <w:left w:val="single" w:sz="4" w:space="0" w:color="auto"/>
              <w:bottom w:val="single" w:sz="4" w:space="0" w:color="auto"/>
              <w:right w:val="single" w:sz="4" w:space="0" w:color="auto"/>
            </w:tcBorders>
            <w:hideMark/>
          </w:tcPr>
          <w:p w14:paraId="29348447" w14:textId="77777777" w:rsidR="00BE27BB" w:rsidRDefault="00BE27BB" w:rsidP="007A3159">
            <w:r>
              <w:t>.470</w:t>
            </w:r>
          </w:p>
        </w:tc>
        <w:tc>
          <w:tcPr>
            <w:tcW w:w="1809" w:type="dxa"/>
            <w:tcBorders>
              <w:top w:val="single" w:sz="4" w:space="0" w:color="auto"/>
              <w:left w:val="single" w:sz="4" w:space="0" w:color="auto"/>
              <w:bottom w:val="single" w:sz="4" w:space="0" w:color="auto"/>
              <w:right w:val="single" w:sz="4" w:space="0" w:color="auto"/>
            </w:tcBorders>
            <w:hideMark/>
          </w:tcPr>
          <w:p w14:paraId="5EC35D8D" w14:textId="77777777" w:rsidR="00BE27BB" w:rsidRDefault="00BE27BB" w:rsidP="007A3159">
            <w:r>
              <w:t>-1.228</w:t>
            </w:r>
          </w:p>
        </w:tc>
        <w:tc>
          <w:tcPr>
            <w:tcW w:w="1225" w:type="dxa"/>
            <w:tcBorders>
              <w:top w:val="single" w:sz="4" w:space="0" w:color="auto"/>
              <w:left w:val="single" w:sz="4" w:space="0" w:color="auto"/>
              <w:bottom w:val="single" w:sz="4" w:space="0" w:color="auto"/>
              <w:right w:val="single" w:sz="4" w:space="0" w:color="auto"/>
            </w:tcBorders>
            <w:hideMark/>
          </w:tcPr>
          <w:p w14:paraId="07E8C830" w14:textId="77777777" w:rsidR="00BE27BB" w:rsidRDefault="00BE27BB" w:rsidP="007A3159">
            <w:r>
              <w:t>2.397</w:t>
            </w:r>
          </w:p>
        </w:tc>
      </w:tr>
      <w:tr w:rsidR="00BE27BB" w14:paraId="3F67A947" w14:textId="77777777" w:rsidTr="007A3159">
        <w:trPr>
          <w:trHeight w:val="280"/>
        </w:trPr>
        <w:tc>
          <w:tcPr>
            <w:tcW w:w="1392" w:type="dxa"/>
            <w:tcBorders>
              <w:top w:val="single" w:sz="4" w:space="0" w:color="auto"/>
              <w:left w:val="single" w:sz="4" w:space="0" w:color="auto"/>
              <w:bottom w:val="single" w:sz="4" w:space="0" w:color="auto"/>
              <w:right w:val="single" w:sz="4" w:space="0" w:color="auto"/>
            </w:tcBorders>
          </w:tcPr>
          <w:p w14:paraId="2D670D6D"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657ACB10" w14:textId="77777777" w:rsidR="00BE27BB" w:rsidRDefault="00BE27BB" w:rsidP="007A3159">
            <w:r>
              <w:t>Mean time to surgical resection per year</w:t>
            </w:r>
          </w:p>
        </w:tc>
        <w:tc>
          <w:tcPr>
            <w:tcW w:w="2009" w:type="dxa"/>
            <w:tcBorders>
              <w:top w:val="single" w:sz="4" w:space="0" w:color="auto"/>
              <w:left w:val="single" w:sz="4" w:space="0" w:color="auto"/>
              <w:bottom w:val="single" w:sz="4" w:space="0" w:color="auto"/>
              <w:right w:val="single" w:sz="4" w:space="0" w:color="auto"/>
            </w:tcBorders>
            <w:hideMark/>
          </w:tcPr>
          <w:p w14:paraId="32CD150E" w14:textId="77777777" w:rsidR="00BE27BB" w:rsidRDefault="00BE27BB" w:rsidP="007A3159">
            <w:r>
              <w:t>1.659</w:t>
            </w:r>
          </w:p>
        </w:tc>
        <w:tc>
          <w:tcPr>
            <w:tcW w:w="1617" w:type="dxa"/>
            <w:tcBorders>
              <w:top w:val="single" w:sz="4" w:space="0" w:color="auto"/>
              <w:left w:val="single" w:sz="4" w:space="0" w:color="auto"/>
              <w:bottom w:val="single" w:sz="4" w:space="0" w:color="auto"/>
              <w:right w:val="single" w:sz="4" w:space="0" w:color="auto"/>
            </w:tcBorders>
            <w:hideMark/>
          </w:tcPr>
          <w:p w14:paraId="00AD97AD" w14:textId="77777777" w:rsidR="00BE27BB" w:rsidRDefault="00BE27BB" w:rsidP="007A3159">
            <w:r>
              <w:t>1.624</w:t>
            </w:r>
          </w:p>
        </w:tc>
        <w:tc>
          <w:tcPr>
            <w:tcW w:w="2048" w:type="dxa"/>
            <w:tcBorders>
              <w:top w:val="single" w:sz="4" w:space="0" w:color="auto"/>
              <w:left w:val="single" w:sz="4" w:space="0" w:color="auto"/>
              <w:bottom w:val="single" w:sz="4" w:space="0" w:color="auto"/>
              <w:right w:val="single" w:sz="4" w:space="0" w:color="auto"/>
            </w:tcBorders>
            <w:hideMark/>
          </w:tcPr>
          <w:p w14:paraId="1EA0764E" w14:textId="77777777" w:rsidR="00BE27BB" w:rsidRDefault="00BE27BB" w:rsidP="007A3159">
            <w:r>
              <w:t>.655</w:t>
            </w:r>
          </w:p>
        </w:tc>
        <w:tc>
          <w:tcPr>
            <w:tcW w:w="1057" w:type="dxa"/>
            <w:tcBorders>
              <w:top w:val="single" w:sz="4" w:space="0" w:color="auto"/>
              <w:left w:val="single" w:sz="4" w:space="0" w:color="auto"/>
              <w:bottom w:val="single" w:sz="4" w:space="0" w:color="auto"/>
              <w:right w:val="single" w:sz="4" w:space="0" w:color="auto"/>
            </w:tcBorders>
            <w:hideMark/>
          </w:tcPr>
          <w:p w14:paraId="0CE7597E" w14:textId="77777777" w:rsidR="00BE27BB" w:rsidRDefault="00BE27BB" w:rsidP="007A3159">
            <w:r>
              <w:t>1.021</w:t>
            </w:r>
          </w:p>
        </w:tc>
        <w:tc>
          <w:tcPr>
            <w:tcW w:w="893" w:type="dxa"/>
            <w:tcBorders>
              <w:top w:val="single" w:sz="4" w:space="0" w:color="auto"/>
              <w:left w:val="single" w:sz="4" w:space="0" w:color="auto"/>
              <w:bottom w:val="single" w:sz="4" w:space="0" w:color="auto"/>
              <w:right w:val="single" w:sz="4" w:space="0" w:color="auto"/>
            </w:tcBorders>
            <w:hideMark/>
          </w:tcPr>
          <w:p w14:paraId="2260FCDF" w14:textId="77777777" w:rsidR="00BE27BB" w:rsidRDefault="00BE27BB" w:rsidP="007A3159">
            <w:r>
              <w:t>.341</w:t>
            </w:r>
          </w:p>
        </w:tc>
        <w:tc>
          <w:tcPr>
            <w:tcW w:w="1809" w:type="dxa"/>
            <w:tcBorders>
              <w:top w:val="single" w:sz="4" w:space="0" w:color="auto"/>
              <w:left w:val="single" w:sz="4" w:space="0" w:color="auto"/>
              <w:bottom w:val="single" w:sz="4" w:space="0" w:color="auto"/>
              <w:right w:val="single" w:sz="4" w:space="0" w:color="auto"/>
            </w:tcBorders>
            <w:hideMark/>
          </w:tcPr>
          <w:p w14:paraId="7DD1BAC8" w14:textId="77777777" w:rsidR="00BE27BB" w:rsidRDefault="00BE27BB" w:rsidP="007A3159">
            <w:r>
              <w:t>-2.181</w:t>
            </w:r>
          </w:p>
        </w:tc>
        <w:tc>
          <w:tcPr>
            <w:tcW w:w="1225" w:type="dxa"/>
            <w:tcBorders>
              <w:top w:val="single" w:sz="4" w:space="0" w:color="auto"/>
              <w:left w:val="single" w:sz="4" w:space="0" w:color="auto"/>
              <w:bottom w:val="single" w:sz="4" w:space="0" w:color="auto"/>
              <w:right w:val="single" w:sz="4" w:space="0" w:color="auto"/>
            </w:tcBorders>
            <w:hideMark/>
          </w:tcPr>
          <w:p w14:paraId="71F782F3" w14:textId="77777777" w:rsidR="00BE27BB" w:rsidRDefault="00BE27BB" w:rsidP="007A3159">
            <w:r>
              <w:t>5.499</w:t>
            </w:r>
          </w:p>
        </w:tc>
      </w:tr>
      <w:tr w:rsidR="00BE27BB" w14:paraId="46008F27"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5CC28"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5D952" w14:textId="77777777" w:rsidR="00BE27BB" w:rsidRDefault="00BE27BB" w:rsidP="007A3159"/>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00DF" w14:textId="77777777" w:rsidR="00BE27BB" w:rsidRDefault="00BE27BB" w:rsidP="007A3159"/>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13BF0" w14:textId="77777777" w:rsidR="00BE27BB" w:rsidRDefault="00BE27BB" w:rsidP="007A3159"/>
        </w:tc>
        <w:tc>
          <w:tcPr>
            <w:tcW w:w="2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2042" w14:textId="77777777" w:rsidR="00BE27BB" w:rsidRDefault="00BE27BB" w:rsidP="007A3159"/>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550D" w14:textId="77777777" w:rsidR="00BE27BB" w:rsidRDefault="00BE27BB" w:rsidP="007A3159"/>
        </w:tc>
        <w:tc>
          <w:tcPr>
            <w:tcW w:w="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29BBB" w14:textId="77777777" w:rsidR="00BE27BB" w:rsidRDefault="00BE27BB" w:rsidP="007A3159"/>
        </w:tc>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D1DC4" w14:textId="77777777" w:rsidR="00BE27BB" w:rsidRDefault="00BE27BB" w:rsidP="007A3159"/>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BB0F6" w14:textId="77777777" w:rsidR="00BE27BB" w:rsidRDefault="00BE27BB" w:rsidP="007A3159"/>
        </w:tc>
      </w:tr>
      <w:tr w:rsidR="00BE27BB" w14:paraId="34B4939B" w14:textId="77777777" w:rsidTr="007A3159">
        <w:trPr>
          <w:trHeight w:val="421"/>
        </w:trPr>
        <w:tc>
          <w:tcPr>
            <w:tcW w:w="1392" w:type="dxa"/>
            <w:tcBorders>
              <w:top w:val="single" w:sz="4" w:space="0" w:color="auto"/>
              <w:left w:val="single" w:sz="4" w:space="0" w:color="auto"/>
              <w:bottom w:val="single" w:sz="4" w:space="0" w:color="auto"/>
              <w:right w:val="single" w:sz="4" w:space="0" w:color="auto"/>
            </w:tcBorders>
            <w:hideMark/>
          </w:tcPr>
          <w:p w14:paraId="1E80B771" w14:textId="77777777" w:rsidR="00BE27BB" w:rsidRDefault="00BE27BB" w:rsidP="007A3159">
            <w:pPr>
              <w:rPr>
                <w:b/>
              </w:rPr>
            </w:pPr>
            <w:r>
              <w:rPr>
                <w:b/>
              </w:rPr>
              <w:t>3</w:t>
            </w:r>
          </w:p>
        </w:tc>
        <w:tc>
          <w:tcPr>
            <w:tcW w:w="2385" w:type="dxa"/>
            <w:tcBorders>
              <w:top w:val="single" w:sz="4" w:space="0" w:color="auto"/>
              <w:left w:val="single" w:sz="4" w:space="0" w:color="auto"/>
              <w:bottom w:val="single" w:sz="4" w:space="0" w:color="auto"/>
              <w:right w:val="single" w:sz="4" w:space="0" w:color="auto"/>
            </w:tcBorders>
            <w:hideMark/>
          </w:tcPr>
          <w:p w14:paraId="4B0A2F95" w14:textId="77777777" w:rsidR="00BE27BB" w:rsidRDefault="00BE27BB" w:rsidP="007A3159">
            <w:r>
              <w:t>Anti-TNF prevalence per year</w:t>
            </w:r>
          </w:p>
        </w:tc>
        <w:tc>
          <w:tcPr>
            <w:tcW w:w="2009" w:type="dxa"/>
            <w:tcBorders>
              <w:top w:val="single" w:sz="4" w:space="0" w:color="auto"/>
              <w:left w:val="single" w:sz="4" w:space="0" w:color="auto"/>
              <w:bottom w:val="single" w:sz="4" w:space="0" w:color="auto"/>
              <w:right w:val="single" w:sz="4" w:space="0" w:color="auto"/>
            </w:tcBorders>
            <w:hideMark/>
          </w:tcPr>
          <w:p w14:paraId="60D0568C" w14:textId="77777777" w:rsidR="00BE27BB" w:rsidRDefault="00BE27BB" w:rsidP="007A3159">
            <w:r>
              <w:t>-.344</w:t>
            </w:r>
          </w:p>
        </w:tc>
        <w:tc>
          <w:tcPr>
            <w:tcW w:w="1617" w:type="dxa"/>
            <w:tcBorders>
              <w:top w:val="single" w:sz="4" w:space="0" w:color="auto"/>
              <w:left w:val="single" w:sz="4" w:space="0" w:color="auto"/>
              <w:bottom w:val="single" w:sz="4" w:space="0" w:color="auto"/>
              <w:right w:val="single" w:sz="4" w:space="0" w:color="auto"/>
            </w:tcBorders>
            <w:hideMark/>
          </w:tcPr>
          <w:p w14:paraId="33951685" w14:textId="77777777" w:rsidR="00BE27BB" w:rsidRDefault="00BE27BB" w:rsidP="007A3159">
            <w:r>
              <w:t>.110</w:t>
            </w:r>
          </w:p>
        </w:tc>
        <w:tc>
          <w:tcPr>
            <w:tcW w:w="2048" w:type="dxa"/>
            <w:tcBorders>
              <w:top w:val="single" w:sz="4" w:space="0" w:color="auto"/>
              <w:left w:val="single" w:sz="4" w:space="0" w:color="auto"/>
              <w:bottom w:val="single" w:sz="4" w:space="0" w:color="auto"/>
              <w:right w:val="single" w:sz="4" w:space="0" w:color="auto"/>
            </w:tcBorders>
            <w:hideMark/>
          </w:tcPr>
          <w:p w14:paraId="798DC81A" w14:textId="77777777" w:rsidR="00BE27BB" w:rsidRDefault="00BE27BB" w:rsidP="007A3159">
            <w:r>
              <w:t>-1.586</w:t>
            </w:r>
          </w:p>
        </w:tc>
        <w:tc>
          <w:tcPr>
            <w:tcW w:w="1057" w:type="dxa"/>
            <w:tcBorders>
              <w:top w:val="single" w:sz="4" w:space="0" w:color="auto"/>
              <w:left w:val="single" w:sz="4" w:space="0" w:color="auto"/>
              <w:bottom w:val="single" w:sz="4" w:space="0" w:color="auto"/>
              <w:right w:val="single" w:sz="4" w:space="0" w:color="auto"/>
            </w:tcBorders>
            <w:hideMark/>
          </w:tcPr>
          <w:p w14:paraId="4F427AD7" w14:textId="77777777" w:rsidR="00BE27BB" w:rsidRDefault="00BE27BB" w:rsidP="007A3159">
            <w:r>
              <w:t>-3.114</w:t>
            </w:r>
          </w:p>
        </w:tc>
        <w:tc>
          <w:tcPr>
            <w:tcW w:w="893" w:type="dxa"/>
            <w:tcBorders>
              <w:top w:val="single" w:sz="4" w:space="0" w:color="auto"/>
              <w:left w:val="single" w:sz="4" w:space="0" w:color="auto"/>
              <w:bottom w:val="single" w:sz="4" w:space="0" w:color="auto"/>
              <w:right w:val="single" w:sz="4" w:space="0" w:color="auto"/>
            </w:tcBorders>
            <w:hideMark/>
          </w:tcPr>
          <w:p w14:paraId="446F6B70" w14:textId="77777777" w:rsidR="00BE27BB" w:rsidRDefault="00BE27BB" w:rsidP="007A3159">
            <w:r>
              <w:t>.014</w:t>
            </w:r>
          </w:p>
        </w:tc>
        <w:tc>
          <w:tcPr>
            <w:tcW w:w="1809" w:type="dxa"/>
            <w:tcBorders>
              <w:top w:val="single" w:sz="4" w:space="0" w:color="auto"/>
              <w:left w:val="single" w:sz="4" w:space="0" w:color="auto"/>
              <w:bottom w:val="single" w:sz="4" w:space="0" w:color="auto"/>
              <w:right w:val="single" w:sz="4" w:space="0" w:color="auto"/>
            </w:tcBorders>
            <w:hideMark/>
          </w:tcPr>
          <w:p w14:paraId="01797FA8" w14:textId="77777777" w:rsidR="00BE27BB" w:rsidRDefault="00BE27BB" w:rsidP="007A3159">
            <w:r>
              <w:t>-.598</w:t>
            </w:r>
          </w:p>
        </w:tc>
        <w:tc>
          <w:tcPr>
            <w:tcW w:w="1225" w:type="dxa"/>
            <w:tcBorders>
              <w:top w:val="single" w:sz="4" w:space="0" w:color="auto"/>
              <w:left w:val="single" w:sz="4" w:space="0" w:color="auto"/>
              <w:bottom w:val="single" w:sz="4" w:space="0" w:color="auto"/>
              <w:right w:val="single" w:sz="4" w:space="0" w:color="auto"/>
            </w:tcBorders>
            <w:hideMark/>
          </w:tcPr>
          <w:p w14:paraId="2D230CF3" w14:textId="77777777" w:rsidR="00BE27BB" w:rsidRDefault="00BE27BB" w:rsidP="007A3159">
            <w:r>
              <w:t>-.089</w:t>
            </w:r>
          </w:p>
        </w:tc>
      </w:tr>
      <w:tr w:rsidR="00BE27BB" w14:paraId="7F6AAAD6"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tcPr>
          <w:p w14:paraId="0E8F71AC"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hideMark/>
          </w:tcPr>
          <w:p w14:paraId="300892D6" w14:textId="77777777" w:rsidR="00BE27BB" w:rsidRDefault="00BE27BB" w:rsidP="007A3159">
            <w:r>
              <w:t>Mean time to surgical resection per year</w:t>
            </w:r>
          </w:p>
        </w:tc>
        <w:tc>
          <w:tcPr>
            <w:tcW w:w="2009" w:type="dxa"/>
            <w:tcBorders>
              <w:top w:val="single" w:sz="4" w:space="0" w:color="auto"/>
              <w:left w:val="single" w:sz="4" w:space="0" w:color="auto"/>
              <w:bottom w:val="single" w:sz="4" w:space="0" w:color="auto"/>
              <w:right w:val="single" w:sz="4" w:space="0" w:color="auto"/>
            </w:tcBorders>
            <w:hideMark/>
          </w:tcPr>
          <w:p w14:paraId="53F5F88A" w14:textId="77777777" w:rsidR="00BE27BB" w:rsidRDefault="00BE27BB" w:rsidP="007A3159">
            <w:r>
              <w:t>2.375</w:t>
            </w:r>
          </w:p>
        </w:tc>
        <w:tc>
          <w:tcPr>
            <w:tcW w:w="1617" w:type="dxa"/>
            <w:tcBorders>
              <w:top w:val="single" w:sz="4" w:space="0" w:color="auto"/>
              <w:left w:val="single" w:sz="4" w:space="0" w:color="auto"/>
              <w:bottom w:val="single" w:sz="4" w:space="0" w:color="auto"/>
              <w:right w:val="single" w:sz="4" w:space="0" w:color="auto"/>
            </w:tcBorders>
            <w:hideMark/>
          </w:tcPr>
          <w:p w14:paraId="1E4CB1B2" w14:textId="77777777" w:rsidR="00BE27BB" w:rsidRDefault="00BE27BB" w:rsidP="007A3159">
            <w:r>
              <w:t>1.290</w:t>
            </w:r>
          </w:p>
        </w:tc>
        <w:tc>
          <w:tcPr>
            <w:tcW w:w="2048" w:type="dxa"/>
            <w:tcBorders>
              <w:top w:val="single" w:sz="4" w:space="0" w:color="auto"/>
              <w:left w:val="single" w:sz="4" w:space="0" w:color="auto"/>
              <w:bottom w:val="single" w:sz="4" w:space="0" w:color="auto"/>
              <w:right w:val="single" w:sz="4" w:space="0" w:color="auto"/>
            </w:tcBorders>
            <w:hideMark/>
          </w:tcPr>
          <w:p w14:paraId="7F49B681" w14:textId="77777777" w:rsidR="00BE27BB" w:rsidRDefault="00BE27BB" w:rsidP="007A3159">
            <w:r>
              <w:t>.938</w:t>
            </w:r>
          </w:p>
        </w:tc>
        <w:tc>
          <w:tcPr>
            <w:tcW w:w="1057" w:type="dxa"/>
            <w:tcBorders>
              <w:top w:val="single" w:sz="4" w:space="0" w:color="auto"/>
              <w:left w:val="single" w:sz="4" w:space="0" w:color="auto"/>
              <w:bottom w:val="single" w:sz="4" w:space="0" w:color="auto"/>
              <w:right w:val="single" w:sz="4" w:space="0" w:color="auto"/>
            </w:tcBorders>
            <w:hideMark/>
          </w:tcPr>
          <w:p w14:paraId="49EB5F95" w14:textId="77777777" w:rsidR="00BE27BB" w:rsidRDefault="00BE27BB" w:rsidP="007A3159">
            <w:r>
              <w:t>1.841</w:t>
            </w:r>
          </w:p>
        </w:tc>
        <w:tc>
          <w:tcPr>
            <w:tcW w:w="893" w:type="dxa"/>
            <w:tcBorders>
              <w:top w:val="single" w:sz="4" w:space="0" w:color="auto"/>
              <w:left w:val="single" w:sz="4" w:space="0" w:color="auto"/>
              <w:bottom w:val="single" w:sz="4" w:space="0" w:color="auto"/>
              <w:right w:val="single" w:sz="4" w:space="0" w:color="auto"/>
            </w:tcBorders>
            <w:hideMark/>
          </w:tcPr>
          <w:p w14:paraId="65BEC68C" w14:textId="77777777" w:rsidR="00BE27BB" w:rsidRDefault="00BE27BB" w:rsidP="007A3159">
            <w:r>
              <w:t>.103</w:t>
            </w:r>
          </w:p>
        </w:tc>
        <w:tc>
          <w:tcPr>
            <w:tcW w:w="1809" w:type="dxa"/>
            <w:tcBorders>
              <w:top w:val="single" w:sz="4" w:space="0" w:color="auto"/>
              <w:left w:val="single" w:sz="4" w:space="0" w:color="auto"/>
              <w:bottom w:val="single" w:sz="4" w:space="0" w:color="auto"/>
              <w:right w:val="single" w:sz="4" w:space="0" w:color="auto"/>
            </w:tcBorders>
            <w:hideMark/>
          </w:tcPr>
          <w:p w14:paraId="62D3C685" w14:textId="77777777" w:rsidR="00BE27BB" w:rsidRDefault="00BE27BB" w:rsidP="007A3159">
            <w:r>
              <w:t>-.600</w:t>
            </w:r>
          </w:p>
        </w:tc>
        <w:tc>
          <w:tcPr>
            <w:tcW w:w="1225" w:type="dxa"/>
            <w:tcBorders>
              <w:top w:val="single" w:sz="4" w:space="0" w:color="auto"/>
              <w:left w:val="single" w:sz="4" w:space="0" w:color="auto"/>
              <w:bottom w:val="single" w:sz="4" w:space="0" w:color="auto"/>
              <w:right w:val="single" w:sz="4" w:space="0" w:color="auto"/>
            </w:tcBorders>
            <w:hideMark/>
          </w:tcPr>
          <w:p w14:paraId="7173B81A" w14:textId="77777777" w:rsidR="00BE27BB" w:rsidRDefault="00BE27BB" w:rsidP="007A3159">
            <w:r>
              <w:t>5.350</w:t>
            </w:r>
          </w:p>
        </w:tc>
      </w:tr>
      <w:tr w:rsidR="00BE27BB" w14:paraId="3B911AF6" w14:textId="77777777" w:rsidTr="007A3159">
        <w:trPr>
          <w:trHeight w:val="276"/>
        </w:trPr>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8DB70" w14:textId="77777777" w:rsidR="00BE27BB" w:rsidRDefault="00BE27BB" w:rsidP="007A3159">
            <w:pPr>
              <w:rPr>
                <w:b/>
              </w:rPr>
            </w:pP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72FBA" w14:textId="77777777" w:rsidR="00BE27BB" w:rsidRDefault="00BE27BB" w:rsidP="007A3159">
            <w:pPr>
              <w:rPr>
                <w:b/>
              </w:rPr>
            </w:pP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EDCD2" w14:textId="77777777" w:rsidR="00BE27BB" w:rsidRDefault="00BE27BB" w:rsidP="007A3159"/>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A2D7F" w14:textId="77777777" w:rsidR="00BE27BB" w:rsidRDefault="00BE27BB" w:rsidP="007A3159"/>
        </w:tc>
        <w:tc>
          <w:tcPr>
            <w:tcW w:w="2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265F" w14:textId="77777777" w:rsidR="00BE27BB" w:rsidRDefault="00BE27BB" w:rsidP="007A3159"/>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CDE0E" w14:textId="77777777" w:rsidR="00BE27BB" w:rsidRDefault="00BE27BB" w:rsidP="007A3159"/>
        </w:tc>
        <w:tc>
          <w:tcPr>
            <w:tcW w:w="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FAD3B" w14:textId="77777777" w:rsidR="00BE27BB" w:rsidRDefault="00BE27BB" w:rsidP="007A3159"/>
        </w:tc>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58ADF" w14:textId="77777777" w:rsidR="00BE27BB" w:rsidRDefault="00BE27BB" w:rsidP="007A3159"/>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D7011" w14:textId="77777777" w:rsidR="00BE27BB" w:rsidRDefault="00BE27BB" w:rsidP="007A3159"/>
        </w:tc>
      </w:tr>
      <w:tr w:rsidR="00BE27BB" w14:paraId="0CA827E4" w14:textId="77777777" w:rsidTr="007A3159">
        <w:trPr>
          <w:trHeight w:val="421"/>
        </w:trPr>
        <w:tc>
          <w:tcPr>
            <w:tcW w:w="1392" w:type="dxa"/>
            <w:tcBorders>
              <w:top w:val="single" w:sz="4" w:space="0" w:color="auto"/>
              <w:left w:val="single" w:sz="4" w:space="0" w:color="auto"/>
              <w:bottom w:val="single" w:sz="4" w:space="0" w:color="auto"/>
              <w:right w:val="single" w:sz="4" w:space="0" w:color="auto"/>
            </w:tcBorders>
            <w:hideMark/>
          </w:tcPr>
          <w:p w14:paraId="48C42097" w14:textId="77777777" w:rsidR="00BE27BB" w:rsidRDefault="00BE27BB" w:rsidP="007A3159">
            <w:pPr>
              <w:rPr>
                <w:b/>
              </w:rPr>
            </w:pPr>
            <w:r>
              <w:rPr>
                <w:b/>
              </w:rPr>
              <w:t>4</w:t>
            </w:r>
          </w:p>
        </w:tc>
        <w:tc>
          <w:tcPr>
            <w:tcW w:w="2385" w:type="dxa"/>
            <w:tcBorders>
              <w:top w:val="single" w:sz="4" w:space="0" w:color="auto"/>
              <w:left w:val="single" w:sz="4" w:space="0" w:color="auto"/>
              <w:bottom w:val="single" w:sz="4" w:space="0" w:color="auto"/>
              <w:right w:val="single" w:sz="4" w:space="0" w:color="auto"/>
            </w:tcBorders>
            <w:hideMark/>
          </w:tcPr>
          <w:p w14:paraId="272316CD" w14:textId="77777777" w:rsidR="00BE27BB" w:rsidRDefault="00BE27BB" w:rsidP="007A3159">
            <w:pPr>
              <w:rPr>
                <w:b/>
              </w:rPr>
            </w:pPr>
            <w:r>
              <w:rPr>
                <w:b/>
              </w:rPr>
              <w:t>Anti-TNF prevalence per year</w:t>
            </w:r>
          </w:p>
        </w:tc>
        <w:tc>
          <w:tcPr>
            <w:tcW w:w="2009" w:type="dxa"/>
            <w:tcBorders>
              <w:top w:val="single" w:sz="4" w:space="0" w:color="auto"/>
              <w:left w:val="single" w:sz="4" w:space="0" w:color="auto"/>
              <w:bottom w:val="single" w:sz="4" w:space="0" w:color="auto"/>
              <w:right w:val="single" w:sz="4" w:space="0" w:color="auto"/>
            </w:tcBorders>
            <w:hideMark/>
          </w:tcPr>
          <w:p w14:paraId="082E7711" w14:textId="77777777" w:rsidR="00BE27BB" w:rsidRDefault="00BE27BB" w:rsidP="007A3159">
            <w:pPr>
              <w:rPr>
                <w:b/>
              </w:rPr>
            </w:pPr>
            <w:r>
              <w:rPr>
                <w:b/>
              </w:rPr>
              <w:t>-.157</w:t>
            </w:r>
            <w:r>
              <w:rPr>
                <w:b/>
              </w:rPr>
              <w:tab/>
            </w:r>
          </w:p>
        </w:tc>
        <w:tc>
          <w:tcPr>
            <w:tcW w:w="1617" w:type="dxa"/>
            <w:tcBorders>
              <w:top w:val="single" w:sz="4" w:space="0" w:color="auto"/>
              <w:left w:val="single" w:sz="4" w:space="0" w:color="auto"/>
              <w:bottom w:val="single" w:sz="4" w:space="0" w:color="auto"/>
              <w:right w:val="single" w:sz="4" w:space="0" w:color="auto"/>
            </w:tcBorders>
            <w:hideMark/>
          </w:tcPr>
          <w:p w14:paraId="799A6A50" w14:textId="77777777" w:rsidR="00BE27BB" w:rsidRDefault="00BE27BB" w:rsidP="007A3159">
            <w:pPr>
              <w:rPr>
                <w:b/>
              </w:rPr>
            </w:pPr>
            <w:r>
              <w:rPr>
                <w:b/>
              </w:rPr>
              <w:t>.050</w:t>
            </w:r>
          </w:p>
        </w:tc>
        <w:tc>
          <w:tcPr>
            <w:tcW w:w="2048" w:type="dxa"/>
            <w:tcBorders>
              <w:top w:val="single" w:sz="4" w:space="0" w:color="auto"/>
              <w:left w:val="single" w:sz="4" w:space="0" w:color="auto"/>
              <w:bottom w:val="single" w:sz="4" w:space="0" w:color="auto"/>
              <w:right w:val="single" w:sz="4" w:space="0" w:color="auto"/>
            </w:tcBorders>
            <w:hideMark/>
          </w:tcPr>
          <w:p w14:paraId="33ED8689" w14:textId="77777777" w:rsidR="00BE27BB" w:rsidRDefault="00BE27BB" w:rsidP="007A3159">
            <w:pPr>
              <w:rPr>
                <w:b/>
              </w:rPr>
            </w:pPr>
            <w:r>
              <w:rPr>
                <w:b/>
              </w:rPr>
              <w:t>-.727</w:t>
            </w:r>
          </w:p>
        </w:tc>
        <w:tc>
          <w:tcPr>
            <w:tcW w:w="1057" w:type="dxa"/>
            <w:tcBorders>
              <w:top w:val="single" w:sz="4" w:space="0" w:color="auto"/>
              <w:left w:val="single" w:sz="4" w:space="0" w:color="auto"/>
              <w:bottom w:val="single" w:sz="4" w:space="0" w:color="auto"/>
              <w:right w:val="single" w:sz="4" w:space="0" w:color="auto"/>
            </w:tcBorders>
            <w:hideMark/>
          </w:tcPr>
          <w:p w14:paraId="3A4EF8D5" w14:textId="77777777" w:rsidR="00BE27BB" w:rsidRDefault="00BE27BB" w:rsidP="007A3159">
            <w:pPr>
              <w:rPr>
                <w:b/>
              </w:rPr>
            </w:pPr>
            <w:r>
              <w:rPr>
                <w:b/>
              </w:rPr>
              <w:t>-3.172</w:t>
            </w:r>
            <w:r>
              <w:rPr>
                <w:b/>
              </w:rPr>
              <w:tab/>
            </w:r>
          </w:p>
        </w:tc>
        <w:tc>
          <w:tcPr>
            <w:tcW w:w="893" w:type="dxa"/>
            <w:tcBorders>
              <w:top w:val="single" w:sz="4" w:space="0" w:color="auto"/>
              <w:left w:val="single" w:sz="4" w:space="0" w:color="auto"/>
              <w:bottom w:val="single" w:sz="4" w:space="0" w:color="auto"/>
              <w:right w:val="single" w:sz="4" w:space="0" w:color="auto"/>
            </w:tcBorders>
            <w:hideMark/>
          </w:tcPr>
          <w:p w14:paraId="02ACCCAA" w14:textId="77777777" w:rsidR="00BE27BB" w:rsidRDefault="00BE27BB" w:rsidP="007A3159">
            <w:pPr>
              <w:rPr>
                <w:b/>
              </w:rPr>
            </w:pPr>
            <w:r>
              <w:rPr>
                <w:b/>
              </w:rPr>
              <w:t>.011</w:t>
            </w:r>
          </w:p>
        </w:tc>
        <w:tc>
          <w:tcPr>
            <w:tcW w:w="1809" w:type="dxa"/>
            <w:tcBorders>
              <w:top w:val="single" w:sz="4" w:space="0" w:color="auto"/>
              <w:left w:val="single" w:sz="4" w:space="0" w:color="auto"/>
              <w:bottom w:val="single" w:sz="4" w:space="0" w:color="auto"/>
              <w:right w:val="single" w:sz="4" w:space="0" w:color="auto"/>
            </w:tcBorders>
            <w:hideMark/>
          </w:tcPr>
          <w:p w14:paraId="3A343B99" w14:textId="77777777" w:rsidR="00BE27BB" w:rsidRDefault="00BE27BB" w:rsidP="007A3159">
            <w:pPr>
              <w:rPr>
                <w:b/>
              </w:rPr>
            </w:pPr>
            <w:r>
              <w:rPr>
                <w:b/>
              </w:rPr>
              <w:t>-.270</w:t>
            </w:r>
          </w:p>
        </w:tc>
        <w:tc>
          <w:tcPr>
            <w:tcW w:w="1225" w:type="dxa"/>
            <w:tcBorders>
              <w:top w:val="single" w:sz="4" w:space="0" w:color="auto"/>
              <w:left w:val="single" w:sz="4" w:space="0" w:color="auto"/>
              <w:bottom w:val="single" w:sz="4" w:space="0" w:color="auto"/>
              <w:right w:val="single" w:sz="4" w:space="0" w:color="auto"/>
            </w:tcBorders>
            <w:hideMark/>
          </w:tcPr>
          <w:p w14:paraId="00DF2C03" w14:textId="77777777" w:rsidR="00BE27BB" w:rsidRDefault="00BE27BB" w:rsidP="007A3159">
            <w:pPr>
              <w:rPr>
                <w:b/>
              </w:rPr>
            </w:pPr>
            <w:r>
              <w:rPr>
                <w:b/>
              </w:rPr>
              <w:t>-.045</w:t>
            </w:r>
          </w:p>
        </w:tc>
      </w:tr>
    </w:tbl>
    <w:p w14:paraId="2A0EFD2B" w14:textId="77777777" w:rsidR="00BE27BB" w:rsidRDefault="00BE27BB" w:rsidP="00BE27BB">
      <w:pPr>
        <w:spacing w:line="480" w:lineRule="auto"/>
        <w:sectPr w:rsidR="00BE27BB" w:rsidSect="006B72F7">
          <w:pgSz w:w="16838" w:h="11906" w:orient="landscape"/>
          <w:pgMar w:top="1440" w:right="1440" w:bottom="1440" w:left="1440" w:header="709" w:footer="709" w:gutter="0"/>
          <w:cols w:space="708"/>
          <w:docGrid w:linePitch="360"/>
        </w:sectPr>
      </w:pPr>
    </w:p>
    <w:p w14:paraId="1A3401EB" w14:textId="77777777" w:rsidR="00BE27BB" w:rsidRDefault="00BE27BB" w:rsidP="00BE27BB">
      <w:pPr>
        <w:spacing w:line="480" w:lineRule="auto"/>
      </w:pPr>
      <w:r w:rsidRPr="00B46C36">
        <w:rPr>
          <w:u w:val="single"/>
        </w:rPr>
        <w:lastRenderedPageBreak/>
        <w:t>Figure 1-</w:t>
      </w:r>
      <w:r>
        <w:t xml:space="preserve"> Surgical resection rate </w:t>
      </w:r>
      <w:proofErr w:type="gramStart"/>
      <w:r>
        <w:t>per year (Red) and anti-TNF prevalence per year (Blue) from 2007 to 2017 for all paediatric inflammatory bowel disease patients</w:t>
      </w:r>
      <w:proofErr w:type="gramEnd"/>
      <w:r>
        <w:t xml:space="preserve">. Surgical resection rates per year for Crohn’s disease (Green) and ulcerative colitis (Orange) are included as a percentage of patients with Crohn’s disease and ulcerative colitis respectively. There is a significant reduction in overall surgical resection rates (0.001), driven by a significant reduction in resection rates in Crohn’s disease (0.001) over the 11 year period. There was a significant increase in anti-TNF prevalence (p=0.000001). Data </w:t>
      </w:r>
      <w:proofErr w:type="gramStart"/>
      <w:r>
        <w:t>are expressed</w:t>
      </w:r>
      <w:proofErr w:type="gramEnd"/>
      <w:r>
        <w:t xml:space="preserve"> as a percentage of patients during that year. </w:t>
      </w:r>
    </w:p>
    <w:p w14:paraId="583A5B08" w14:textId="73DD6A11" w:rsidR="00BE27BB" w:rsidRDefault="00BE27BB" w:rsidP="00BE27BB">
      <w:pPr>
        <w:spacing w:line="480" w:lineRule="auto"/>
      </w:pPr>
      <w:r w:rsidRPr="00B46C36">
        <w:rPr>
          <w:u w:val="single"/>
        </w:rPr>
        <w:t xml:space="preserve">Figure </w:t>
      </w:r>
      <w:r>
        <w:rPr>
          <w:u w:val="single"/>
        </w:rPr>
        <w:t>2</w:t>
      </w:r>
      <w:r w:rsidRPr="00B46C36">
        <w:rPr>
          <w:u w:val="single"/>
        </w:rPr>
        <w:t>-</w:t>
      </w:r>
      <w:r>
        <w:t xml:space="preserve"> Kaplan-Meier plot for anti-TNF therapy (green). Patients were included until an event (anti-TNF initiation) or until transition to adult services. No patients in paediatric care </w:t>
      </w:r>
      <w:proofErr w:type="gramStart"/>
      <w:r>
        <w:t>were started</w:t>
      </w:r>
      <w:proofErr w:type="gramEnd"/>
      <w:r>
        <w:t xml:space="preserve"> on anti-TNF therapy after 8 years in care. </w:t>
      </w:r>
    </w:p>
    <w:p w14:paraId="51C31766" w14:textId="103B0DEF" w:rsidR="00BE27BB" w:rsidRDefault="00BE27BB" w:rsidP="00BE27BB">
      <w:pPr>
        <w:spacing w:line="480" w:lineRule="auto"/>
      </w:pPr>
      <w:r w:rsidRPr="00B46C36">
        <w:rPr>
          <w:u w:val="single"/>
        </w:rPr>
        <w:t xml:space="preserve">Figure </w:t>
      </w:r>
      <w:r w:rsidR="00FC467B">
        <w:rPr>
          <w:u w:val="single"/>
        </w:rPr>
        <w:t>3</w:t>
      </w:r>
      <w:r w:rsidRPr="00B46C36">
        <w:rPr>
          <w:u w:val="single"/>
        </w:rPr>
        <w:t>-</w:t>
      </w:r>
      <w:r>
        <w:rPr>
          <w:u w:val="single"/>
        </w:rPr>
        <w:t xml:space="preserve"> </w:t>
      </w:r>
      <w:r>
        <w:t>Kaplan-Meier plot for surgical resection (orange). Patients were included until an event (surgery) or until transition to adult services. Overall rates of surgery are lower that anti-TNF therapy throughout childhood.</w:t>
      </w:r>
    </w:p>
    <w:p w14:paraId="4465878F" w14:textId="449231C3" w:rsidR="00BE27BB" w:rsidRDefault="00BE27BB" w:rsidP="00BE27BB">
      <w:pPr>
        <w:spacing w:line="480" w:lineRule="auto"/>
      </w:pPr>
      <w:r w:rsidRPr="00B46C36">
        <w:rPr>
          <w:u w:val="single"/>
        </w:rPr>
        <w:t xml:space="preserve">Figure </w:t>
      </w:r>
      <w:r w:rsidR="00FC467B">
        <w:rPr>
          <w:u w:val="single"/>
        </w:rPr>
        <w:t>4a</w:t>
      </w:r>
      <w:r w:rsidRPr="00B46C36">
        <w:rPr>
          <w:u w:val="single"/>
        </w:rPr>
        <w:t>-</w:t>
      </w:r>
      <w:r>
        <w:t xml:space="preserve"> Kaplan-Meier plot for surgical resection in anti-TNF treated (blue) and untreated (red) patients. Patients were included until an event (surgical resection) or until transition to adult services (censored). There was no significant difference between groups, p=0.412 (Log Rank) </w:t>
      </w:r>
    </w:p>
    <w:p w14:paraId="7A0E3727" w14:textId="2DCF529E" w:rsidR="00FC467B" w:rsidRDefault="00FC467B" w:rsidP="00FC467B">
      <w:pPr>
        <w:spacing w:line="480" w:lineRule="auto"/>
      </w:pPr>
      <w:r w:rsidRPr="00B46C36">
        <w:rPr>
          <w:u w:val="single"/>
        </w:rPr>
        <w:t xml:space="preserve">Figure </w:t>
      </w:r>
      <w:r>
        <w:rPr>
          <w:u w:val="single"/>
        </w:rPr>
        <w:t>4b</w:t>
      </w:r>
      <w:r w:rsidRPr="00B46C36">
        <w:rPr>
          <w:u w:val="single"/>
        </w:rPr>
        <w:t>-</w:t>
      </w:r>
      <w:r>
        <w:t xml:space="preserve"> Kaplan-Meier plot for surgical resection</w:t>
      </w:r>
      <w:r w:rsidR="00B418DB">
        <w:t>, for Crohn’s disease,</w:t>
      </w:r>
      <w:r>
        <w:t xml:space="preserve"> in anti-TNF treated (blue) and untreated (red) patients. Patients were included until an event (surgical resection) or until transition to adult services (censored). There was no significant difference between groups, p=0.</w:t>
      </w:r>
      <w:r w:rsidR="00B418DB">
        <w:t>297</w:t>
      </w:r>
      <w:r>
        <w:t xml:space="preserve"> (Log Rank) </w:t>
      </w:r>
    </w:p>
    <w:p w14:paraId="0E66BE8B" w14:textId="6EADD30C" w:rsidR="00FC467B" w:rsidRDefault="00FC467B" w:rsidP="00FC467B">
      <w:pPr>
        <w:spacing w:line="480" w:lineRule="auto"/>
      </w:pPr>
      <w:r w:rsidRPr="00B46C36">
        <w:rPr>
          <w:u w:val="single"/>
        </w:rPr>
        <w:t xml:space="preserve">Figure </w:t>
      </w:r>
      <w:r>
        <w:rPr>
          <w:u w:val="single"/>
        </w:rPr>
        <w:t>4c</w:t>
      </w:r>
      <w:r w:rsidRPr="00B46C36">
        <w:rPr>
          <w:u w:val="single"/>
        </w:rPr>
        <w:t>-</w:t>
      </w:r>
      <w:r>
        <w:t xml:space="preserve"> Kaplan-Meier plot for surgical resection</w:t>
      </w:r>
      <w:r w:rsidR="00B418DB">
        <w:t>, for ulcerative colitis,</w:t>
      </w:r>
      <w:r>
        <w:t xml:space="preserve"> in anti-TNF treated (blue) and untreated (red) patients. Patients were included until an event (surgical resection) or until transition to adult services (censored). There was </w:t>
      </w:r>
      <w:r w:rsidR="00B418DB">
        <w:t>a</w:t>
      </w:r>
      <w:r>
        <w:t xml:space="preserve"> significant difference between groups</w:t>
      </w:r>
      <w:r w:rsidR="00B418DB">
        <w:t>, with those treated with anti-TNF at higher risk of surgery</w:t>
      </w:r>
      <w:r>
        <w:t>, p=0.</w:t>
      </w:r>
      <w:r w:rsidR="00B418DB">
        <w:t>00001</w:t>
      </w:r>
      <w:r>
        <w:t xml:space="preserve"> (Log Rank) </w:t>
      </w:r>
    </w:p>
    <w:p w14:paraId="5B93C7E8" w14:textId="77777777" w:rsidR="00BE27BB" w:rsidRPr="006A0590" w:rsidRDefault="00BE27BB" w:rsidP="004D19A3">
      <w:pPr>
        <w:widowControl w:val="0"/>
        <w:autoSpaceDE w:val="0"/>
        <w:autoSpaceDN w:val="0"/>
        <w:adjustRightInd w:val="0"/>
        <w:spacing w:line="480" w:lineRule="auto"/>
        <w:ind w:left="640" w:hanging="640"/>
        <w:rPr>
          <w:u w:val="single"/>
        </w:rPr>
      </w:pPr>
    </w:p>
    <w:sectPr w:rsidR="00BE27BB" w:rsidRPr="006A0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BA6"/>
    <w:multiLevelType w:val="hybridMultilevel"/>
    <w:tmpl w:val="C8F4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80E43"/>
    <w:multiLevelType w:val="hybridMultilevel"/>
    <w:tmpl w:val="110A1D30"/>
    <w:lvl w:ilvl="0" w:tplc="288E36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F59BF"/>
    <w:multiLevelType w:val="hybridMultilevel"/>
    <w:tmpl w:val="7C38D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823EF"/>
    <w:multiLevelType w:val="hybridMultilevel"/>
    <w:tmpl w:val="A2B8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5687E"/>
    <w:multiLevelType w:val="hybridMultilevel"/>
    <w:tmpl w:val="D1240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33330F"/>
    <w:multiLevelType w:val="hybridMultilevel"/>
    <w:tmpl w:val="EF3C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21F71"/>
    <w:multiLevelType w:val="hybridMultilevel"/>
    <w:tmpl w:val="BFC6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36"/>
    <w:rsid w:val="0006787C"/>
    <w:rsid w:val="00080D2D"/>
    <w:rsid w:val="000843C5"/>
    <w:rsid w:val="00087109"/>
    <w:rsid w:val="000900FD"/>
    <w:rsid w:val="00093EC1"/>
    <w:rsid w:val="000942BE"/>
    <w:rsid w:val="0009433C"/>
    <w:rsid w:val="000A15B1"/>
    <w:rsid w:val="000A3276"/>
    <w:rsid w:val="000B4793"/>
    <w:rsid w:val="000B7487"/>
    <w:rsid w:val="000C7E8B"/>
    <w:rsid w:val="000E2F57"/>
    <w:rsid w:val="000E7399"/>
    <w:rsid w:val="000F7E12"/>
    <w:rsid w:val="0011170C"/>
    <w:rsid w:val="00111EE6"/>
    <w:rsid w:val="00113167"/>
    <w:rsid w:val="00113472"/>
    <w:rsid w:val="001170C1"/>
    <w:rsid w:val="00133F5C"/>
    <w:rsid w:val="00137216"/>
    <w:rsid w:val="00140218"/>
    <w:rsid w:val="001526CF"/>
    <w:rsid w:val="00173B4F"/>
    <w:rsid w:val="001A32FB"/>
    <w:rsid w:val="001E053C"/>
    <w:rsid w:val="001E1AC2"/>
    <w:rsid w:val="002143EE"/>
    <w:rsid w:val="00215181"/>
    <w:rsid w:val="002465D7"/>
    <w:rsid w:val="0025205F"/>
    <w:rsid w:val="00270BD5"/>
    <w:rsid w:val="00285363"/>
    <w:rsid w:val="002905B3"/>
    <w:rsid w:val="002B4031"/>
    <w:rsid w:val="002B531A"/>
    <w:rsid w:val="002B6A7D"/>
    <w:rsid w:val="002C0D2F"/>
    <w:rsid w:val="002C231C"/>
    <w:rsid w:val="002C2DB2"/>
    <w:rsid w:val="002C6BBA"/>
    <w:rsid w:val="002D7F4D"/>
    <w:rsid w:val="002E79BE"/>
    <w:rsid w:val="002F0730"/>
    <w:rsid w:val="00303CDB"/>
    <w:rsid w:val="003170F7"/>
    <w:rsid w:val="00324CFE"/>
    <w:rsid w:val="00331207"/>
    <w:rsid w:val="00331AE2"/>
    <w:rsid w:val="003324C1"/>
    <w:rsid w:val="00334D61"/>
    <w:rsid w:val="0033750B"/>
    <w:rsid w:val="00337724"/>
    <w:rsid w:val="00346E3E"/>
    <w:rsid w:val="00367769"/>
    <w:rsid w:val="00374C6D"/>
    <w:rsid w:val="0038157F"/>
    <w:rsid w:val="003824E1"/>
    <w:rsid w:val="003826E4"/>
    <w:rsid w:val="003830B0"/>
    <w:rsid w:val="00384436"/>
    <w:rsid w:val="00391C1F"/>
    <w:rsid w:val="003A7082"/>
    <w:rsid w:val="003A7154"/>
    <w:rsid w:val="003B317F"/>
    <w:rsid w:val="003C05E7"/>
    <w:rsid w:val="003C5FC7"/>
    <w:rsid w:val="003E4D91"/>
    <w:rsid w:val="003E5410"/>
    <w:rsid w:val="003F2B24"/>
    <w:rsid w:val="003F4D33"/>
    <w:rsid w:val="0040259C"/>
    <w:rsid w:val="00402884"/>
    <w:rsid w:val="00411AFB"/>
    <w:rsid w:val="0042305B"/>
    <w:rsid w:val="004316FB"/>
    <w:rsid w:val="004320BD"/>
    <w:rsid w:val="00442387"/>
    <w:rsid w:val="00446258"/>
    <w:rsid w:val="00456692"/>
    <w:rsid w:val="00463DD1"/>
    <w:rsid w:val="004B4F73"/>
    <w:rsid w:val="004C195C"/>
    <w:rsid w:val="004C557C"/>
    <w:rsid w:val="004D19A3"/>
    <w:rsid w:val="004D54D5"/>
    <w:rsid w:val="004D58C0"/>
    <w:rsid w:val="004E0828"/>
    <w:rsid w:val="004F422A"/>
    <w:rsid w:val="004F4324"/>
    <w:rsid w:val="00504842"/>
    <w:rsid w:val="005079B3"/>
    <w:rsid w:val="0052270D"/>
    <w:rsid w:val="00523EAA"/>
    <w:rsid w:val="00530ACF"/>
    <w:rsid w:val="00532797"/>
    <w:rsid w:val="00535381"/>
    <w:rsid w:val="005454A1"/>
    <w:rsid w:val="00554AA2"/>
    <w:rsid w:val="00576EC7"/>
    <w:rsid w:val="00581963"/>
    <w:rsid w:val="00582FB4"/>
    <w:rsid w:val="00585FF9"/>
    <w:rsid w:val="005A7F6F"/>
    <w:rsid w:val="005B783E"/>
    <w:rsid w:val="005B7CF8"/>
    <w:rsid w:val="005C214E"/>
    <w:rsid w:val="005C42F0"/>
    <w:rsid w:val="005C566D"/>
    <w:rsid w:val="005E1CE6"/>
    <w:rsid w:val="005E429E"/>
    <w:rsid w:val="005E58D4"/>
    <w:rsid w:val="005F6F48"/>
    <w:rsid w:val="00601213"/>
    <w:rsid w:val="00610977"/>
    <w:rsid w:val="006149C3"/>
    <w:rsid w:val="006149DC"/>
    <w:rsid w:val="00624AB6"/>
    <w:rsid w:val="00625ADC"/>
    <w:rsid w:val="0062618A"/>
    <w:rsid w:val="006345BF"/>
    <w:rsid w:val="006425A1"/>
    <w:rsid w:val="00642934"/>
    <w:rsid w:val="00652951"/>
    <w:rsid w:val="0066162C"/>
    <w:rsid w:val="006709F6"/>
    <w:rsid w:val="0067135A"/>
    <w:rsid w:val="00676968"/>
    <w:rsid w:val="0068115C"/>
    <w:rsid w:val="00682749"/>
    <w:rsid w:val="006872CE"/>
    <w:rsid w:val="00687F0A"/>
    <w:rsid w:val="00690CF3"/>
    <w:rsid w:val="00697166"/>
    <w:rsid w:val="0069753C"/>
    <w:rsid w:val="006A0590"/>
    <w:rsid w:val="006A0E7F"/>
    <w:rsid w:val="006A2500"/>
    <w:rsid w:val="006A3918"/>
    <w:rsid w:val="006B159E"/>
    <w:rsid w:val="006B2819"/>
    <w:rsid w:val="006B72F7"/>
    <w:rsid w:val="006C2369"/>
    <w:rsid w:val="006C6307"/>
    <w:rsid w:val="006C7095"/>
    <w:rsid w:val="006D5930"/>
    <w:rsid w:val="006E0093"/>
    <w:rsid w:val="006E036B"/>
    <w:rsid w:val="006F1059"/>
    <w:rsid w:val="006F18E8"/>
    <w:rsid w:val="006F4CA0"/>
    <w:rsid w:val="006F4CC3"/>
    <w:rsid w:val="006F58FF"/>
    <w:rsid w:val="00701E70"/>
    <w:rsid w:val="00705788"/>
    <w:rsid w:val="0070615F"/>
    <w:rsid w:val="007108B9"/>
    <w:rsid w:val="0072161D"/>
    <w:rsid w:val="00733F61"/>
    <w:rsid w:val="00734502"/>
    <w:rsid w:val="00737982"/>
    <w:rsid w:val="00741038"/>
    <w:rsid w:val="00744A3C"/>
    <w:rsid w:val="007510EE"/>
    <w:rsid w:val="0076343D"/>
    <w:rsid w:val="00765268"/>
    <w:rsid w:val="00771D20"/>
    <w:rsid w:val="00790E22"/>
    <w:rsid w:val="00792E64"/>
    <w:rsid w:val="007A3159"/>
    <w:rsid w:val="007C236B"/>
    <w:rsid w:val="007D4964"/>
    <w:rsid w:val="007E3D56"/>
    <w:rsid w:val="007E5367"/>
    <w:rsid w:val="007F51CA"/>
    <w:rsid w:val="00805725"/>
    <w:rsid w:val="00812AB4"/>
    <w:rsid w:val="008341DE"/>
    <w:rsid w:val="00834810"/>
    <w:rsid w:val="0083523A"/>
    <w:rsid w:val="008379E1"/>
    <w:rsid w:val="0084319F"/>
    <w:rsid w:val="00843829"/>
    <w:rsid w:val="00861184"/>
    <w:rsid w:val="00861654"/>
    <w:rsid w:val="00866676"/>
    <w:rsid w:val="008836BD"/>
    <w:rsid w:val="008843D0"/>
    <w:rsid w:val="008938C2"/>
    <w:rsid w:val="008A062F"/>
    <w:rsid w:val="008B0AFF"/>
    <w:rsid w:val="008B6B4D"/>
    <w:rsid w:val="008B76E3"/>
    <w:rsid w:val="008C7752"/>
    <w:rsid w:val="008D28DD"/>
    <w:rsid w:val="008E0072"/>
    <w:rsid w:val="008E151C"/>
    <w:rsid w:val="008E2826"/>
    <w:rsid w:val="008F2B38"/>
    <w:rsid w:val="00906259"/>
    <w:rsid w:val="0090640C"/>
    <w:rsid w:val="00913523"/>
    <w:rsid w:val="00942802"/>
    <w:rsid w:val="0094558E"/>
    <w:rsid w:val="009457F9"/>
    <w:rsid w:val="00953377"/>
    <w:rsid w:val="00966AD8"/>
    <w:rsid w:val="00966EF4"/>
    <w:rsid w:val="00973D7A"/>
    <w:rsid w:val="00976F3E"/>
    <w:rsid w:val="00982A91"/>
    <w:rsid w:val="009953BC"/>
    <w:rsid w:val="009A1AF2"/>
    <w:rsid w:val="009B1482"/>
    <w:rsid w:val="009C3E31"/>
    <w:rsid w:val="009D6AD8"/>
    <w:rsid w:val="009D7634"/>
    <w:rsid w:val="009E288A"/>
    <w:rsid w:val="009E4659"/>
    <w:rsid w:val="00A1721D"/>
    <w:rsid w:val="00A213B8"/>
    <w:rsid w:val="00A2401E"/>
    <w:rsid w:val="00A4644C"/>
    <w:rsid w:val="00A6387F"/>
    <w:rsid w:val="00A67FCC"/>
    <w:rsid w:val="00A812C0"/>
    <w:rsid w:val="00A967C8"/>
    <w:rsid w:val="00A96ECC"/>
    <w:rsid w:val="00AA5C7C"/>
    <w:rsid w:val="00AB7842"/>
    <w:rsid w:val="00AB7E7F"/>
    <w:rsid w:val="00AC4865"/>
    <w:rsid w:val="00AE0BD3"/>
    <w:rsid w:val="00AE1817"/>
    <w:rsid w:val="00AE2EEA"/>
    <w:rsid w:val="00AE379D"/>
    <w:rsid w:val="00AF65CB"/>
    <w:rsid w:val="00B015B8"/>
    <w:rsid w:val="00B12527"/>
    <w:rsid w:val="00B30F93"/>
    <w:rsid w:val="00B31571"/>
    <w:rsid w:val="00B41816"/>
    <w:rsid w:val="00B418DB"/>
    <w:rsid w:val="00B459ED"/>
    <w:rsid w:val="00B46C36"/>
    <w:rsid w:val="00B63B76"/>
    <w:rsid w:val="00B71836"/>
    <w:rsid w:val="00B820AF"/>
    <w:rsid w:val="00B84694"/>
    <w:rsid w:val="00B9439C"/>
    <w:rsid w:val="00BB6AAC"/>
    <w:rsid w:val="00BC34F0"/>
    <w:rsid w:val="00BC5071"/>
    <w:rsid w:val="00BC6C89"/>
    <w:rsid w:val="00BD2B34"/>
    <w:rsid w:val="00BD4FD4"/>
    <w:rsid w:val="00BD59FA"/>
    <w:rsid w:val="00BD7D21"/>
    <w:rsid w:val="00BE27BB"/>
    <w:rsid w:val="00BF7524"/>
    <w:rsid w:val="00C03014"/>
    <w:rsid w:val="00C0572B"/>
    <w:rsid w:val="00C07FB7"/>
    <w:rsid w:val="00C16726"/>
    <w:rsid w:val="00C267EB"/>
    <w:rsid w:val="00C27072"/>
    <w:rsid w:val="00C3156F"/>
    <w:rsid w:val="00C50D4A"/>
    <w:rsid w:val="00C532D4"/>
    <w:rsid w:val="00C56BA8"/>
    <w:rsid w:val="00C61429"/>
    <w:rsid w:val="00C6233A"/>
    <w:rsid w:val="00C65570"/>
    <w:rsid w:val="00C731B2"/>
    <w:rsid w:val="00CA3066"/>
    <w:rsid w:val="00CA3BDB"/>
    <w:rsid w:val="00CA58C6"/>
    <w:rsid w:val="00CD0E6D"/>
    <w:rsid w:val="00D16CAA"/>
    <w:rsid w:val="00D17EF3"/>
    <w:rsid w:val="00D2524D"/>
    <w:rsid w:val="00D27879"/>
    <w:rsid w:val="00D46401"/>
    <w:rsid w:val="00D638CA"/>
    <w:rsid w:val="00D75587"/>
    <w:rsid w:val="00D82A9E"/>
    <w:rsid w:val="00D90031"/>
    <w:rsid w:val="00D90B6B"/>
    <w:rsid w:val="00D95D55"/>
    <w:rsid w:val="00DA0E37"/>
    <w:rsid w:val="00DA30BF"/>
    <w:rsid w:val="00DB4BB3"/>
    <w:rsid w:val="00DC205D"/>
    <w:rsid w:val="00DC5FA1"/>
    <w:rsid w:val="00DD16C2"/>
    <w:rsid w:val="00DD5559"/>
    <w:rsid w:val="00DE272D"/>
    <w:rsid w:val="00DE4B53"/>
    <w:rsid w:val="00DE5467"/>
    <w:rsid w:val="00DE731C"/>
    <w:rsid w:val="00DF1E14"/>
    <w:rsid w:val="00DF254B"/>
    <w:rsid w:val="00DF2D1E"/>
    <w:rsid w:val="00DF315D"/>
    <w:rsid w:val="00DF7142"/>
    <w:rsid w:val="00DF7C93"/>
    <w:rsid w:val="00E11DF8"/>
    <w:rsid w:val="00E27D29"/>
    <w:rsid w:val="00E36A52"/>
    <w:rsid w:val="00E44EB0"/>
    <w:rsid w:val="00E51114"/>
    <w:rsid w:val="00E65117"/>
    <w:rsid w:val="00E96EE3"/>
    <w:rsid w:val="00EB75AE"/>
    <w:rsid w:val="00EC0B85"/>
    <w:rsid w:val="00EC7C23"/>
    <w:rsid w:val="00ED3C98"/>
    <w:rsid w:val="00ED42A2"/>
    <w:rsid w:val="00F00447"/>
    <w:rsid w:val="00F018F4"/>
    <w:rsid w:val="00F047A2"/>
    <w:rsid w:val="00F06823"/>
    <w:rsid w:val="00F06F6D"/>
    <w:rsid w:val="00F11D5E"/>
    <w:rsid w:val="00F12256"/>
    <w:rsid w:val="00F124F4"/>
    <w:rsid w:val="00F13B20"/>
    <w:rsid w:val="00F14147"/>
    <w:rsid w:val="00F14497"/>
    <w:rsid w:val="00F232CC"/>
    <w:rsid w:val="00F3659C"/>
    <w:rsid w:val="00F53F89"/>
    <w:rsid w:val="00F5598F"/>
    <w:rsid w:val="00F56716"/>
    <w:rsid w:val="00F569ED"/>
    <w:rsid w:val="00F56AB9"/>
    <w:rsid w:val="00F71152"/>
    <w:rsid w:val="00FA1092"/>
    <w:rsid w:val="00FA10B7"/>
    <w:rsid w:val="00FB2A17"/>
    <w:rsid w:val="00FC02B5"/>
    <w:rsid w:val="00FC1835"/>
    <w:rsid w:val="00FC467B"/>
    <w:rsid w:val="00FC70A1"/>
    <w:rsid w:val="00FD3311"/>
    <w:rsid w:val="00FD57E5"/>
    <w:rsid w:val="00FD78AF"/>
    <w:rsid w:val="00FE42EF"/>
    <w:rsid w:val="00FE76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ADFB5"/>
  <w15:docId w15:val="{71D91BF5-5218-4525-943C-3740E88A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36"/>
    <w:pPr>
      <w:ind w:left="720"/>
      <w:contextualSpacing/>
    </w:pPr>
  </w:style>
  <w:style w:type="character" w:styleId="Hyperlink">
    <w:name w:val="Hyperlink"/>
    <w:basedOn w:val="DefaultParagraphFont"/>
    <w:uiPriority w:val="99"/>
    <w:unhideWhenUsed/>
    <w:rsid w:val="00384436"/>
    <w:rPr>
      <w:color w:val="0563C1" w:themeColor="hyperlink"/>
      <w:u w:val="single"/>
    </w:rPr>
  </w:style>
  <w:style w:type="paragraph" w:styleId="BalloonText">
    <w:name w:val="Balloon Text"/>
    <w:basedOn w:val="Normal"/>
    <w:link w:val="BalloonTextChar"/>
    <w:uiPriority w:val="99"/>
    <w:semiHidden/>
    <w:unhideWhenUsed/>
    <w:rsid w:val="00DF7C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C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37724"/>
    <w:rPr>
      <w:sz w:val="18"/>
      <w:szCs w:val="18"/>
    </w:rPr>
  </w:style>
  <w:style w:type="paragraph" w:styleId="CommentText">
    <w:name w:val="annotation text"/>
    <w:basedOn w:val="Normal"/>
    <w:link w:val="CommentTextChar"/>
    <w:uiPriority w:val="99"/>
    <w:semiHidden/>
    <w:unhideWhenUsed/>
    <w:rsid w:val="00337724"/>
    <w:pPr>
      <w:spacing w:line="240" w:lineRule="auto"/>
    </w:pPr>
    <w:rPr>
      <w:sz w:val="24"/>
      <w:szCs w:val="24"/>
    </w:rPr>
  </w:style>
  <w:style w:type="character" w:customStyle="1" w:styleId="CommentTextChar">
    <w:name w:val="Comment Text Char"/>
    <w:basedOn w:val="DefaultParagraphFont"/>
    <w:link w:val="CommentText"/>
    <w:uiPriority w:val="99"/>
    <w:semiHidden/>
    <w:rsid w:val="00337724"/>
    <w:rPr>
      <w:sz w:val="24"/>
      <w:szCs w:val="24"/>
    </w:rPr>
  </w:style>
  <w:style w:type="paragraph" w:styleId="CommentSubject">
    <w:name w:val="annotation subject"/>
    <w:basedOn w:val="CommentText"/>
    <w:next w:val="CommentText"/>
    <w:link w:val="CommentSubjectChar"/>
    <w:uiPriority w:val="99"/>
    <w:semiHidden/>
    <w:unhideWhenUsed/>
    <w:rsid w:val="00337724"/>
    <w:rPr>
      <w:b/>
      <w:bCs/>
      <w:sz w:val="20"/>
      <w:szCs w:val="20"/>
    </w:rPr>
  </w:style>
  <w:style w:type="character" w:customStyle="1" w:styleId="CommentSubjectChar">
    <w:name w:val="Comment Subject Char"/>
    <w:basedOn w:val="CommentTextChar"/>
    <w:link w:val="CommentSubject"/>
    <w:uiPriority w:val="99"/>
    <w:semiHidden/>
    <w:rsid w:val="00337724"/>
    <w:rPr>
      <w:b/>
      <w:bCs/>
      <w:sz w:val="20"/>
      <w:szCs w:val="20"/>
    </w:rPr>
  </w:style>
  <w:style w:type="table" w:styleId="TableGrid">
    <w:name w:val="Table Grid"/>
    <w:basedOn w:val="TableNormal"/>
    <w:uiPriority w:val="39"/>
    <w:rsid w:val="006B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3376">
      <w:bodyDiv w:val="1"/>
      <w:marLeft w:val="0"/>
      <w:marRight w:val="0"/>
      <w:marTop w:val="0"/>
      <w:marBottom w:val="0"/>
      <w:divBdr>
        <w:top w:val="none" w:sz="0" w:space="0" w:color="auto"/>
        <w:left w:val="none" w:sz="0" w:space="0" w:color="auto"/>
        <w:bottom w:val="none" w:sz="0" w:space="0" w:color="auto"/>
        <w:right w:val="none" w:sz="0" w:space="0" w:color="auto"/>
      </w:divBdr>
    </w:div>
    <w:div w:id="486822270">
      <w:bodyDiv w:val="1"/>
      <w:marLeft w:val="0"/>
      <w:marRight w:val="0"/>
      <w:marTop w:val="0"/>
      <w:marBottom w:val="0"/>
      <w:divBdr>
        <w:top w:val="none" w:sz="0" w:space="0" w:color="auto"/>
        <w:left w:val="none" w:sz="0" w:space="0" w:color="auto"/>
        <w:bottom w:val="none" w:sz="0" w:space="0" w:color="auto"/>
        <w:right w:val="none" w:sz="0" w:space="0" w:color="auto"/>
      </w:divBdr>
    </w:div>
    <w:div w:id="847213852">
      <w:bodyDiv w:val="1"/>
      <w:marLeft w:val="0"/>
      <w:marRight w:val="0"/>
      <w:marTop w:val="0"/>
      <w:marBottom w:val="0"/>
      <w:divBdr>
        <w:top w:val="none" w:sz="0" w:space="0" w:color="auto"/>
        <w:left w:val="none" w:sz="0" w:space="0" w:color="auto"/>
        <w:bottom w:val="none" w:sz="0" w:space="0" w:color="auto"/>
        <w:right w:val="none" w:sz="0" w:space="0" w:color="auto"/>
      </w:divBdr>
    </w:div>
    <w:div w:id="9491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beattie@uhs.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8D29-EA14-4B91-84AB-B6019AD4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43548</Words>
  <Characters>248226</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dc:creator>
  <cp:keywords/>
  <dc:description/>
  <cp:lastModifiedBy>Ashton J.</cp:lastModifiedBy>
  <cp:revision>2</cp:revision>
  <dcterms:created xsi:type="dcterms:W3CDTF">2018-11-20T09:25:00Z</dcterms:created>
  <dcterms:modified xsi:type="dcterms:W3CDTF">2018-11-20T09:25:00Z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dbbddcf1-2576-3385-99ee-f75c9988e972</vt:lpwstr>
  </property>
  <property fmtid="{D5CDD505-2E9C-101B-9397-08002B2CF9AE}" pid="4" name="Mendeley Citation Style_1">
    <vt:lpwstr>http://www.zotero.org/styles/bmj</vt:lpwstr>
  </property>
  <property fmtid="{D5CDD505-2E9C-101B-9397-08002B2CF9AE}" pid="5" name="Mendeley Recent Style Id 0_1">
    <vt:lpwstr>http://www.zotero.org/styles/acta-paediatrica</vt:lpwstr>
  </property>
  <property fmtid="{D5CDD505-2E9C-101B-9397-08002B2CF9AE}" pid="6" name="Mendeley Recent Style Name 0_1">
    <vt:lpwstr>Acta Paediatrica</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http://www.zotero.org/styles/bmj</vt:lpwstr>
  </property>
  <property fmtid="{D5CDD505-2E9C-101B-9397-08002B2CF9AE}" pid="10" name="Mendeley Recent Style Name 2_1">
    <vt:lpwstr>BMJ</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