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D3A8C" w14:textId="1CFBD87F" w:rsidR="00872D07" w:rsidRDefault="00E94D89" w:rsidP="00ED0F8C">
      <w:pPr>
        <w:spacing w:line="480" w:lineRule="auto"/>
        <w:rPr>
          <w:rFonts w:asciiTheme="majorBidi" w:hAnsiTheme="majorBidi" w:cstheme="majorBidi"/>
          <w:b/>
          <w:sz w:val="24"/>
          <w:szCs w:val="24"/>
        </w:rPr>
      </w:pPr>
      <w:bookmarkStart w:id="0" w:name="_GoBack"/>
      <w:r w:rsidRPr="00872D07">
        <w:rPr>
          <w:rFonts w:asciiTheme="majorBidi" w:hAnsiTheme="majorBidi" w:cstheme="majorBidi"/>
          <w:b/>
          <w:sz w:val="24"/>
          <w:szCs w:val="24"/>
        </w:rPr>
        <w:t>Temporal</w:t>
      </w:r>
      <w:r w:rsidR="002D4347" w:rsidRPr="00872D07">
        <w:rPr>
          <w:rFonts w:asciiTheme="majorBidi" w:hAnsiTheme="majorBidi" w:cstheme="majorBidi"/>
          <w:b/>
          <w:sz w:val="24"/>
          <w:szCs w:val="24"/>
        </w:rPr>
        <w:t xml:space="preserve"> trends </w:t>
      </w:r>
      <w:r w:rsidRPr="00872D07">
        <w:rPr>
          <w:rFonts w:asciiTheme="majorBidi" w:hAnsiTheme="majorBidi" w:cstheme="majorBidi"/>
          <w:b/>
          <w:sz w:val="24"/>
          <w:szCs w:val="24"/>
        </w:rPr>
        <w:t xml:space="preserve">in spatial </w:t>
      </w:r>
      <w:r w:rsidR="003031CD">
        <w:rPr>
          <w:rFonts w:asciiTheme="majorBidi" w:hAnsiTheme="majorBidi" w:cstheme="majorBidi"/>
          <w:b/>
          <w:sz w:val="24"/>
          <w:szCs w:val="24"/>
        </w:rPr>
        <w:t>inequalities</w:t>
      </w:r>
      <w:r w:rsidRPr="00872D07">
        <w:rPr>
          <w:rFonts w:asciiTheme="majorBidi" w:hAnsiTheme="majorBidi" w:cstheme="majorBidi"/>
          <w:b/>
          <w:sz w:val="24"/>
          <w:szCs w:val="24"/>
        </w:rPr>
        <w:t xml:space="preserve"> of</w:t>
      </w:r>
      <w:r w:rsidR="002D4347" w:rsidRPr="00872D07">
        <w:rPr>
          <w:rFonts w:asciiTheme="majorBidi" w:hAnsiTheme="majorBidi" w:cstheme="majorBidi"/>
          <w:b/>
          <w:sz w:val="24"/>
          <w:szCs w:val="24"/>
        </w:rPr>
        <w:t xml:space="preserve"> maternal and newborn </w:t>
      </w:r>
      <w:r w:rsidR="003C6016">
        <w:rPr>
          <w:rFonts w:asciiTheme="majorBidi" w:hAnsiTheme="majorBidi" w:cstheme="majorBidi"/>
          <w:b/>
          <w:sz w:val="24"/>
          <w:szCs w:val="24"/>
        </w:rPr>
        <w:t>health services</w:t>
      </w:r>
      <w:r w:rsidR="003C6016" w:rsidRPr="00872D07">
        <w:rPr>
          <w:rFonts w:asciiTheme="majorBidi" w:hAnsiTheme="majorBidi" w:cstheme="majorBidi"/>
          <w:b/>
          <w:sz w:val="24"/>
          <w:szCs w:val="24"/>
        </w:rPr>
        <w:t xml:space="preserve"> </w:t>
      </w:r>
      <w:r w:rsidR="00F47711" w:rsidRPr="00872D07">
        <w:rPr>
          <w:rFonts w:asciiTheme="majorBidi" w:hAnsiTheme="majorBidi" w:cstheme="majorBidi"/>
          <w:b/>
          <w:sz w:val="24"/>
          <w:szCs w:val="24"/>
        </w:rPr>
        <w:t>among</w:t>
      </w:r>
      <w:r w:rsidR="002D4347" w:rsidRPr="00872D07">
        <w:rPr>
          <w:rFonts w:asciiTheme="majorBidi" w:hAnsiTheme="majorBidi" w:cstheme="majorBidi"/>
          <w:b/>
          <w:sz w:val="24"/>
          <w:szCs w:val="24"/>
        </w:rPr>
        <w:t xml:space="preserve"> </w:t>
      </w:r>
      <w:r w:rsidR="00E66C81" w:rsidRPr="00872D07">
        <w:rPr>
          <w:rFonts w:asciiTheme="majorBidi" w:hAnsiTheme="majorBidi" w:cstheme="majorBidi"/>
          <w:b/>
          <w:sz w:val="24"/>
          <w:szCs w:val="24"/>
        </w:rPr>
        <w:t>four</w:t>
      </w:r>
      <w:r w:rsidR="002D4347" w:rsidRPr="00872D07">
        <w:rPr>
          <w:rFonts w:asciiTheme="majorBidi" w:hAnsiTheme="majorBidi" w:cstheme="majorBidi"/>
          <w:b/>
          <w:sz w:val="24"/>
          <w:szCs w:val="24"/>
        </w:rPr>
        <w:t xml:space="preserve"> East African countries</w:t>
      </w:r>
      <w:r w:rsidR="00D23366">
        <w:rPr>
          <w:rFonts w:asciiTheme="majorBidi" w:hAnsiTheme="majorBidi" w:cstheme="majorBidi"/>
          <w:b/>
          <w:sz w:val="24"/>
          <w:szCs w:val="24"/>
        </w:rPr>
        <w:t xml:space="preserve">, 1999 – 2015 </w:t>
      </w:r>
    </w:p>
    <w:bookmarkEnd w:id="0"/>
    <w:p w14:paraId="377EC6A4" w14:textId="57912DA5" w:rsidR="00872D07" w:rsidRDefault="00872D07" w:rsidP="00ED0F8C">
      <w:pPr>
        <w:spacing w:line="480" w:lineRule="auto"/>
        <w:rPr>
          <w:rFonts w:asciiTheme="majorBidi" w:hAnsiTheme="majorBidi" w:cstheme="majorBidi"/>
          <w:sz w:val="24"/>
          <w:szCs w:val="24"/>
        </w:rPr>
      </w:pPr>
      <w:r>
        <w:rPr>
          <w:rFonts w:asciiTheme="majorBidi" w:hAnsiTheme="majorBidi" w:cstheme="majorBidi"/>
          <w:sz w:val="24"/>
          <w:szCs w:val="24"/>
        </w:rPr>
        <w:t>Corrine W Ruktanonchai*</w:t>
      </w:r>
      <w:r>
        <w:rPr>
          <w:rFonts w:asciiTheme="majorBidi" w:hAnsiTheme="majorBidi" w:cstheme="majorBidi"/>
          <w:sz w:val="24"/>
          <w:szCs w:val="24"/>
          <w:vertAlign w:val="superscript"/>
        </w:rPr>
        <w:t>1,2</w:t>
      </w:r>
      <w:r>
        <w:rPr>
          <w:rFonts w:asciiTheme="majorBidi" w:hAnsiTheme="majorBidi" w:cstheme="majorBidi"/>
          <w:sz w:val="24"/>
          <w:szCs w:val="24"/>
        </w:rPr>
        <w:t>, Kristine Nilsen</w:t>
      </w:r>
      <w:r>
        <w:rPr>
          <w:rFonts w:asciiTheme="majorBidi" w:hAnsiTheme="majorBidi" w:cstheme="majorBidi"/>
          <w:sz w:val="24"/>
          <w:szCs w:val="24"/>
          <w:vertAlign w:val="superscript"/>
        </w:rPr>
        <w:t>1,2</w:t>
      </w:r>
      <w:r>
        <w:rPr>
          <w:rFonts w:asciiTheme="majorBidi" w:hAnsiTheme="majorBidi" w:cstheme="majorBidi"/>
          <w:sz w:val="24"/>
          <w:szCs w:val="24"/>
        </w:rPr>
        <w:t>, Victor A Alegana</w:t>
      </w:r>
      <w:r>
        <w:rPr>
          <w:rFonts w:asciiTheme="majorBidi" w:hAnsiTheme="majorBidi" w:cstheme="majorBidi"/>
          <w:sz w:val="24"/>
          <w:szCs w:val="24"/>
          <w:vertAlign w:val="superscript"/>
        </w:rPr>
        <w:t>1,2</w:t>
      </w:r>
      <w:r>
        <w:rPr>
          <w:rFonts w:asciiTheme="majorBidi" w:hAnsiTheme="majorBidi" w:cstheme="majorBidi"/>
          <w:sz w:val="24"/>
          <w:szCs w:val="24"/>
        </w:rPr>
        <w:t>,</w:t>
      </w:r>
      <w:r w:rsidR="009900C8">
        <w:rPr>
          <w:rFonts w:asciiTheme="majorBidi" w:hAnsiTheme="majorBidi" w:cstheme="majorBidi"/>
          <w:sz w:val="24"/>
          <w:szCs w:val="24"/>
        </w:rPr>
        <w:t xml:space="preserve"> Claudio Bosco</w:t>
      </w:r>
      <w:r w:rsidR="009900C8">
        <w:rPr>
          <w:rFonts w:asciiTheme="majorBidi" w:hAnsiTheme="majorBidi" w:cstheme="majorBidi"/>
          <w:sz w:val="24"/>
          <w:szCs w:val="24"/>
          <w:vertAlign w:val="superscript"/>
        </w:rPr>
        <w:t>1,2</w:t>
      </w:r>
      <w:r w:rsidR="009900C8">
        <w:rPr>
          <w:rFonts w:asciiTheme="majorBidi" w:hAnsiTheme="majorBidi" w:cstheme="majorBidi"/>
          <w:sz w:val="24"/>
          <w:szCs w:val="24"/>
        </w:rPr>
        <w:t>,</w:t>
      </w:r>
      <w:r>
        <w:rPr>
          <w:rFonts w:asciiTheme="majorBidi" w:hAnsiTheme="majorBidi" w:cstheme="majorBidi"/>
          <w:sz w:val="24"/>
          <w:szCs w:val="24"/>
        </w:rPr>
        <w:t xml:space="preserve"> Rogers Ayiko</w:t>
      </w:r>
      <w:r>
        <w:rPr>
          <w:rFonts w:asciiTheme="majorBidi" w:hAnsiTheme="majorBidi" w:cstheme="majorBidi"/>
          <w:sz w:val="24"/>
          <w:szCs w:val="24"/>
          <w:vertAlign w:val="superscript"/>
        </w:rPr>
        <w:t>3</w:t>
      </w:r>
      <w:r>
        <w:rPr>
          <w:rFonts w:asciiTheme="majorBidi" w:hAnsiTheme="majorBidi" w:cstheme="majorBidi"/>
          <w:sz w:val="24"/>
          <w:szCs w:val="24"/>
        </w:rPr>
        <w:t xml:space="preserve">, Andrew </w:t>
      </w:r>
      <w:r w:rsidR="00573CBA">
        <w:rPr>
          <w:rFonts w:asciiTheme="majorBidi" w:hAnsiTheme="majorBidi" w:cstheme="majorBidi"/>
          <w:sz w:val="24"/>
          <w:szCs w:val="24"/>
        </w:rPr>
        <w:t>SK</w:t>
      </w:r>
      <w:r>
        <w:rPr>
          <w:rFonts w:asciiTheme="majorBidi" w:hAnsiTheme="majorBidi" w:cstheme="majorBidi"/>
          <w:sz w:val="24"/>
          <w:szCs w:val="24"/>
        </w:rPr>
        <w:t xml:space="preserve"> Charles</w:t>
      </w:r>
      <w:r>
        <w:rPr>
          <w:rFonts w:asciiTheme="majorBidi" w:hAnsiTheme="majorBidi" w:cstheme="majorBidi"/>
          <w:sz w:val="24"/>
          <w:szCs w:val="24"/>
          <w:vertAlign w:val="superscript"/>
        </w:rPr>
        <w:t>3</w:t>
      </w:r>
      <w:r>
        <w:rPr>
          <w:rFonts w:asciiTheme="majorBidi" w:hAnsiTheme="majorBidi" w:cstheme="majorBidi"/>
          <w:sz w:val="24"/>
          <w:szCs w:val="24"/>
        </w:rPr>
        <w:t>, Zöe Matthews</w:t>
      </w:r>
      <w:r>
        <w:rPr>
          <w:rFonts w:asciiTheme="majorBidi" w:hAnsiTheme="majorBidi" w:cstheme="majorBidi"/>
          <w:sz w:val="24"/>
          <w:szCs w:val="24"/>
          <w:vertAlign w:val="superscript"/>
        </w:rPr>
        <w:t>4</w:t>
      </w:r>
      <w:r>
        <w:rPr>
          <w:rFonts w:asciiTheme="majorBidi" w:hAnsiTheme="majorBidi" w:cstheme="majorBidi"/>
          <w:sz w:val="24"/>
          <w:szCs w:val="24"/>
        </w:rPr>
        <w:t>, Andrew J Tatem</w:t>
      </w:r>
      <w:r>
        <w:rPr>
          <w:rFonts w:asciiTheme="majorBidi" w:hAnsiTheme="majorBidi" w:cstheme="majorBidi"/>
          <w:sz w:val="24"/>
          <w:szCs w:val="24"/>
          <w:vertAlign w:val="superscript"/>
        </w:rPr>
        <w:t>1,2</w:t>
      </w:r>
      <w:r>
        <w:rPr>
          <w:rFonts w:asciiTheme="majorBidi" w:hAnsiTheme="majorBidi" w:cstheme="majorBidi"/>
          <w:sz w:val="24"/>
          <w:szCs w:val="24"/>
        </w:rPr>
        <w:t xml:space="preserve"> </w:t>
      </w:r>
    </w:p>
    <w:p w14:paraId="0F562C6C" w14:textId="5D55C395" w:rsidR="00872D07" w:rsidRDefault="00872D07" w:rsidP="00ED0F8C">
      <w:pPr>
        <w:spacing w:line="480" w:lineRule="auto"/>
        <w:rPr>
          <w:rFonts w:asciiTheme="majorBidi" w:hAnsiTheme="majorBidi" w:cstheme="majorBidi"/>
          <w:sz w:val="24"/>
          <w:szCs w:val="24"/>
        </w:rPr>
      </w:pPr>
      <w:r>
        <w:rPr>
          <w:rFonts w:asciiTheme="majorBidi" w:hAnsiTheme="majorBidi" w:cstheme="majorBidi"/>
          <w:sz w:val="24"/>
          <w:szCs w:val="24"/>
        </w:rPr>
        <w:t>*Corresponding author</w:t>
      </w:r>
    </w:p>
    <w:p w14:paraId="009E3E5C" w14:textId="7D6CEEF8" w:rsidR="00872D07" w:rsidRPr="00872D07" w:rsidRDefault="00872D07" w:rsidP="00ED0F8C">
      <w:pPr>
        <w:spacing w:line="480" w:lineRule="auto"/>
        <w:rPr>
          <w:rFonts w:asciiTheme="majorBidi" w:hAnsiTheme="majorBidi" w:cstheme="majorBidi"/>
          <w:sz w:val="24"/>
          <w:szCs w:val="24"/>
        </w:rPr>
      </w:pPr>
      <w:r>
        <w:rPr>
          <w:rFonts w:asciiTheme="majorBidi" w:hAnsiTheme="majorBidi" w:cstheme="majorBidi"/>
          <w:sz w:val="24"/>
          <w:szCs w:val="24"/>
          <w:vertAlign w:val="superscript"/>
        </w:rPr>
        <w:t>1</w:t>
      </w:r>
      <w:r w:rsidR="003119E1">
        <w:rPr>
          <w:rFonts w:asciiTheme="majorBidi" w:hAnsiTheme="majorBidi" w:cstheme="majorBidi"/>
          <w:sz w:val="24"/>
          <w:szCs w:val="24"/>
        </w:rPr>
        <w:t xml:space="preserve"> </w:t>
      </w:r>
      <w:r w:rsidRPr="00872D07">
        <w:rPr>
          <w:rFonts w:asciiTheme="majorBidi" w:hAnsiTheme="majorBidi" w:cstheme="majorBidi"/>
          <w:sz w:val="24"/>
          <w:szCs w:val="24"/>
        </w:rPr>
        <w:t xml:space="preserve">Geography and Environment, University </w:t>
      </w:r>
      <w:r w:rsidR="00ED0F8C">
        <w:rPr>
          <w:rFonts w:asciiTheme="majorBidi" w:hAnsiTheme="majorBidi" w:cstheme="majorBidi"/>
          <w:sz w:val="24"/>
          <w:szCs w:val="24"/>
        </w:rPr>
        <w:t>of Southampton, Southampton, UK</w:t>
      </w:r>
    </w:p>
    <w:p w14:paraId="3E3D01AC" w14:textId="2FB1BFC5" w:rsidR="00872D07" w:rsidRDefault="00872D07" w:rsidP="00ED0F8C">
      <w:pPr>
        <w:spacing w:line="480" w:lineRule="auto"/>
        <w:rPr>
          <w:rFonts w:asciiTheme="majorBidi" w:hAnsiTheme="majorBidi" w:cstheme="majorBidi"/>
          <w:sz w:val="24"/>
          <w:szCs w:val="24"/>
        </w:rPr>
      </w:pPr>
      <w:r>
        <w:rPr>
          <w:rFonts w:asciiTheme="majorBidi" w:hAnsiTheme="majorBidi" w:cstheme="majorBidi"/>
          <w:sz w:val="24"/>
          <w:szCs w:val="24"/>
          <w:vertAlign w:val="superscript"/>
        </w:rPr>
        <w:t>2</w:t>
      </w:r>
      <w:r w:rsidRPr="00872D07">
        <w:rPr>
          <w:rFonts w:asciiTheme="majorBidi" w:hAnsiTheme="majorBidi" w:cstheme="majorBidi"/>
          <w:sz w:val="24"/>
          <w:szCs w:val="24"/>
        </w:rPr>
        <w:t xml:space="preserve"> Flowminder Foundation, Roslagsgatan 17, SE-11355 Stockholm, Sweden</w:t>
      </w:r>
    </w:p>
    <w:p w14:paraId="5116C494" w14:textId="47776D64" w:rsidR="00872D07" w:rsidRDefault="00872D07" w:rsidP="00ED0F8C">
      <w:pPr>
        <w:spacing w:line="480" w:lineRule="auto"/>
        <w:rPr>
          <w:rFonts w:asciiTheme="majorBidi" w:hAnsiTheme="majorBidi" w:cstheme="majorBidi"/>
          <w:sz w:val="24"/>
          <w:szCs w:val="24"/>
        </w:rPr>
      </w:pPr>
      <w:r>
        <w:rPr>
          <w:rFonts w:asciiTheme="majorBidi" w:hAnsiTheme="majorBidi" w:cstheme="majorBidi"/>
          <w:sz w:val="24"/>
          <w:szCs w:val="24"/>
          <w:vertAlign w:val="superscript"/>
        </w:rPr>
        <w:t xml:space="preserve">3 </w:t>
      </w:r>
      <w:r w:rsidRPr="00872D07">
        <w:rPr>
          <w:rFonts w:asciiTheme="majorBidi" w:hAnsiTheme="majorBidi" w:cstheme="majorBidi"/>
          <w:sz w:val="24"/>
          <w:szCs w:val="24"/>
        </w:rPr>
        <w:t xml:space="preserve">Open </w:t>
      </w:r>
      <w:r>
        <w:rPr>
          <w:rFonts w:asciiTheme="majorBidi" w:hAnsiTheme="majorBidi" w:cstheme="majorBidi"/>
          <w:sz w:val="24"/>
          <w:szCs w:val="24"/>
        </w:rPr>
        <w:t xml:space="preserve">Health Initiative, East African </w:t>
      </w:r>
      <w:r w:rsidRPr="00872D07">
        <w:rPr>
          <w:rFonts w:asciiTheme="majorBidi" w:hAnsiTheme="majorBidi" w:cstheme="majorBidi"/>
          <w:sz w:val="24"/>
          <w:szCs w:val="24"/>
        </w:rPr>
        <w:t>Communit</w:t>
      </w:r>
      <w:r>
        <w:rPr>
          <w:rFonts w:asciiTheme="majorBidi" w:hAnsiTheme="majorBidi" w:cstheme="majorBidi"/>
          <w:sz w:val="24"/>
          <w:szCs w:val="24"/>
        </w:rPr>
        <w:t>y Secretariat, Arusha, Tanzania</w:t>
      </w:r>
    </w:p>
    <w:p w14:paraId="4BAC6D38" w14:textId="7550D662" w:rsidR="00872D07" w:rsidRDefault="00872D07" w:rsidP="00ED0F8C">
      <w:pPr>
        <w:spacing w:line="480" w:lineRule="auto"/>
        <w:rPr>
          <w:rFonts w:asciiTheme="majorBidi" w:hAnsiTheme="majorBidi" w:cstheme="majorBidi"/>
          <w:sz w:val="24"/>
          <w:szCs w:val="24"/>
        </w:rPr>
      </w:pPr>
      <w:r>
        <w:rPr>
          <w:rFonts w:asciiTheme="majorBidi" w:hAnsiTheme="majorBidi" w:cstheme="majorBidi"/>
          <w:sz w:val="24"/>
          <w:szCs w:val="24"/>
          <w:vertAlign w:val="superscript"/>
        </w:rPr>
        <w:t xml:space="preserve">4 </w:t>
      </w:r>
      <w:r w:rsidRPr="00872D07">
        <w:rPr>
          <w:rFonts w:asciiTheme="majorBidi" w:hAnsiTheme="majorBidi" w:cstheme="majorBidi"/>
          <w:sz w:val="24"/>
          <w:szCs w:val="24"/>
        </w:rPr>
        <w:t xml:space="preserve">Division of Social Statistics and Demography &amp; Centre for Global Health, Population, Poverty and Policy, Faculty of Social and Human Sciences, University of Southampton, Southampton, </w:t>
      </w:r>
      <w:r w:rsidR="00ED0F8C">
        <w:rPr>
          <w:rFonts w:asciiTheme="majorBidi" w:hAnsiTheme="majorBidi" w:cstheme="majorBidi"/>
          <w:sz w:val="24"/>
          <w:szCs w:val="24"/>
        </w:rPr>
        <w:t>UK</w:t>
      </w:r>
    </w:p>
    <w:p w14:paraId="1B204D7F" w14:textId="77777777" w:rsidR="00ED0F8C" w:rsidRDefault="00ED0F8C" w:rsidP="00ED0F8C">
      <w:pPr>
        <w:spacing w:line="480" w:lineRule="auto"/>
        <w:rPr>
          <w:rFonts w:asciiTheme="majorBidi" w:hAnsiTheme="majorBidi" w:cstheme="majorBidi"/>
          <w:b/>
          <w:bCs/>
          <w:sz w:val="24"/>
          <w:szCs w:val="24"/>
        </w:rPr>
      </w:pPr>
    </w:p>
    <w:p w14:paraId="601F250B" w14:textId="5B030765" w:rsidR="00ED0F8C" w:rsidRDefault="00ED0F8C" w:rsidP="00ED0F8C">
      <w:pPr>
        <w:spacing w:line="480" w:lineRule="auto"/>
        <w:rPr>
          <w:rFonts w:asciiTheme="majorBidi" w:hAnsiTheme="majorBidi" w:cstheme="majorBidi"/>
          <w:bCs/>
          <w:sz w:val="24"/>
          <w:szCs w:val="24"/>
        </w:rPr>
      </w:pPr>
      <w:r>
        <w:rPr>
          <w:rFonts w:asciiTheme="majorBidi" w:hAnsiTheme="majorBidi" w:cstheme="majorBidi"/>
          <w:bCs/>
          <w:sz w:val="24"/>
          <w:szCs w:val="24"/>
        </w:rPr>
        <w:t>Emails:</w:t>
      </w:r>
    </w:p>
    <w:p w14:paraId="126B49DA" w14:textId="42D4BB43" w:rsidR="00ED0F8C" w:rsidRPr="009900C8" w:rsidRDefault="00ED0F8C" w:rsidP="00ED0F8C">
      <w:pPr>
        <w:spacing w:line="480" w:lineRule="auto"/>
        <w:rPr>
          <w:rFonts w:asciiTheme="majorBidi" w:hAnsiTheme="majorBidi" w:cstheme="majorBidi"/>
          <w:bCs/>
          <w:sz w:val="24"/>
          <w:szCs w:val="24"/>
        </w:rPr>
      </w:pPr>
      <w:r>
        <w:rPr>
          <w:rFonts w:asciiTheme="majorBidi" w:hAnsiTheme="majorBidi" w:cstheme="majorBidi"/>
          <w:bCs/>
          <w:sz w:val="24"/>
          <w:szCs w:val="24"/>
        </w:rPr>
        <w:t xml:space="preserve">Corrine W Ruktanonchai: </w:t>
      </w:r>
      <w:hyperlink r:id="rId8" w:history="1">
        <w:r w:rsidRPr="00323AF2">
          <w:rPr>
            <w:rStyle w:val="Hyperlink"/>
            <w:rFonts w:asciiTheme="majorBidi" w:hAnsiTheme="majorBidi" w:cstheme="majorBidi"/>
            <w:bCs/>
            <w:sz w:val="24"/>
            <w:szCs w:val="24"/>
          </w:rPr>
          <w:t>c.w.ruktanonchai@soton.ac.uk</w:t>
        </w:r>
      </w:hyperlink>
      <w:r w:rsidR="009900C8">
        <w:rPr>
          <w:rStyle w:val="Hyperlink"/>
          <w:rFonts w:asciiTheme="majorBidi" w:hAnsiTheme="majorBidi" w:cstheme="majorBidi"/>
          <w:bCs/>
          <w:sz w:val="24"/>
          <w:szCs w:val="24"/>
        </w:rPr>
        <w:br/>
      </w:r>
      <w:r>
        <w:rPr>
          <w:rFonts w:asciiTheme="majorBidi" w:hAnsiTheme="majorBidi" w:cstheme="majorBidi"/>
          <w:bCs/>
          <w:sz w:val="24"/>
          <w:szCs w:val="24"/>
        </w:rPr>
        <w:t xml:space="preserve">Kristine Nilsen: </w:t>
      </w:r>
      <w:hyperlink r:id="rId9" w:history="1">
        <w:r w:rsidRPr="00323AF2">
          <w:rPr>
            <w:rStyle w:val="Hyperlink"/>
            <w:rFonts w:asciiTheme="majorBidi" w:hAnsiTheme="majorBidi" w:cstheme="majorBidi"/>
            <w:bCs/>
            <w:sz w:val="24"/>
            <w:szCs w:val="24"/>
          </w:rPr>
          <w:t>kristine.nilsen@soton.ac.uk</w:t>
        </w:r>
      </w:hyperlink>
      <w:r>
        <w:rPr>
          <w:rFonts w:asciiTheme="majorBidi" w:hAnsiTheme="majorBidi" w:cstheme="majorBidi"/>
          <w:bCs/>
          <w:sz w:val="24"/>
          <w:szCs w:val="24"/>
        </w:rPr>
        <w:t xml:space="preserve">  </w:t>
      </w:r>
      <w:r w:rsidR="009900C8">
        <w:rPr>
          <w:rFonts w:asciiTheme="majorBidi" w:hAnsiTheme="majorBidi" w:cstheme="majorBidi"/>
          <w:bCs/>
          <w:sz w:val="24"/>
          <w:szCs w:val="24"/>
        </w:rPr>
        <w:br/>
      </w:r>
      <w:r>
        <w:rPr>
          <w:rFonts w:asciiTheme="majorBidi" w:hAnsiTheme="majorBidi" w:cstheme="majorBidi"/>
          <w:bCs/>
          <w:sz w:val="24"/>
          <w:szCs w:val="24"/>
        </w:rPr>
        <w:t xml:space="preserve">Victor A Alegana: </w:t>
      </w:r>
      <w:hyperlink r:id="rId10" w:history="1">
        <w:r w:rsidRPr="00323AF2">
          <w:rPr>
            <w:rStyle w:val="Hyperlink"/>
            <w:rFonts w:asciiTheme="majorBidi" w:hAnsiTheme="majorBidi" w:cstheme="majorBidi"/>
            <w:bCs/>
            <w:sz w:val="24"/>
            <w:szCs w:val="24"/>
          </w:rPr>
          <w:t>v.a.alegana@soton.ac.uk</w:t>
        </w:r>
      </w:hyperlink>
      <w:r>
        <w:rPr>
          <w:rFonts w:asciiTheme="majorBidi" w:hAnsiTheme="majorBidi" w:cstheme="majorBidi"/>
          <w:bCs/>
          <w:sz w:val="24"/>
          <w:szCs w:val="24"/>
        </w:rPr>
        <w:t xml:space="preserve"> </w:t>
      </w:r>
      <w:r w:rsidR="009900C8">
        <w:rPr>
          <w:rFonts w:asciiTheme="majorBidi" w:hAnsiTheme="majorBidi" w:cstheme="majorBidi"/>
          <w:bCs/>
          <w:sz w:val="24"/>
          <w:szCs w:val="24"/>
        </w:rPr>
        <w:br/>
        <w:t xml:space="preserve">Claudio Bosco: </w:t>
      </w:r>
      <w:hyperlink r:id="rId11" w:history="1">
        <w:r w:rsidR="009900C8" w:rsidRPr="0046167A">
          <w:rPr>
            <w:rStyle w:val="Hyperlink"/>
            <w:rFonts w:asciiTheme="majorBidi" w:hAnsiTheme="majorBidi" w:cstheme="majorBidi"/>
            <w:bCs/>
            <w:sz w:val="24"/>
            <w:szCs w:val="24"/>
          </w:rPr>
          <w:t>c.bosco@soton.ac.uk</w:t>
        </w:r>
      </w:hyperlink>
      <w:r w:rsidR="009900C8">
        <w:rPr>
          <w:rFonts w:asciiTheme="majorBidi" w:hAnsiTheme="majorBidi" w:cstheme="majorBidi"/>
          <w:bCs/>
          <w:sz w:val="24"/>
          <w:szCs w:val="24"/>
        </w:rPr>
        <w:t xml:space="preserve"> </w:t>
      </w:r>
      <w:r w:rsidR="009900C8">
        <w:rPr>
          <w:rFonts w:asciiTheme="majorBidi" w:hAnsiTheme="majorBidi" w:cstheme="majorBidi"/>
          <w:bCs/>
          <w:sz w:val="24"/>
          <w:szCs w:val="24"/>
        </w:rPr>
        <w:br/>
      </w:r>
      <w:r>
        <w:rPr>
          <w:rFonts w:asciiTheme="majorBidi" w:hAnsiTheme="majorBidi" w:cstheme="majorBidi"/>
          <w:bCs/>
          <w:sz w:val="24"/>
          <w:szCs w:val="24"/>
        </w:rPr>
        <w:t xml:space="preserve">Rogers Ayiko: </w:t>
      </w:r>
      <w:hyperlink r:id="rId12" w:history="1">
        <w:r w:rsidRPr="00323AF2">
          <w:rPr>
            <w:rStyle w:val="Hyperlink"/>
            <w:rFonts w:asciiTheme="majorBidi" w:hAnsiTheme="majorBidi" w:cstheme="majorBidi"/>
            <w:bCs/>
            <w:sz w:val="24"/>
            <w:szCs w:val="24"/>
          </w:rPr>
          <w:t>ayikor@gmail.com</w:t>
        </w:r>
      </w:hyperlink>
      <w:r>
        <w:rPr>
          <w:rFonts w:asciiTheme="majorBidi" w:hAnsiTheme="majorBidi" w:cstheme="majorBidi"/>
          <w:bCs/>
          <w:sz w:val="24"/>
          <w:szCs w:val="24"/>
        </w:rPr>
        <w:t xml:space="preserve"> </w:t>
      </w:r>
      <w:r w:rsidR="009900C8">
        <w:rPr>
          <w:rFonts w:asciiTheme="majorBidi" w:hAnsiTheme="majorBidi" w:cstheme="majorBidi"/>
          <w:bCs/>
          <w:sz w:val="24"/>
          <w:szCs w:val="24"/>
        </w:rPr>
        <w:br/>
      </w:r>
      <w:r>
        <w:rPr>
          <w:rFonts w:asciiTheme="majorBidi" w:hAnsiTheme="majorBidi" w:cstheme="majorBidi"/>
          <w:bCs/>
          <w:sz w:val="24"/>
          <w:szCs w:val="24"/>
        </w:rPr>
        <w:t xml:space="preserve">Andrew Charles: </w:t>
      </w:r>
      <w:hyperlink r:id="rId13" w:history="1">
        <w:r w:rsidRPr="00323AF2">
          <w:rPr>
            <w:rStyle w:val="Hyperlink"/>
            <w:rFonts w:asciiTheme="majorBidi" w:hAnsiTheme="majorBidi" w:cstheme="majorBidi"/>
            <w:bCs/>
            <w:sz w:val="24"/>
            <w:szCs w:val="24"/>
          </w:rPr>
          <w:t>aCharles@eachq.org</w:t>
        </w:r>
      </w:hyperlink>
      <w:r>
        <w:rPr>
          <w:rFonts w:asciiTheme="majorBidi" w:hAnsiTheme="majorBidi" w:cstheme="majorBidi"/>
          <w:bCs/>
          <w:sz w:val="24"/>
          <w:szCs w:val="24"/>
        </w:rPr>
        <w:t xml:space="preserve"> </w:t>
      </w:r>
      <w:r w:rsidR="009900C8">
        <w:rPr>
          <w:rFonts w:asciiTheme="majorBidi" w:hAnsiTheme="majorBidi" w:cstheme="majorBidi"/>
          <w:bCs/>
          <w:sz w:val="24"/>
          <w:szCs w:val="24"/>
        </w:rPr>
        <w:br/>
      </w:r>
      <w:r>
        <w:rPr>
          <w:rFonts w:asciiTheme="majorBidi" w:hAnsiTheme="majorBidi" w:cstheme="majorBidi"/>
          <w:bCs/>
          <w:sz w:val="24"/>
          <w:szCs w:val="24"/>
        </w:rPr>
        <w:t xml:space="preserve">Zoe Matthews: </w:t>
      </w:r>
      <w:hyperlink r:id="rId14" w:history="1">
        <w:r w:rsidRPr="00323AF2">
          <w:rPr>
            <w:rStyle w:val="Hyperlink"/>
            <w:rFonts w:asciiTheme="majorBidi" w:hAnsiTheme="majorBidi" w:cstheme="majorBidi"/>
            <w:bCs/>
            <w:sz w:val="24"/>
            <w:szCs w:val="24"/>
          </w:rPr>
          <w:t>zoe.matthews@soton.ac.uk</w:t>
        </w:r>
      </w:hyperlink>
      <w:r>
        <w:rPr>
          <w:rFonts w:asciiTheme="majorBidi" w:hAnsiTheme="majorBidi" w:cstheme="majorBidi"/>
          <w:bCs/>
          <w:sz w:val="24"/>
          <w:szCs w:val="24"/>
        </w:rPr>
        <w:t xml:space="preserve"> </w:t>
      </w:r>
      <w:r w:rsidR="009900C8">
        <w:rPr>
          <w:rFonts w:asciiTheme="majorBidi" w:hAnsiTheme="majorBidi" w:cstheme="majorBidi"/>
          <w:bCs/>
          <w:sz w:val="24"/>
          <w:szCs w:val="24"/>
        </w:rPr>
        <w:br/>
      </w:r>
      <w:r>
        <w:rPr>
          <w:rFonts w:asciiTheme="majorBidi" w:hAnsiTheme="majorBidi" w:cstheme="majorBidi"/>
          <w:bCs/>
          <w:sz w:val="24"/>
          <w:szCs w:val="24"/>
        </w:rPr>
        <w:t xml:space="preserve">Andrew J Tatem: </w:t>
      </w:r>
      <w:hyperlink r:id="rId15" w:history="1">
        <w:r w:rsidRPr="00323AF2">
          <w:rPr>
            <w:rStyle w:val="Hyperlink"/>
            <w:rFonts w:asciiTheme="majorBidi" w:hAnsiTheme="majorBidi" w:cstheme="majorBidi"/>
            <w:bCs/>
            <w:sz w:val="24"/>
            <w:szCs w:val="24"/>
          </w:rPr>
          <w:t>a.j.tatem@soton.ac.uk</w:t>
        </w:r>
      </w:hyperlink>
      <w:r>
        <w:rPr>
          <w:rFonts w:asciiTheme="majorBidi" w:hAnsiTheme="majorBidi" w:cstheme="majorBidi"/>
          <w:bCs/>
          <w:sz w:val="24"/>
          <w:szCs w:val="24"/>
        </w:rPr>
        <w:t xml:space="preserve"> </w:t>
      </w:r>
      <w:r>
        <w:rPr>
          <w:rFonts w:asciiTheme="majorBidi" w:hAnsiTheme="majorBidi" w:cstheme="majorBidi"/>
          <w:b/>
          <w:bCs/>
          <w:sz w:val="24"/>
          <w:szCs w:val="24"/>
        </w:rPr>
        <w:br w:type="page"/>
      </w:r>
    </w:p>
    <w:p w14:paraId="4B4C84F2" w14:textId="01576FDE" w:rsidR="002D4347" w:rsidRDefault="002D4347" w:rsidP="00ED0F8C">
      <w:pPr>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Abstract</w:t>
      </w:r>
    </w:p>
    <w:p w14:paraId="519527C8" w14:textId="057BDC77" w:rsidR="00AB2E1F" w:rsidRDefault="00ED0F8C" w:rsidP="00ED0F8C">
      <w:pPr>
        <w:spacing w:line="480" w:lineRule="auto"/>
        <w:rPr>
          <w:rFonts w:asciiTheme="majorBidi" w:hAnsiTheme="majorBidi" w:cstheme="majorBidi"/>
          <w:sz w:val="24"/>
          <w:szCs w:val="24"/>
        </w:rPr>
      </w:pPr>
      <w:r>
        <w:rPr>
          <w:rFonts w:asciiTheme="majorBidi" w:hAnsiTheme="majorBidi" w:cstheme="majorBidi"/>
          <w:b/>
          <w:sz w:val="24"/>
          <w:szCs w:val="24"/>
        </w:rPr>
        <w:t xml:space="preserve">Background: </w:t>
      </w:r>
      <w:r w:rsidR="00CB2963">
        <w:rPr>
          <w:rFonts w:asciiTheme="majorBidi" w:hAnsiTheme="majorBidi" w:cstheme="majorBidi"/>
          <w:sz w:val="24"/>
          <w:szCs w:val="24"/>
        </w:rPr>
        <w:t xml:space="preserve">Sub-Saharan Africa continues to account </w:t>
      </w:r>
      <w:r w:rsidR="00CB2963" w:rsidRPr="0064772E">
        <w:rPr>
          <w:rFonts w:asciiTheme="majorBidi" w:hAnsiTheme="majorBidi" w:cstheme="majorBidi"/>
          <w:sz w:val="24"/>
          <w:szCs w:val="24"/>
        </w:rPr>
        <w:t>for the highest regional maternal mortality ratio</w:t>
      </w:r>
      <w:r w:rsidR="00CB2963">
        <w:rPr>
          <w:rFonts w:asciiTheme="majorBidi" w:hAnsiTheme="majorBidi" w:cstheme="majorBidi"/>
          <w:sz w:val="24"/>
          <w:szCs w:val="24"/>
        </w:rPr>
        <w:t xml:space="preserve"> (MMR)</w:t>
      </w:r>
      <w:r w:rsidR="00CB2963" w:rsidRPr="0064772E">
        <w:rPr>
          <w:rFonts w:asciiTheme="majorBidi" w:hAnsiTheme="majorBidi" w:cstheme="majorBidi"/>
          <w:sz w:val="24"/>
          <w:szCs w:val="24"/>
        </w:rPr>
        <w:t xml:space="preserve"> in the world, at just </w:t>
      </w:r>
      <w:r w:rsidR="00CB2963">
        <w:rPr>
          <w:rFonts w:asciiTheme="majorBidi" w:hAnsiTheme="majorBidi" w:cstheme="majorBidi"/>
          <w:sz w:val="24"/>
          <w:szCs w:val="24"/>
        </w:rPr>
        <w:t>under 550</w:t>
      </w:r>
      <w:r w:rsidR="00CB2963" w:rsidRPr="0064772E">
        <w:rPr>
          <w:rFonts w:asciiTheme="majorBidi" w:hAnsiTheme="majorBidi" w:cstheme="majorBidi"/>
          <w:sz w:val="24"/>
          <w:szCs w:val="24"/>
        </w:rPr>
        <w:t xml:space="preserve"> maternal deaths per 100,000 live births in 201</w:t>
      </w:r>
      <w:r w:rsidR="00CB2963">
        <w:rPr>
          <w:rFonts w:asciiTheme="majorBidi" w:hAnsiTheme="majorBidi" w:cstheme="majorBidi"/>
          <w:sz w:val="24"/>
          <w:szCs w:val="24"/>
        </w:rPr>
        <w:t>5</w:t>
      </w:r>
      <w:r w:rsidR="00CB2963" w:rsidRPr="0064772E">
        <w:rPr>
          <w:rFonts w:asciiTheme="majorBidi" w:hAnsiTheme="majorBidi" w:cstheme="majorBidi"/>
          <w:sz w:val="24"/>
          <w:szCs w:val="24"/>
        </w:rPr>
        <w:t>, compared to a global rate of 21</w:t>
      </w:r>
      <w:r w:rsidR="00CB2963">
        <w:rPr>
          <w:rFonts w:asciiTheme="majorBidi" w:hAnsiTheme="majorBidi" w:cstheme="majorBidi"/>
          <w:sz w:val="24"/>
          <w:szCs w:val="24"/>
        </w:rPr>
        <w:t>6</w:t>
      </w:r>
      <w:r w:rsidR="00CB2963" w:rsidRPr="0064772E">
        <w:rPr>
          <w:rFonts w:asciiTheme="majorBidi" w:hAnsiTheme="majorBidi" w:cstheme="majorBidi"/>
          <w:sz w:val="24"/>
          <w:szCs w:val="24"/>
        </w:rPr>
        <w:t xml:space="preserve"> deaths</w:t>
      </w:r>
      <w:r w:rsidR="00CB2963">
        <w:rPr>
          <w:rFonts w:asciiTheme="majorBidi" w:hAnsiTheme="majorBidi" w:cstheme="majorBidi"/>
          <w:sz w:val="24"/>
          <w:szCs w:val="24"/>
        </w:rPr>
        <w:t xml:space="preserve">. </w:t>
      </w:r>
      <w:r w:rsidR="00732D82">
        <w:rPr>
          <w:rFonts w:asciiTheme="majorBidi" w:hAnsiTheme="majorBidi" w:cstheme="majorBidi"/>
          <w:sz w:val="24"/>
          <w:szCs w:val="24"/>
        </w:rPr>
        <w:t>Spatial inequalities in a</w:t>
      </w:r>
      <w:r w:rsidR="00CB2963" w:rsidRPr="0064772E">
        <w:rPr>
          <w:rFonts w:asciiTheme="majorBidi" w:hAnsiTheme="majorBidi" w:cstheme="majorBidi"/>
          <w:sz w:val="24"/>
          <w:szCs w:val="24"/>
        </w:rPr>
        <w:t xml:space="preserve">ccess to </w:t>
      </w:r>
      <w:r w:rsidR="00732D82">
        <w:rPr>
          <w:rFonts w:asciiTheme="majorBidi" w:hAnsiTheme="majorBidi" w:cstheme="majorBidi"/>
          <w:sz w:val="24"/>
          <w:szCs w:val="24"/>
        </w:rPr>
        <w:t>life-saving maternal and newborn health (MNH) services persist within sub-Saharan Africa, however, with varied improvement over the past two decades</w:t>
      </w:r>
      <w:r w:rsidR="00CB2963" w:rsidRPr="0064772E">
        <w:rPr>
          <w:rFonts w:asciiTheme="majorBidi" w:hAnsiTheme="majorBidi" w:cstheme="majorBidi"/>
          <w:sz w:val="24"/>
          <w:szCs w:val="24"/>
        </w:rPr>
        <w:t>.</w:t>
      </w:r>
      <w:r w:rsidR="002D4347">
        <w:rPr>
          <w:rFonts w:asciiTheme="majorBidi" w:hAnsiTheme="majorBidi" w:cstheme="majorBidi"/>
          <w:sz w:val="24"/>
          <w:szCs w:val="24"/>
        </w:rPr>
        <w:t xml:space="preserve"> </w:t>
      </w:r>
      <w:r w:rsidR="00CB2963">
        <w:rPr>
          <w:rFonts w:asciiTheme="majorBidi" w:hAnsiTheme="majorBidi" w:cstheme="majorBidi"/>
          <w:sz w:val="24"/>
          <w:szCs w:val="24"/>
        </w:rPr>
        <w:t xml:space="preserve">While previous research within the </w:t>
      </w:r>
      <w:r w:rsidR="00732D82">
        <w:rPr>
          <w:rFonts w:asciiTheme="majorBidi" w:hAnsiTheme="majorBidi" w:cstheme="majorBidi"/>
          <w:sz w:val="24"/>
          <w:szCs w:val="24"/>
        </w:rPr>
        <w:t>East Africa</w:t>
      </w:r>
      <w:r w:rsidR="00A539EE">
        <w:rPr>
          <w:rFonts w:asciiTheme="majorBidi" w:hAnsiTheme="majorBidi" w:cstheme="majorBidi"/>
          <w:sz w:val="24"/>
          <w:szCs w:val="24"/>
        </w:rPr>
        <w:t>n</w:t>
      </w:r>
      <w:r w:rsidR="00732D82">
        <w:rPr>
          <w:rFonts w:asciiTheme="majorBidi" w:hAnsiTheme="majorBidi" w:cstheme="majorBidi"/>
          <w:sz w:val="24"/>
          <w:szCs w:val="24"/>
        </w:rPr>
        <w:t xml:space="preserve"> Community (EAC)</w:t>
      </w:r>
      <w:r w:rsidR="00CB2963">
        <w:rPr>
          <w:rFonts w:asciiTheme="majorBidi" w:hAnsiTheme="majorBidi" w:cstheme="majorBidi"/>
          <w:sz w:val="24"/>
          <w:szCs w:val="24"/>
        </w:rPr>
        <w:t xml:space="preserve"> region has</w:t>
      </w:r>
      <w:r w:rsidR="00CB2963" w:rsidRPr="001D3D05">
        <w:rPr>
          <w:rFonts w:asciiTheme="majorBidi" w:hAnsiTheme="majorBidi" w:cstheme="majorBidi"/>
          <w:sz w:val="24"/>
          <w:szCs w:val="24"/>
        </w:rPr>
        <w:t xml:space="preserve"> examine</w:t>
      </w:r>
      <w:r w:rsidR="00CB2963">
        <w:rPr>
          <w:rFonts w:asciiTheme="majorBidi" w:hAnsiTheme="majorBidi" w:cstheme="majorBidi"/>
          <w:sz w:val="24"/>
          <w:szCs w:val="24"/>
        </w:rPr>
        <w:t>d</w:t>
      </w:r>
      <w:r w:rsidR="00CB2963" w:rsidRPr="001D3D05">
        <w:rPr>
          <w:rFonts w:asciiTheme="majorBidi" w:hAnsiTheme="majorBidi" w:cstheme="majorBidi"/>
          <w:sz w:val="24"/>
          <w:szCs w:val="24"/>
        </w:rPr>
        <w:t xml:space="preserve"> utilisation of </w:t>
      </w:r>
      <w:r w:rsidR="00CB2963">
        <w:rPr>
          <w:rFonts w:asciiTheme="majorBidi" w:hAnsiTheme="majorBidi" w:cstheme="majorBidi"/>
          <w:sz w:val="24"/>
          <w:szCs w:val="24"/>
        </w:rPr>
        <w:t>MNH</w:t>
      </w:r>
      <w:r w:rsidR="00CB2963" w:rsidRPr="001D3D05">
        <w:rPr>
          <w:rFonts w:asciiTheme="majorBidi" w:hAnsiTheme="majorBidi" w:cstheme="majorBidi"/>
          <w:sz w:val="24"/>
          <w:szCs w:val="24"/>
        </w:rPr>
        <w:t xml:space="preserve"> care as an em</w:t>
      </w:r>
      <w:r w:rsidR="00CB2963">
        <w:rPr>
          <w:rFonts w:asciiTheme="majorBidi" w:hAnsiTheme="majorBidi" w:cstheme="majorBidi"/>
          <w:sz w:val="24"/>
          <w:szCs w:val="24"/>
        </w:rPr>
        <w:t>ergent property of</w:t>
      </w:r>
      <w:r w:rsidR="00732D82">
        <w:rPr>
          <w:rFonts w:asciiTheme="majorBidi" w:hAnsiTheme="majorBidi" w:cstheme="majorBidi"/>
          <w:sz w:val="24"/>
          <w:szCs w:val="24"/>
        </w:rPr>
        <w:t xml:space="preserve"> geographic </w:t>
      </w:r>
      <w:r w:rsidR="00CB2963">
        <w:rPr>
          <w:rFonts w:asciiTheme="majorBidi" w:hAnsiTheme="majorBidi" w:cstheme="majorBidi"/>
          <w:sz w:val="24"/>
          <w:szCs w:val="24"/>
        </w:rPr>
        <w:t xml:space="preserve">accessibility, </w:t>
      </w:r>
      <w:r w:rsidR="00CB2963" w:rsidRPr="00CB2963">
        <w:rPr>
          <w:rFonts w:asciiTheme="majorBidi" w:hAnsiTheme="majorBidi" w:cstheme="majorBidi"/>
          <w:sz w:val="24"/>
          <w:szCs w:val="24"/>
        </w:rPr>
        <w:t>no research has examined how these spatial inequalities have evolved over time at similar spatial scales</w:t>
      </w:r>
      <w:r w:rsidR="00CB2963">
        <w:rPr>
          <w:rFonts w:asciiTheme="majorBidi" w:hAnsiTheme="majorBidi" w:cstheme="majorBidi"/>
          <w:sz w:val="24"/>
          <w:szCs w:val="24"/>
        </w:rPr>
        <w:t xml:space="preserve">. </w:t>
      </w:r>
      <w:r w:rsidR="00CB2963" w:rsidDel="00CB2963">
        <w:rPr>
          <w:rFonts w:asciiTheme="majorBidi" w:hAnsiTheme="majorBidi" w:cstheme="majorBidi"/>
          <w:sz w:val="24"/>
          <w:szCs w:val="24"/>
        </w:rPr>
        <w:t xml:space="preserve"> </w:t>
      </w:r>
    </w:p>
    <w:p w14:paraId="0AC44FBF" w14:textId="13658803" w:rsidR="00972382" w:rsidRDefault="00ED0F8C" w:rsidP="00ED0F8C">
      <w:pPr>
        <w:spacing w:line="480" w:lineRule="auto"/>
        <w:rPr>
          <w:rFonts w:asciiTheme="majorBidi" w:hAnsiTheme="majorBidi" w:cstheme="majorBidi"/>
          <w:sz w:val="24"/>
          <w:szCs w:val="24"/>
        </w:rPr>
      </w:pPr>
      <w:r>
        <w:rPr>
          <w:rFonts w:asciiTheme="majorBidi" w:hAnsiTheme="majorBidi" w:cstheme="majorBidi"/>
          <w:b/>
          <w:sz w:val="24"/>
          <w:szCs w:val="24"/>
        </w:rPr>
        <w:t xml:space="preserve">Methods: </w:t>
      </w:r>
      <w:r w:rsidR="002D4347" w:rsidRPr="002D4347">
        <w:rPr>
          <w:rFonts w:asciiTheme="majorBidi" w:hAnsiTheme="majorBidi" w:cstheme="majorBidi"/>
          <w:sz w:val="24"/>
          <w:szCs w:val="24"/>
        </w:rPr>
        <w:t xml:space="preserve">Here, we </w:t>
      </w:r>
      <w:r w:rsidR="00136C74">
        <w:rPr>
          <w:rFonts w:asciiTheme="majorBidi" w:hAnsiTheme="majorBidi" w:cstheme="majorBidi"/>
          <w:sz w:val="24"/>
          <w:szCs w:val="24"/>
        </w:rPr>
        <w:t>analysed</w:t>
      </w:r>
      <w:r w:rsidR="00136C74" w:rsidRPr="002D4347">
        <w:rPr>
          <w:rFonts w:asciiTheme="majorBidi" w:hAnsiTheme="majorBidi" w:cstheme="majorBidi"/>
          <w:sz w:val="24"/>
          <w:szCs w:val="24"/>
        </w:rPr>
        <w:t xml:space="preserve"> </w:t>
      </w:r>
      <w:r w:rsidR="002D4347" w:rsidRPr="002D4347">
        <w:rPr>
          <w:rFonts w:asciiTheme="majorBidi" w:hAnsiTheme="majorBidi" w:cstheme="majorBidi"/>
          <w:sz w:val="24"/>
          <w:szCs w:val="24"/>
        </w:rPr>
        <w:t xml:space="preserve">temporal trends of spatial </w:t>
      </w:r>
      <w:r w:rsidR="00AA4A0D" w:rsidRPr="002D4347">
        <w:rPr>
          <w:rFonts w:asciiTheme="majorBidi" w:hAnsiTheme="majorBidi" w:cstheme="majorBidi"/>
          <w:sz w:val="24"/>
          <w:szCs w:val="24"/>
        </w:rPr>
        <w:t>inequalities</w:t>
      </w:r>
      <w:r w:rsidR="002D4347" w:rsidRPr="002D4347">
        <w:rPr>
          <w:rFonts w:asciiTheme="majorBidi" w:hAnsiTheme="majorBidi" w:cstheme="majorBidi"/>
          <w:sz w:val="24"/>
          <w:szCs w:val="24"/>
        </w:rPr>
        <w:t xml:space="preserve"> </w:t>
      </w:r>
      <w:r w:rsidR="0025089E">
        <w:rPr>
          <w:rFonts w:asciiTheme="majorBidi" w:hAnsiTheme="majorBidi" w:cstheme="majorBidi"/>
          <w:sz w:val="24"/>
          <w:szCs w:val="24"/>
        </w:rPr>
        <w:t>in utilisation of</w:t>
      </w:r>
      <w:r w:rsidR="002D4347" w:rsidRPr="002D4347">
        <w:rPr>
          <w:rFonts w:asciiTheme="majorBidi" w:hAnsiTheme="majorBidi" w:cstheme="majorBidi"/>
          <w:sz w:val="24"/>
          <w:szCs w:val="24"/>
        </w:rPr>
        <w:t xml:space="preserve"> antenatal care</w:t>
      </w:r>
      <w:r w:rsidR="00261373">
        <w:rPr>
          <w:rFonts w:asciiTheme="majorBidi" w:hAnsiTheme="majorBidi" w:cstheme="majorBidi"/>
          <w:sz w:val="24"/>
          <w:szCs w:val="24"/>
        </w:rPr>
        <w:t xml:space="preserve"> (ANC)</w:t>
      </w:r>
      <w:r w:rsidR="002D4347" w:rsidRPr="002D4347">
        <w:rPr>
          <w:rFonts w:asciiTheme="majorBidi" w:hAnsiTheme="majorBidi" w:cstheme="majorBidi"/>
          <w:sz w:val="24"/>
          <w:szCs w:val="24"/>
        </w:rPr>
        <w:t>, skilled birth attendance</w:t>
      </w:r>
      <w:r w:rsidR="00261373">
        <w:rPr>
          <w:rFonts w:asciiTheme="majorBidi" w:hAnsiTheme="majorBidi" w:cstheme="majorBidi"/>
          <w:sz w:val="24"/>
          <w:szCs w:val="24"/>
        </w:rPr>
        <w:t xml:space="preserve"> (SBA)</w:t>
      </w:r>
      <w:r w:rsidR="002D4347" w:rsidRPr="002D4347">
        <w:rPr>
          <w:rFonts w:asciiTheme="majorBidi" w:hAnsiTheme="majorBidi" w:cstheme="majorBidi"/>
          <w:sz w:val="24"/>
          <w:szCs w:val="24"/>
        </w:rPr>
        <w:t xml:space="preserve">, and postnatal care </w:t>
      </w:r>
      <w:r w:rsidR="00261373">
        <w:rPr>
          <w:rFonts w:asciiTheme="majorBidi" w:hAnsiTheme="majorBidi" w:cstheme="majorBidi"/>
          <w:sz w:val="24"/>
          <w:szCs w:val="24"/>
        </w:rPr>
        <w:t xml:space="preserve">(PNC) </w:t>
      </w:r>
      <w:r w:rsidR="002D4347" w:rsidRPr="002D4347">
        <w:rPr>
          <w:rFonts w:asciiTheme="majorBidi" w:hAnsiTheme="majorBidi" w:cstheme="majorBidi"/>
          <w:sz w:val="24"/>
          <w:szCs w:val="24"/>
        </w:rPr>
        <w:t xml:space="preserve">among </w:t>
      </w:r>
      <w:r w:rsidR="0025089E">
        <w:rPr>
          <w:rFonts w:asciiTheme="majorBidi" w:hAnsiTheme="majorBidi" w:cstheme="majorBidi"/>
          <w:sz w:val="24"/>
          <w:szCs w:val="24"/>
        </w:rPr>
        <w:t>four</w:t>
      </w:r>
      <w:r w:rsidR="00B61E26">
        <w:rPr>
          <w:rFonts w:asciiTheme="majorBidi" w:hAnsiTheme="majorBidi" w:cstheme="majorBidi"/>
          <w:sz w:val="24"/>
          <w:szCs w:val="24"/>
        </w:rPr>
        <w:t xml:space="preserve"> East African countries</w:t>
      </w:r>
      <w:r w:rsidR="002D4347" w:rsidRPr="002D4347">
        <w:rPr>
          <w:rFonts w:asciiTheme="majorBidi" w:hAnsiTheme="majorBidi" w:cstheme="majorBidi"/>
          <w:sz w:val="24"/>
          <w:szCs w:val="24"/>
        </w:rPr>
        <w:t xml:space="preserve">. Specifically, </w:t>
      </w:r>
      <w:r w:rsidR="00E44A0F">
        <w:rPr>
          <w:rFonts w:asciiTheme="majorBidi" w:hAnsiTheme="majorBidi" w:cstheme="majorBidi"/>
          <w:sz w:val="24"/>
          <w:szCs w:val="24"/>
        </w:rPr>
        <w:t>we use</w:t>
      </w:r>
      <w:r w:rsidR="00136C74">
        <w:rPr>
          <w:rFonts w:asciiTheme="majorBidi" w:hAnsiTheme="majorBidi" w:cstheme="majorBidi"/>
          <w:sz w:val="24"/>
          <w:szCs w:val="24"/>
        </w:rPr>
        <w:t>d</w:t>
      </w:r>
      <w:r w:rsidR="00E44A0F">
        <w:rPr>
          <w:rFonts w:asciiTheme="majorBidi" w:hAnsiTheme="majorBidi" w:cstheme="majorBidi"/>
          <w:sz w:val="24"/>
          <w:szCs w:val="24"/>
        </w:rPr>
        <w:t xml:space="preserve"> Bayesian spatial </w:t>
      </w:r>
      <w:r w:rsidR="007D0A36">
        <w:rPr>
          <w:rFonts w:asciiTheme="majorBidi" w:hAnsiTheme="majorBidi" w:cstheme="majorBidi"/>
          <w:sz w:val="24"/>
          <w:szCs w:val="24"/>
        </w:rPr>
        <w:t>statistic</w:t>
      </w:r>
      <w:r w:rsidR="00E44A0F">
        <w:rPr>
          <w:rFonts w:asciiTheme="majorBidi" w:hAnsiTheme="majorBidi" w:cstheme="majorBidi"/>
          <w:sz w:val="24"/>
          <w:szCs w:val="24"/>
        </w:rPr>
        <w:t>s to generate</w:t>
      </w:r>
      <w:r w:rsidR="00447F8B">
        <w:rPr>
          <w:rFonts w:asciiTheme="majorBidi" w:hAnsiTheme="majorBidi" w:cstheme="majorBidi"/>
          <w:sz w:val="24"/>
          <w:szCs w:val="24"/>
        </w:rPr>
        <w:t xml:space="preserve"> district-level</w:t>
      </w:r>
      <w:r w:rsidR="00E44A0F">
        <w:rPr>
          <w:rFonts w:asciiTheme="majorBidi" w:hAnsiTheme="majorBidi" w:cstheme="majorBidi"/>
          <w:sz w:val="24"/>
          <w:szCs w:val="24"/>
        </w:rPr>
        <w:t xml:space="preserve"> estimates of </w:t>
      </w:r>
      <w:r w:rsidR="00B61E26">
        <w:rPr>
          <w:rFonts w:asciiTheme="majorBidi" w:hAnsiTheme="majorBidi" w:cstheme="majorBidi"/>
          <w:sz w:val="24"/>
          <w:szCs w:val="24"/>
        </w:rPr>
        <w:t xml:space="preserve">these </w:t>
      </w:r>
      <w:r w:rsidR="00AA2F3B">
        <w:rPr>
          <w:rFonts w:asciiTheme="majorBidi" w:hAnsiTheme="majorBidi" w:cstheme="majorBidi"/>
          <w:sz w:val="24"/>
          <w:szCs w:val="24"/>
        </w:rPr>
        <w:t xml:space="preserve">services </w:t>
      </w:r>
      <w:r w:rsidR="00E44A0F">
        <w:rPr>
          <w:rFonts w:asciiTheme="majorBidi" w:hAnsiTheme="majorBidi" w:cstheme="majorBidi"/>
          <w:sz w:val="24"/>
          <w:szCs w:val="24"/>
        </w:rPr>
        <w:t>for several time</w:t>
      </w:r>
      <w:r w:rsidR="004007F7">
        <w:rPr>
          <w:rFonts w:asciiTheme="majorBidi" w:hAnsiTheme="majorBidi" w:cstheme="majorBidi"/>
          <w:sz w:val="24"/>
          <w:szCs w:val="24"/>
        </w:rPr>
        <w:t xml:space="preserve"> </w:t>
      </w:r>
      <w:r w:rsidR="00E44A0F">
        <w:rPr>
          <w:rFonts w:asciiTheme="majorBidi" w:hAnsiTheme="majorBidi" w:cstheme="majorBidi"/>
          <w:sz w:val="24"/>
          <w:szCs w:val="24"/>
        </w:rPr>
        <w:t xml:space="preserve">points using </w:t>
      </w:r>
      <w:r w:rsidR="00573522">
        <w:rPr>
          <w:rFonts w:asciiTheme="majorBidi" w:hAnsiTheme="majorBidi" w:cstheme="majorBidi"/>
          <w:sz w:val="24"/>
          <w:szCs w:val="24"/>
        </w:rPr>
        <w:t>Demographic and Health Su</w:t>
      </w:r>
      <w:r w:rsidR="00447F8B">
        <w:rPr>
          <w:rFonts w:asciiTheme="majorBidi" w:hAnsiTheme="majorBidi" w:cstheme="majorBidi"/>
          <w:sz w:val="24"/>
          <w:szCs w:val="24"/>
        </w:rPr>
        <w:t>rveys</w:t>
      </w:r>
      <w:r w:rsidR="00E44A0F">
        <w:rPr>
          <w:rFonts w:asciiTheme="majorBidi" w:hAnsiTheme="majorBidi" w:cstheme="majorBidi"/>
          <w:sz w:val="24"/>
          <w:szCs w:val="24"/>
        </w:rPr>
        <w:t xml:space="preserve"> data </w:t>
      </w:r>
      <w:r w:rsidR="00B61E26">
        <w:rPr>
          <w:rFonts w:asciiTheme="majorBidi" w:hAnsiTheme="majorBidi" w:cstheme="majorBidi"/>
          <w:sz w:val="24"/>
          <w:szCs w:val="24"/>
        </w:rPr>
        <w:t>in</w:t>
      </w:r>
      <w:r w:rsidR="00E44A0F">
        <w:rPr>
          <w:rFonts w:asciiTheme="majorBidi" w:hAnsiTheme="majorBidi" w:cstheme="majorBidi"/>
          <w:sz w:val="24"/>
          <w:szCs w:val="24"/>
        </w:rPr>
        <w:t xml:space="preserve"> Kenya, Tanzania, Rwanda, and Uganda. We </w:t>
      </w:r>
      <w:r w:rsidR="00136C74">
        <w:rPr>
          <w:rFonts w:asciiTheme="majorBidi" w:hAnsiTheme="majorBidi" w:cstheme="majorBidi"/>
          <w:sz w:val="24"/>
          <w:szCs w:val="24"/>
        </w:rPr>
        <w:t>examined</w:t>
      </w:r>
      <w:r w:rsidR="00334C8B">
        <w:rPr>
          <w:rFonts w:asciiTheme="majorBidi" w:hAnsiTheme="majorBidi" w:cstheme="majorBidi"/>
          <w:sz w:val="24"/>
          <w:szCs w:val="24"/>
        </w:rPr>
        <w:t xml:space="preserve"> </w:t>
      </w:r>
      <w:r w:rsidR="006C7329">
        <w:rPr>
          <w:rFonts w:asciiTheme="majorBidi" w:hAnsiTheme="majorBidi" w:cstheme="majorBidi"/>
          <w:sz w:val="24"/>
          <w:szCs w:val="24"/>
        </w:rPr>
        <w:t>temporal trends of</w:t>
      </w:r>
      <w:r w:rsidR="00A95C03">
        <w:rPr>
          <w:rFonts w:asciiTheme="majorBidi" w:hAnsiTheme="majorBidi" w:cstheme="majorBidi"/>
          <w:sz w:val="24"/>
          <w:szCs w:val="24"/>
        </w:rPr>
        <w:t xml:space="preserve"> both</w:t>
      </w:r>
      <w:r w:rsidR="00B61E26">
        <w:rPr>
          <w:rFonts w:asciiTheme="majorBidi" w:hAnsiTheme="majorBidi" w:cstheme="majorBidi"/>
          <w:sz w:val="24"/>
          <w:szCs w:val="24"/>
        </w:rPr>
        <w:t xml:space="preserve"> </w:t>
      </w:r>
      <w:r w:rsidR="003119E1">
        <w:rPr>
          <w:rFonts w:asciiTheme="majorBidi" w:hAnsiTheme="majorBidi" w:cstheme="majorBidi"/>
          <w:sz w:val="24"/>
          <w:szCs w:val="24"/>
        </w:rPr>
        <w:t>absolute and relative indices</w:t>
      </w:r>
      <w:r w:rsidR="004007F7">
        <w:rPr>
          <w:rFonts w:asciiTheme="majorBidi" w:hAnsiTheme="majorBidi" w:cstheme="majorBidi"/>
          <w:sz w:val="24"/>
          <w:szCs w:val="24"/>
        </w:rPr>
        <w:t xml:space="preserve"> </w:t>
      </w:r>
      <w:r w:rsidR="00447F8B">
        <w:rPr>
          <w:rFonts w:asciiTheme="majorBidi" w:hAnsiTheme="majorBidi" w:cstheme="majorBidi"/>
          <w:sz w:val="24"/>
          <w:szCs w:val="24"/>
        </w:rPr>
        <w:t>over time</w:t>
      </w:r>
      <w:r w:rsidR="003119E1">
        <w:rPr>
          <w:rFonts w:asciiTheme="majorBidi" w:hAnsiTheme="majorBidi" w:cstheme="majorBidi"/>
          <w:sz w:val="24"/>
          <w:szCs w:val="24"/>
        </w:rPr>
        <w:t xml:space="preserve">, including </w:t>
      </w:r>
      <w:r w:rsidR="00A95C03">
        <w:rPr>
          <w:rFonts w:asciiTheme="majorBidi" w:hAnsiTheme="majorBidi" w:cstheme="majorBidi"/>
          <w:sz w:val="24"/>
          <w:szCs w:val="24"/>
        </w:rPr>
        <w:t xml:space="preserve">the absolute difference between estimates, as well as change in </w:t>
      </w:r>
      <w:r w:rsidR="003119E1">
        <w:rPr>
          <w:rFonts w:asciiTheme="majorBidi" w:hAnsiTheme="majorBidi" w:cstheme="majorBidi"/>
          <w:sz w:val="24"/>
          <w:szCs w:val="24"/>
        </w:rPr>
        <w:t>performance</w:t>
      </w:r>
      <w:r w:rsidR="00E44A0F">
        <w:rPr>
          <w:rFonts w:asciiTheme="majorBidi" w:hAnsiTheme="majorBidi" w:cstheme="majorBidi"/>
          <w:sz w:val="24"/>
          <w:szCs w:val="24"/>
        </w:rPr>
        <w:t xml:space="preserve"> ratios of the best-to-worst performing </w:t>
      </w:r>
      <w:r w:rsidR="001F5AC6">
        <w:rPr>
          <w:rFonts w:asciiTheme="majorBidi" w:hAnsiTheme="majorBidi" w:cstheme="majorBidi"/>
          <w:sz w:val="24"/>
          <w:szCs w:val="24"/>
        </w:rPr>
        <w:t xml:space="preserve">districts </w:t>
      </w:r>
      <w:r w:rsidR="00B61E26">
        <w:rPr>
          <w:rFonts w:asciiTheme="majorBidi" w:hAnsiTheme="majorBidi" w:cstheme="majorBidi"/>
          <w:sz w:val="24"/>
          <w:szCs w:val="24"/>
        </w:rPr>
        <w:t>per country</w:t>
      </w:r>
      <w:r w:rsidR="00E44A0F">
        <w:rPr>
          <w:rFonts w:asciiTheme="majorBidi" w:hAnsiTheme="majorBidi" w:cstheme="majorBidi"/>
          <w:sz w:val="24"/>
          <w:szCs w:val="24"/>
        </w:rPr>
        <w:t xml:space="preserve">. </w:t>
      </w:r>
    </w:p>
    <w:p w14:paraId="06CDAA3D" w14:textId="202D2321" w:rsidR="00972382" w:rsidRPr="003119E1" w:rsidRDefault="00972382" w:rsidP="003119E1">
      <w:pPr>
        <w:spacing w:line="480" w:lineRule="auto"/>
        <w:rPr>
          <w:rFonts w:asciiTheme="majorBidi" w:hAnsiTheme="majorBidi" w:cstheme="majorBidi"/>
          <w:sz w:val="24"/>
          <w:szCs w:val="24"/>
        </w:rPr>
      </w:pPr>
      <w:r>
        <w:rPr>
          <w:rFonts w:asciiTheme="majorBidi" w:hAnsiTheme="majorBidi" w:cstheme="majorBidi"/>
          <w:b/>
          <w:sz w:val="24"/>
          <w:szCs w:val="24"/>
        </w:rPr>
        <w:t xml:space="preserve">Results: </w:t>
      </w:r>
      <w:r w:rsidR="003119E1">
        <w:rPr>
          <w:rFonts w:asciiTheme="majorBidi" w:hAnsiTheme="majorBidi" w:cstheme="majorBidi"/>
          <w:sz w:val="24"/>
          <w:szCs w:val="24"/>
        </w:rPr>
        <w:t xml:space="preserve">Across all countries, </w:t>
      </w:r>
      <w:r w:rsidR="00447F8B">
        <w:rPr>
          <w:rFonts w:asciiTheme="majorBidi" w:hAnsiTheme="majorBidi" w:cstheme="majorBidi"/>
          <w:sz w:val="24"/>
          <w:szCs w:val="24"/>
        </w:rPr>
        <w:t>we found the greatest spatial equality in</w:t>
      </w:r>
      <w:r w:rsidR="003119E1">
        <w:rPr>
          <w:rFonts w:asciiTheme="majorBidi" w:hAnsiTheme="majorBidi" w:cstheme="majorBidi"/>
          <w:sz w:val="24"/>
          <w:szCs w:val="24"/>
        </w:rPr>
        <w:t xml:space="preserve"> ANC, while SBA and PNC</w:t>
      </w:r>
      <w:r w:rsidR="00447F8B">
        <w:rPr>
          <w:rFonts w:asciiTheme="majorBidi" w:hAnsiTheme="majorBidi" w:cstheme="majorBidi"/>
          <w:sz w:val="24"/>
          <w:szCs w:val="24"/>
        </w:rPr>
        <w:t xml:space="preserve"> tended to have </w:t>
      </w:r>
      <w:r w:rsidR="003119E1">
        <w:rPr>
          <w:rFonts w:asciiTheme="majorBidi" w:hAnsiTheme="majorBidi" w:cstheme="majorBidi"/>
          <w:sz w:val="24"/>
          <w:szCs w:val="24"/>
        </w:rPr>
        <w:t xml:space="preserve">greater spatial </w:t>
      </w:r>
      <w:r w:rsidR="007D0A36">
        <w:rPr>
          <w:rFonts w:asciiTheme="majorBidi" w:hAnsiTheme="majorBidi" w:cstheme="majorBidi"/>
          <w:sz w:val="24"/>
          <w:szCs w:val="24"/>
        </w:rPr>
        <w:t>variability</w:t>
      </w:r>
      <w:r w:rsidR="003119E1">
        <w:rPr>
          <w:rFonts w:asciiTheme="majorBidi" w:hAnsiTheme="majorBidi" w:cstheme="majorBidi"/>
          <w:sz w:val="24"/>
          <w:szCs w:val="24"/>
        </w:rPr>
        <w:t>.</w:t>
      </w:r>
      <w:r w:rsidR="003119E1" w:rsidRPr="009F6595">
        <w:rPr>
          <w:rFonts w:asciiTheme="majorBidi" w:hAnsiTheme="majorBidi" w:cstheme="majorBidi"/>
          <w:sz w:val="24"/>
          <w:szCs w:val="24"/>
        </w:rPr>
        <w:t xml:space="preserve"> </w:t>
      </w:r>
      <w:r w:rsidRPr="00972382">
        <w:rPr>
          <w:rFonts w:asciiTheme="majorBidi" w:hAnsiTheme="majorBidi" w:cstheme="majorBidi"/>
          <w:sz w:val="24"/>
          <w:szCs w:val="24"/>
        </w:rPr>
        <w:t>In particular, Rwanda represented the only country to</w:t>
      </w:r>
      <w:r w:rsidR="00447F8B">
        <w:rPr>
          <w:rFonts w:asciiTheme="majorBidi" w:hAnsiTheme="majorBidi" w:cstheme="majorBidi"/>
          <w:sz w:val="24"/>
          <w:szCs w:val="24"/>
        </w:rPr>
        <w:t xml:space="preserve"> </w:t>
      </w:r>
      <w:r w:rsidR="00E47844">
        <w:rPr>
          <w:rFonts w:asciiTheme="majorBidi" w:hAnsiTheme="majorBidi" w:cstheme="majorBidi"/>
          <w:sz w:val="24"/>
          <w:szCs w:val="24"/>
        </w:rPr>
        <w:t xml:space="preserve">consistently </w:t>
      </w:r>
      <w:r w:rsidR="00447F8B">
        <w:rPr>
          <w:rFonts w:asciiTheme="majorBidi" w:hAnsiTheme="majorBidi" w:cstheme="majorBidi"/>
          <w:sz w:val="24"/>
          <w:szCs w:val="24"/>
        </w:rPr>
        <w:t>increase co</w:t>
      </w:r>
      <w:r w:rsidRPr="00972382">
        <w:rPr>
          <w:rFonts w:asciiTheme="majorBidi" w:hAnsiTheme="majorBidi" w:cstheme="majorBidi"/>
          <w:sz w:val="24"/>
          <w:szCs w:val="24"/>
        </w:rPr>
        <w:t>verage</w:t>
      </w:r>
      <w:r w:rsidR="00447F8B">
        <w:rPr>
          <w:rFonts w:asciiTheme="majorBidi" w:hAnsiTheme="majorBidi" w:cstheme="majorBidi"/>
          <w:sz w:val="24"/>
          <w:szCs w:val="24"/>
        </w:rPr>
        <w:t xml:space="preserve"> and </w:t>
      </w:r>
      <w:r w:rsidRPr="00972382">
        <w:rPr>
          <w:rFonts w:asciiTheme="majorBidi" w:hAnsiTheme="majorBidi" w:cstheme="majorBidi"/>
          <w:sz w:val="24"/>
          <w:szCs w:val="24"/>
        </w:rPr>
        <w:t>reduce</w:t>
      </w:r>
      <w:r w:rsidR="00447F8B">
        <w:rPr>
          <w:rFonts w:asciiTheme="majorBidi" w:hAnsiTheme="majorBidi" w:cstheme="majorBidi"/>
          <w:sz w:val="24"/>
          <w:szCs w:val="24"/>
        </w:rPr>
        <w:t xml:space="preserve"> </w:t>
      </w:r>
      <w:r w:rsidR="00E47844">
        <w:rPr>
          <w:rFonts w:asciiTheme="majorBidi" w:hAnsiTheme="majorBidi" w:cstheme="majorBidi"/>
          <w:sz w:val="24"/>
          <w:szCs w:val="24"/>
        </w:rPr>
        <w:t>spatial inequalities</w:t>
      </w:r>
      <w:r w:rsidR="00447F8B">
        <w:rPr>
          <w:rFonts w:asciiTheme="majorBidi" w:hAnsiTheme="majorBidi" w:cstheme="majorBidi"/>
          <w:sz w:val="24"/>
          <w:szCs w:val="24"/>
        </w:rPr>
        <w:t xml:space="preserve"> across all </w:t>
      </w:r>
      <w:r w:rsidR="00AA2F3B">
        <w:rPr>
          <w:rFonts w:asciiTheme="majorBidi" w:hAnsiTheme="majorBidi" w:cstheme="majorBidi"/>
          <w:sz w:val="24"/>
          <w:szCs w:val="24"/>
        </w:rPr>
        <w:t>services</w:t>
      </w:r>
      <w:r w:rsidRPr="00972382">
        <w:rPr>
          <w:rFonts w:asciiTheme="majorBidi" w:hAnsiTheme="majorBidi" w:cstheme="majorBidi"/>
          <w:sz w:val="24"/>
          <w:szCs w:val="24"/>
        </w:rPr>
        <w:t>.</w:t>
      </w:r>
      <w:r w:rsidR="003119E1">
        <w:rPr>
          <w:rFonts w:asciiTheme="majorBidi" w:hAnsiTheme="majorBidi" w:cstheme="majorBidi"/>
          <w:sz w:val="24"/>
          <w:szCs w:val="24"/>
        </w:rPr>
        <w:t xml:space="preserve"> </w:t>
      </w:r>
      <w:r w:rsidR="003119E1" w:rsidRPr="003119E1">
        <w:rPr>
          <w:rFonts w:asciiTheme="majorBidi" w:hAnsiTheme="majorBidi" w:cstheme="majorBidi"/>
          <w:sz w:val="24"/>
          <w:szCs w:val="24"/>
        </w:rPr>
        <w:t xml:space="preserve">Conversely, Tanzania had noticeable reductions in </w:t>
      </w:r>
      <w:r w:rsidR="00B61E26">
        <w:rPr>
          <w:rFonts w:asciiTheme="majorBidi" w:hAnsiTheme="majorBidi" w:cstheme="majorBidi"/>
          <w:sz w:val="24"/>
          <w:szCs w:val="24"/>
        </w:rPr>
        <w:t xml:space="preserve">ANC </w:t>
      </w:r>
      <w:r w:rsidR="003119E1" w:rsidRPr="003119E1">
        <w:rPr>
          <w:rFonts w:asciiTheme="majorBidi" w:hAnsiTheme="majorBidi" w:cstheme="majorBidi"/>
          <w:sz w:val="24"/>
          <w:szCs w:val="24"/>
        </w:rPr>
        <w:t>coverage</w:t>
      </w:r>
      <w:r w:rsidR="00B61E26">
        <w:rPr>
          <w:rFonts w:asciiTheme="majorBidi" w:hAnsiTheme="majorBidi" w:cstheme="majorBidi"/>
          <w:sz w:val="24"/>
          <w:szCs w:val="24"/>
        </w:rPr>
        <w:t xml:space="preserve"> t</w:t>
      </w:r>
      <w:r w:rsidR="003119E1" w:rsidRPr="003119E1">
        <w:rPr>
          <w:rFonts w:asciiTheme="majorBidi" w:hAnsiTheme="majorBidi" w:cstheme="majorBidi"/>
          <w:sz w:val="24"/>
          <w:szCs w:val="24"/>
        </w:rPr>
        <w:t>h</w:t>
      </w:r>
      <w:r w:rsidR="00B61E26">
        <w:rPr>
          <w:rFonts w:asciiTheme="majorBidi" w:hAnsiTheme="majorBidi" w:cstheme="majorBidi"/>
          <w:sz w:val="24"/>
          <w:szCs w:val="24"/>
        </w:rPr>
        <w:t xml:space="preserve">roughout most of the country, </w:t>
      </w:r>
      <w:r w:rsidR="003119E1" w:rsidRPr="003119E1">
        <w:rPr>
          <w:rFonts w:asciiTheme="majorBidi" w:hAnsiTheme="majorBidi" w:cstheme="majorBidi"/>
          <w:sz w:val="24"/>
          <w:szCs w:val="24"/>
        </w:rPr>
        <w:t>with some areas experiencing as much as a 55% reduction.</w:t>
      </w:r>
      <w:r w:rsidR="003119E1">
        <w:rPr>
          <w:rFonts w:asciiTheme="majorBidi" w:hAnsiTheme="majorBidi" w:cstheme="majorBidi"/>
          <w:sz w:val="24"/>
          <w:szCs w:val="24"/>
        </w:rPr>
        <w:t xml:space="preserve"> Encouragingly, however, w</w:t>
      </w:r>
      <w:r w:rsidR="003119E1" w:rsidRPr="00972382">
        <w:rPr>
          <w:rFonts w:asciiTheme="majorBidi" w:hAnsiTheme="majorBidi" w:cstheme="majorBidi"/>
          <w:sz w:val="24"/>
          <w:szCs w:val="24"/>
        </w:rPr>
        <w:t xml:space="preserve">e found that </w:t>
      </w:r>
      <w:r w:rsidR="009F401E">
        <w:rPr>
          <w:rFonts w:asciiTheme="majorBidi" w:hAnsiTheme="majorBidi" w:cstheme="majorBidi"/>
          <w:sz w:val="24"/>
          <w:szCs w:val="24"/>
        </w:rPr>
        <w:t>performance</w:t>
      </w:r>
      <w:r w:rsidR="00B61E26">
        <w:rPr>
          <w:rFonts w:asciiTheme="majorBidi" w:hAnsiTheme="majorBidi" w:cstheme="majorBidi"/>
          <w:sz w:val="24"/>
          <w:szCs w:val="24"/>
        </w:rPr>
        <w:t xml:space="preserve"> gaps between districts</w:t>
      </w:r>
      <w:r w:rsidR="003119E1" w:rsidRPr="00972382">
        <w:rPr>
          <w:rFonts w:asciiTheme="majorBidi" w:hAnsiTheme="majorBidi" w:cstheme="majorBidi"/>
          <w:sz w:val="24"/>
          <w:szCs w:val="24"/>
        </w:rPr>
        <w:t xml:space="preserve"> have generally decreased or remained stably low </w:t>
      </w:r>
      <w:r w:rsidR="00447F8B">
        <w:rPr>
          <w:rFonts w:asciiTheme="majorBidi" w:hAnsiTheme="majorBidi" w:cstheme="majorBidi"/>
          <w:sz w:val="24"/>
          <w:szCs w:val="24"/>
        </w:rPr>
        <w:t>a</w:t>
      </w:r>
      <w:r w:rsidR="003119E1" w:rsidRPr="00972382">
        <w:rPr>
          <w:rFonts w:asciiTheme="majorBidi" w:hAnsiTheme="majorBidi" w:cstheme="majorBidi"/>
          <w:sz w:val="24"/>
          <w:szCs w:val="24"/>
        </w:rPr>
        <w:t xml:space="preserve">cross all countries, suggesting </w:t>
      </w:r>
      <w:r w:rsidR="00A311DF">
        <w:rPr>
          <w:rFonts w:asciiTheme="majorBidi" w:hAnsiTheme="majorBidi" w:cstheme="majorBidi"/>
          <w:sz w:val="24"/>
          <w:szCs w:val="24"/>
        </w:rPr>
        <w:t xml:space="preserve">countries are making </w:t>
      </w:r>
      <w:r w:rsidR="003119E1" w:rsidRPr="00972382">
        <w:rPr>
          <w:rFonts w:asciiTheme="majorBidi" w:hAnsiTheme="majorBidi" w:cstheme="majorBidi"/>
          <w:sz w:val="24"/>
          <w:szCs w:val="24"/>
        </w:rPr>
        <w:t xml:space="preserve">improvements </w:t>
      </w:r>
      <w:r w:rsidR="00A311DF">
        <w:rPr>
          <w:rFonts w:asciiTheme="majorBidi" w:hAnsiTheme="majorBidi" w:cstheme="majorBidi"/>
          <w:sz w:val="24"/>
          <w:szCs w:val="24"/>
        </w:rPr>
        <w:t xml:space="preserve">to </w:t>
      </w:r>
      <w:r w:rsidR="003119E1" w:rsidRPr="00972382">
        <w:rPr>
          <w:rFonts w:asciiTheme="majorBidi" w:hAnsiTheme="majorBidi" w:cstheme="majorBidi"/>
          <w:sz w:val="24"/>
          <w:szCs w:val="24"/>
        </w:rPr>
        <w:t xml:space="preserve">reduce </w:t>
      </w:r>
      <w:r w:rsidR="00B61E26">
        <w:rPr>
          <w:rFonts w:asciiTheme="majorBidi" w:hAnsiTheme="majorBidi" w:cstheme="majorBidi"/>
          <w:sz w:val="24"/>
          <w:szCs w:val="24"/>
        </w:rPr>
        <w:t>spatial inequalities in these services</w:t>
      </w:r>
      <w:r w:rsidR="003119E1" w:rsidRPr="00972382">
        <w:rPr>
          <w:rFonts w:asciiTheme="majorBidi" w:hAnsiTheme="majorBidi" w:cstheme="majorBidi"/>
          <w:sz w:val="24"/>
          <w:szCs w:val="24"/>
        </w:rPr>
        <w:t>.</w:t>
      </w:r>
      <w:r w:rsidR="003119E1">
        <w:rPr>
          <w:rFonts w:asciiTheme="majorBidi" w:hAnsiTheme="majorBidi" w:cstheme="majorBidi"/>
          <w:sz w:val="24"/>
          <w:szCs w:val="24"/>
        </w:rPr>
        <w:t xml:space="preserve"> </w:t>
      </w:r>
    </w:p>
    <w:p w14:paraId="622404C3" w14:textId="696B517E" w:rsidR="00E44A0F" w:rsidRDefault="00204573" w:rsidP="00972382">
      <w:pPr>
        <w:spacing w:line="480" w:lineRule="auto"/>
        <w:rPr>
          <w:rFonts w:asciiTheme="majorBidi" w:hAnsiTheme="majorBidi" w:cstheme="majorBidi"/>
          <w:sz w:val="24"/>
          <w:szCs w:val="24"/>
        </w:rPr>
      </w:pPr>
      <w:r>
        <w:rPr>
          <w:rFonts w:asciiTheme="majorBidi" w:hAnsiTheme="majorBidi" w:cstheme="majorBidi"/>
          <w:b/>
          <w:sz w:val="24"/>
          <w:szCs w:val="24"/>
        </w:rPr>
        <w:lastRenderedPageBreak/>
        <w:t xml:space="preserve">Conclusions: </w:t>
      </w:r>
      <w:r>
        <w:rPr>
          <w:rFonts w:asciiTheme="majorBidi" w:hAnsiTheme="majorBidi" w:cstheme="majorBidi"/>
          <w:sz w:val="24"/>
          <w:szCs w:val="24"/>
        </w:rPr>
        <w:t>We found that</w:t>
      </w:r>
      <w:r w:rsidR="00A311DF">
        <w:rPr>
          <w:rFonts w:asciiTheme="majorBidi" w:hAnsiTheme="majorBidi" w:cstheme="majorBidi"/>
          <w:sz w:val="24"/>
          <w:szCs w:val="24"/>
        </w:rPr>
        <w:t xml:space="preserve"> </w:t>
      </w:r>
      <w:r w:rsidR="00D3626F">
        <w:rPr>
          <w:rFonts w:asciiTheme="majorBidi" w:hAnsiTheme="majorBidi" w:cstheme="majorBidi"/>
          <w:sz w:val="24"/>
          <w:szCs w:val="24"/>
        </w:rPr>
        <w:t xml:space="preserve">while </w:t>
      </w:r>
      <w:r w:rsidR="00A311DF">
        <w:rPr>
          <w:rFonts w:asciiTheme="majorBidi" w:hAnsiTheme="majorBidi" w:cstheme="majorBidi"/>
          <w:sz w:val="24"/>
          <w:szCs w:val="24"/>
        </w:rPr>
        <w:t>the region is generally making progress</w:t>
      </w:r>
      <w:r>
        <w:rPr>
          <w:rFonts w:asciiTheme="majorBidi" w:hAnsiTheme="majorBidi" w:cstheme="majorBidi"/>
          <w:sz w:val="24"/>
          <w:szCs w:val="24"/>
        </w:rPr>
        <w:t xml:space="preserve"> in reduc</w:t>
      </w:r>
      <w:r w:rsidR="00E47844">
        <w:rPr>
          <w:rFonts w:asciiTheme="majorBidi" w:hAnsiTheme="majorBidi" w:cstheme="majorBidi"/>
          <w:sz w:val="24"/>
          <w:szCs w:val="24"/>
        </w:rPr>
        <w:t>ing spatial gaps across</w:t>
      </w:r>
      <w:r>
        <w:rPr>
          <w:rFonts w:asciiTheme="majorBidi" w:hAnsiTheme="majorBidi" w:cstheme="majorBidi"/>
          <w:sz w:val="24"/>
          <w:szCs w:val="24"/>
        </w:rPr>
        <w:t xml:space="preserve"> districts</w:t>
      </w:r>
      <w:r w:rsidR="0039305F">
        <w:rPr>
          <w:rFonts w:asciiTheme="majorBidi" w:hAnsiTheme="majorBidi" w:cstheme="majorBidi"/>
          <w:sz w:val="24"/>
          <w:szCs w:val="24"/>
        </w:rPr>
        <w:t xml:space="preserve">, </w:t>
      </w:r>
      <w:r w:rsidR="00AC2FAF">
        <w:rPr>
          <w:rFonts w:asciiTheme="majorBidi" w:hAnsiTheme="majorBidi" w:cstheme="majorBidi"/>
          <w:sz w:val="24"/>
          <w:szCs w:val="24"/>
        </w:rPr>
        <w:t xml:space="preserve">improvement in PNC </w:t>
      </w:r>
      <w:r w:rsidR="00E47844">
        <w:rPr>
          <w:rFonts w:asciiTheme="majorBidi" w:hAnsiTheme="majorBidi" w:cstheme="majorBidi"/>
          <w:sz w:val="24"/>
          <w:szCs w:val="24"/>
        </w:rPr>
        <w:t xml:space="preserve">coverage </w:t>
      </w:r>
      <w:r w:rsidR="00AC2FAF">
        <w:rPr>
          <w:rFonts w:asciiTheme="majorBidi" w:hAnsiTheme="majorBidi" w:cstheme="majorBidi"/>
          <w:sz w:val="24"/>
          <w:szCs w:val="24"/>
        </w:rPr>
        <w:t>has stagnated, and should be monitored closely over the coming decades.</w:t>
      </w:r>
      <w:r w:rsidR="00AC2FAF">
        <w:rPr>
          <w:rFonts w:asciiTheme="majorBidi" w:hAnsiTheme="majorBidi" w:cstheme="majorBidi"/>
          <w:b/>
          <w:sz w:val="24"/>
          <w:szCs w:val="24"/>
        </w:rPr>
        <w:t xml:space="preserve"> </w:t>
      </w:r>
      <w:r w:rsidR="00447F8B">
        <w:rPr>
          <w:rFonts w:asciiTheme="majorBidi" w:hAnsiTheme="majorBidi" w:cstheme="majorBidi"/>
          <w:sz w:val="24"/>
          <w:szCs w:val="24"/>
        </w:rPr>
        <w:t>This study is the first to report temporal trends in district-level estimates in MNH services across the EAC region, and these findings</w:t>
      </w:r>
      <w:r w:rsidR="0039305F">
        <w:rPr>
          <w:rFonts w:asciiTheme="majorBidi" w:hAnsiTheme="majorBidi" w:cstheme="majorBidi"/>
          <w:sz w:val="24"/>
          <w:szCs w:val="24"/>
        </w:rPr>
        <w:t xml:space="preserve"> </w:t>
      </w:r>
      <w:r w:rsidR="00447F8B">
        <w:rPr>
          <w:rFonts w:asciiTheme="majorBidi" w:hAnsiTheme="majorBidi" w:cstheme="majorBidi"/>
          <w:sz w:val="24"/>
          <w:szCs w:val="24"/>
        </w:rPr>
        <w:t>e</w:t>
      </w:r>
      <w:r w:rsidR="00E44A0F">
        <w:rPr>
          <w:rFonts w:asciiTheme="majorBidi" w:hAnsiTheme="majorBidi" w:cstheme="majorBidi"/>
          <w:sz w:val="24"/>
          <w:szCs w:val="24"/>
        </w:rPr>
        <w:t xml:space="preserve">stablish an important baseline of evidence </w:t>
      </w:r>
      <w:r w:rsidR="005A6B58">
        <w:rPr>
          <w:rFonts w:asciiTheme="majorBidi" w:hAnsiTheme="majorBidi" w:cstheme="majorBidi"/>
          <w:sz w:val="24"/>
          <w:szCs w:val="24"/>
        </w:rPr>
        <w:t>for</w:t>
      </w:r>
      <w:r w:rsidR="00E44A0F">
        <w:rPr>
          <w:rFonts w:asciiTheme="majorBidi" w:hAnsiTheme="majorBidi" w:cstheme="majorBidi"/>
          <w:sz w:val="24"/>
          <w:szCs w:val="24"/>
        </w:rPr>
        <w:t xml:space="preserve"> the Sustainable Development Goal era. </w:t>
      </w:r>
    </w:p>
    <w:p w14:paraId="75E5BEAD" w14:textId="7A6B8657" w:rsidR="00972382" w:rsidRPr="00320C8C" w:rsidRDefault="0077106C" w:rsidP="00320C8C">
      <w:pPr>
        <w:spacing w:line="480" w:lineRule="auto"/>
        <w:rPr>
          <w:rFonts w:asciiTheme="majorBidi" w:hAnsiTheme="majorBidi" w:cstheme="majorBidi"/>
          <w:sz w:val="24"/>
          <w:szCs w:val="24"/>
        </w:rPr>
      </w:pPr>
      <w:r>
        <w:rPr>
          <w:rFonts w:asciiTheme="majorBidi" w:hAnsiTheme="majorBidi" w:cstheme="majorBidi"/>
          <w:b/>
          <w:sz w:val="24"/>
          <w:szCs w:val="24"/>
        </w:rPr>
        <w:t xml:space="preserve">Keywords: </w:t>
      </w:r>
      <w:r>
        <w:rPr>
          <w:rFonts w:asciiTheme="majorBidi" w:hAnsiTheme="majorBidi" w:cstheme="majorBidi"/>
          <w:sz w:val="24"/>
          <w:szCs w:val="24"/>
        </w:rPr>
        <w:t>maternal and newborn health; spatial interpolation; temporal analysis; East Africa Community</w:t>
      </w:r>
      <w:r w:rsidR="00320C8C">
        <w:rPr>
          <w:rFonts w:asciiTheme="majorBidi" w:hAnsiTheme="majorBidi" w:cstheme="majorBidi"/>
          <w:sz w:val="24"/>
          <w:szCs w:val="24"/>
        </w:rPr>
        <w:t xml:space="preserve">; </w:t>
      </w:r>
      <w:r w:rsidR="00320C8C" w:rsidRPr="00320C8C">
        <w:rPr>
          <w:rFonts w:asciiTheme="majorBidi" w:hAnsiTheme="majorBidi" w:cstheme="majorBidi"/>
          <w:sz w:val="24"/>
          <w:szCs w:val="24"/>
        </w:rPr>
        <w:t>skilled birth attendance; antenatal care; postnatal care</w:t>
      </w:r>
      <w:r w:rsidR="00972382">
        <w:rPr>
          <w:rFonts w:asciiTheme="majorBidi" w:hAnsiTheme="majorBidi" w:cstheme="majorBidi"/>
          <w:b/>
          <w:bCs/>
          <w:sz w:val="24"/>
          <w:szCs w:val="24"/>
        </w:rPr>
        <w:br w:type="page"/>
      </w:r>
    </w:p>
    <w:p w14:paraId="1AD79644" w14:textId="7EA9733D" w:rsidR="002D4347" w:rsidRDefault="00356DA9" w:rsidP="00ED0F8C">
      <w:pPr>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Background</w:t>
      </w:r>
    </w:p>
    <w:p w14:paraId="19116EEA" w14:textId="424F3F1F" w:rsidR="00197416" w:rsidRDefault="008C52C8" w:rsidP="00197416">
      <w:pPr>
        <w:spacing w:line="480" w:lineRule="auto"/>
        <w:ind w:firstLine="720"/>
        <w:rPr>
          <w:rFonts w:asciiTheme="majorBidi" w:hAnsiTheme="majorBidi" w:cstheme="majorBidi"/>
          <w:sz w:val="24"/>
          <w:szCs w:val="24"/>
        </w:rPr>
      </w:pPr>
      <w:r w:rsidRPr="008C52C8">
        <w:rPr>
          <w:rFonts w:asciiTheme="majorBidi" w:hAnsiTheme="majorBidi" w:cstheme="majorBidi"/>
          <w:sz w:val="24"/>
          <w:szCs w:val="24"/>
        </w:rPr>
        <w:t xml:space="preserve">Substantial progress has been made in reducing global maternal mortality over the past three decades, </w:t>
      </w:r>
      <w:r w:rsidR="00B05A53">
        <w:rPr>
          <w:rFonts w:asciiTheme="majorBidi" w:hAnsiTheme="majorBidi" w:cstheme="majorBidi"/>
          <w:sz w:val="24"/>
          <w:szCs w:val="24"/>
        </w:rPr>
        <w:t>and</w:t>
      </w:r>
      <w:r w:rsidRPr="008C52C8">
        <w:rPr>
          <w:rFonts w:asciiTheme="majorBidi" w:hAnsiTheme="majorBidi" w:cstheme="majorBidi"/>
          <w:sz w:val="24"/>
          <w:szCs w:val="24"/>
        </w:rPr>
        <w:t xml:space="preserve"> while total coverage of maternal</w:t>
      </w:r>
      <w:r w:rsidR="00573522">
        <w:rPr>
          <w:rFonts w:asciiTheme="majorBidi" w:hAnsiTheme="majorBidi" w:cstheme="majorBidi"/>
          <w:sz w:val="24"/>
          <w:szCs w:val="24"/>
        </w:rPr>
        <w:t xml:space="preserve"> health</w:t>
      </w:r>
      <w:r w:rsidRPr="008C52C8">
        <w:rPr>
          <w:rFonts w:asciiTheme="majorBidi" w:hAnsiTheme="majorBidi" w:cstheme="majorBidi"/>
          <w:sz w:val="24"/>
          <w:szCs w:val="24"/>
        </w:rPr>
        <w:t xml:space="preserve"> services may have increased over time, inequalities </w:t>
      </w:r>
      <w:r w:rsidR="00B05A53">
        <w:rPr>
          <w:rFonts w:asciiTheme="majorBidi" w:hAnsiTheme="majorBidi" w:cstheme="majorBidi"/>
          <w:sz w:val="24"/>
          <w:szCs w:val="24"/>
        </w:rPr>
        <w:t>among</w:t>
      </w:r>
      <w:r w:rsidR="002E31F5">
        <w:rPr>
          <w:rFonts w:asciiTheme="majorBidi" w:hAnsiTheme="majorBidi" w:cstheme="majorBidi"/>
          <w:sz w:val="24"/>
          <w:szCs w:val="24"/>
        </w:rPr>
        <w:t xml:space="preserve"> those utilising the</w:t>
      </w:r>
      <w:r w:rsidRPr="008C52C8">
        <w:rPr>
          <w:rFonts w:asciiTheme="majorBidi" w:hAnsiTheme="majorBidi" w:cstheme="majorBidi"/>
          <w:sz w:val="24"/>
          <w:szCs w:val="24"/>
        </w:rPr>
        <w:t>se services have persisted</w:t>
      </w:r>
      <w:r w:rsidR="00366481">
        <w:rPr>
          <w:rFonts w:asciiTheme="majorBidi" w:hAnsiTheme="majorBidi" w:cstheme="majorBidi"/>
          <w:sz w:val="24"/>
          <w:szCs w:val="24"/>
        </w:rPr>
        <w:t xml:space="preserve"> </w:t>
      </w:r>
      <w:r>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{"citationID":"a2m7331cd15","properties":{"formattedCitation":"[1, 2]","plainCitation":"[1, 2]","noteIndex":0},"citationItems":[{"id":469,"uris":["http://zotero.org/users/2783131/items/EZG8C8NB"],"uri":["http://zotero.org/users/2783131/items/EZG8C8NB"],"itemData":{"id":469,"type":"article-journal","title":"Mind the gap: equity and trends in coverage of maternal, newborn, and child health services in 54 Countdown countries.","container-title":"Lancet (London, England)","page":"1259-1267","volume":"371","issue":"9620","source":"europepmc.org","abstract":"Abstract: BACKGROUND: Increasing the coverage of key maternal, newborn, and child health interventions is essential if Millennium Development Goals (MDG) 4...","DOI":"10.1016/S0140-6736(08)60560-7","ISSN":"0140-6736","note":"PMID: 18406860","shortTitle":"Mind the gap","journalAbbreviation":"Lancet","language":"eng","author":[{"family":"Boerma","given":"JT"},{"family":"Bryce","given":"J"},{"family":"Kinfu","given":"Y"},{"family":"Axelson","given":"H"},{"family":"Victora","given":"CG"}],"issued":{"date-parts":[["2008"]],"season":"2008"}}},{"id":193,"uris":["http://zotero.org/users/2783131/items/4TKFS9DJ"],"uri":["http://zotero.org/users/2783131/items/4TKFS9DJ"],"itemData":{"id":193,"type":"article-journal","title":"Determining the effective coverage of maternal and child health services in Kenya, using demographic and health survey data sets: tracking progress towards universal health coverage","container-title":"Tropical Medicine &amp; International Health","page":"442-453","volume":"22","issue":"4","source":"Wiley Online Library","abstract":"Objectives\n\nEffective coverage (EC) is a measure of health systems’ performance that combines need, use and quality indicators. This study aimed to assess the extent to which the Kenyan health system provides effective and equitable maternal and child health services, as a means of tracking the country's progress towards universal health coverage.\n\n\nMethods and results\n\nThe Demographic Health Surveys (2003, 2008–2009 and 2014) and Service Provision Assessment surveys (2004, 2010) were the main sources of data. Indicators of need, use and quality for eight maternal and child health interventions were aggregated across interventions and economic quintiles to compute EC. EC has increased from 26.7% in 2003 to 50.9% in 2014, but remains low for the majority of interventions. There is a reduction in economic inequalities in EC with the highest to lowest wealth quintile ratio decreasing from 2.41 in 2003 to 1.65 in 2014, but maternal health services remain highly inequitable.\n\n\nConclusions\n\nEffective coverage of key maternal and child health services remains low, indicating that individuals are not receiving the maximum possible health gain from existing health services. There is an urgent need to focus on the quality and reach of maternal and child health services in Kenya to achieve the goals of universal health coverage.","DOI":"10.1111/tmi.12841","ISSN":"1365-3156","shortTitle":"Determining the effective coverage of maternal and child health services in Kenya, using demographic and health survey data sets","journalAbbreviation":"Trop Med Int Health","language":"en","author":[{"family":"Nguhiu","given":"Peter K."},{"family":"Barasa","given":"Edwine W."},{"family":"Chuma","given":"Jane"}],"issued":{"date-parts":[["2017",4,1]]}}}],"schema":"https://github.com/citation-style-language/schema/raw/master/csl-citation.json"} </w:instrText>
      </w:r>
      <w:r>
        <w:rPr>
          <w:rFonts w:asciiTheme="majorBidi" w:hAnsiTheme="majorBidi" w:cstheme="majorBidi"/>
          <w:sz w:val="24"/>
          <w:szCs w:val="24"/>
        </w:rPr>
        <w:fldChar w:fldCharType="separate"/>
      </w:r>
      <w:r w:rsidR="009303FD" w:rsidRPr="009303FD">
        <w:rPr>
          <w:rFonts w:ascii="Times New Roman" w:hAnsi="Times New Roman" w:cs="Times New Roman"/>
          <w:sz w:val="24"/>
        </w:rPr>
        <w:t>[1, 2]</w:t>
      </w:r>
      <w:r>
        <w:rPr>
          <w:rFonts w:asciiTheme="majorBidi" w:hAnsiTheme="majorBidi" w:cstheme="majorBidi"/>
          <w:sz w:val="24"/>
          <w:szCs w:val="24"/>
        </w:rPr>
        <w:fldChar w:fldCharType="end"/>
      </w:r>
      <w:r w:rsidR="00366481">
        <w:rPr>
          <w:rFonts w:asciiTheme="majorBidi" w:hAnsiTheme="majorBidi" w:cstheme="majorBidi"/>
          <w:sz w:val="24"/>
          <w:szCs w:val="24"/>
        </w:rPr>
        <w:t xml:space="preserve">. </w:t>
      </w:r>
      <w:r w:rsidR="00197416">
        <w:rPr>
          <w:rFonts w:asciiTheme="majorBidi" w:hAnsiTheme="majorBidi" w:cstheme="majorBidi"/>
          <w:sz w:val="24"/>
          <w:szCs w:val="24"/>
        </w:rPr>
        <w:t xml:space="preserve">Sub-Saharan Africa continues to account </w:t>
      </w:r>
      <w:r w:rsidR="00197416" w:rsidRPr="0064772E">
        <w:rPr>
          <w:rFonts w:asciiTheme="majorBidi" w:hAnsiTheme="majorBidi" w:cstheme="majorBidi"/>
          <w:sz w:val="24"/>
          <w:szCs w:val="24"/>
        </w:rPr>
        <w:t>for the highest regional maternal mortality ratio</w:t>
      </w:r>
      <w:r w:rsidR="00197416">
        <w:rPr>
          <w:rFonts w:asciiTheme="majorBidi" w:hAnsiTheme="majorBidi" w:cstheme="majorBidi"/>
          <w:sz w:val="24"/>
          <w:szCs w:val="24"/>
        </w:rPr>
        <w:t xml:space="preserve"> (MMR)</w:t>
      </w:r>
      <w:r w:rsidR="00197416" w:rsidRPr="0064772E">
        <w:rPr>
          <w:rFonts w:asciiTheme="majorBidi" w:hAnsiTheme="majorBidi" w:cstheme="majorBidi"/>
          <w:sz w:val="24"/>
          <w:szCs w:val="24"/>
        </w:rPr>
        <w:t xml:space="preserve"> in the world, at just </w:t>
      </w:r>
      <w:r w:rsidR="00197416">
        <w:rPr>
          <w:rFonts w:asciiTheme="majorBidi" w:hAnsiTheme="majorBidi" w:cstheme="majorBidi"/>
          <w:sz w:val="24"/>
          <w:szCs w:val="24"/>
        </w:rPr>
        <w:t>under 550</w:t>
      </w:r>
      <w:r w:rsidR="00197416" w:rsidRPr="0064772E">
        <w:rPr>
          <w:rFonts w:asciiTheme="majorBidi" w:hAnsiTheme="majorBidi" w:cstheme="majorBidi"/>
          <w:sz w:val="24"/>
          <w:szCs w:val="24"/>
        </w:rPr>
        <w:t xml:space="preserve"> maternal deaths per 100,000 live births in 201</w:t>
      </w:r>
      <w:r w:rsidR="00197416">
        <w:rPr>
          <w:rFonts w:asciiTheme="majorBidi" w:hAnsiTheme="majorBidi" w:cstheme="majorBidi"/>
          <w:sz w:val="24"/>
          <w:szCs w:val="24"/>
        </w:rPr>
        <w:t>5</w:t>
      </w:r>
      <w:r w:rsidR="00197416" w:rsidRPr="0064772E">
        <w:rPr>
          <w:rFonts w:asciiTheme="majorBidi" w:hAnsiTheme="majorBidi" w:cstheme="majorBidi"/>
          <w:sz w:val="24"/>
          <w:szCs w:val="24"/>
        </w:rPr>
        <w:t>, compared to a global rate of 21</w:t>
      </w:r>
      <w:r w:rsidR="00197416">
        <w:rPr>
          <w:rFonts w:asciiTheme="majorBidi" w:hAnsiTheme="majorBidi" w:cstheme="majorBidi"/>
          <w:sz w:val="24"/>
          <w:szCs w:val="24"/>
        </w:rPr>
        <w:t>6</w:t>
      </w:r>
      <w:r w:rsidR="00197416" w:rsidRPr="0064772E">
        <w:rPr>
          <w:rFonts w:asciiTheme="majorBidi" w:hAnsiTheme="majorBidi" w:cstheme="majorBidi"/>
          <w:sz w:val="24"/>
          <w:szCs w:val="24"/>
        </w:rPr>
        <w:t xml:space="preserve"> deaths</w:t>
      </w:r>
      <w:r w:rsidR="00197416">
        <w:rPr>
          <w:rFonts w:asciiTheme="majorBidi" w:hAnsiTheme="majorBidi" w:cstheme="majorBidi"/>
          <w:sz w:val="24"/>
          <w:szCs w:val="24"/>
        </w:rPr>
        <w:t>. Further, o</w:t>
      </w:r>
      <w:r w:rsidR="00197416" w:rsidRPr="0064772E">
        <w:rPr>
          <w:rFonts w:asciiTheme="majorBidi" w:hAnsiTheme="majorBidi" w:cstheme="majorBidi"/>
          <w:sz w:val="24"/>
          <w:szCs w:val="24"/>
        </w:rPr>
        <w:t>nly four countries achieved the 75% reduction</w:t>
      </w:r>
      <w:r w:rsidR="00197416">
        <w:rPr>
          <w:rFonts w:asciiTheme="majorBidi" w:hAnsiTheme="majorBidi" w:cstheme="majorBidi"/>
          <w:sz w:val="24"/>
          <w:szCs w:val="24"/>
        </w:rPr>
        <w:t xml:space="preserve"> (Cabo Verde, Equatorial Guinea, Eritrea, and Rwanda)</w:t>
      </w:r>
      <w:r w:rsidR="00197416" w:rsidRPr="0064772E">
        <w:rPr>
          <w:rFonts w:asciiTheme="majorBidi" w:hAnsiTheme="majorBidi" w:cstheme="majorBidi"/>
          <w:sz w:val="24"/>
          <w:szCs w:val="24"/>
        </w:rPr>
        <w:t xml:space="preserve"> set out by </w:t>
      </w:r>
      <w:r w:rsidR="00197416">
        <w:rPr>
          <w:rFonts w:asciiTheme="majorBidi" w:hAnsiTheme="majorBidi" w:cstheme="majorBidi"/>
          <w:sz w:val="24"/>
          <w:szCs w:val="24"/>
        </w:rPr>
        <w:t>Millennium Development Goal (</w:t>
      </w:r>
      <w:r w:rsidR="00197416" w:rsidRPr="0064772E">
        <w:rPr>
          <w:rFonts w:asciiTheme="majorBidi" w:hAnsiTheme="majorBidi" w:cstheme="majorBidi"/>
          <w:sz w:val="24"/>
          <w:szCs w:val="24"/>
        </w:rPr>
        <w:t>MDG</w:t>
      </w:r>
      <w:r w:rsidR="00197416">
        <w:rPr>
          <w:rFonts w:asciiTheme="majorBidi" w:hAnsiTheme="majorBidi" w:cstheme="majorBidi"/>
          <w:sz w:val="24"/>
          <w:szCs w:val="24"/>
        </w:rPr>
        <w:t>)</w:t>
      </w:r>
      <w:r w:rsidR="00197416" w:rsidRPr="0064772E">
        <w:rPr>
          <w:rFonts w:asciiTheme="majorBidi" w:hAnsiTheme="majorBidi" w:cstheme="majorBidi"/>
          <w:sz w:val="24"/>
          <w:szCs w:val="24"/>
        </w:rPr>
        <w:t xml:space="preserve"> 5</w:t>
      </w:r>
      <w:r w:rsidR="00197416">
        <w:rPr>
          <w:rFonts w:asciiTheme="majorBidi" w:hAnsiTheme="majorBidi" w:cstheme="majorBidi"/>
          <w:sz w:val="24"/>
          <w:szCs w:val="24"/>
        </w:rPr>
        <w:t xml:space="preserve">a </w:t>
      </w:r>
      <w:r w:rsidR="00197416">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fz99FrLT","properties":{"formattedCitation":"[3]","plainCitation":"[3]","noteIndex":0},"citationItems":[{"id":478,"uris":["http://zotero.org/users/2783131/items/S9RMTHGC"],"uri":["http://zotero.org/users/2783131/items/S9RMTHGC"],"itemData":{"id":478,"type":"report","title":"Trends in Maternal Mortality: 1990 to 2015","publisher":"World Health Organization","URL":"http://apps.who.int/iris/bitstream/10665/194254/1/9789241565141_eng.pdf?ua=1","author":[{"family":"WHO","given":""},{"family":"UNICEF","given":""},{"family":"World Bank","given":""},{"family":"UNFPA","given":""},{"family":"United Nations Population Division","given":""}],"issued":{"date-parts":[["2015"]]},"accessed":{"date-parts":[["2017",1,20]]}}}],"schema":"https://github.com/citation-style-language/schema/raw/master/csl-citation.json"} </w:instrText>
      </w:r>
      <w:r w:rsidR="00197416">
        <w:rPr>
          <w:rFonts w:asciiTheme="majorBidi" w:hAnsiTheme="majorBidi" w:cstheme="majorBidi"/>
          <w:sz w:val="24"/>
          <w:szCs w:val="24"/>
        </w:rPr>
        <w:fldChar w:fldCharType="separate"/>
      </w:r>
      <w:r w:rsidR="00197416" w:rsidRPr="0076525E">
        <w:rPr>
          <w:rFonts w:ascii="Times New Roman" w:hAnsi="Times New Roman" w:cs="Times New Roman"/>
          <w:sz w:val="24"/>
        </w:rPr>
        <w:t>[3]</w:t>
      </w:r>
      <w:r w:rsidR="00197416">
        <w:rPr>
          <w:rFonts w:asciiTheme="majorBidi" w:hAnsiTheme="majorBidi" w:cstheme="majorBidi"/>
          <w:sz w:val="24"/>
          <w:szCs w:val="24"/>
        </w:rPr>
        <w:fldChar w:fldCharType="end"/>
      </w:r>
      <w:r w:rsidR="00197416">
        <w:rPr>
          <w:rFonts w:asciiTheme="majorBidi" w:hAnsiTheme="majorBidi" w:cstheme="majorBidi"/>
          <w:sz w:val="24"/>
          <w:szCs w:val="24"/>
        </w:rPr>
        <w:t xml:space="preserve">. These ratios mask underlying heterogeneity, however, with MMRs ranging from as low as 167 per 100,000 live births in Southern Africa, to as high as 675 deaths per 100,000 live births in Western Africa in 2015 </w:t>
      </w:r>
      <w:r w:rsidR="00197416">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8vFKylpD","properties":{"formattedCitation":"[3]","plainCitation":"[3]","noteIndex":0},"citationItems":[{"id":478,"uris":["http://zotero.org/users/2783131/items/S9RMTHGC"],"uri":["http://zotero.org/users/2783131/items/S9RMTHGC"],"itemData":{"id":478,"type":"report","title":"Trends in Maternal Mortality: 1990 to 2015","publisher":"World Health Organization","URL":"http://apps.who.int/iris/bitstream/10665/194254/1/9789241565141_eng.pdf?ua=1","author":[{"family":"WHO","given":""},{"family":"UNICEF","given":""},{"family":"World Bank","given":""},{"family":"UNFPA","given":""},{"family":"United Nations Population Division","given":""}],"issued":{"date-parts":[["2015"]]},"accessed":{"date-parts":[["2017",1,20]]}}}],"schema":"https://github.com/citation-style-language/schema/raw/master/csl-citation.json"} </w:instrText>
      </w:r>
      <w:r w:rsidR="00197416">
        <w:rPr>
          <w:rFonts w:asciiTheme="majorBidi" w:hAnsiTheme="majorBidi" w:cstheme="majorBidi"/>
          <w:sz w:val="24"/>
          <w:szCs w:val="24"/>
        </w:rPr>
        <w:fldChar w:fldCharType="separate"/>
      </w:r>
      <w:r w:rsidR="00197416" w:rsidRPr="0076525E">
        <w:rPr>
          <w:rFonts w:ascii="Times New Roman" w:hAnsi="Times New Roman" w:cs="Times New Roman"/>
          <w:sz w:val="24"/>
        </w:rPr>
        <w:t>[3]</w:t>
      </w:r>
      <w:r w:rsidR="00197416">
        <w:rPr>
          <w:rFonts w:asciiTheme="majorBidi" w:hAnsiTheme="majorBidi" w:cstheme="majorBidi"/>
          <w:sz w:val="24"/>
          <w:szCs w:val="24"/>
        </w:rPr>
        <w:fldChar w:fldCharType="end"/>
      </w:r>
      <w:r w:rsidR="00197416" w:rsidRPr="0064772E">
        <w:rPr>
          <w:rFonts w:asciiTheme="majorBidi" w:hAnsiTheme="majorBidi" w:cstheme="majorBidi"/>
          <w:sz w:val="24"/>
          <w:szCs w:val="24"/>
        </w:rPr>
        <w:t xml:space="preserve">. </w:t>
      </w:r>
      <w:r w:rsidR="00197416">
        <w:rPr>
          <w:rFonts w:asciiTheme="majorBidi" w:hAnsiTheme="majorBidi" w:cstheme="majorBidi"/>
          <w:sz w:val="24"/>
          <w:szCs w:val="24"/>
        </w:rPr>
        <w:t>T</w:t>
      </w:r>
      <w:r w:rsidR="00197416" w:rsidRPr="0064772E">
        <w:rPr>
          <w:rFonts w:asciiTheme="majorBidi" w:hAnsiTheme="majorBidi" w:cstheme="majorBidi"/>
          <w:sz w:val="24"/>
          <w:szCs w:val="24"/>
        </w:rPr>
        <w:t>he greatest reduction in MMR between 1990 and 2015</w:t>
      </w:r>
      <w:r w:rsidR="00197416">
        <w:rPr>
          <w:rFonts w:asciiTheme="majorBidi" w:hAnsiTheme="majorBidi" w:cstheme="majorBidi"/>
          <w:sz w:val="24"/>
          <w:szCs w:val="24"/>
        </w:rPr>
        <w:t xml:space="preserve"> occurred within t</w:t>
      </w:r>
      <w:r w:rsidR="00197416" w:rsidRPr="0064772E">
        <w:rPr>
          <w:rFonts w:asciiTheme="majorBidi" w:hAnsiTheme="majorBidi" w:cstheme="majorBidi"/>
          <w:sz w:val="24"/>
          <w:szCs w:val="24"/>
        </w:rPr>
        <w:t>he Eastern Africa</w:t>
      </w:r>
      <w:r w:rsidR="00197416">
        <w:rPr>
          <w:rFonts w:asciiTheme="majorBidi" w:hAnsiTheme="majorBidi" w:cstheme="majorBidi"/>
          <w:sz w:val="24"/>
          <w:szCs w:val="24"/>
        </w:rPr>
        <w:t xml:space="preserve"> sub-region (as defined by the United Nations’ (UN)</w:t>
      </w:r>
      <w:r w:rsidR="00197416" w:rsidRPr="0064772E">
        <w:rPr>
          <w:rFonts w:asciiTheme="majorBidi" w:hAnsiTheme="majorBidi" w:cstheme="majorBidi"/>
          <w:sz w:val="24"/>
          <w:szCs w:val="24"/>
        </w:rPr>
        <w:t xml:space="preserve"> MDG groupings</w:t>
      </w:r>
      <w:r w:rsidR="00197416">
        <w:rPr>
          <w:rFonts w:asciiTheme="majorBidi" w:hAnsiTheme="majorBidi" w:cstheme="majorBidi"/>
          <w:sz w:val="24"/>
          <w:szCs w:val="24"/>
        </w:rPr>
        <w:t>),</w:t>
      </w:r>
      <w:r w:rsidR="00197416" w:rsidRPr="0064772E">
        <w:rPr>
          <w:rFonts w:asciiTheme="majorBidi" w:hAnsiTheme="majorBidi" w:cstheme="majorBidi"/>
          <w:sz w:val="24"/>
          <w:szCs w:val="24"/>
        </w:rPr>
        <w:t xml:space="preserve"> with a 57% overall change and 3.4% average annual change</w:t>
      </w:r>
      <w:r w:rsidR="00197416">
        <w:rPr>
          <w:rFonts w:asciiTheme="majorBidi" w:hAnsiTheme="majorBidi" w:cstheme="majorBidi"/>
          <w:sz w:val="24"/>
          <w:szCs w:val="24"/>
        </w:rPr>
        <w:t xml:space="preserve"> </w:t>
      </w:r>
      <w:r w:rsidR="00197416">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a2nv47dp2q","properties":{"formattedCitation":"[4]","plainCitation":"[4]","noteIndex":0},"citationItems":[{"id":455,"uris":["http://zotero.org/users/2783131/items/DE8TAF7B"],"uri":["http://zotero.org/users/2783131/items/DE8TAF7B"],"itemData":{"id":455,"type":"report","title":"State of inequality: Reproductive, maternal, newborn and child health","publisher":"World Health Organization","publisher-place":"Geneva, Switzerland","event-place":"Geneva, Switzerland","URL":"http://apps.who.int/iris/bitstream/10665/164590/1/9789241564908_eng.pdf?ua=1&amp;ua=1","author":[{"family":"WHO","given":""}],"issued":{"date-parts":[["2015"]]}}}],"schema":"https://github.com/citation-style-language/schema/raw/master/csl-citation.json"} </w:instrText>
      </w:r>
      <w:r w:rsidR="00197416">
        <w:rPr>
          <w:rFonts w:asciiTheme="majorBidi" w:hAnsiTheme="majorBidi" w:cstheme="majorBidi"/>
          <w:sz w:val="24"/>
          <w:szCs w:val="24"/>
        </w:rPr>
        <w:fldChar w:fldCharType="separate"/>
      </w:r>
      <w:r w:rsidR="00197416" w:rsidRPr="0076525E">
        <w:rPr>
          <w:rFonts w:ascii="Times New Roman" w:hAnsi="Times New Roman" w:cs="Times New Roman"/>
          <w:sz w:val="24"/>
        </w:rPr>
        <w:t>[4]</w:t>
      </w:r>
      <w:r w:rsidR="00197416">
        <w:rPr>
          <w:rFonts w:asciiTheme="majorBidi" w:hAnsiTheme="majorBidi" w:cstheme="majorBidi"/>
          <w:sz w:val="24"/>
          <w:szCs w:val="24"/>
        </w:rPr>
        <w:fldChar w:fldCharType="end"/>
      </w:r>
      <w:r w:rsidR="00197416">
        <w:rPr>
          <w:rFonts w:asciiTheme="majorBidi" w:hAnsiTheme="majorBidi" w:cstheme="majorBidi"/>
          <w:sz w:val="24"/>
          <w:szCs w:val="24"/>
        </w:rPr>
        <w:t>.</w:t>
      </w:r>
      <w:r w:rsidR="00197416" w:rsidRPr="0064772E">
        <w:rPr>
          <w:rFonts w:asciiTheme="majorBidi" w:hAnsiTheme="majorBidi" w:cstheme="majorBidi"/>
          <w:sz w:val="24"/>
          <w:szCs w:val="24"/>
        </w:rPr>
        <w:t xml:space="preserve"> However, </w:t>
      </w:r>
      <w:r w:rsidR="00197416">
        <w:rPr>
          <w:rFonts w:asciiTheme="majorBidi" w:hAnsiTheme="majorBidi" w:cstheme="majorBidi"/>
          <w:sz w:val="24"/>
          <w:szCs w:val="24"/>
        </w:rPr>
        <w:t>even</w:t>
      </w:r>
      <w:r w:rsidR="00197416" w:rsidRPr="0064772E">
        <w:rPr>
          <w:rFonts w:asciiTheme="majorBidi" w:hAnsiTheme="majorBidi" w:cstheme="majorBidi"/>
          <w:sz w:val="24"/>
          <w:szCs w:val="24"/>
        </w:rPr>
        <w:t xml:space="preserve"> within this sub-region, countries falling in the East African Community</w:t>
      </w:r>
      <w:r w:rsidR="00197416">
        <w:rPr>
          <w:rFonts w:asciiTheme="majorBidi" w:hAnsiTheme="majorBidi" w:cstheme="majorBidi"/>
          <w:sz w:val="24"/>
          <w:szCs w:val="24"/>
        </w:rPr>
        <w:t xml:space="preserve"> (EAC)</w:t>
      </w:r>
      <w:r w:rsidR="00197416" w:rsidRPr="0064772E">
        <w:rPr>
          <w:rFonts w:asciiTheme="majorBidi" w:hAnsiTheme="majorBidi" w:cstheme="majorBidi"/>
          <w:sz w:val="24"/>
          <w:szCs w:val="24"/>
        </w:rPr>
        <w:t xml:space="preserve"> region (comprised in 2015 of Burundi, Kenya, Rwanda, Tanzania, and Uganda, with the a</w:t>
      </w:r>
      <w:r w:rsidR="00197416">
        <w:rPr>
          <w:rFonts w:asciiTheme="majorBidi" w:hAnsiTheme="majorBidi" w:cstheme="majorBidi"/>
          <w:sz w:val="24"/>
          <w:szCs w:val="24"/>
        </w:rPr>
        <w:t>ddition of South Sudan in 2016) experienced</w:t>
      </w:r>
      <w:r w:rsidR="00197416" w:rsidRPr="0064772E">
        <w:rPr>
          <w:rFonts w:asciiTheme="majorBidi" w:hAnsiTheme="majorBidi" w:cstheme="majorBidi"/>
          <w:sz w:val="24"/>
          <w:szCs w:val="24"/>
        </w:rPr>
        <w:t xml:space="preserve"> </w:t>
      </w:r>
      <w:r w:rsidR="00197416">
        <w:rPr>
          <w:rFonts w:asciiTheme="majorBidi" w:hAnsiTheme="majorBidi" w:cstheme="majorBidi"/>
          <w:sz w:val="24"/>
          <w:szCs w:val="24"/>
        </w:rPr>
        <w:t>varied improvement in preventing maternal deaths over the past two decades, with Rwanda representing the only country within the region to reach the MDG 5a target</w:t>
      </w:r>
      <w:r w:rsidR="00197416" w:rsidRPr="0064772E">
        <w:rPr>
          <w:rFonts w:asciiTheme="majorBidi" w:hAnsiTheme="majorBidi" w:cstheme="majorBidi"/>
          <w:sz w:val="24"/>
          <w:szCs w:val="24"/>
        </w:rPr>
        <w:t>.</w:t>
      </w:r>
    </w:p>
    <w:p w14:paraId="2F765573" w14:textId="0FB0DEAD" w:rsidR="007109B0" w:rsidRDefault="008C52C8" w:rsidP="00281E7F">
      <w:pPr>
        <w:spacing w:line="480" w:lineRule="auto"/>
        <w:ind w:firstLine="720"/>
        <w:rPr>
          <w:rFonts w:asciiTheme="majorBidi" w:hAnsiTheme="majorBidi" w:cstheme="majorBidi"/>
          <w:sz w:val="24"/>
          <w:szCs w:val="24"/>
        </w:rPr>
      </w:pPr>
      <w:r w:rsidRPr="008C52C8">
        <w:rPr>
          <w:rFonts w:asciiTheme="majorBidi" w:hAnsiTheme="majorBidi" w:cstheme="majorBidi"/>
          <w:sz w:val="24"/>
          <w:szCs w:val="24"/>
        </w:rPr>
        <w:t>Reducing</w:t>
      </w:r>
      <w:r w:rsidR="00197416">
        <w:rPr>
          <w:rFonts w:asciiTheme="majorBidi" w:hAnsiTheme="majorBidi" w:cstheme="majorBidi"/>
          <w:sz w:val="24"/>
          <w:szCs w:val="24"/>
        </w:rPr>
        <w:t xml:space="preserve"> health</w:t>
      </w:r>
      <w:r w:rsidR="006A6C0B">
        <w:rPr>
          <w:rFonts w:asciiTheme="majorBidi" w:hAnsiTheme="majorBidi" w:cstheme="majorBidi"/>
          <w:sz w:val="24"/>
          <w:szCs w:val="24"/>
        </w:rPr>
        <w:t xml:space="preserve"> </w:t>
      </w:r>
      <w:r w:rsidRPr="008C52C8">
        <w:rPr>
          <w:rFonts w:asciiTheme="majorBidi" w:hAnsiTheme="majorBidi" w:cstheme="majorBidi"/>
          <w:sz w:val="24"/>
          <w:szCs w:val="24"/>
        </w:rPr>
        <w:t>inequalities in low- and middle-income countries has become an increasingly important and quantifiable objective in the post-2015</w:t>
      </w:r>
      <w:r w:rsidR="009935F8">
        <w:rPr>
          <w:rFonts w:asciiTheme="majorBidi" w:hAnsiTheme="majorBidi" w:cstheme="majorBidi"/>
          <w:sz w:val="24"/>
          <w:szCs w:val="24"/>
        </w:rPr>
        <w:t xml:space="preserve"> Sustainable Development Goals</w:t>
      </w:r>
      <w:r w:rsidRPr="008C52C8">
        <w:rPr>
          <w:rFonts w:asciiTheme="majorBidi" w:hAnsiTheme="majorBidi" w:cstheme="majorBidi"/>
          <w:sz w:val="24"/>
          <w:szCs w:val="24"/>
        </w:rPr>
        <w:t xml:space="preserve"> </w:t>
      </w:r>
      <w:r w:rsidR="009935F8">
        <w:rPr>
          <w:rFonts w:asciiTheme="majorBidi" w:hAnsiTheme="majorBidi" w:cstheme="majorBidi"/>
          <w:sz w:val="24"/>
          <w:szCs w:val="24"/>
        </w:rPr>
        <w:t>(</w:t>
      </w:r>
      <w:r w:rsidRPr="008C52C8">
        <w:rPr>
          <w:rFonts w:asciiTheme="majorBidi" w:hAnsiTheme="majorBidi" w:cstheme="majorBidi"/>
          <w:sz w:val="24"/>
          <w:szCs w:val="24"/>
        </w:rPr>
        <w:t>SDG</w:t>
      </w:r>
      <w:r w:rsidR="009935F8">
        <w:rPr>
          <w:rFonts w:asciiTheme="majorBidi" w:hAnsiTheme="majorBidi" w:cstheme="majorBidi"/>
          <w:sz w:val="24"/>
          <w:szCs w:val="24"/>
        </w:rPr>
        <w:t>)</w:t>
      </w:r>
      <w:r w:rsidRPr="008C52C8">
        <w:rPr>
          <w:rFonts w:asciiTheme="majorBidi" w:hAnsiTheme="majorBidi" w:cstheme="majorBidi"/>
          <w:sz w:val="24"/>
          <w:szCs w:val="24"/>
        </w:rPr>
        <w:t xml:space="preserve"> agenda</w:t>
      </w:r>
      <w:r w:rsidR="00366481">
        <w:rPr>
          <w:rFonts w:asciiTheme="majorBidi" w:hAnsiTheme="majorBidi" w:cstheme="majorBidi"/>
          <w:sz w:val="24"/>
          <w:szCs w:val="24"/>
        </w:rPr>
        <w:t xml:space="preserve"> </w:t>
      </w:r>
      <w:r>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{"citationID":"cuZMAYuH","properties":{"formattedCitation":"[5, 6]","plainCitation":"[5, 6]","noteIndex":0},"citationItems":[{"id":497,"uris":["http://zotero.org/users/2783131/items/2R85SUUE"],"uri":["http://zotero.org/users/2783131/items/2R85SUUE"],"itemData":{"id":497,"type":"article-journal","title":"Measuring Coverage in MNCH: Determining and Interpreting Inequalities in Coverage of Maternal, Newborn, and Child Health Interventions","container-title":"PLOS Medicine","page":"e1001390","volume":"10","issue":"5","source":"PLoS Journals","abstract":"In a PLOS Medicine Review, Aluísio Barros and Cesar Victora provide a practical guide to measuring and interpreting inequalities in the coverage of maternal, newborn, and child interventions in low- and middle-income countries using data collected by large household surveys.","DOI":"10.1371/journal.pmed.1001390","ISSN":"1549-1676","shortTitle":"Measuring Coverage in MNCH","journalAbbreviation":"PLOS Medicine","author":[{"family":"Barros","given":"Aluísio J. D."},{"family":"Victora","given":"Cesar G."}],"issued":{"date-parts":[["2013",5,7]]}}},{"id":983,"uris":["http://zotero.org/users/2783131/items/U3A4S5TA"],"uri":["http://zotero.org/users/2783131/items/U3A4S5TA"],"itemData":{"id":983,"type":"report","title":"Health in 2015: from MDGs, Millennium Development Goals to SDGs, Sustainable Development Goals","publisher":"World Health Organization","publisher-place":"Geneva, Switzerland","event-place":"Geneva, Switzerland","URL":"http://www.who.int/gho/publications/mdgs-sdgs/en/","shortTitle":"Health in 2015","author":[{"literal":"WHO"}],"issued":{"date-parts":[["2015"]]},"accessed":{"date-parts":[["2018",4,19]]}}}],"schema":"https://github.com/citation-style-language/schema/raw/master/csl-citation.json"} </w:instrText>
      </w:r>
      <w:r>
        <w:rPr>
          <w:rFonts w:asciiTheme="majorBidi" w:hAnsiTheme="majorBidi" w:cstheme="majorBidi"/>
          <w:sz w:val="24"/>
          <w:szCs w:val="24"/>
        </w:rPr>
        <w:fldChar w:fldCharType="separate"/>
      </w:r>
      <w:r w:rsidR="00197416" w:rsidRPr="0076525E">
        <w:rPr>
          <w:rFonts w:ascii="Times New Roman" w:hAnsi="Times New Roman" w:cs="Times New Roman"/>
          <w:sz w:val="24"/>
        </w:rPr>
        <w:t>[5, 6]</w:t>
      </w:r>
      <w:r>
        <w:rPr>
          <w:rFonts w:asciiTheme="majorBidi" w:hAnsiTheme="majorBidi" w:cstheme="majorBidi"/>
          <w:sz w:val="24"/>
          <w:szCs w:val="24"/>
        </w:rPr>
        <w:fldChar w:fldCharType="end"/>
      </w:r>
      <w:r w:rsidR="00366481">
        <w:rPr>
          <w:rFonts w:asciiTheme="majorBidi" w:hAnsiTheme="majorBidi" w:cstheme="majorBidi"/>
          <w:sz w:val="24"/>
          <w:szCs w:val="24"/>
        </w:rPr>
        <w:t>.</w:t>
      </w:r>
      <w:r w:rsidRPr="008C52C8">
        <w:rPr>
          <w:rFonts w:asciiTheme="majorBidi" w:hAnsiTheme="majorBidi" w:cstheme="majorBidi"/>
          <w:sz w:val="24"/>
          <w:szCs w:val="24"/>
        </w:rPr>
        <w:t xml:space="preserve"> While there has been a renewed call for disaggregation of national level indicators, much research </w:t>
      </w:r>
      <w:r w:rsidR="0088075E">
        <w:rPr>
          <w:rFonts w:asciiTheme="majorBidi" w:hAnsiTheme="majorBidi" w:cstheme="majorBidi"/>
          <w:sz w:val="24"/>
          <w:szCs w:val="24"/>
        </w:rPr>
        <w:t xml:space="preserve">in maternal and newborn health (MNH) </w:t>
      </w:r>
      <w:r w:rsidRPr="008C52C8">
        <w:rPr>
          <w:rFonts w:asciiTheme="majorBidi" w:hAnsiTheme="majorBidi" w:cstheme="majorBidi"/>
          <w:sz w:val="24"/>
          <w:szCs w:val="24"/>
        </w:rPr>
        <w:t>over the previous decades has focused on disaggregating health data by socioeconomic status such as wealth quintile and education status</w:t>
      </w:r>
      <w:r w:rsidR="00366481">
        <w:rPr>
          <w:rFonts w:asciiTheme="majorBidi" w:hAnsiTheme="majorBidi" w:cstheme="majorBidi"/>
          <w:sz w:val="24"/>
          <w:szCs w:val="24"/>
        </w:rPr>
        <w:t xml:space="preserve"> </w:t>
      </w:r>
      <w:r>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{"citationID":"a118qfun03a","properties":{"formattedCitation":"[1, 4, 7]","plainCitation":"[1, 4, 7]","noteIndex":0},"citationItems":[{"id":196,"uris":["http://zotero.org/users/2783131/items/FB3EPJSW"],"uri":["http://zotero.org/users/2783131/items/FB3EPJSW"],"itemData":{"id":196,"type":"report","title":"Levels and Trends in Maternal and Child Health Disparities by Wealth and Region in Eleven Countries with DHS Surveys","publisher":"ICF International","publisher-place":"Rockville, Maryland, USA","event-place":"Rockville, Maryland, USA","URL":"https://www.dhsprogram.com/pubs/pdf/CR42/CR42.pdf","number":"DHS Comparative Report No 42","author":[{"family":"Assaf","given":"S"},{"family":"Pullum","given":"T"}],"issued":{"date-parts":[["2016"]]},"accessed":{"date-parts":[["2017",3,13]]}}},{"id":469,"uris":["http://zotero.org/users/2783131/items/EZG8C8NB"],"uri":["http://zotero.org/users/2783131/items/EZG8C8NB"],"itemData":{"id":469,"type":"article-journal","title":"Mind the gap: equity and trends in coverage of maternal, newborn, and child health services in 54 Countdown countries.","container-title":"Lancet (London, England)","page":"1259-1267","volume":"371","issue":"9620","source":"europepmc.org","abstract":"Abstract: BACKGROUND: Increasing the coverage of key maternal, newborn, and child health interventions is essential if Millennium Development Goals (MDG) 4...","DOI":"10.1016/S0140-6736(08)60560-7","ISSN":"0140-6736","note":"PMID: 18406860","shortTitle":"Mind the gap","journalAbbreviation":"Lancet","language":"eng","author":[{"family":"Boerma","given":"JT"},{"family":"Bryce","given":"J"},{"family":"Kinfu","given":"Y"},{"family":"Axelson","given":"H"},{"family":"Victora","given":"CG"}],"issued":{"date-parts":[["2008"]],"season":"2008"}}},{"id":455,"uris":["http://zotero.org/users/2783131/items/DE8TAF7B"],"uri":["http://zotero.org/users/2783131/items/DE8TAF7B"],"itemData":{"id":455,"type":"report","title":"State of inequality: Reproductive, maternal, newborn and child health","publisher":"World Health Organization","publisher-place":"Geneva, Switzerland","event-place":"Geneva, Switzerland","URL":"http://apps.who.int/iris/bitstream/10665/164590/1/9789241564908_eng.pdf?ua=1&amp;ua=1","author":[{"family":"WHO","given":""}],"issued":{"date-parts":[["2015"]]}}}],"schema":"https://github.com/citation-style-language/schema/raw/master/csl-citation.json"} </w:instrText>
      </w:r>
      <w:r>
        <w:rPr>
          <w:rFonts w:asciiTheme="majorBidi" w:hAnsiTheme="majorBidi" w:cstheme="majorBidi"/>
          <w:sz w:val="24"/>
          <w:szCs w:val="24"/>
        </w:rPr>
        <w:fldChar w:fldCharType="separate"/>
      </w:r>
      <w:r w:rsidR="00197416" w:rsidRPr="0076525E">
        <w:rPr>
          <w:rFonts w:ascii="Times New Roman" w:hAnsi="Times New Roman" w:cs="Times New Roman"/>
          <w:sz w:val="24"/>
        </w:rPr>
        <w:t>[1, 4, 7]</w:t>
      </w:r>
      <w:r>
        <w:rPr>
          <w:rFonts w:asciiTheme="majorBidi" w:hAnsiTheme="majorBidi" w:cstheme="majorBidi"/>
          <w:sz w:val="24"/>
          <w:szCs w:val="24"/>
        </w:rPr>
        <w:fldChar w:fldCharType="end"/>
      </w:r>
      <w:r w:rsidR="00366481">
        <w:rPr>
          <w:rFonts w:asciiTheme="majorBidi" w:hAnsiTheme="majorBidi" w:cstheme="majorBidi"/>
          <w:sz w:val="24"/>
          <w:szCs w:val="24"/>
        </w:rPr>
        <w:t>.</w:t>
      </w:r>
      <w:r w:rsidRPr="008C52C8">
        <w:rPr>
          <w:rFonts w:asciiTheme="majorBidi" w:hAnsiTheme="majorBidi" w:cstheme="majorBidi"/>
          <w:sz w:val="24"/>
          <w:szCs w:val="24"/>
        </w:rPr>
        <w:t xml:space="preserve"> </w:t>
      </w:r>
      <w:r w:rsidR="007109B0">
        <w:rPr>
          <w:rFonts w:asciiTheme="majorBidi" w:hAnsiTheme="majorBidi" w:cstheme="majorBidi"/>
          <w:sz w:val="24"/>
          <w:szCs w:val="24"/>
        </w:rPr>
        <w:t xml:space="preserve">The state of a mother’s health depends not only on her education and income, however, but also on where she lives and the progress her country is making in addressing maternal and newborn health issues </w:t>
      </w:r>
      <w:r w:rsidR="007109B0">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48LY1FBA","properties":{"formattedCitation":"[4]","plainCitation":"[4]","noteIndex":0},"citationItems":[{"id":455,"uris":["http://zotero.org/users/2783131/items/DE8TAF7B"],"uri":["http://zotero.org/users/2783131/items/DE8TAF7B"],"itemData":{"id":455,"type":"report","title":"State of inequality: Reproductive, maternal, newborn and child health","publisher":"World Health Organization","publisher-place":"Geneva, Switzerland","event-place":"Geneva, Switzerland","URL":"http://apps.who.int/iris/bitstream/10665/164590/1/9789241564908_eng.pdf?ua=1&amp;ua=1","author":[{"family":"WHO","given":""}],"issued":{"date-parts":[["2015"]]}}}],"schema":"https://github.com/citation-style-language/schema/raw/master/csl-citation.json"} </w:instrText>
      </w:r>
      <w:r w:rsidR="007109B0">
        <w:rPr>
          <w:rFonts w:asciiTheme="majorBidi" w:hAnsiTheme="majorBidi" w:cstheme="majorBidi"/>
          <w:sz w:val="24"/>
          <w:szCs w:val="24"/>
        </w:rPr>
        <w:fldChar w:fldCharType="separate"/>
      </w:r>
      <w:r w:rsidR="00197416" w:rsidRPr="0076525E">
        <w:rPr>
          <w:rFonts w:ascii="Times New Roman" w:hAnsi="Times New Roman" w:cs="Times New Roman"/>
          <w:sz w:val="24"/>
        </w:rPr>
        <w:t>[4]</w:t>
      </w:r>
      <w:r w:rsidR="007109B0">
        <w:rPr>
          <w:rFonts w:asciiTheme="majorBidi" w:hAnsiTheme="majorBidi" w:cstheme="majorBidi"/>
          <w:sz w:val="24"/>
          <w:szCs w:val="24"/>
        </w:rPr>
        <w:fldChar w:fldCharType="end"/>
      </w:r>
      <w:r w:rsidR="007109B0">
        <w:rPr>
          <w:rFonts w:asciiTheme="majorBidi" w:hAnsiTheme="majorBidi" w:cstheme="majorBidi"/>
          <w:sz w:val="24"/>
          <w:szCs w:val="24"/>
        </w:rPr>
        <w:t>. O</w:t>
      </w:r>
      <w:r w:rsidRPr="008C52C8">
        <w:rPr>
          <w:rFonts w:asciiTheme="majorBidi" w:hAnsiTheme="majorBidi" w:cstheme="majorBidi"/>
          <w:sz w:val="24"/>
          <w:szCs w:val="24"/>
        </w:rPr>
        <w:t>ver the coming decade</w:t>
      </w:r>
      <w:r w:rsidR="007109B0">
        <w:rPr>
          <w:rFonts w:asciiTheme="majorBidi" w:hAnsiTheme="majorBidi" w:cstheme="majorBidi"/>
          <w:sz w:val="24"/>
          <w:szCs w:val="24"/>
        </w:rPr>
        <w:t>s</w:t>
      </w:r>
      <w:r w:rsidRPr="008C52C8">
        <w:rPr>
          <w:rFonts w:asciiTheme="majorBidi" w:hAnsiTheme="majorBidi" w:cstheme="majorBidi"/>
          <w:sz w:val="24"/>
          <w:szCs w:val="24"/>
        </w:rPr>
        <w:t xml:space="preserve">, </w:t>
      </w:r>
      <w:r w:rsidR="007109B0">
        <w:rPr>
          <w:rFonts w:asciiTheme="majorBidi" w:hAnsiTheme="majorBidi" w:cstheme="majorBidi"/>
          <w:sz w:val="24"/>
          <w:szCs w:val="24"/>
        </w:rPr>
        <w:t xml:space="preserve">therefore, </w:t>
      </w:r>
      <w:r w:rsidRPr="008C52C8">
        <w:rPr>
          <w:rFonts w:asciiTheme="majorBidi" w:hAnsiTheme="majorBidi" w:cstheme="majorBidi"/>
          <w:sz w:val="24"/>
          <w:szCs w:val="24"/>
        </w:rPr>
        <w:t xml:space="preserve">spatial and temporal </w:t>
      </w:r>
      <w:r w:rsidRPr="008C52C8">
        <w:rPr>
          <w:rFonts w:asciiTheme="majorBidi" w:hAnsiTheme="majorBidi" w:cstheme="majorBidi"/>
          <w:sz w:val="24"/>
          <w:szCs w:val="24"/>
        </w:rPr>
        <w:lastRenderedPageBreak/>
        <w:t>disaggregation</w:t>
      </w:r>
      <w:r w:rsidR="006A6C0B">
        <w:rPr>
          <w:rFonts w:asciiTheme="majorBidi" w:hAnsiTheme="majorBidi" w:cstheme="majorBidi"/>
          <w:sz w:val="24"/>
          <w:szCs w:val="24"/>
        </w:rPr>
        <w:t xml:space="preserve"> </w:t>
      </w:r>
      <w:r w:rsidR="006A6C0B" w:rsidRPr="008C52C8">
        <w:rPr>
          <w:rFonts w:asciiTheme="majorBidi" w:hAnsiTheme="majorBidi" w:cstheme="majorBidi"/>
          <w:sz w:val="24"/>
          <w:szCs w:val="24"/>
        </w:rPr>
        <w:t xml:space="preserve">in addition to this continued socioeconomic disaggregation </w:t>
      </w:r>
      <w:r w:rsidRPr="008C52C8">
        <w:rPr>
          <w:rFonts w:asciiTheme="majorBidi" w:hAnsiTheme="majorBidi" w:cstheme="majorBidi"/>
          <w:sz w:val="24"/>
          <w:szCs w:val="24"/>
        </w:rPr>
        <w:t xml:space="preserve">will be key to ensuring healthy lives and well-being for all </w:t>
      </w:r>
      <w:r w:rsidR="002158D0">
        <w:rPr>
          <w:rFonts w:asciiTheme="majorBidi" w:hAnsiTheme="majorBidi" w:cstheme="majorBidi"/>
          <w:sz w:val="24"/>
          <w:szCs w:val="24"/>
        </w:rPr>
        <w:t>across</w:t>
      </w:r>
      <w:r w:rsidRPr="008C52C8">
        <w:rPr>
          <w:rFonts w:asciiTheme="majorBidi" w:hAnsiTheme="majorBidi" w:cstheme="majorBidi"/>
          <w:sz w:val="24"/>
          <w:szCs w:val="24"/>
        </w:rPr>
        <w:t xml:space="preserve"> all ages</w:t>
      </w:r>
      <w:r w:rsidR="009303FD">
        <w:rPr>
          <w:rFonts w:asciiTheme="majorBidi" w:hAnsiTheme="majorBidi" w:cstheme="majorBidi"/>
          <w:sz w:val="24"/>
          <w:szCs w:val="24"/>
        </w:rPr>
        <w:t xml:space="preserve">. </w:t>
      </w:r>
      <w:r w:rsidR="007109B0">
        <w:rPr>
          <w:rFonts w:asciiTheme="majorBidi" w:hAnsiTheme="majorBidi" w:cstheme="majorBidi"/>
          <w:sz w:val="24"/>
          <w:szCs w:val="24"/>
        </w:rPr>
        <w:t xml:space="preserve">By disaggregating data across spatial, temporal and socioeconomic dimensions, health inequalities amongst subgroups may be highlighted, as well as how these inequalities have changed over time </w:t>
      </w:r>
      <w:r w:rsidR="007109B0">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nDtvPWTM","properties":{"formattedCitation":"[4]","plainCitation":"[4]","noteIndex":0},"citationItems":[{"id":455,"uris":["http://zotero.org/users/2783131/items/DE8TAF7B"],"uri":["http://zotero.org/users/2783131/items/DE8TAF7B"],"itemData":{"id":455,"type":"report","title":"State of inequality: Reproductive, maternal, newborn and child health","publisher":"World Health Organization","publisher-place":"Geneva, Switzerland","event-place":"Geneva, Switzerland","URL":"http://apps.who.int/iris/bitstream/10665/164590/1/9789241564908_eng.pdf?ua=1&amp;ua=1","author":[{"family":"WHO","given":""}],"issued":{"date-parts":[["2015"]]}}}],"schema":"https://github.com/citation-style-language/schema/raw/master/csl-citation.json"} </w:instrText>
      </w:r>
      <w:r w:rsidR="007109B0">
        <w:rPr>
          <w:rFonts w:asciiTheme="majorBidi" w:hAnsiTheme="majorBidi" w:cstheme="majorBidi"/>
          <w:sz w:val="24"/>
          <w:szCs w:val="24"/>
        </w:rPr>
        <w:fldChar w:fldCharType="separate"/>
      </w:r>
      <w:r w:rsidR="00197416" w:rsidRPr="0076525E">
        <w:rPr>
          <w:rFonts w:ascii="Times New Roman" w:hAnsi="Times New Roman" w:cs="Times New Roman"/>
          <w:sz w:val="24"/>
        </w:rPr>
        <w:t>[4]</w:t>
      </w:r>
      <w:r w:rsidR="007109B0">
        <w:rPr>
          <w:rFonts w:asciiTheme="majorBidi" w:hAnsiTheme="majorBidi" w:cstheme="majorBidi"/>
          <w:sz w:val="24"/>
          <w:szCs w:val="24"/>
        </w:rPr>
        <w:fldChar w:fldCharType="end"/>
      </w:r>
      <w:r w:rsidR="007109B0">
        <w:rPr>
          <w:rFonts w:asciiTheme="majorBidi" w:hAnsiTheme="majorBidi" w:cstheme="majorBidi"/>
          <w:sz w:val="24"/>
          <w:szCs w:val="24"/>
        </w:rPr>
        <w:t>.</w:t>
      </w:r>
    </w:p>
    <w:p w14:paraId="5BAC77FB" w14:textId="4ABBE4BE" w:rsidR="002D4347" w:rsidRDefault="00197416" w:rsidP="00281E7F">
      <w:pPr>
        <w:spacing w:line="480" w:lineRule="auto"/>
        <w:ind w:firstLine="720"/>
        <w:rPr>
          <w:rFonts w:asciiTheme="majorBidi" w:hAnsiTheme="majorBidi" w:cstheme="majorBidi"/>
          <w:sz w:val="24"/>
          <w:szCs w:val="24"/>
        </w:rPr>
      </w:pPr>
      <w:r w:rsidRPr="00BB1367">
        <w:rPr>
          <w:rFonts w:asciiTheme="majorBidi" w:hAnsiTheme="majorBidi" w:cstheme="majorBidi"/>
          <w:sz w:val="24"/>
          <w:szCs w:val="24"/>
        </w:rPr>
        <w:t>Preventing the deaths of mothers and newborns ultimately requires delivery of timely and high quality service packages and interventions across the continuum of care,</w:t>
      </w:r>
      <w:r>
        <w:rPr>
          <w:rFonts w:asciiTheme="majorBidi" w:hAnsiTheme="majorBidi" w:cstheme="majorBidi"/>
          <w:sz w:val="24"/>
          <w:szCs w:val="24"/>
        </w:rPr>
        <w:t xml:space="preserve"> such as antenatal care, skilled birth attendance, and postnatal care </w:t>
      </w:r>
      <w:r>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y6a236XL","properties":{"formattedCitation":"[8]","plainCitation":"[8]","noteIndex":0},"citationItems":[{"id":493,"uris":["http://zotero.org/users/2783131/items/PQU3D3F5"],"uri":["http://zotero.org/users/2783131/items/PQU3D3F5"],"itemData":{"id":493,"type":"article-journal","title":"Continuum of care for maternal, newborn, and child health: from slogan to service delivery","container-title":"The Lancet","page":"1358-1369","volume":"370","issue":"9595","source":"ScienceDirect","abstract":"Summary\nThe continuum of care has become a rallying call to reduce the yearly toll of half a million maternal deaths, 4 million neonatal deaths, and 6 million child deaths. The continuum for maternal, newborn, and child health usually refers to continuity of individual care. Continuity of care is necessary throughout the lifecycle (adolescence, pregnancy, childbirth, the postnatal period, and childhood) and also between places of caregiving (including households and communities, outpatient and outreach services, and clinical-care settings). We define a population-level or public-health framework based on integrated service delivery throughout the lifecycle, and propose eight packages to promote health for mothers, babies, and children. These packages can be used to deliver more than 190 separate interventions, which would be difficult to scale up one by one. The packages encompass three which are delivered through clinical care (reproductive health, obstetric care, and care of sick newborn babies and children); four through outpatient and outreach services (reproductive health, antenatal care, postnatal care and child health services); and one through integrated family and community care throughout the lifecycle. Mothers and babies are at high risk in the first days after birth, and the lack of a defined postnatal care package is an important gap, which also contributes to discontinuity between maternal and child health programmes. Similarly, because the family and community package tends not to be regarded as part of the health system, few countries have made systematic efforts to scale it up or integrate it with other levels of care. Building the continuum of care for maternal, newborn, and child health with these packages will need effectiveness trials in various settings; policy support for integration; investment to strengthen health systems; and results-based operational management, especially at district level.","DOI":"10.1016/S0140-6736(07)61578-5","ISSN":"0140-6736","shortTitle":"Continuum of care for maternal, newborn, and child health","journalAbbreviation":"The Lancet","author":[{"family":"Kerber","given":"Kate J"},{"family":"Graft-Johnson","given":"Joseph E","non-dropping-particle":"de"},{"family":"Bhutta","given":"Zulfiqar A"},{"family":"Okong","given":"Pius"},{"family":"Starrs","given":"Ann"},{"family":"Lawn","given":"Joy E"}],"issued":{"date-parts":[["2007",10,19]]}}}],"schema":"https://github.com/citation-style-language/schema/raw/master/csl-citation.json"} </w:instrText>
      </w:r>
      <w:r>
        <w:rPr>
          <w:rFonts w:asciiTheme="majorBidi" w:hAnsiTheme="majorBidi" w:cstheme="majorBidi"/>
          <w:sz w:val="24"/>
          <w:szCs w:val="24"/>
        </w:rPr>
        <w:fldChar w:fldCharType="separate"/>
      </w:r>
      <w:r w:rsidRPr="0076525E">
        <w:rPr>
          <w:rFonts w:ascii="Times New Roman" w:hAnsi="Times New Roman" w:cs="Times New Roman"/>
          <w:sz w:val="24"/>
        </w:rPr>
        <w:t>[8]</w:t>
      </w:r>
      <w:r>
        <w:rPr>
          <w:rFonts w:asciiTheme="majorBidi" w:hAnsiTheme="majorBidi" w:cstheme="majorBidi"/>
          <w:sz w:val="24"/>
          <w:szCs w:val="24"/>
        </w:rPr>
        <w:fldChar w:fldCharType="end"/>
      </w:r>
      <w:r>
        <w:rPr>
          <w:rFonts w:asciiTheme="majorBidi" w:hAnsiTheme="majorBidi" w:cstheme="majorBidi"/>
          <w:sz w:val="24"/>
          <w:szCs w:val="24"/>
        </w:rPr>
        <w:t>. P</w:t>
      </w:r>
      <w:r w:rsidR="0088075E">
        <w:rPr>
          <w:rFonts w:asciiTheme="majorBidi" w:hAnsiTheme="majorBidi" w:cstheme="majorBidi"/>
          <w:sz w:val="24"/>
          <w:szCs w:val="24"/>
        </w:rPr>
        <w:t xml:space="preserve">revious </w:t>
      </w:r>
      <w:r w:rsidR="009303FD">
        <w:rPr>
          <w:rFonts w:asciiTheme="majorBidi" w:hAnsiTheme="majorBidi" w:cstheme="majorBidi"/>
          <w:sz w:val="24"/>
          <w:szCs w:val="24"/>
        </w:rPr>
        <w:t>studies have ex</w:t>
      </w:r>
      <w:r w:rsidR="00524E5C">
        <w:rPr>
          <w:rFonts w:asciiTheme="majorBidi" w:hAnsiTheme="majorBidi" w:cstheme="majorBidi"/>
          <w:sz w:val="24"/>
          <w:szCs w:val="24"/>
        </w:rPr>
        <w:t xml:space="preserve">amined temporal trends of child </w:t>
      </w:r>
      <w:r w:rsidR="009303FD">
        <w:rPr>
          <w:rFonts w:asciiTheme="majorBidi" w:hAnsiTheme="majorBidi" w:cstheme="majorBidi"/>
          <w:sz w:val="24"/>
          <w:szCs w:val="24"/>
        </w:rPr>
        <w:t xml:space="preserve">mortality </w:t>
      </w:r>
      <w:r w:rsidR="009303FD">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zZvOVCNw","properties":{"formattedCitation":"[9]","plainCitation":"[9]","noteIndex":0},"citationItems":[{"id":124,"uris":["http://zotero.org/users/2783131/items/4MVZDVBJ"],"uri":["http://zotero.org/users/2783131/items/4MVZDVBJ"],"itemData":{"id":124,"type":"article-journal","title":"Mapping under-5 and neonatal mortality in Africa, 2000–15: a baseline analysis for the Sustainable Development Goals","container-title":"The Lancet","page":"2171-2182","volume":"390","issue":"10108","source":"www.thelancet.com","abstract":"&lt;h2&gt;Summary&lt;/h2&gt;&lt;h3&gt;Background&lt;/h3&gt;&lt;p&gt;During the Millennium Development Goal (MDG) era, many countries in Africa achieved marked reductions in under-5 and neonatal mortality. Yet the pace of progress toward these goals substantially varied at the national level, demonstrating an essential need for tracking even more local trends in child mortality. With the adoption of the Sustainable Development Goals (SDGs) in 2015, which established ambitious targets for improving child survival by 2030, optimal intervention planning and targeting will require understanding of trends and rates of progress at a higher spatial resolution. In this study, we aimed to generate high-resolution estimates of under-5 and neonatal all-cause mortality across 46 countries in Africa.&lt;/p&gt;&lt;h3&gt;Methods&lt;/h3&gt;&lt;p&gt;We assembled 235 geographically resolved household survey and census data sources on child deaths to produce estimates of under-5 and neonatal mortality at a resolution of 5 × 5 km grid cells across 46 African countries for 2000, 2005, 2010, and 2015. We used a Bayesian geostatistical analytical framework to generate these estimates, and implemented predictive validity tests. In addition to reporting 5 × 5 km estimates, we also aggregated results obtained from these estimates into three different levels—national, and subnational administrative levels 1 and 2—to provide the full range of geospatial resolution that local, national, and global decision makers might require.&lt;/p&gt;&lt;h3&gt;Findings&lt;/h3&gt;&lt;p&gt;Amid improving child survival in Africa, there was substantial heterogeneity in absolute levels of under-5 and neonatal mortality in 2015, as well as the annualised rates of decline achieved from 2000 to 2015. Subnational areas in countries such as Botswana, Rwanda, and Ethiopia recorded some of the largest decreases in child mortality rates since 2000, positioning them well to achieve SDG targets by 2030 or earlier. Yet these places were the exception for Africa, since many areas, particularly in central and western Africa, must reduce under-5 mortality rates by at least 8·8% per year, between 2015 and 2030, to achieve the SDG 3.2 target for under-5 mortality by 2030.&lt;/p&gt;&lt;h3&gt;Interpretation&lt;/h3&gt;&lt;p&gt;In the absence of unprecedented political commitment, financial support, and medical advances, the viability of SDG 3.2 achievement in Africa is precarious at best. By producing under-5 and neonatal mortality rates at multiple levels of geospatial resolution over time, this study provides key information for decision makers to target interventions at populations in the greatest need. In an era when precision public health increasingly has the potential to transform the design, implementation, and impact of health programmes, our 5 × 5 km estimates of child mortality in Africa provide a baseline against which local, national, and global stakeholders can map the pathways for ending preventable child deaths by 2030.&lt;/p&gt;&lt;h3&gt;Funding&lt;/h3&gt;&lt;p&gt;Bill &amp; Melinda Gates Foundation.&lt;/p&gt;","DOI":"10.1016/S0140-6736(17)31758-0","ISSN":"0140-6736, 1474-547X","note":"PMID: 28958464, 28958464","shortTitle":"Mapping under-5 and neonatal mortality in Africa, 2000–15","journalAbbreviation":"The Lancet","language":"English","author":[{"family":"Golding","given":"Nick"},{"family":"Burstein","given":"Roy"},{"family":"Longbottom","given":"Joshua"},{"family":"Browne","given":"Annie J."},{"family":"Fullman","given":"Nancy"},{"family":"Osgood-Zimmerman","given":"Aaron"},{"family":"Earl","given":"Lucas"},{"family":"Bhatt","given":"Samir"},{"family":"Cameron","given":"Ewan"},{"family":"Casey","given":"Daniel C."},{"family":"Dwyer-Lindgren","given":"Laura"},{"family":"Farag","given":"Tamer H."},{"family":"Flaxman","given":"Abraham D."},{"family":"Fraser","given":"Maya S."},{"family":"Gething","given":"Peter W."},{"family":"Gibson","given":"Harry S."},{"family":"Graetz","given":"Nicholas"},{"family":"Krause","given":"L. Kendall"},{"family":"Kulikoff","given":"Xie Rachel"},{"family":"Lim","given":"Stephen S."},{"family":"Mappin","given":"Bonnie"},{"family":"Morozoff","given":"Chloe"},{"family":"Reiner","given":"Robert C."},{"family":"Sligar","given":"Amber"},{"family":"Smith","given":"David L."},{"family":"Wang","given":"Haidong"},{"family":"Weiss","given":"Daniel J."},{"family":"Murray","given":"Christopher J. L."},{"family":"Moyes","given":"Catherine L."},{"family":"Hay","given":"Simon I."}],"issued":{"date-parts":[["2017",11,11]]}}}],"schema":"https://github.com/citation-style-language/schema/raw/master/csl-citation.json"} </w:instrText>
      </w:r>
      <w:r w:rsidR="009303FD">
        <w:rPr>
          <w:rFonts w:asciiTheme="majorBidi" w:hAnsiTheme="majorBidi" w:cstheme="majorBidi"/>
          <w:sz w:val="24"/>
          <w:szCs w:val="24"/>
        </w:rPr>
        <w:fldChar w:fldCharType="separate"/>
      </w:r>
      <w:r w:rsidRPr="0076525E">
        <w:rPr>
          <w:rFonts w:ascii="Times New Roman" w:hAnsi="Times New Roman" w:cs="Times New Roman"/>
          <w:sz w:val="24"/>
        </w:rPr>
        <w:t>[9]</w:t>
      </w:r>
      <w:r w:rsidR="009303FD">
        <w:rPr>
          <w:rFonts w:asciiTheme="majorBidi" w:hAnsiTheme="majorBidi" w:cstheme="majorBidi"/>
          <w:sz w:val="24"/>
          <w:szCs w:val="24"/>
        </w:rPr>
        <w:fldChar w:fldCharType="end"/>
      </w:r>
      <w:r w:rsidR="009303FD">
        <w:rPr>
          <w:rFonts w:asciiTheme="majorBidi" w:hAnsiTheme="majorBidi" w:cstheme="majorBidi"/>
          <w:sz w:val="24"/>
          <w:szCs w:val="24"/>
        </w:rPr>
        <w:t xml:space="preserve"> and health indicators such as education </w:t>
      </w:r>
      <w:r w:rsidR="009303FD">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NUJylGnP","properties":{"formattedCitation":"[10]","plainCitation":"[10]","noteIndex":0},"citationItems":[{"id":871,"uris":["http://zotero.org/users/2783131/items/Q7DASK8F"],"uri":["http://zotero.org/users/2783131/items/Q7DASK8F"],"itemData":{"id":871,"type":"article-journal","title":"Mapping local variation in educational attainment across Africa","container-title":"Nature","page":"48-53","volume":"555","issue":"7694","source":"www.nature.com","abstract":"Educational attainment for women of reproductive age is linked to reduced child and maternal mortality, lower fertility and improved reproductive health. Comparable analyses of attainment exist only at the national level, potentially obscuring patterns in subnational inequality. Evidence suggests that wide disparities between urban and rural populations exist, raising questions about where the majority of progress towards the education targets of the Sustainable Development Goals is occurring in African countries. Here we explore within-country inequalities by predicting years of schooling across five by five kilometre grids, generating estimates of average educational attainment by age and sex at subnational levels. Despite marked progress in attainment from 2000 to 2015 across Africa, substantial differences persist between locations and sexes. These differences have widened in many countries, particularly across the Sahel. These high-resolution, comparable estimates improve the ability of decision-makers to plan the precisely targeted interventions that will be necessary to deliver progress during the era of the Sustainable Development Goals.","DOI":"10.1038/nature25761","ISSN":"1476-4687","language":"en","author":[{"family":"Graetz","given":"Nicholas"},{"family":"Friedman","given":"Joseph"},{"family":"Osgood-Zimmerman","given":"Aaron"},{"family":"Burstein","given":"Roy"},{"family":"Biehl","given":"Molly H."},{"family":"Shields","given":"Chloe"},{"family":"Mosser","given":"Jonathan F."},{"family":"Casey","given":"Daniel C."},{"family":"Deshpande","given":"Aniruddha"},{"family":"Earl","given":"Lucas"},{"family":"Reiner","given":"Robert C."},{"family":"Ray","given":"Sarah E."},{"family":"Fullman","given":"Nancy"},{"family":"Levine","given":"Aubrey J."},{"family":"Stubbs","given":"Rebecca W."},{"family":"Mayala","given":"Benjamin K."},{"family":"Longbottom","given":"Joshua"},{"family":"Browne","given":"Annie J."},{"family":"Bhatt","given":"Samir"},{"family":"Weiss","given":"Daniel J."},{"family":"Gething","given":"Peter W."},{"family":"Mokdad","given":"Ali H."},{"family":"Lim","given":"Stephen S."},{"family":"Murray","given":"Christopher J. L."},{"family":"Gakidou","given":"Emmanuela"},{"family":"Hay","given":"Simon I."}],"issued":{"date-parts":[["2018",3]]}}}],"schema":"https://github.com/citation-style-language/schema/raw/master/csl-citation.json"} </w:instrText>
      </w:r>
      <w:r w:rsidR="009303FD">
        <w:rPr>
          <w:rFonts w:asciiTheme="majorBidi" w:hAnsiTheme="majorBidi" w:cstheme="majorBidi"/>
          <w:sz w:val="24"/>
          <w:szCs w:val="24"/>
        </w:rPr>
        <w:fldChar w:fldCharType="separate"/>
      </w:r>
      <w:r w:rsidRPr="0076525E">
        <w:rPr>
          <w:rFonts w:ascii="Times New Roman" w:hAnsi="Times New Roman" w:cs="Times New Roman"/>
          <w:sz w:val="24"/>
        </w:rPr>
        <w:t>[10]</w:t>
      </w:r>
      <w:r w:rsidR="009303FD">
        <w:rPr>
          <w:rFonts w:asciiTheme="majorBidi" w:hAnsiTheme="majorBidi" w:cstheme="majorBidi"/>
          <w:sz w:val="24"/>
          <w:szCs w:val="24"/>
        </w:rPr>
        <w:fldChar w:fldCharType="end"/>
      </w:r>
      <w:r w:rsidR="009303FD">
        <w:rPr>
          <w:rFonts w:asciiTheme="majorBidi" w:hAnsiTheme="majorBidi" w:cstheme="majorBidi"/>
          <w:sz w:val="24"/>
          <w:szCs w:val="24"/>
        </w:rPr>
        <w:t xml:space="preserve"> and child growth </w:t>
      </w:r>
      <w:r w:rsidR="009303FD">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IYTVKyMJ","properties":{"formattedCitation":"[11]","plainCitation":"[11]","noteIndex":0},"citationItems":[{"id":985,"uris":["http://zotero.org/users/2783131/items/BNTCZHEV"],"uri":["http://zotero.org/users/2783131/items/BNTCZHEV"],"itemData":{"id":985,"type":"article-journal","title":"Mapping child growth failure in Africa between 2000 and 2015","container-title":"Nature","page":"41-47","volume":"555","issue":"7694","source":"www.nature.com","abstract":"Insufficient growth during childhood is associated with poor health outcomes and an increased risk of death. Between 2000 and 2015, nearly all African countries demonstrated improvements for children under 5 years old for stunting, wasting, and underweight, the core components of child growth failure. Here we show that striking subnational heterogeneity in levels and trends of child growth remains. If current rates of progress are sustained, many areas of Africa will meet the World Health Organization Global Targets 2025 to improve maternal, infant and young child nutrition, but high levels of growth failure will persist across the Sahel. At these rates, much, if not all of the continent will fail to meet the Sustainable Development Goal target—to end malnutrition by 2030. Geospatial estimates of child growth failure provide a baseline for measuring progress as well as a precision public health platform to target interventions to those populations with the greatest need, in order to reduce health disparities and accelerate progress.","DOI":"10.1038/nature25760","ISSN":"1476-4687","language":"en","author":[{"family":"Osgood-Zimmerman","given":"Aaron"},{"family":"Millear","given":"Anoushka I."},{"family":"Stubbs","given":"Rebecca W."},{"family":"Shields","given":"Chloe"},{"family":"Pickering","given":"Brandon V."},{"family":"Earl","given":"Lucas"},{"family":"Graetz","given":"Nicholas"},{"family":"Kinyoki","given":"Damaris K."},{"family":"Ray","given":"Sarah E."},{"family":"Bhatt","given":"Samir"},{"family":"Browne","given":"Annie J."},{"family":"Burstein","given":"Roy"},{"family":"Cameron","given":"Ewan"},{"family":"Casey","given":"Daniel C."},{"family":"Deshpande","given":"Aniruddha"},{"family":"Fullman","given":"Nancy"},{"family":"Gething","given":"Peter W."},{"family":"Gibson","given":"Harry S."},{"family":"Henry","given":"Nathaniel J."},{"family":"Herrero","given":"Mario"},{"family":"Krause","given":"L. Kendall"},{"family":"Letourneau","given":"Ian D."},{"family":"Levine","given":"Aubrey J."},{"family":"Liu","given":"Patrick Y."},{"family":"Longbottom","given":"Joshua"},{"family":"Mayala","given":"Benjamin K."},{"family":"Mosser","given":"Jonathan F."},{"family":"Noor","given":"Abdisalan M."},{"family":"Pigott","given":"David M."},{"family":"Piwoz","given":"Ellen G."},{"family":"Rao","given":"Puja"},{"family":"Rawat","given":"Rahul"},{"family":"Reiner","given":"Robert C."},{"family":"Smith","given":"David L."},{"family":"Weiss","given":"Daniel J."},{"family":"Wiens","given":"Kirsten E."},{"family":"Mokdad","given":"Ali H."},{"family":"Lim","given":"Stephen S."},{"family":"Murray","given":"Christopher J. L."},{"family":"Kassebaum","given":"Nicholas J."},{"family":"Hay","given":"Simon I."}],"issued":{"date-parts":[["2018",3]]}}}],"schema":"https://github.com/citation-style-language/schema/raw/master/csl-citation.json"} </w:instrText>
      </w:r>
      <w:r w:rsidR="009303FD">
        <w:rPr>
          <w:rFonts w:asciiTheme="majorBidi" w:hAnsiTheme="majorBidi" w:cstheme="majorBidi"/>
          <w:sz w:val="24"/>
          <w:szCs w:val="24"/>
        </w:rPr>
        <w:fldChar w:fldCharType="separate"/>
      </w:r>
      <w:r w:rsidRPr="0076525E">
        <w:rPr>
          <w:rFonts w:ascii="Times New Roman" w:hAnsi="Times New Roman" w:cs="Times New Roman"/>
          <w:sz w:val="24"/>
        </w:rPr>
        <w:t>[11]</w:t>
      </w:r>
      <w:r w:rsidR="009303FD">
        <w:rPr>
          <w:rFonts w:asciiTheme="majorBidi" w:hAnsiTheme="majorBidi" w:cstheme="majorBidi"/>
          <w:sz w:val="24"/>
          <w:szCs w:val="24"/>
        </w:rPr>
        <w:fldChar w:fldCharType="end"/>
      </w:r>
      <w:r w:rsidR="00B05A53">
        <w:rPr>
          <w:rFonts w:asciiTheme="majorBidi" w:hAnsiTheme="majorBidi" w:cstheme="majorBidi"/>
          <w:sz w:val="24"/>
          <w:szCs w:val="24"/>
        </w:rPr>
        <w:t xml:space="preserve"> at</w:t>
      </w:r>
      <w:r w:rsidR="009303FD">
        <w:rPr>
          <w:rFonts w:asciiTheme="majorBidi" w:hAnsiTheme="majorBidi" w:cstheme="majorBidi"/>
          <w:sz w:val="24"/>
          <w:szCs w:val="24"/>
        </w:rPr>
        <w:t xml:space="preserve"> high spatial resolution</w:t>
      </w:r>
      <w:r w:rsidR="00B05A53">
        <w:rPr>
          <w:rFonts w:asciiTheme="majorBidi" w:hAnsiTheme="majorBidi" w:cstheme="majorBidi"/>
          <w:sz w:val="24"/>
          <w:szCs w:val="24"/>
        </w:rPr>
        <w:t>s</w:t>
      </w:r>
      <w:r w:rsidR="00F9354F">
        <w:rPr>
          <w:rFonts w:asciiTheme="majorBidi" w:hAnsiTheme="majorBidi" w:cstheme="majorBidi"/>
          <w:sz w:val="24"/>
          <w:szCs w:val="24"/>
        </w:rPr>
        <w:t>,</w:t>
      </w:r>
      <w:r w:rsidR="0088075E">
        <w:rPr>
          <w:rFonts w:asciiTheme="majorBidi" w:hAnsiTheme="majorBidi" w:cstheme="majorBidi"/>
          <w:sz w:val="24"/>
          <w:szCs w:val="24"/>
        </w:rPr>
        <w:t xml:space="preserve"> but</w:t>
      </w:r>
      <w:r w:rsidR="00F9354F">
        <w:rPr>
          <w:rFonts w:asciiTheme="majorBidi" w:hAnsiTheme="majorBidi" w:cstheme="majorBidi"/>
          <w:sz w:val="24"/>
          <w:szCs w:val="24"/>
        </w:rPr>
        <w:t xml:space="preserve"> few</w:t>
      </w:r>
      <w:r w:rsidR="009303FD">
        <w:rPr>
          <w:rFonts w:asciiTheme="majorBidi" w:hAnsiTheme="majorBidi" w:cstheme="majorBidi"/>
          <w:sz w:val="24"/>
          <w:szCs w:val="24"/>
        </w:rPr>
        <w:t>er studies have examined</w:t>
      </w:r>
      <w:r w:rsidR="004A45BB">
        <w:rPr>
          <w:rFonts w:asciiTheme="majorBidi" w:hAnsiTheme="majorBidi" w:cstheme="majorBidi"/>
          <w:sz w:val="24"/>
          <w:szCs w:val="24"/>
        </w:rPr>
        <w:t xml:space="preserve"> temporal</w:t>
      </w:r>
      <w:r w:rsidR="009303FD">
        <w:rPr>
          <w:rFonts w:asciiTheme="majorBidi" w:hAnsiTheme="majorBidi" w:cstheme="majorBidi"/>
          <w:sz w:val="24"/>
          <w:szCs w:val="24"/>
        </w:rPr>
        <w:t xml:space="preserve"> trends in utilisation of key </w:t>
      </w:r>
      <w:r w:rsidR="0088075E">
        <w:rPr>
          <w:rFonts w:asciiTheme="majorBidi" w:hAnsiTheme="majorBidi" w:cstheme="majorBidi"/>
          <w:sz w:val="24"/>
          <w:szCs w:val="24"/>
        </w:rPr>
        <w:t>MNH</w:t>
      </w:r>
      <w:r w:rsidR="009303FD">
        <w:rPr>
          <w:rFonts w:asciiTheme="majorBidi" w:hAnsiTheme="majorBidi" w:cstheme="majorBidi"/>
          <w:sz w:val="24"/>
          <w:szCs w:val="24"/>
        </w:rPr>
        <w:t xml:space="preserve"> services </w:t>
      </w:r>
      <w:r w:rsidR="004A45BB">
        <w:rPr>
          <w:rFonts w:asciiTheme="majorBidi" w:hAnsiTheme="majorBidi" w:cstheme="majorBidi"/>
          <w:sz w:val="24"/>
          <w:szCs w:val="24"/>
        </w:rPr>
        <w:t>at similar spatial resolutions.</w:t>
      </w:r>
      <w:r w:rsidR="0088075E">
        <w:rPr>
          <w:rFonts w:asciiTheme="majorBidi" w:hAnsiTheme="majorBidi" w:cstheme="majorBidi"/>
          <w:sz w:val="24"/>
          <w:szCs w:val="24"/>
        </w:rPr>
        <w:t xml:space="preserve"> </w:t>
      </w:r>
      <w:r w:rsidR="00BA7EA2">
        <w:rPr>
          <w:rFonts w:asciiTheme="majorBidi" w:hAnsiTheme="majorBidi" w:cstheme="majorBidi"/>
          <w:sz w:val="24"/>
          <w:szCs w:val="24"/>
        </w:rPr>
        <w:t xml:space="preserve">Victora and colleagues </w:t>
      </w:r>
      <w:r w:rsidR="00BA7EA2">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zpn31mga","properties":{"formattedCitation":"[12]","plainCitation":"[12]","noteIndex":0},"citationItems":[{"id":484,"uris":["http://zotero.org/users/2783131/items/2XIR4J7B"],"uri":["http://zotero.org/users/2783131/items/2XIR4J7B"],"itemData":{"id":484,"type":"article-journal","title":"Countdown to 2015: a decade of tracking progress for maternal, newborn, and child survival","container-title":"The Lancet","page":"2049-2059","volume":"387","issue":"10032","source":"ScienceDirect","abstract":"Summary\nConceived in 2003 and born in 2005 with the launch of its first report and country profiles, the Countdown to 2015 for Maternal, Newborn, and Child Survival has reached its originally proposed lifespan. Major reductions in the deaths of mothers and children have occurred since Countdown's inception, even though most of the 75 priority countries failed to achieve Millennium Development Goals 4 and 5. The coverage of life-saving interventions tracked in Countdown increased steadily over time, but wide inequalities persist between and within countries. Key drivers of coverage such as financing, human resources, commodities, and conducive health policies also showed important, yet insufficient increases. As a multistakeholder initiative of more than 40 academic, international, bilateral, and civil society institutions, Countdown was successful in monitoring progress and raising the visibility of the health of mothers, newborns, and children. Lessons learned from this initiative have direct bearing on monitoring progress during the Sustainable Development Goals era.","DOI":"10.1016/S0140-6736(15)00519-X","ISSN":"0140-6736","shortTitle":"Countdown to 2015","journalAbbreviation":"The Lancet","author":[{"family":"Victora","given":"Cesar G"},{"family":"Requejo","given":"Jennifer Harris"},{"family":"Barros","given":"Aluisio J D"},{"family":"Berman","given":"Peter"},{"family":"Bhutta","given":"Zulfiqar"},{"family":"Boerma","given":"Ties"},{"family":"Chopra","given":"Mickey"},{"family":"Francisco","given":"Andres","non-dropping-particle":"de"},{"family":"Daelmans","given":"Bernadette"},{"family":"Hazel","given":"Elizabeth"},{"family":"Lawn","given":"Joy"},{"family":"Maliqi","given":"Blerta"},{"family":"Newby","given":"Holly"},{"family":"Bryce","given":"Jennifer"}],"issued":{"date-parts":[["2016",5,20]]}}}],"schema":"https://github.com/citation-style-language/schema/raw/master/csl-citation.json"} </w:instrText>
      </w:r>
      <w:r w:rsidR="00BA7EA2">
        <w:rPr>
          <w:rFonts w:asciiTheme="majorBidi" w:hAnsiTheme="majorBidi" w:cstheme="majorBidi"/>
          <w:sz w:val="24"/>
          <w:szCs w:val="24"/>
        </w:rPr>
        <w:fldChar w:fldCharType="separate"/>
      </w:r>
      <w:r w:rsidRPr="0076525E">
        <w:rPr>
          <w:rFonts w:ascii="Times New Roman" w:hAnsi="Times New Roman" w:cs="Times New Roman"/>
          <w:sz w:val="24"/>
        </w:rPr>
        <w:t>[12]</w:t>
      </w:r>
      <w:r w:rsidR="00BA7EA2">
        <w:rPr>
          <w:rFonts w:asciiTheme="majorBidi" w:hAnsiTheme="majorBidi" w:cstheme="majorBidi"/>
          <w:sz w:val="24"/>
          <w:szCs w:val="24"/>
        </w:rPr>
        <w:fldChar w:fldCharType="end"/>
      </w:r>
      <w:r w:rsidR="00BA7EA2">
        <w:rPr>
          <w:rFonts w:asciiTheme="majorBidi" w:hAnsiTheme="majorBidi" w:cstheme="majorBidi"/>
          <w:sz w:val="24"/>
          <w:szCs w:val="24"/>
        </w:rPr>
        <w:t xml:space="preserve"> reported </w:t>
      </w:r>
      <w:r w:rsidR="00524E5C">
        <w:rPr>
          <w:rFonts w:asciiTheme="majorBidi" w:hAnsiTheme="majorBidi" w:cstheme="majorBidi"/>
          <w:sz w:val="24"/>
          <w:szCs w:val="24"/>
        </w:rPr>
        <w:t>progress in maternal, newborn, and child survival through the Millennium Development Goal era, while</w:t>
      </w:r>
      <w:r w:rsidR="0088075E">
        <w:rPr>
          <w:rFonts w:asciiTheme="majorBidi" w:hAnsiTheme="majorBidi" w:cstheme="majorBidi"/>
          <w:sz w:val="24"/>
          <w:szCs w:val="24"/>
        </w:rPr>
        <w:t xml:space="preserve"> more recently, </w:t>
      </w:r>
      <w:r w:rsidR="00524E5C">
        <w:rPr>
          <w:rFonts w:asciiTheme="majorBidi" w:hAnsiTheme="majorBidi" w:cstheme="majorBidi"/>
          <w:sz w:val="24"/>
          <w:szCs w:val="24"/>
        </w:rPr>
        <w:t xml:space="preserve">child and maternal mortality </w:t>
      </w:r>
      <w:r w:rsidR="00D6034B">
        <w:rPr>
          <w:rFonts w:asciiTheme="majorBidi" w:hAnsiTheme="majorBidi" w:cstheme="majorBidi"/>
          <w:sz w:val="24"/>
          <w:szCs w:val="24"/>
        </w:rPr>
        <w:t xml:space="preserve">estimates </w:t>
      </w:r>
      <w:r w:rsidR="00524E5C">
        <w:rPr>
          <w:rFonts w:asciiTheme="majorBidi" w:hAnsiTheme="majorBidi" w:cstheme="majorBidi"/>
          <w:sz w:val="24"/>
          <w:szCs w:val="24"/>
        </w:rPr>
        <w:t>ha</w:t>
      </w:r>
      <w:r w:rsidR="00D6034B">
        <w:rPr>
          <w:rFonts w:asciiTheme="majorBidi" w:hAnsiTheme="majorBidi" w:cstheme="majorBidi"/>
          <w:sz w:val="24"/>
          <w:szCs w:val="24"/>
        </w:rPr>
        <w:t>ve</w:t>
      </w:r>
      <w:r w:rsidR="00524E5C">
        <w:rPr>
          <w:rFonts w:asciiTheme="majorBidi" w:hAnsiTheme="majorBidi" w:cstheme="majorBidi"/>
          <w:sz w:val="24"/>
          <w:szCs w:val="24"/>
        </w:rPr>
        <w:t xml:space="preserve"> been systematically </w:t>
      </w:r>
      <w:r w:rsidR="00D6034B">
        <w:rPr>
          <w:rFonts w:asciiTheme="majorBidi" w:hAnsiTheme="majorBidi" w:cstheme="majorBidi"/>
          <w:sz w:val="24"/>
          <w:szCs w:val="24"/>
        </w:rPr>
        <w:t>reported</w:t>
      </w:r>
      <w:r w:rsidR="00524E5C">
        <w:rPr>
          <w:rFonts w:asciiTheme="majorBidi" w:hAnsiTheme="majorBidi" w:cstheme="majorBidi"/>
          <w:sz w:val="24"/>
          <w:szCs w:val="24"/>
        </w:rPr>
        <w:t xml:space="preserve"> at the global, regional and national scales </w:t>
      </w:r>
      <w:r w:rsidR="00524E5C">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{"citationID":"Yts8GMxQ","properties":{"formattedCitation":"[13, 14]","plainCitation":"[13, 14]","noteIndex":0},"citationItems":[{"id":464,"uris":["http://zotero.org/users/2783131/items/38J37UZK"],"uri":["http://zotero.org/users/2783131/items/38J37UZK"],"itemData":{"id":464,"type":"article-journal","title":"Global, regional, and national levels and trends in maternal mortality between 1990 and 2015, with scenario-based projections to 2030: a systematic analysis by the UN Maternal Mortality Estimation Inter-Agency Group","container-title":"The Lancet","page":"462-474","volume":"387","issue":"10017","source":"www.thelancet.com","abstract":"Despite global progress in reducing maternal mortality, immediate action is needed\nto meet the ambitious SDG 2030 target, and ultimately eliminate preventable maternal\nmortality. Although the rates of reduction that are needed to achieve country-specific\nSDG targets are ambitious for most high mortality countries, countries that made a\nconcerted effort to reduce maternal mortality between 2000 and 2010 provide inspiration\nand guidance on how to accomplish the acceleration necessary to substantially reduce\npreventable maternal deaths.","DOI":"10.1016/S0140-6736(15)00838-7","ISSN":"0140-6736, 1474-547X","note":"PMID: 26584737, 26584737","shortTitle":"Global, regional, and national levels and trends in maternal mortality between 1990 and 2015, with scenario-based projections to 2030","journalAbbreviation":"The Lancet","language":"English","author":[{"family":"Alkema","given":"Leontine"},{"family":"Chou","given":"Doris"},{"family":"Hogan","given":"Daniel"},{"family":"Zhang","given":"Sanqian"},{"family":"Moller","given":"Ann-Beth"},{"family":"Gemmill","given":"Alison"},{"family":"Fat","given":"Doris Ma"},{"family":"Boerma","given":"Ties"},{"family":"Temmerman","given":"Marleen"},{"family":"Mathers","given":"Colin"},{"family":"Say","given":"Lale"}],"issued":{"date-parts":[["2016"]]}}},{"id":169,"uris":["http://zotero.org/users/2783131/items/7NX629UC"],"uri":["http://zotero.org/users/2783131/items/7NX629UC"],"itemData":{"id":169,"type":"article-journal","title":"Global, regional, and national causes of child mortality in 2008: a systematic analysis","container-title":"The Lancet","page":"1969-1987","volume":"375","issue":"9730","source":"ScienceDirect","abstract":"Up-to-date information on the causes of child deaths is crucial to guide global efforts to improve child survival. We report new estimates for 2008 of the major causes of death in children younger than 5 years. We used multicause proportionate mortality models to estimate deaths in neonates aged 0–27 days and children aged 1–59 months, and selected single-cause disease models and analysis of vital registration data when available to estimate causes of child deaths. New data from China and India permitted national data to be used for these countries instead of predictions based on global statistical models, as was done previously. We estimated proportional causes of death for 193 countries, and by application of these proportions to the country-specific mortality rates in children younger than 5 years and birth rates, the numbers of deaths by cause were calculated for countries, regions, and the world. Of the estimated 8·795 million deaths in children younger than 5 years worldwide in 2008, infectious diseases caused 68% (5·970 million), with the largest percentages due to pneumonia (18%, 1·575 million, uncertainty range [UR] 1·046 million–1·874 million), diarrhoea (15%, 1·336 million, 0·822 million–2·004 million), and malaria (8%, 0·732 million, 0·601 million–0·851 million). 41% (3·575 million) of deaths occurred in neonates, and the most important single causes were preterm birth complications (12%, 1·033 million, UR 0·717 million–1·216 million), birth asphyxia (9%, 0·814 million, 0·563 million–0·997 million), sepsis (6%, 0·521 million, 0·356 million–0·735 million), and pneumonia (4%, 0·386 million, 0·264 million–0·545 million). 49% (4·294 million) of child deaths occurred in five countries: India, Nigeria, Democratic Republic of the Congo, Pakistan, and China. These country-specific estimates of the major causes of child deaths should help to focus national programmes and donor assistance. Achievement of Millennium Development Goal 4, to reduce child mortality by two-thirds, is only possible if the high numbers of deaths are addressed by maternal, newborn, and child health interventions. WHO, UNICEF, and Bill &amp; Melinda Gates Foundation.","DOI":"10.1016/S0140-6736(10)60549-1","ISSN":"0140-6736","shortTitle":"Global, regional, and national causes of child mortality in 2008","journalAbbreviation":"The Lancet","author":[{"family":"Black","given":"Robert E"},{"family":"Cousens","given":"Simon"},{"family":"Johnson","given":"Hope L"},{"family":"Lawn","given":"Joy E"},{"family":"Rudan","given":"Igor"},{"family":"Bassani","given":"Diego G"},{"family":"Jha","given":"Prabhat"},{"family":"Campbell","given":"Harry"},{"family":"Walker","given":"Christa Fischer"},{"family":"Cibulskis","given":"Richard"},{"family":"Eisele","given":"Thomas"},{"family":"Liu","given":"Li"},{"family":"Mathers","given":"Colin"}],"issued":{"date-parts":[["2010",6,5]]}}}],"schema":"https://github.com/citation-style-language/schema/raw/master/csl-citation.json"} </w:instrText>
      </w:r>
      <w:r w:rsidR="00524E5C">
        <w:rPr>
          <w:rFonts w:asciiTheme="majorBidi" w:hAnsiTheme="majorBidi" w:cstheme="majorBidi"/>
          <w:sz w:val="24"/>
          <w:szCs w:val="24"/>
        </w:rPr>
        <w:fldChar w:fldCharType="separate"/>
      </w:r>
      <w:r w:rsidRPr="0076525E">
        <w:rPr>
          <w:rFonts w:ascii="Times New Roman" w:hAnsi="Times New Roman" w:cs="Times New Roman"/>
          <w:sz w:val="24"/>
        </w:rPr>
        <w:t>[13, 14]</w:t>
      </w:r>
      <w:r w:rsidR="00524E5C">
        <w:rPr>
          <w:rFonts w:asciiTheme="majorBidi" w:hAnsiTheme="majorBidi" w:cstheme="majorBidi"/>
          <w:sz w:val="24"/>
          <w:szCs w:val="24"/>
        </w:rPr>
        <w:fldChar w:fldCharType="end"/>
      </w:r>
      <w:r w:rsidR="00524E5C">
        <w:rPr>
          <w:rFonts w:asciiTheme="majorBidi" w:hAnsiTheme="majorBidi" w:cstheme="majorBidi"/>
          <w:sz w:val="24"/>
          <w:szCs w:val="24"/>
        </w:rPr>
        <w:t xml:space="preserve">. </w:t>
      </w:r>
      <w:r w:rsidR="0088075E">
        <w:rPr>
          <w:rFonts w:asciiTheme="majorBidi" w:hAnsiTheme="majorBidi" w:cstheme="majorBidi"/>
          <w:sz w:val="24"/>
          <w:szCs w:val="24"/>
        </w:rPr>
        <w:t xml:space="preserve">Assaf and Pullum </w:t>
      </w:r>
      <w:r w:rsidR="0088075E">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aKTfBTLo","properties":{"formattedCitation":"[7]","plainCitation":"[7]","noteIndex":0},"citationItems":[{"id":196,"uris":["http://zotero.org/users/2783131/items/FB3EPJSW"],"uri":["http://zotero.org/users/2783131/items/FB3EPJSW"],"itemData":{"id":196,"type":"report","title":"Levels and Trends in Maternal and Child Health Disparities by Wealth and Region in Eleven Countries with DHS Surveys","publisher":"ICF International","publisher-place":"Rockville, Maryland, USA","event-place":"Rockville, Maryland, USA","URL":"https://www.dhsprogram.com/pubs/pdf/CR42/CR42.pdf","number":"DHS Comparative Report No 42","author":[{"family":"Assaf","given":"S"},{"family":"Pullum","given":"T"}],"issued":{"date-parts":[["2016"]]},"accessed":{"date-parts":[["2017",3,13]]}}}],"schema":"https://github.com/citation-style-language/schema/raw/master/csl-citation.json"} </w:instrText>
      </w:r>
      <w:r w:rsidR="0088075E">
        <w:rPr>
          <w:rFonts w:asciiTheme="majorBidi" w:hAnsiTheme="majorBidi" w:cstheme="majorBidi"/>
          <w:sz w:val="24"/>
          <w:szCs w:val="24"/>
        </w:rPr>
        <w:fldChar w:fldCharType="separate"/>
      </w:r>
      <w:r w:rsidRPr="0076525E">
        <w:rPr>
          <w:rFonts w:ascii="Times New Roman" w:hAnsi="Times New Roman" w:cs="Times New Roman"/>
          <w:sz w:val="24"/>
        </w:rPr>
        <w:t>[7]</w:t>
      </w:r>
      <w:r w:rsidR="0088075E">
        <w:rPr>
          <w:rFonts w:asciiTheme="majorBidi" w:hAnsiTheme="majorBidi" w:cstheme="majorBidi"/>
          <w:sz w:val="24"/>
          <w:szCs w:val="24"/>
        </w:rPr>
        <w:fldChar w:fldCharType="end"/>
      </w:r>
      <w:r w:rsidR="0088075E">
        <w:rPr>
          <w:rFonts w:asciiTheme="majorBidi" w:hAnsiTheme="majorBidi" w:cstheme="majorBidi"/>
          <w:sz w:val="24"/>
          <w:szCs w:val="24"/>
        </w:rPr>
        <w:t xml:space="preserve"> </w:t>
      </w:r>
      <w:r w:rsidR="00524E5C">
        <w:rPr>
          <w:rFonts w:asciiTheme="majorBidi" w:hAnsiTheme="majorBidi" w:cstheme="majorBidi"/>
          <w:sz w:val="24"/>
          <w:szCs w:val="24"/>
        </w:rPr>
        <w:t xml:space="preserve">further </w:t>
      </w:r>
      <w:r w:rsidR="0088075E">
        <w:rPr>
          <w:rFonts w:asciiTheme="majorBidi" w:hAnsiTheme="majorBidi" w:cstheme="majorBidi"/>
          <w:sz w:val="24"/>
          <w:szCs w:val="24"/>
        </w:rPr>
        <w:t xml:space="preserve">reported temporal trends in key MNH </w:t>
      </w:r>
      <w:r w:rsidR="00AA2F3B">
        <w:rPr>
          <w:rFonts w:asciiTheme="majorBidi" w:hAnsiTheme="majorBidi" w:cstheme="majorBidi"/>
          <w:sz w:val="24"/>
          <w:szCs w:val="24"/>
        </w:rPr>
        <w:t xml:space="preserve">services </w:t>
      </w:r>
      <w:r w:rsidR="0088075E">
        <w:rPr>
          <w:rFonts w:asciiTheme="majorBidi" w:hAnsiTheme="majorBidi" w:cstheme="majorBidi"/>
          <w:sz w:val="24"/>
          <w:szCs w:val="24"/>
        </w:rPr>
        <w:t>disaggregated by socioeconomic indicators such as wealth and education</w:t>
      </w:r>
      <w:r w:rsidR="00D6034B">
        <w:rPr>
          <w:rFonts w:asciiTheme="majorBidi" w:hAnsiTheme="majorBidi" w:cstheme="majorBidi"/>
          <w:sz w:val="24"/>
          <w:szCs w:val="24"/>
        </w:rPr>
        <w:t xml:space="preserve">; </w:t>
      </w:r>
      <w:r w:rsidR="00524E5C">
        <w:rPr>
          <w:rFonts w:asciiTheme="majorBidi" w:hAnsiTheme="majorBidi" w:cstheme="majorBidi"/>
          <w:sz w:val="24"/>
          <w:szCs w:val="24"/>
        </w:rPr>
        <w:t>t</w:t>
      </w:r>
      <w:r w:rsidR="0088075E">
        <w:rPr>
          <w:rFonts w:asciiTheme="majorBidi" w:hAnsiTheme="majorBidi" w:cstheme="majorBidi"/>
          <w:sz w:val="24"/>
          <w:szCs w:val="24"/>
        </w:rPr>
        <w:t>hese studies</w:t>
      </w:r>
      <w:r w:rsidR="00BA7EA2">
        <w:rPr>
          <w:rFonts w:asciiTheme="majorBidi" w:hAnsiTheme="majorBidi" w:cstheme="majorBidi"/>
          <w:sz w:val="24"/>
          <w:szCs w:val="24"/>
        </w:rPr>
        <w:t>, however,</w:t>
      </w:r>
      <w:r w:rsidR="0088075E">
        <w:rPr>
          <w:rFonts w:asciiTheme="majorBidi" w:hAnsiTheme="majorBidi" w:cstheme="majorBidi"/>
          <w:sz w:val="24"/>
          <w:szCs w:val="24"/>
        </w:rPr>
        <w:t xml:space="preserve"> </w:t>
      </w:r>
      <w:r w:rsidR="00524E5C">
        <w:rPr>
          <w:rFonts w:asciiTheme="majorBidi" w:hAnsiTheme="majorBidi" w:cstheme="majorBidi"/>
          <w:sz w:val="24"/>
          <w:szCs w:val="24"/>
        </w:rPr>
        <w:t>represent analysis</w:t>
      </w:r>
      <w:r w:rsidR="0088075E">
        <w:rPr>
          <w:rFonts w:asciiTheme="majorBidi" w:hAnsiTheme="majorBidi" w:cstheme="majorBidi"/>
          <w:sz w:val="24"/>
          <w:szCs w:val="24"/>
        </w:rPr>
        <w:t xml:space="preserve"> </w:t>
      </w:r>
      <w:r w:rsidR="00D6034B">
        <w:rPr>
          <w:rFonts w:asciiTheme="majorBidi" w:hAnsiTheme="majorBidi" w:cstheme="majorBidi"/>
          <w:sz w:val="24"/>
          <w:szCs w:val="24"/>
        </w:rPr>
        <w:t xml:space="preserve">performed </w:t>
      </w:r>
      <w:r w:rsidR="0088075E">
        <w:rPr>
          <w:rFonts w:asciiTheme="majorBidi" w:hAnsiTheme="majorBidi" w:cstheme="majorBidi"/>
          <w:sz w:val="24"/>
          <w:szCs w:val="24"/>
        </w:rPr>
        <w:t xml:space="preserve">at a provincial or national-level spatial scale, </w:t>
      </w:r>
      <w:r w:rsidR="00524E5C">
        <w:rPr>
          <w:rFonts w:asciiTheme="majorBidi" w:hAnsiTheme="majorBidi" w:cstheme="majorBidi"/>
          <w:sz w:val="24"/>
          <w:szCs w:val="24"/>
        </w:rPr>
        <w:t>and potentially mask important variation at policy-relevant spatial scales</w:t>
      </w:r>
      <w:r w:rsidR="00920A15">
        <w:rPr>
          <w:rFonts w:asciiTheme="majorBidi" w:hAnsiTheme="majorBidi" w:cstheme="majorBidi"/>
          <w:sz w:val="24"/>
          <w:szCs w:val="24"/>
        </w:rPr>
        <w:t>,</w:t>
      </w:r>
      <w:r w:rsidR="00524E5C">
        <w:rPr>
          <w:rFonts w:asciiTheme="majorBidi" w:hAnsiTheme="majorBidi" w:cstheme="majorBidi"/>
          <w:sz w:val="24"/>
          <w:szCs w:val="24"/>
        </w:rPr>
        <w:t xml:space="preserve"> such as </w:t>
      </w:r>
      <w:r w:rsidR="00920A15">
        <w:rPr>
          <w:rFonts w:asciiTheme="majorBidi" w:hAnsiTheme="majorBidi" w:cstheme="majorBidi"/>
          <w:sz w:val="24"/>
          <w:szCs w:val="24"/>
        </w:rPr>
        <w:t xml:space="preserve">the </w:t>
      </w:r>
      <w:r w:rsidR="00524E5C">
        <w:rPr>
          <w:rFonts w:asciiTheme="majorBidi" w:hAnsiTheme="majorBidi" w:cstheme="majorBidi"/>
          <w:sz w:val="24"/>
          <w:szCs w:val="24"/>
        </w:rPr>
        <w:t>district</w:t>
      </w:r>
      <w:r w:rsidR="00920A15">
        <w:rPr>
          <w:rFonts w:asciiTheme="majorBidi" w:hAnsiTheme="majorBidi" w:cstheme="majorBidi"/>
          <w:sz w:val="24"/>
          <w:szCs w:val="24"/>
        </w:rPr>
        <w:t xml:space="preserve"> level</w:t>
      </w:r>
      <w:r w:rsidR="0088075E">
        <w:rPr>
          <w:rFonts w:asciiTheme="majorBidi" w:hAnsiTheme="majorBidi" w:cstheme="majorBidi"/>
          <w:sz w:val="24"/>
          <w:szCs w:val="24"/>
        </w:rPr>
        <w:t xml:space="preserve">. </w:t>
      </w:r>
    </w:p>
    <w:p w14:paraId="1505F72D" w14:textId="2E9149AB" w:rsidR="00AF0A4D" w:rsidRDefault="00197416" w:rsidP="00281E7F">
      <w:pPr>
        <w:spacing w:line="480" w:lineRule="auto"/>
        <w:ind w:firstLine="720"/>
        <w:rPr>
          <w:rFonts w:asciiTheme="majorBidi" w:hAnsiTheme="majorBidi" w:cstheme="majorBidi"/>
          <w:sz w:val="24"/>
          <w:szCs w:val="24"/>
        </w:rPr>
      </w:pPr>
      <w:r>
        <w:rPr>
          <w:rFonts w:asciiTheme="majorBidi" w:hAnsiTheme="majorBidi" w:cstheme="majorBidi"/>
          <w:sz w:val="24"/>
          <w:szCs w:val="24"/>
        </w:rPr>
        <w:t>Within the EAC region,</w:t>
      </w:r>
      <w:r w:rsidDel="00197416">
        <w:rPr>
          <w:rFonts w:asciiTheme="majorBidi" w:hAnsiTheme="majorBidi" w:cstheme="majorBidi"/>
          <w:sz w:val="24"/>
          <w:szCs w:val="24"/>
        </w:rPr>
        <w:t xml:space="preserve"> </w:t>
      </w:r>
      <w:r>
        <w:rPr>
          <w:rFonts w:asciiTheme="majorBidi" w:hAnsiTheme="majorBidi" w:cstheme="majorBidi"/>
          <w:sz w:val="24"/>
          <w:szCs w:val="24"/>
        </w:rPr>
        <w:t>p</w:t>
      </w:r>
      <w:r w:rsidR="0064772E">
        <w:rPr>
          <w:rFonts w:asciiTheme="majorBidi" w:hAnsiTheme="majorBidi" w:cstheme="majorBidi"/>
          <w:sz w:val="24"/>
          <w:szCs w:val="24"/>
        </w:rPr>
        <w:t>revious research</w:t>
      </w:r>
      <w:r>
        <w:rPr>
          <w:rFonts w:asciiTheme="majorBidi" w:hAnsiTheme="majorBidi" w:cstheme="majorBidi"/>
          <w:sz w:val="24"/>
          <w:szCs w:val="24"/>
        </w:rPr>
        <w:t xml:space="preserve"> </w:t>
      </w:r>
      <w:r>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a12litjoqaj","properties":{"formattedCitation":"[15]","plainCitation":"[15]","noteIndex":0},"citationItems":[{"id":514,"uris":["http://zotero.org/users/2783131/items/VEPFME8H"],"uri":["http://zotero.org/users/2783131/items/VEPFME8H"],"itemData":{"id":514,"type":"article-journal","title":"Equality in Maternal and Newborn Health: Modelling Geographic Disparities in Utilisation of Care in Five East African Countries","container-title":"PLOS ONE","page":"e0162006","volume":"11","issue":"8","source":"PLoS Journals","abstract":"Background   Geographic accessibility to health facilities represents a fundamental barrier to utilisation of maternal and newborn health (MNH) services, driving historically hidden spatial pockets of localized inequalities. Here, we examine utilisation of MNH care as an emergent property of accessibility, highlighting high-resolution spatial heterogeneity and sub-national inequalities in receiving care before, during, and after delivery throughout five East African countries.       Methods   We calculated a geographic inaccessibility score to the nearest health facility at 300 x 300 m using a dataset of 9,314 facilities throughout Burundi, Kenya, Rwanda, Tanzania and Uganda. Using Demographic and Health Surveys data, we utilised hierarchical mixed effects logistic regression to examine the odds of: 1) skilled birth attendance, 2) receiving 4+ antenatal care visits at time of delivery, and 3) receiving a postnatal health check-up within 48 hours of delivery. We applied model results onto the accessibility surface to visualise the probabilities of obtaining MNH care at both high-resolution and sub-national levels after adjusting for live births in 2015.       Results   Across all outcomes, decreasing wealth and education levels were associated with lower odds of obtaining MNH care. Increasing geographic inaccessibility scores were associated with the strongest effect in lowering odds of obtaining care observed across outcomes, with the widest disparities observed among skilled birth attendance. Specifically, for each increase in the inaccessibility score to the nearest health facility, the odds of having skilled birth attendance at delivery was reduced by over 75% (0.24; CI: 0.19–0.3), while the odds of receiving antenatal care decreased by nearly 25% (0.74; CI: 0.61–0.89) and 40% for obtaining postnatal care (0.58; CI: 0.45–0.75).       Conclusions   Overall, these results suggest decreasing accessibility to the nearest health facility significantly deterred utilisation of all maternal health care services. These results demonstrate how spatial approaches can inform policy efforts and promote evidence-based decision-making, and are particularly pertinent as the world shifts into the Sustainable Goals Development era, where sub-national applications will become increasingly useful in identifying and reducing persistent inequalities.","DOI":"10.1371/journal.pone.0162006","ISSN":"1932-6203","shortTitle":"Equality in Maternal and Newborn Health","journalAbbreviation":"PLOS ONE","author":[{"family":"Ruktanonchai","given":"Corrine W."},{"family":"Ruktanonchai","given":"Nick W."},{"family":"Nove","given":"Andrea"},{"family":"Lopes","given":"Sofia"},{"family":"Pezzulo","given":"Carla"},{"family":"Bosco","given":"Claudio"},{"family":"Alegana","given":"Victor A."},{"family":"Burgert","given":"Clara R."},{"family":"Ayiko","given":"Rogers"},{"family":"Charles","given":"Andrew SEK"},{"family":"Lambert","given":"Nkurunziza"},{"family":"Msechu","given":"Esther"},{"family":"Kathini","given":"Esther"},{"family":"Matthews","given":"Zoë"},{"family":"Tatem","given":"Andrew J."}],"issued":{"date-parts":[["2016",8,25]]}}}],"schema":"https://github.com/citation-style-language/schema/raw/master/csl-citation.json"} </w:instrText>
      </w:r>
      <w:r>
        <w:rPr>
          <w:rFonts w:asciiTheme="majorBidi" w:hAnsiTheme="majorBidi" w:cstheme="majorBidi"/>
          <w:sz w:val="24"/>
          <w:szCs w:val="24"/>
        </w:rPr>
        <w:fldChar w:fldCharType="separate"/>
      </w:r>
      <w:r w:rsidRPr="00574ABD">
        <w:rPr>
          <w:rFonts w:ascii="Times New Roman" w:hAnsi="Times New Roman" w:cs="Times New Roman"/>
          <w:sz w:val="24"/>
        </w:rPr>
        <w:t>[15]</w:t>
      </w:r>
      <w:r>
        <w:rPr>
          <w:rFonts w:asciiTheme="majorBidi" w:hAnsiTheme="majorBidi" w:cstheme="majorBidi"/>
          <w:sz w:val="24"/>
          <w:szCs w:val="24"/>
        </w:rPr>
        <w:fldChar w:fldCharType="end"/>
      </w:r>
      <w:r w:rsidR="0064772E">
        <w:rPr>
          <w:rFonts w:asciiTheme="majorBidi" w:hAnsiTheme="majorBidi" w:cstheme="majorBidi"/>
          <w:sz w:val="24"/>
          <w:szCs w:val="24"/>
        </w:rPr>
        <w:t xml:space="preserve"> </w:t>
      </w:r>
      <w:r w:rsidR="001D3D05">
        <w:rPr>
          <w:rFonts w:asciiTheme="majorBidi" w:hAnsiTheme="majorBidi" w:cstheme="majorBidi"/>
          <w:sz w:val="24"/>
          <w:szCs w:val="24"/>
        </w:rPr>
        <w:t>has</w:t>
      </w:r>
      <w:r w:rsidR="001D3D05" w:rsidRPr="001D3D05">
        <w:rPr>
          <w:rFonts w:asciiTheme="majorBidi" w:hAnsiTheme="majorBidi" w:cstheme="majorBidi"/>
          <w:sz w:val="24"/>
          <w:szCs w:val="24"/>
        </w:rPr>
        <w:t xml:space="preserve"> examine</w:t>
      </w:r>
      <w:r w:rsidR="001D3D05">
        <w:rPr>
          <w:rFonts w:asciiTheme="majorBidi" w:hAnsiTheme="majorBidi" w:cstheme="majorBidi"/>
          <w:sz w:val="24"/>
          <w:szCs w:val="24"/>
        </w:rPr>
        <w:t>d</w:t>
      </w:r>
      <w:r w:rsidR="001D3D05" w:rsidRPr="001D3D05">
        <w:rPr>
          <w:rFonts w:asciiTheme="majorBidi" w:hAnsiTheme="majorBidi" w:cstheme="majorBidi"/>
          <w:sz w:val="24"/>
          <w:szCs w:val="24"/>
        </w:rPr>
        <w:t xml:space="preserve"> utilisation of </w:t>
      </w:r>
      <w:r w:rsidR="004A45BB">
        <w:rPr>
          <w:rFonts w:asciiTheme="majorBidi" w:hAnsiTheme="majorBidi" w:cstheme="majorBidi"/>
          <w:sz w:val="24"/>
          <w:szCs w:val="24"/>
        </w:rPr>
        <w:t>MNH</w:t>
      </w:r>
      <w:r w:rsidR="001D3D05" w:rsidRPr="001D3D05">
        <w:rPr>
          <w:rFonts w:asciiTheme="majorBidi" w:hAnsiTheme="majorBidi" w:cstheme="majorBidi"/>
          <w:sz w:val="24"/>
          <w:szCs w:val="24"/>
        </w:rPr>
        <w:t xml:space="preserve"> </w:t>
      </w:r>
      <w:r w:rsidR="00BB1367">
        <w:rPr>
          <w:rFonts w:asciiTheme="majorBidi" w:hAnsiTheme="majorBidi" w:cstheme="majorBidi"/>
          <w:sz w:val="24"/>
          <w:szCs w:val="24"/>
        </w:rPr>
        <w:t>services</w:t>
      </w:r>
      <w:r w:rsidR="001D3D05" w:rsidRPr="001D3D05">
        <w:rPr>
          <w:rFonts w:asciiTheme="majorBidi" w:hAnsiTheme="majorBidi" w:cstheme="majorBidi"/>
          <w:sz w:val="24"/>
          <w:szCs w:val="24"/>
        </w:rPr>
        <w:t xml:space="preserve"> as an emergent property of accessibility, highlighting high-resolution inequalities in receiving care before, during, and after delivery</w:t>
      </w:r>
      <w:r w:rsidR="00366481">
        <w:rPr>
          <w:rFonts w:asciiTheme="majorBidi" w:hAnsiTheme="majorBidi" w:cstheme="majorBidi"/>
          <w:sz w:val="24"/>
          <w:szCs w:val="24"/>
        </w:rPr>
        <w:t>.</w:t>
      </w:r>
      <w:r w:rsidR="001D3D05">
        <w:rPr>
          <w:rFonts w:asciiTheme="majorBidi" w:hAnsiTheme="majorBidi" w:cstheme="majorBidi"/>
          <w:sz w:val="24"/>
          <w:szCs w:val="24"/>
        </w:rPr>
        <w:t xml:space="preserve"> While these inequalities have been spatially disaggregated, no research has examined how </w:t>
      </w:r>
      <w:r w:rsidR="00931BF2">
        <w:rPr>
          <w:rFonts w:asciiTheme="majorBidi" w:hAnsiTheme="majorBidi" w:cstheme="majorBidi"/>
          <w:sz w:val="24"/>
          <w:szCs w:val="24"/>
        </w:rPr>
        <w:t xml:space="preserve">these </w:t>
      </w:r>
      <w:r w:rsidR="001D3D05">
        <w:rPr>
          <w:rFonts w:asciiTheme="majorBidi" w:hAnsiTheme="majorBidi" w:cstheme="majorBidi"/>
          <w:sz w:val="24"/>
          <w:szCs w:val="24"/>
        </w:rPr>
        <w:t>spatial</w:t>
      </w:r>
      <w:r w:rsidR="00A96372">
        <w:rPr>
          <w:rFonts w:asciiTheme="majorBidi" w:hAnsiTheme="majorBidi" w:cstheme="majorBidi"/>
          <w:sz w:val="24"/>
          <w:szCs w:val="24"/>
        </w:rPr>
        <w:t xml:space="preserve"> </w:t>
      </w:r>
      <w:r w:rsidR="00931BF2">
        <w:rPr>
          <w:rFonts w:asciiTheme="majorBidi" w:hAnsiTheme="majorBidi" w:cstheme="majorBidi"/>
          <w:sz w:val="24"/>
          <w:szCs w:val="24"/>
        </w:rPr>
        <w:t>inequalities</w:t>
      </w:r>
      <w:r w:rsidR="001D3D05">
        <w:rPr>
          <w:rFonts w:asciiTheme="majorBidi" w:hAnsiTheme="majorBidi" w:cstheme="majorBidi"/>
          <w:sz w:val="24"/>
          <w:szCs w:val="24"/>
        </w:rPr>
        <w:t xml:space="preserve"> have evolved over time</w:t>
      </w:r>
      <w:r w:rsidR="00A94B1E">
        <w:rPr>
          <w:rFonts w:asciiTheme="majorBidi" w:hAnsiTheme="majorBidi" w:cstheme="majorBidi"/>
          <w:sz w:val="24"/>
          <w:szCs w:val="24"/>
        </w:rPr>
        <w:t xml:space="preserve"> at similar spatial scales</w:t>
      </w:r>
      <w:r w:rsidR="001D3D05">
        <w:rPr>
          <w:rFonts w:asciiTheme="majorBidi" w:hAnsiTheme="majorBidi" w:cstheme="majorBidi"/>
          <w:sz w:val="24"/>
          <w:szCs w:val="24"/>
        </w:rPr>
        <w:t>.</w:t>
      </w:r>
      <w:r w:rsidR="00AF0A4D">
        <w:rPr>
          <w:rFonts w:asciiTheme="majorBidi" w:hAnsiTheme="majorBidi" w:cstheme="majorBidi"/>
          <w:sz w:val="24"/>
          <w:szCs w:val="24"/>
        </w:rPr>
        <w:t xml:space="preserve"> Further, estimates at a policy-meaningful level </w:t>
      </w:r>
      <w:r w:rsidR="00BB1367">
        <w:rPr>
          <w:rFonts w:asciiTheme="majorBidi" w:hAnsiTheme="majorBidi" w:cstheme="majorBidi"/>
          <w:sz w:val="24"/>
          <w:szCs w:val="24"/>
        </w:rPr>
        <w:t xml:space="preserve">such as </w:t>
      </w:r>
      <w:r w:rsidR="00AF0A4D">
        <w:rPr>
          <w:rFonts w:asciiTheme="majorBidi" w:hAnsiTheme="majorBidi" w:cstheme="majorBidi"/>
          <w:sz w:val="24"/>
          <w:szCs w:val="24"/>
        </w:rPr>
        <w:t>the district level remain limited, a</w:t>
      </w:r>
      <w:r w:rsidR="004461DF">
        <w:rPr>
          <w:rFonts w:asciiTheme="majorBidi" w:hAnsiTheme="majorBidi" w:cstheme="majorBidi"/>
          <w:sz w:val="24"/>
          <w:szCs w:val="24"/>
        </w:rPr>
        <w:t xml:space="preserve">s data collected in-country </w:t>
      </w:r>
      <w:r w:rsidR="00AF0A4D">
        <w:rPr>
          <w:rFonts w:asciiTheme="majorBidi" w:hAnsiTheme="majorBidi" w:cstheme="majorBidi"/>
          <w:sz w:val="24"/>
          <w:szCs w:val="24"/>
        </w:rPr>
        <w:t xml:space="preserve">tend to be limited by insufficient reporting, sampling bias, or other methodological challenges. </w:t>
      </w:r>
      <w:r w:rsidR="00EE5709">
        <w:rPr>
          <w:rFonts w:asciiTheme="majorBidi" w:hAnsiTheme="majorBidi" w:cstheme="majorBidi"/>
          <w:sz w:val="24"/>
          <w:szCs w:val="24"/>
        </w:rPr>
        <w:t>E</w:t>
      </w:r>
      <w:r w:rsidR="00AF0A4D">
        <w:rPr>
          <w:rFonts w:asciiTheme="majorBidi" w:hAnsiTheme="majorBidi" w:cstheme="majorBidi"/>
          <w:sz w:val="24"/>
          <w:szCs w:val="24"/>
        </w:rPr>
        <w:t xml:space="preserve">stimates of MNH service utilisation have </w:t>
      </w:r>
      <w:r w:rsidR="00931BF2">
        <w:rPr>
          <w:rFonts w:asciiTheme="majorBidi" w:hAnsiTheme="majorBidi" w:cstheme="majorBidi"/>
          <w:sz w:val="24"/>
          <w:szCs w:val="24"/>
        </w:rPr>
        <w:t>historically</w:t>
      </w:r>
      <w:r w:rsidR="00AF0A4D">
        <w:rPr>
          <w:rFonts w:asciiTheme="majorBidi" w:hAnsiTheme="majorBidi" w:cstheme="majorBidi"/>
          <w:sz w:val="24"/>
          <w:szCs w:val="24"/>
        </w:rPr>
        <w:t xml:space="preserve"> relied on household surveys such as the Demographic and Health Surveys</w:t>
      </w:r>
      <w:r w:rsidR="009935F8">
        <w:rPr>
          <w:rFonts w:asciiTheme="majorBidi" w:hAnsiTheme="majorBidi" w:cstheme="majorBidi"/>
          <w:sz w:val="24"/>
          <w:szCs w:val="24"/>
        </w:rPr>
        <w:t xml:space="preserve"> (DHS)</w:t>
      </w:r>
      <w:r w:rsidR="00AF0A4D">
        <w:rPr>
          <w:rFonts w:asciiTheme="majorBidi" w:hAnsiTheme="majorBidi" w:cstheme="majorBidi"/>
          <w:sz w:val="24"/>
          <w:szCs w:val="24"/>
        </w:rPr>
        <w:t xml:space="preserve">, but </w:t>
      </w:r>
      <w:r w:rsidR="00A860F0">
        <w:rPr>
          <w:rFonts w:asciiTheme="majorBidi" w:hAnsiTheme="majorBidi" w:cstheme="majorBidi"/>
          <w:sz w:val="24"/>
          <w:szCs w:val="24"/>
        </w:rPr>
        <w:t xml:space="preserve">these </w:t>
      </w:r>
      <w:r w:rsidR="00AF0A4D">
        <w:rPr>
          <w:rFonts w:asciiTheme="majorBidi" w:hAnsiTheme="majorBidi" w:cstheme="majorBidi"/>
          <w:sz w:val="24"/>
          <w:szCs w:val="24"/>
        </w:rPr>
        <w:t>are</w:t>
      </w:r>
      <w:r w:rsidR="00EE5709">
        <w:rPr>
          <w:rFonts w:asciiTheme="majorBidi" w:hAnsiTheme="majorBidi" w:cstheme="majorBidi"/>
          <w:sz w:val="24"/>
          <w:szCs w:val="24"/>
        </w:rPr>
        <w:t xml:space="preserve"> not</w:t>
      </w:r>
      <w:r w:rsidR="00AF0A4D">
        <w:rPr>
          <w:rFonts w:asciiTheme="majorBidi" w:hAnsiTheme="majorBidi" w:cstheme="majorBidi"/>
          <w:sz w:val="24"/>
          <w:szCs w:val="24"/>
        </w:rPr>
        <w:t xml:space="preserve"> typically representative </w:t>
      </w:r>
      <w:r w:rsidR="00060A6B">
        <w:rPr>
          <w:rFonts w:asciiTheme="majorBidi" w:hAnsiTheme="majorBidi" w:cstheme="majorBidi"/>
          <w:sz w:val="24"/>
          <w:szCs w:val="24"/>
        </w:rPr>
        <w:t xml:space="preserve">below the national or </w:t>
      </w:r>
      <w:r w:rsidR="00A94B1E">
        <w:rPr>
          <w:rFonts w:asciiTheme="majorBidi" w:hAnsiTheme="majorBidi" w:cstheme="majorBidi"/>
          <w:sz w:val="24"/>
          <w:szCs w:val="24"/>
        </w:rPr>
        <w:t>regional</w:t>
      </w:r>
      <w:r w:rsidR="00060A6B">
        <w:rPr>
          <w:rFonts w:asciiTheme="majorBidi" w:hAnsiTheme="majorBidi" w:cstheme="majorBidi"/>
          <w:sz w:val="24"/>
          <w:szCs w:val="24"/>
        </w:rPr>
        <w:t xml:space="preserve"> level</w:t>
      </w:r>
      <w:r w:rsidR="00EE5709">
        <w:rPr>
          <w:rFonts w:asciiTheme="majorBidi" w:hAnsiTheme="majorBidi" w:cstheme="majorBidi"/>
          <w:sz w:val="24"/>
          <w:szCs w:val="24"/>
        </w:rPr>
        <w:t xml:space="preserve"> due to sample design</w:t>
      </w:r>
      <w:r w:rsidR="002A1E9F">
        <w:rPr>
          <w:rFonts w:asciiTheme="majorBidi" w:hAnsiTheme="majorBidi" w:cstheme="majorBidi"/>
          <w:sz w:val="24"/>
          <w:szCs w:val="24"/>
        </w:rPr>
        <w:t xml:space="preserve"> </w:t>
      </w:r>
      <w:r>
        <w:rPr>
          <w:rFonts w:asciiTheme="majorBidi" w:hAnsiTheme="majorBidi" w:cstheme="majorBidi"/>
          <w:sz w:val="24"/>
          <w:szCs w:val="24"/>
        </w:rPr>
        <w:t>(</w:t>
      </w:r>
      <w:r w:rsidR="002A1E9F">
        <w:rPr>
          <w:rFonts w:asciiTheme="majorBidi" w:hAnsiTheme="majorBidi" w:cstheme="majorBidi"/>
          <w:sz w:val="24"/>
          <w:szCs w:val="24"/>
        </w:rPr>
        <w:t xml:space="preserve">with some </w:t>
      </w:r>
      <w:r>
        <w:rPr>
          <w:rFonts w:asciiTheme="majorBidi" w:hAnsiTheme="majorBidi" w:cstheme="majorBidi"/>
          <w:sz w:val="24"/>
          <w:szCs w:val="24"/>
        </w:rPr>
        <w:t xml:space="preserve">recent </w:t>
      </w:r>
      <w:r w:rsidR="002A1E9F">
        <w:rPr>
          <w:rFonts w:asciiTheme="majorBidi" w:hAnsiTheme="majorBidi" w:cstheme="majorBidi"/>
          <w:sz w:val="24"/>
          <w:szCs w:val="24"/>
        </w:rPr>
        <w:t>exceptions such as the</w:t>
      </w:r>
      <w:r>
        <w:rPr>
          <w:rFonts w:asciiTheme="majorBidi" w:hAnsiTheme="majorBidi" w:cstheme="majorBidi"/>
          <w:sz w:val="24"/>
          <w:szCs w:val="24"/>
        </w:rPr>
        <w:t xml:space="preserve"> 2015</w:t>
      </w:r>
      <w:r w:rsidR="002A1E9F">
        <w:rPr>
          <w:rFonts w:asciiTheme="majorBidi" w:hAnsiTheme="majorBidi" w:cstheme="majorBidi"/>
          <w:sz w:val="24"/>
          <w:szCs w:val="24"/>
        </w:rPr>
        <w:t xml:space="preserve"> Kenya DHS</w:t>
      </w:r>
      <w:r>
        <w:rPr>
          <w:rFonts w:asciiTheme="majorBidi" w:hAnsiTheme="majorBidi" w:cstheme="majorBidi"/>
          <w:sz w:val="24"/>
          <w:szCs w:val="24"/>
        </w:rPr>
        <w:t>)</w:t>
      </w:r>
      <w:r w:rsidR="00AF0A4D">
        <w:rPr>
          <w:rFonts w:asciiTheme="majorBidi" w:hAnsiTheme="majorBidi" w:cstheme="majorBidi"/>
          <w:sz w:val="24"/>
          <w:szCs w:val="24"/>
        </w:rPr>
        <w:t>.</w:t>
      </w:r>
      <w:r w:rsidR="00EE5709">
        <w:rPr>
          <w:rFonts w:asciiTheme="majorBidi" w:hAnsiTheme="majorBidi" w:cstheme="majorBidi"/>
          <w:sz w:val="24"/>
          <w:szCs w:val="24"/>
        </w:rPr>
        <w:t xml:space="preserve"> This necessitates</w:t>
      </w:r>
      <w:r w:rsidR="00B254FF">
        <w:rPr>
          <w:rFonts w:asciiTheme="majorBidi" w:hAnsiTheme="majorBidi" w:cstheme="majorBidi"/>
          <w:sz w:val="24"/>
          <w:szCs w:val="24"/>
        </w:rPr>
        <w:t xml:space="preserve"> the use of spatial statistics, such as</w:t>
      </w:r>
      <w:r w:rsidR="00EE5709">
        <w:rPr>
          <w:rFonts w:asciiTheme="majorBidi" w:hAnsiTheme="majorBidi" w:cstheme="majorBidi"/>
          <w:sz w:val="24"/>
          <w:szCs w:val="24"/>
        </w:rPr>
        <w:t xml:space="preserve"> small area estimation techniques and geo-spatial modelling frameworks</w:t>
      </w:r>
      <w:r w:rsidR="00B254FF">
        <w:rPr>
          <w:rFonts w:asciiTheme="majorBidi" w:hAnsiTheme="majorBidi" w:cstheme="majorBidi"/>
          <w:sz w:val="24"/>
          <w:szCs w:val="24"/>
        </w:rPr>
        <w:t>,</w:t>
      </w:r>
      <w:r w:rsidR="00EE5709">
        <w:rPr>
          <w:rFonts w:asciiTheme="majorBidi" w:hAnsiTheme="majorBidi" w:cstheme="majorBidi"/>
          <w:sz w:val="24"/>
          <w:szCs w:val="24"/>
        </w:rPr>
        <w:t xml:space="preserve"> to generate </w:t>
      </w:r>
      <w:r w:rsidR="00B254FF">
        <w:rPr>
          <w:rFonts w:asciiTheme="majorBidi" w:hAnsiTheme="majorBidi" w:cstheme="majorBidi"/>
          <w:sz w:val="24"/>
          <w:szCs w:val="24"/>
        </w:rPr>
        <w:t>predictive estimates at smaller spatial</w:t>
      </w:r>
      <w:r w:rsidR="00EE5709">
        <w:rPr>
          <w:rFonts w:asciiTheme="majorBidi" w:hAnsiTheme="majorBidi" w:cstheme="majorBidi"/>
          <w:sz w:val="24"/>
          <w:szCs w:val="24"/>
        </w:rPr>
        <w:t xml:space="preserve"> levels</w:t>
      </w:r>
      <w:r w:rsidR="00B254FF">
        <w:rPr>
          <w:rFonts w:asciiTheme="majorBidi" w:hAnsiTheme="majorBidi" w:cstheme="majorBidi"/>
          <w:sz w:val="24"/>
          <w:szCs w:val="24"/>
        </w:rPr>
        <w:t>, but these approaches also come with methodological considerations</w:t>
      </w:r>
      <w:r w:rsidR="00EE5709">
        <w:rPr>
          <w:rFonts w:asciiTheme="majorBidi" w:hAnsiTheme="majorBidi" w:cstheme="majorBidi"/>
          <w:sz w:val="24"/>
          <w:szCs w:val="24"/>
        </w:rPr>
        <w:t>.</w:t>
      </w:r>
      <w:r w:rsidR="00AF0A4D">
        <w:rPr>
          <w:rFonts w:asciiTheme="majorBidi" w:hAnsiTheme="majorBidi" w:cstheme="majorBidi"/>
          <w:sz w:val="24"/>
          <w:szCs w:val="24"/>
        </w:rPr>
        <w:t xml:space="preserve"> Spatial interpolation methods using a Bayesian framework are</w:t>
      </w:r>
      <w:r w:rsidR="00B254FF">
        <w:rPr>
          <w:rFonts w:asciiTheme="majorBidi" w:hAnsiTheme="majorBidi" w:cstheme="majorBidi"/>
          <w:sz w:val="24"/>
          <w:szCs w:val="24"/>
        </w:rPr>
        <w:t xml:space="preserve"> one such application of predictive modelling, and represent an</w:t>
      </w:r>
      <w:r w:rsidR="00AF0A4D">
        <w:rPr>
          <w:rFonts w:asciiTheme="majorBidi" w:hAnsiTheme="majorBidi" w:cstheme="majorBidi"/>
          <w:sz w:val="24"/>
          <w:szCs w:val="24"/>
        </w:rPr>
        <w:t xml:space="preserve"> ideal</w:t>
      </w:r>
      <w:r w:rsidR="00B254FF">
        <w:rPr>
          <w:rFonts w:asciiTheme="majorBidi" w:hAnsiTheme="majorBidi" w:cstheme="majorBidi"/>
          <w:sz w:val="24"/>
          <w:szCs w:val="24"/>
        </w:rPr>
        <w:t xml:space="preserve"> opportunity</w:t>
      </w:r>
      <w:r w:rsidR="00AF0A4D">
        <w:rPr>
          <w:rFonts w:asciiTheme="majorBidi" w:hAnsiTheme="majorBidi" w:cstheme="majorBidi"/>
          <w:sz w:val="24"/>
          <w:szCs w:val="24"/>
        </w:rPr>
        <w:t xml:space="preserve"> </w:t>
      </w:r>
      <w:r w:rsidR="00B254FF">
        <w:rPr>
          <w:rFonts w:asciiTheme="majorBidi" w:hAnsiTheme="majorBidi" w:cstheme="majorBidi"/>
          <w:sz w:val="24"/>
          <w:szCs w:val="24"/>
        </w:rPr>
        <w:t xml:space="preserve">to </w:t>
      </w:r>
      <w:r w:rsidR="00A94B1E">
        <w:rPr>
          <w:rFonts w:asciiTheme="majorBidi" w:hAnsiTheme="majorBidi" w:cstheme="majorBidi"/>
          <w:sz w:val="24"/>
          <w:szCs w:val="24"/>
        </w:rPr>
        <w:t>quantify</w:t>
      </w:r>
      <w:r w:rsidR="00AF0A4D">
        <w:rPr>
          <w:rFonts w:asciiTheme="majorBidi" w:hAnsiTheme="majorBidi" w:cstheme="majorBidi"/>
          <w:sz w:val="24"/>
          <w:szCs w:val="24"/>
        </w:rPr>
        <w:t xml:space="preserve"> </w:t>
      </w:r>
      <w:r w:rsidR="00A94B1E">
        <w:rPr>
          <w:rFonts w:asciiTheme="majorBidi" w:hAnsiTheme="majorBidi" w:cstheme="majorBidi"/>
          <w:sz w:val="24"/>
          <w:szCs w:val="24"/>
        </w:rPr>
        <w:t>u</w:t>
      </w:r>
      <w:r w:rsidR="00AF0A4D">
        <w:rPr>
          <w:rFonts w:asciiTheme="majorBidi" w:hAnsiTheme="majorBidi" w:cstheme="majorBidi"/>
          <w:sz w:val="24"/>
          <w:szCs w:val="24"/>
        </w:rPr>
        <w:t>ncertainty</w:t>
      </w:r>
      <w:r w:rsidR="000E5ABA">
        <w:rPr>
          <w:rFonts w:asciiTheme="majorBidi" w:hAnsiTheme="majorBidi" w:cstheme="majorBidi"/>
          <w:sz w:val="24"/>
          <w:szCs w:val="24"/>
        </w:rPr>
        <w:t xml:space="preserve"> </w:t>
      </w:r>
      <w:r w:rsidR="00A94B1E">
        <w:rPr>
          <w:rFonts w:asciiTheme="majorBidi" w:hAnsiTheme="majorBidi" w:cstheme="majorBidi"/>
          <w:sz w:val="24"/>
          <w:szCs w:val="24"/>
        </w:rPr>
        <w:t>in estimates thr</w:t>
      </w:r>
      <w:r w:rsidR="00B254FF">
        <w:rPr>
          <w:rFonts w:asciiTheme="majorBidi" w:hAnsiTheme="majorBidi" w:cstheme="majorBidi"/>
          <w:sz w:val="24"/>
          <w:szCs w:val="24"/>
        </w:rPr>
        <w:t>ough</w:t>
      </w:r>
      <w:r w:rsidR="000E5ABA">
        <w:rPr>
          <w:rFonts w:asciiTheme="majorBidi" w:hAnsiTheme="majorBidi" w:cstheme="majorBidi"/>
          <w:sz w:val="24"/>
          <w:szCs w:val="24"/>
        </w:rPr>
        <w:t xml:space="preserve"> </w:t>
      </w:r>
      <w:r w:rsidR="00AF0A4D">
        <w:rPr>
          <w:rFonts w:asciiTheme="majorBidi" w:hAnsiTheme="majorBidi" w:cstheme="majorBidi"/>
          <w:sz w:val="24"/>
          <w:szCs w:val="24"/>
        </w:rPr>
        <w:t xml:space="preserve">posterior distributions </w:t>
      </w:r>
      <w:r w:rsidR="00AF0A4D">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ahf6ri2vb3","properties":{"formattedCitation":"[16]","plainCitation":"[16]","noteIndex":0},"citationItems":[{"id":184,"uris":["http://zotero.org/users/2783131/items/HVVTDSTU"],"uri":["http://zotero.org/users/2783131/items/HVVTDSTU"],"itemData":{"id":184,"type":"report","title":"Creating Spatial Interpolation Surfaces with DHS Data","collection-title":"Creating Spatial Interpolation Surfaces with DHS Data","publisher":"ICF International","publisher-place":"Rockville, Maryland, USA","event-place":"Rockville, Maryland, USA","URL":"http://dhsprogram.com/pubs/pdf/SAR11/SAR11.pdf","number":"SAR 11","author":[{"family":"Gething","given":"Peter"},{"family":"Tatem","given":"Andrew"},{"family":"Bird","given":"Tom"},{"family":"Burgert","given":"Clara"}],"issued":{"date-parts":[["2015"]]},"accessed":{"date-parts":[["2017",3,28]]}}}],"schema":"https://github.com/citation-style-language/schema/raw/master/csl-citation.json"} </w:instrText>
      </w:r>
      <w:r w:rsidR="00AF0A4D">
        <w:rPr>
          <w:rFonts w:asciiTheme="majorBidi" w:hAnsiTheme="majorBidi" w:cstheme="majorBidi"/>
          <w:sz w:val="24"/>
          <w:szCs w:val="24"/>
        </w:rPr>
        <w:fldChar w:fldCharType="separate"/>
      </w:r>
      <w:r w:rsidR="00BB1367" w:rsidRPr="0076525E">
        <w:rPr>
          <w:rFonts w:ascii="Times New Roman" w:hAnsi="Times New Roman" w:cs="Times New Roman"/>
          <w:sz w:val="24"/>
        </w:rPr>
        <w:t>[16]</w:t>
      </w:r>
      <w:r w:rsidR="00AF0A4D">
        <w:rPr>
          <w:rFonts w:asciiTheme="majorBidi" w:hAnsiTheme="majorBidi" w:cstheme="majorBidi"/>
          <w:sz w:val="24"/>
          <w:szCs w:val="24"/>
        </w:rPr>
        <w:fldChar w:fldCharType="end"/>
      </w:r>
      <w:r w:rsidR="00AF0A4D">
        <w:rPr>
          <w:rFonts w:asciiTheme="majorBidi" w:hAnsiTheme="majorBidi" w:cstheme="majorBidi"/>
          <w:sz w:val="24"/>
          <w:szCs w:val="24"/>
        </w:rPr>
        <w:t xml:space="preserve">. </w:t>
      </w:r>
      <w:r w:rsidR="00251908">
        <w:rPr>
          <w:rFonts w:asciiTheme="majorBidi" w:hAnsiTheme="majorBidi" w:cstheme="majorBidi"/>
          <w:sz w:val="24"/>
          <w:szCs w:val="24"/>
        </w:rPr>
        <w:t xml:space="preserve">Briefly, a Bayesian framework generates a distribution of possible estimates, or posterior distribution, in which the “true” value may lie, and allows for reporting of standard distribution statistics, such as mean, median, standard deviation, and </w:t>
      </w:r>
      <w:r w:rsidR="002A1E9F">
        <w:rPr>
          <w:rFonts w:asciiTheme="majorBidi" w:hAnsiTheme="majorBidi" w:cstheme="majorBidi"/>
          <w:sz w:val="24"/>
          <w:szCs w:val="24"/>
        </w:rPr>
        <w:t xml:space="preserve">credibility </w:t>
      </w:r>
      <w:r w:rsidR="00251908">
        <w:rPr>
          <w:rFonts w:asciiTheme="majorBidi" w:hAnsiTheme="majorBidi" w:cstheme="majorBidi"/>
          <w:sz w:val="24"/>
          <w:szCs w:val="24"/>
        </w:rPr>
        <w:t xml:space="preserve">interval. This is particularly valuable when reporting DHS data at a spatial scale different from </w:t>
      </w:r>
      <w:r w:rsidR="00F81AC1">
        <w:rPr>
          <w:rFonts w:asciiTheme="majorBidi" w:hAnsiTheme="majorBidi" w:cstheme="majorBidi"/>
          <w:sz w:val="24"/>
          <w:szCs w:val="24"/>
        </w:rPr>
        <w:t>that which the</w:t>
      </w:r>
      <w:r w:rsidR="00251908">
        <w:rPr>
          <w:rFonts w:asciiTheme="majorBidi" w:hAnsiTheme="majorBidi" w:cstheme="majorBidi"/>
          <w:sz w:val="24"/>
          <w:szCs w:val="24"/>
        </w:rPr>
        <w:t xml:space="preserve"> data were collected at, where the range of uncertainty may vary in more rural, less sampled areas</w:t>
      </w:r>
      <w:r w:rsidR="00060A6B">
        <w:rPr>
          <w:rFonts w:asciiTheme="majorBidi" w:hAnsiTheme="majorBidi" w:cstheme="majorBidi"/>
          <w:sz w:val="24"/>
          <w:szCs w:val="24"/>
        </w:rPr>
        <w:t xml:space="preserve"> </w:t>
      </w:r>
      <w:r w:rsidR="00060A6B">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{"citationID":"QLBo51Tk","properties":{"formattedCitation":"[16, 17]","plainCitation":"[16, 17]","noteIndex":0},"citationItems":[{"id":184,"uris":["http://zotero.org/users/2783131/items/HVVTDSTU"],"uri":["http://zotero.org/users/2783131/items/HVVTDSTU"],"itemData":{"id":184,"type":"report","title":"Creating Spatial Interpolation Surfaces with DHS Data","collection-title":"Creating Spatial Interpolation Surfaces with DHS Data","publisher":"ICF International","publisher-place":"Rockville, Maryland, USA","event-place":"Rockville, Maryland, USA","URL":"http://dhsprogram.com/pubs/pdf/SAR11/SAR11.pdf","number":"SAR 11","author":[{"family":"Gething","given":"Peter"},{"family":"Tatem","given":"Andrew"},{"family":"Bird","given":"Tom"},{"family":"Burgert","given":"Clara"}],"issued":{"date-parts":[["2015"]]},"accessed":{"date-parts":[["2017",3,28]]}}},{"id":1051,"uris":["http://zotero.org/users/2783131/items/AVC44N8I"],"uri":["http://zotero.org/users/2783131/items/AVC44N8I"],"itemData":{"id":1051,"type":"article-journal","title":"Estimating prevalence of adolescent first births in Nepal using geospatial modelling","container-title":"Accepted to BMJ Global Health","author":[{"family":"Neal","given":"Sarah"},{"family":"Ruktanochai","given":"Corrine W"},{"family":"Chandra-Mouli","given":"Venkatraman"},{"family":"Harvey","given":"Chloe"},{"family":"Matthews","given":"Zoe"},{"family":"Raina","given":"Neena"},{"family":"Tatem","given":"Andrew J"}]}}],"schema":"https://github.com/citation-style-language/schema/raw/master/csl-citation.json"} </w:instrText>
      </w:r>
      <w:r w:rsidR="00060A6B">
        <w:rPr>
          <w:rFonts w:asciiTheme="majorBidi" w:hAnsiTheme="majorBidi" w:cstheme="majorBidi"/>
          <w:sz w:val="24"/>
          <w:szCs w:val="24"/>
        </w:rPr>
        <w:fldChar w:fldCharType="separate"/>
      </w:r>
      <w:r w:rsidR="00BB1367" w:rsidRPr="0076525E">
        <w:rPr>
          <w:rFonts w:ascii="Times New Roman" w:hAnsi="Times New Roman" w:cs="Times New Roman"/>
          <w:sz w:val="24"/>
        </w:rPr>
        <w:t>[16, 17]</w:t>
      </w:r>
      <w:r w:rsidR="00060A6B">
        <w:rPr>
          <w:rFonts w:asciiTheme="majorBidi" w:hAnsiTheme="majorBidi" w:cstheme="majorBidi"/>
          <w:sz w:val="24"/>
          <w:szCs w:val="24"/>
        </w:rPr>
        <w:fldChar w:fldCharType="end"/>
      </w:r>
      <w:r w:rsidR="00251908">
        <w:rPr>
          <w:rFonts w:asciiTheme="majorBidi" w:hAnsiTheme="majorBidi" w:cstheme="majorBidi"/>
          <w:sz w:val="24"/>
          <w:szCs w:val="24"/>
        </w:rPr>
        <w:t xml:space="preserve">. </w:t>
      </w:r>
    </w:p>
    <w:p w14:paraId="20E84182" w14:textId="4980BA9D" w:rsidR="0027308C" w:rsidRDefault="0064772E" w:rsidP="00281E7F">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Here, this study </w:t>
      </w:r>
      <w:r w:rsidR="0027308C">
        <w:rPr>
          <w:rFonts w:asciiTheme="majorBidi" w:hAnsiTheme="majorBidi" w:cstheme="majorBidi"/>
          <w:sz w:val="24"/>
          <w:szCs w:val="24"/>
        </w:rPr>
        <w:t>examine</w:t>
      </w:r>
      <w:r w:rsidR="00A94B1E">
        <w:rPr>
          <w:rFonts w:asciiTheme="majorBidi" w:hAnsiTheme="majorBidi" w:cstheme="majorBidi"/>
          <w:sz w:val="24"/>
          <w:szCs w:val="24"/>
        </w:rPr>
        <w:t>s</w:t>
      </w:r>
      <w:r w:rsidR="0027308C">
        <w:rPr>
          <w:rFonts w:asciiTheme="majorBidi" w:hAnsiTheme="majorBidi" w:cstheme="majorBidi"/>
          <w:sz w:val="24"/>
          <w:szCs w:val="24"/>
        </w:rPr>
        <w:t xml:space="preserve"> how </w:t>
      </w:r>
      <w:r w:rsidR="007D0A36">
        <w:rPr>
          <w:rFonts w:asciiTheme="majorBidi" w:hAnsiTheme="majorBidi" w:cstheme="majorBidi"/>
          <w:sz w:val="24"/>
          <w:szCs w:val="24"/>
        </w:rPr>
        <w:t>prevalence of</w:t>
      </w:r>
      <w:r w:rsidR="0027308C">
        <w:rPr>
          <w:rFonts w:asciiTheme="majorBidi" w:hAnsiTheme="majorBidi" w:cstheme="majorBidi"/>
          <w:sz w:val="24"/>
          <w:szCs w:val="24"/>
        </w:rPr>
        <w:t xml:space="preserve"> </w:t>
      </w:r>
      <w:r w:rsidR="009935F8">
        <w:rPr>
          <w:rFonts w:asciiTheme="majorBidi" w:hAnsiTheme="majorBidi" w:cstheme="majorBidi"/>
          <w:sz w:val="24"/>
          <w:szCs w:val="24"/>
        </w:rPr>
        <w:t xml:space="preserve">antenatal care (ANC), </w:t>
      </w:r>
      <w:r w:rsidR="0027308C">
        <w:rPr>
          <w:rFonts w:asciiTheme="majorBidi" w:hAnsiTheme="majorBidi" w:cstheme="majorBidi"/>
          <w:sz w:val="24"/>
          <w:szCs w:val="24"/>
        </w:rPr>
        <w:t>skilled birth attendance</w:t>
      </w:r>
      <w:r w:rsidR="000D2175">
        <w:rPr>
          <w:rFonts w:asciiTheme="majorBidi" w:hAnsiTheme="majorBidi" w:cstheme="majorBidi"/>
          <w:sz w:val="24"/>
          <w:szCs w:val="24"/>
        </w:rPr>
        <w:t xml:space="preserve"> (SBA)</w:t>
      </w:r>
      <w:r w:rsidR="0027308C">
        <w:rPr>
          <w:rFonts w:asciiTheme="majorBidi" w:hAnsiTheme="majorBidi" w:cstheme="majorBidi"/>
          <w:sz w:val="24"/>
          <w:szCs w:val="24"/>
        </w:rPr>
        <w:t xml:space="preserve">, and postnatal care </w:t>
      </w:r>
      <w:r w:rsidR="000D2175">
        <w:rPr>
          <w:rFonts w:asciiTheme="majorBidi" w:hAnsiTheme="majorBidi" w:cstheme="majorBidi"/>
          <w:sz w:val="24"/>
          <w:szCs w:val="24"/>
        </w:rPr>
        <w:t xml:space="preserve">(PNC) </w:t>
      </w:r>
      <w:r w:rsidR="007D0A36">
        <w:rPr>
          <w:rFonts w:asciiTheme="majorBidi" w:hAnsiTheme="majorBidi" w:cstheme="majorBidi"/>
          <w:sz w:val="24"/>
          <w:szCs w:val="24"/>
        </w:rPr>
        <w:t xml:space="preserve">use </w:t>
      </w:r>
      <w:r w:rsidR="0027308C">
        <w:rPr>
          <w:rFonts w:asciiTheme="majorBidi" w:hAnsiTheme="majorBidi" w:cstheme="majorBidi"/>
          <w:sz w:val="24"/>
          <w:szCs w:val="24"/>
        </w:rPr>
        <w:t>has changed sub-nationally over time within the EAC region</w:t>
      </w:r>
      <w:r w:rsidR="00966A8A">
        <w:rPr>
          <w:rFonts w:asciiTheme="majorBidi" w:hAnsiTheme="majorBidi" w:cstheme="majorBidi"/>
          <w:sz w:val="24"/>
          <w:szCs w:val="24"/>
        </w:rPr>
        <w:t xml:space="preserve">, using both absolute and relative measures of inequality. </w:t>
      </w:r>
      <w:r w:rsidR="000E5ABA">
        <w:rPr>
          <w:rFonts w:asciiTheme="majorBidi" w:hAnsiTheme="majorBidi" w:cstheme="majorBidi"/>
          <w:sz w:val="24"/>
          <w:szCs w:val="24"/>
        </w:rPr>
        <w:t>Barros and Victora</w:t>
      </w:r>
      <w:r w:rsidR="00F81AC1">
        <w:rPr>
          <w:rFonts w:asciiTheme="majorBidi" w:hAnsiTheme="majorBidi" w:cstheme="majorBidi"/>
          <w:sz w:val="24"/>
          <w:szCs w:val="24"/>
        </w:rPr>
        <w:t xml:space="preserve"> </w:t>
      </w:r>
      <w:r w:rsidR="00F81AC1">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a1ao6qcvshr","properties":{"formattedCitation":"[5]","plainCitation":"[5]","noteIndex":0},"citationItems":[{"id":497,"uris":["http://zotero.org/users/2783131/items/2R85SUUE"],"uri":["http://zotero.org/users/2783131/items/2R85SUUE"],"itemData":{"id":497,"type":"article-journal","title":"Measuring Coverage in MNCH: Determining and Interpreting Inequalities in Coverage of Maternal, Newborn, and Child Health Interventions","container-title":"PLOS Medicine","page":"e1001390","volume":"10","issue":"5","source":"PLoS Journals","abstract":"In a PLOS Medicine Review, Aluísio Barros and Cesar Victora provide a practical guide to measuring and interpreting inequalities in the coverage of maternal, newborn, and child interventions in low- and middle-income countries using data collected by large household surveys.","DOI":"10.1371/journal.pmed.1001390","ISSN":"1549-1676","shortTitle":"Measuring Coverage in MNCH","journalAbbreviation":"PLOS Medicine","author":[{"family":"Barros","given":"Aluísio J. D."},{"family":"Victora","given":"Cesar G."}],"issued":{"date-parts":[["2013",5,7]]}}}],"schema":"https://github.com/citation-style-language/schema/raw/master/csl-citation.json"} </w:instrText>
      </w:r>
      <w:r w:rsidR="00F81AC1">
        <w:rPr>
          <w:rFonts w:asciiTheme="majorBidi" w:hAnsiTheme="majorBidi" w:cstheme="majorBidi"/>
          <w:sz w:val="24"/>
          <w:szCs w:val="24"/>
        </w:rPr>
        <w:fldChar w:fldCharType="separate"/>
      </w:r>
      <w:r w:rsidR="00197416" w:rsidRPr="0076525E">
        <w:rPr>
          <w:rFonts w:ascii="Times New Roman" w:hAnsi="Times New Roman" w:cs="Times New Roman"/>
          <w:sz w:val="24"/>
        </w:rPr>
        <w:t>[5]</w:t>
      </w:r>
      <w:r w:rsidR="00F81AC1">
        <w:rPr>
          <w:rFonts w:asciiTheme="majorBidi" w:hAnsiTheme="majorBidi" w:cstheme="majorBidi"/>
          <w:sz w:val="24"/>
          <w:szCs w:val="24"/>
        </w:rPr>
        <w:fldChar w:fldCharType="end"/>
      </w:r>
      <w:r w:rsidR="000E5ABA">
        <w:rPr>
          <w:rFonts w:asciiTheme="majorBidi" w:hAnsiTheme="majorBidi" w:cstheme="majorBidi"/>
          <w:sz w:val="24"/>
          <w:szCs w:val="24"/>
        </w:rPr>
        <w:t xml:space="preserve"> argue that</w:t>
      </w:r>
      <w:r w:rsidR="009261EB">
        <w:rPr>
          <w:rFonts w:asciiTheme="majorBidi" w:hAnsiTheme="majorBidi" w:cstheme="majorBidi"/>
          <w:sz w:val="24"/>
          <w:szCs w:val="24"/>
        </w:rPr>
        <w:t xml:space="preserve"> reporting</w:t>
      </w:r>
      <w:r w:rsidR="00DE3A7A">
        <w:rPr>
          <w:rFonts w:asciiTheme="majorBidi" w:hAnsiTheme="majorBidi" w:cstheme="majorBidi"/>
          <w:sz w:val="24"/>
          <w:szCs w:val="24"/>
        </w:rPr>
        <w:t xml:space="preserve"> temporal trends of</w:t>
      </w:r>
      <w:r w:rsidR="000E5ABA">
        <w:rPr>
          <w:rFonts w:asciiTheme="majorBidi" w:hAnsiTheme="majorBidi" w:cstheme="majorBidi"/>
          <w:sz w:val="24"/>
          <w:szCs w:val="24"/>
        </w:rPr>
        <w:t xml:space="preserve"> both absolute and relative measures of inequalities </w:t>
      </w:r>
      <w:r w:rsidR="009261EB">
        <w:rPr>
          <w:rFonts w:asciiTheme="majorBidi" w:hAnsiTheme="majorBidi" w:cstheme="majorBidi"/>
          <w:sz w:val="24"/>
          <w:szCs w:val="24"/>
        </w:rPr>
        <w:t>is essential</w:t>
      </w:r>
      <w:r w:rsidR="000E5ABA">
        <w:rPr>
          <w:rFonts w:asciiTheme="majorBidi" w:hAnsiTheme="majorBidi" w:cstheme="majorBidi"/>
          <w:sz w:val="24"/>
          <w:szCs w:val="24"/>
        </w:rPr>
        <w:t xml:space="preserve">, as these measures </w:t>
      </w:r>
      <w:r w:rsidR="00114159">
        <w:rPr>
          <w:rFonts w:asciiTheme="majorBidi" w:hAnsiTheme="majorBidi" w:cstheme="majorBidi"/>
          <w:sz w:val="24"/>
          <w:szCs w:val="24"/>
        </w:rPr>
        <w:t>complement</w:t>
      </w:r>
      <w:r w:rsidR="009261EB">
        <w:rPr>
          <w:rFonts w:asciiTheme="majorBidi" w:hAnsiTheme="majorBidi" w:cstheme="majorBidi"/>
          <w:sz w:val="24"/>
          <w:szCs w:val="24"/>
        </w:rPr>
        <w:t xml:space="preserve"> each other to provide a more comprehensive </w:t>
      </w:r>
      <w:r w:rsidR="00114159">
        <w:rPr>
          <w:rFonts w:asciiTheme="majorBidi" w:hAnsiTheme="majorBidi" w:cstheme="majorBidi"/>
          <w:sz w:val="24"/>
          <w:szCs w:val="24"/>
        </w:rPr>
        <w:t>reflection</w:t>
      </w:r>
      <w:r w:rsidR="009261EB">
        <w:rPr>
          <w:rFonts w:asciiTheme="majorBidi" w:hAnsiTheme="majorBidi" w:cstheme="majorBidi"/>
          <w:sz w:val="24"/>
          <w:szCs w:val="24"/>
        </w:rPr>
        <w:t xml:space="preserve"> of change in inequality over time</w:t>
      </w:r>
      <w:r w:rsidR="000E5ABA">
        <w:rPr>
          <w:rFonts w:asciiTheme="majorBidi" w:hAnsiTheme="majorBidi" w:cstheme="majorBidi"/>
          <w:sz w:val="24"/>
          <w:szCs w:val="24"/>
        </w:rPr>
        <w:t xml:space="preserve">. </w:t>
      </w:r>
      <w:r w:rsidR="00114159">
        <w:rPr>
          <w:rFonts w:asciiTheme="majorBidi" w:hAnsiTheme="majorBidi" w:cstheme="majorBidi"/>
          <w:sz w:val="24"/>
          <w:szCs w:val="24"/>
        </w:rPr>
        <w:t>Th</w:t>
      </w:r>
      <w:r w:rsidR="00366481">
        <w:rPr>
          <w:rFonts w:asciiTheme="majorBidi" w:hAnsiTheme="majorBidi" w:cstheme="majorBidi"/>
          <w:sz w:val="24"/>
          <w:szCs w:val="24"/>
        </w:rPr>
        <w:t xml:space="preserve">is paper </w:t>
      </w:r>
      <w:r w:rsidR="00114159">
        <w:rPr>
          <w:rFonts w:asciiTheme="majorBidi" w:hAnsiTheme="majorBidi" w:cstheme="majorBidi"/>
          <w:sz w:val="24"/>
          <w:szCs w:val="24"/>
        </w:rPr>
        <w:t xml:space="preserve">therefore </w:t>
      </w:r>
      <w:r w:rsidR="00366481">
        <w:rPr>
          <w:rFonts w:asciiTheme="majorBidi" w:hAnsiTheme="majorBidi" w:cstheme="majorBidi"/>
          <w:sz w:val="24"/>
          <w:szCs w:val="24"/>
        </w:rPr>
        <w:t xml:space="preserve">aims to generate estimates of </w:t>
      </w:r>
      <w:r w:rsidR="00114159">
        <w:rPr>
          <w:rFonts w:asciiTheme="majorBidi" w:hAnsiTheme="majorBidi" w:cstheme="majorBidi"/>
          <w:sz w:val="24"/>
          <w:szCs w:val="24"/>
        </w:rPr>
        <w:t>ANC, SBA, and PNC</w:t>
      </w:r>
      <w:r w:rsidR="00366481">
        <w:rPr>
          <w:rFonts w:asciiTheme="majorBidi" w:hAnsiTheme="majorBidi" w:cstheme="majorBidi"/>
          <w:sz w:val="24"/>
          <w:szCs w:val="24"/>
        </w:rPr>
        <w:t xml:space="preserve"> </w:t>
      </w:r>
      <w:r w:rsidR="00371582">
        <w:rPr>
          <w:rFonts w:asciiTheme="majorBidi" w:hAnsiTheme="majorBidi" w:cstheme="majorBidi"/>
          <w:sz w:val="24"/>
          <w:szCs w:val="24"/>
        </w:rPr>
        <w:t xml:space="preserve">ranging between 1999 and 2015 at a higher spatial resolution than has been previously reported. We examine temporal trends of absolute indices by </w:t>
      </w:r>
      <w:r w:rsidR="00366481">
        <w:rPr>
          <w:rFonts w:asciiTheme="majorBidi" w:hAnsiTheme="majorBidi" w:cstheme="majorBidi"/>
          <w:sz w:val="24"/>
          <w:szCs w:val="24"/>
        </w:rPr>
        <w:t>visualis</w:t>
      </w:r>
      <w:r w:rsidR="00371582">
        <w:rPr>
          <w:rFonts w:asciiTheme="majorBidi" w:hAnsiTheme="majorBidi" w:cstheme="majorBidi"/>
          <w:sz w:val="24"/>
          <w:szCs w:val="24"/>
        </w:rPr>
        <w:t>ing</w:t>
      </w:r>
      <w:r w:rsidR="00366481">
        <w:rPr>
          <w:rFonts w:asciiTheme="majorBidi" w:hAnsiTheme="majorBidi" w:cstheme="majorBidi"/>
          <w:sz w:val="24"/>
          <w:szCs w:val="24"/>
        </w:rPr>
        <w:t xml:space="preserve"> the </w:t>
      </w:r>
      <w:r w:rsidR="00371582">
        <w:rPr>
          <w:rFonts w:asciiTheme="majorBidi" w:hAnsiTheme="majorBidi" w:cstheme="majorBidi"/>
          <w:sz w:val="24"/>
          <w:szCs w:val="24"/>
        </w:rPr>
        <w:t xml:space="preserve">difference </w:t>
      </w:r>
      <w:r w:rsidR="00366481">
        <w:rPr>
          <w:rFonts w:asciiTheme="majorBidi" w:hAnsiTheme="majorBidi" w:cstheme="majorBidi"/>
          <w:sz w:val="24"/>
          <w:szCs w:val="24"/>
        </w:rPr>
        <w:t xml:space="preserve">in these estimates between the first and last time points available. </w:t>
      </w:r>
      <w:r w:rsidR="0027308C">
        <w:rPr>
          <w:rFonts w:asciiTheme="majorBidi" w:hAnsiTheme="majorBidi" w:cstheme="majorBidi"/>
          <w:sz w:val="24"/>
          <w:szCs w:val="24"/>
        </w:rPr>
        <w:t xml:space="preserve">We </w:t>
      </w:r>
      <w:r w:rsidR="00366481">
        <w:rPr>
          <w:rFonts w:asciiTheme="majorBidi" w:hAnsiTheme="majorBidi" w:cstheme="majorBidi"/>
          <w:sz w:val="24"/>
          <w:szCs w:val="24"/>
        </w:rPr>
        <w:t xml:space="preserve">further </w:t>
      </w:r>
      <w:r w:rsidR="0027308C">
        <w:rPr>
          <w:rFonts w:asciiTheme="majorBidi" w:hAnsiTheme="majorBidi" w:cstheme="majorBidi"/>
          <w:sz w:val="24"/>
          <w:szCs w:val="24"/>
        </w:rPr>
        <w:t>aim to examine</w:t>
      </w:r>
      <w:r w:rsidR="00DE3A7A">
        <w:rPr>
          <w:rFonts w:asciiTheme="majorBidi" w:hAnsiTheme="majorBidi" w:cstheme="majorBidi"/>
          <w:sz w:val="24"/>
          <w:szCs w:val="24"/>
        </w:rPr>
        <w:t xml:space="preserve"> temporal trends of</w:t>
      </w:r>
      <w:r w:rsidR="0027308C">
        <w:rPr>
          <w:rFonts w:asciiTheme="majorBidi" w:hAnsiTheme="majorBidi" w:cstheme="majorBidi"/>
          <w:sz w:val="24"/>
          <w:szCs w:val="24"/>
        </w:rPr>
        <w:t xml:space="preserve"> relative indices </w:t>
      </w:r>
      <w:r w:rsidR="00966A8A">
        <w:rPr>
          <w:rFonts w:asciiTheme="majorBidi" w:hAnsiTheme="majorBidi" w:cstheme="majorBidi"/>
          <w:sz w:val="24"/>
          <w:szCs w:val="24"/>
        </w:rPr>
        <w:t>by</w:t>
      </w:r>
      <w:r w:rsidR="0027308C">
        <w:rPr>
          <w:rFonts w:asciiTheme="majorBidi" w:hAnsiTheme="majorBidi" w:cstheme="majorBidi"/>
          <w:sz w:val="24"/>
          <w:szCs w:val="24"/>
        </w:rPr>
        <w:t xml:space="preserve"> </w:t>
      </w:r>
      <w:r w:rsidR="00DE3A7A">
        <w:rPr>
          <w:rFonts w:asciiTheme="majorBidi" w:hAnsiTheme="majorBidi" w:cstheme="majorBidi"/>
          <w:sz w:val="24"/>
          <w:szCs w:val="24"/>
        </w:rPr>
        <w:t>quantifying</w:t>
      </w:r>
      <w:r w:rsidR="0027308C">
        <w:rPr>
          <w:rFonts w:asciiTheme="majorBidi" w:hAnsiTheme="majorBidi" w:cstheme="majorBidi"/>
          <w:sz w:val="24"/>
          <w:szCs w:val="24"/>
        </w:rPr>
        <w:t xml:space="preserve"> how</w:t>
      </w:r>
      <w:r w:rsidR="00366481">
        <w:rPr>
          <w:rFonts w:asciiTheme="majorBidi" w:hAnsiTheme="majorBidi" w:cstheme="majorBidi"/>
          <w:sz w:val="24"/>
          <w:szCs w:val="24"/>
        </w:rPr>
        <w:t xml:space="preserve"> the gap between the best-to-worst performing administrative units has changed over time, as well as explore how the effect of space alone has changed in predicting utilisation of these </w:t>
      </w:r>
      <w:r w:rsidR="00AA2F3B">
        <w:rPr>
          <w:rFonts w:asciiTheme="majorBidi" w:hAnsiTheme="majorBidi" w:cstheme="majorBidi"/>
          <w:sz w:val="24"/>
          <w:szCs w:val="24"/>
        </w:rPr>
        <w:t>services</w:t>
      </w:r>
      <w:r w:rsidR="0027308C">
        <w:rPr>
          <w:rFonts w:asciiTheme="majorBidi" w:hAnsiTheme="majorBidi" w:cstheme="majorBidi"/>
          <w:sz w:val="24"/>
          <w:szCs w:val="24"/>
        </w:rPr>
        <w:t>.</w:t>
      </w:r>
    </w:p>
    <w:p w14:paraId="0925DFA3" w14:textId="77777777" w:rsidR="00CB205F" w:rsidRPr="00F559F6" w:rsidRDefault="00CB205F" w:rsidP="00ED0F8C">
      <w:pPr>
        <w:spacing w:line="480" w:lineRule="auto"/>
        <w:rPr>
          <w:rFonts w:asciiTheme="majorBidi" w:hAnsiTheme="majorBidi" w:cstheme="majorBidi"/>
          <w:b/>
          <w:sz w:val="24"/>
          <w:szCs w:val="24"/>
        </w:rPr>
      </w:pPr>
      <w:r>
        <w:rPr>
          <w:rFonts w:asciiTheme="majorBidi" w:hAnsiTheme="majorBidi" w:cstheme="majorBidi"/>
          <w:b/>
          <w:sz w:val="24"/>
          <w:szCs w:val="24"/>
        </w:rPr>
        <w:t>Methods</w:t>
      </w:r>
    </w:p>
    <w:p w14:paraId="0D0127AA" w14:textId="77777777" w:rsidR="00CB205F" w:rsidRDefault="00CB205F" w:rsidP="00ED0F8C">
      <w:pPr>
        <w:spacing w:line="480" w:lineRule="auto"/>
        <w:rPr>
          <w:rFonts w:asciiTheme="majorBidi" w:hAnsiTheme="majorBidi" w:cstheme="majorBidi"/>
          <w:i/>
          <w:iCs/>
          <w:sz w:val="24"/>
          <w:szCs w:val="24"/>
        </w:rPr>
      </w:pPr>
      <w:r>
        <w:rPr>
          <w:rFonts w:asciiTheme="majorBidi" w:hAnsiTheme="majorBidi" w:cstheme="majorBidi"/>
          <w:i/>
          <w:iCs/>
          <w:sz w:val="24"/>
          <w:szCs w:val="24"/>
        </w:rPr>
        <w:t>Data</w:t>
      </w:r>
    </w:p>
    <w:p w14:paraId="30B62894" w14:textId="36A1E338" w:rsidR="00873751" w:rsidRDefault="00CB205F" w:rsidP="00C5021C">
      <w:pPr>
        <w:spacing w:line="480" w:lineRule="auto"/>
        <w:ind w:firstLine="720"/>
        <w:rPr>
          <w:rFonts w:asciiTheme="majorBidi" w:hAnsiTheme="majorBidi" w:cstheme="majorBidi"/>
          <w:sz w:val="24"/>
          <w:szCs w:val="24"/>
        </w:rPr>
      </w:pPr>
      <w:r>
        <w:rPr>
          <w:rFonts w:asciiTheme="majorBidi" w:hAnsiTheme="majorBidi" w:cstheme="majorBidi"/>
          <w:sz w:val="24"/>
          <w:szCs w:val="24"/>
        </w:rPr>
        <w:t>To explore sub-national change in ANC, SBA, and PNC over time</w:t>
      </w:r>
      <w:r w:rsidR="00A51281">
        <w:rPr>
          <w:rFonts w:asciiTheme="majorBidi" w:hAnsiTheme="majorBidi" w:cstheme="majorBidi"/>
          <w:sz w:val="24"/>
          <w:szCs w:val="24"/>
        </w:rPr>
        <w:t xml:space="preserve">, </w:t>
      </w:r>
      <w:r>
        <w:rPr>
          <w:rFonts w:asciiTheme="majorBidi" w:hAnsiTheme="majorBidi" w:cstheme="majorBidi"/>
          <w:sz w:val="24"/>
          <w:szCs w:val="24"/>
        </w:rPr>
        <w:t>we compiled data from DHS for Kenya, Tanzania, Rwanda, and Uganda</w:t>
      </w:r>
      <w:r w:rsidRPr="0064425E">
        <w:rPr>
          <w:rFonts w:asciiTheme="majorBidi" w:hAnsiTheme="majorBidi" w:cstheme="majorBidi"/>
          <w:sz w:val="24"/>
          <w:szCs w:val="24"/>
        </w:rPr>
        <w:t xml:space="preserve"> </w:t>
      </w:r>
      <w:r>
        <w:rPr>
          <w:rFonts w:asciiTheme="majorBidi" w:hAnsiTheme="majorBidi" w:cstheme="majorBidi"/>
          <w:sz w:val="24"/>
          <w:szCs w:val="24"/>
        </w:rPr>
        <w:t>for several time points available</w:t>
      </w:r>
      <w:r w:rsidR="00A51281">
        <w:rPr>
          <w:rFonts w:asciiTheme="majorBidi" w:hAnsiTheme="majorBidi" w:cstheme="majorBidi"/>
          <w:sz w:val="24"/>
          <w:szCs w:val="24"/>
        </w:rPr>
        <w:t xml:space="preserve"> (see Table 1)</w:t>
      </w:r>
      <w:r>
        <w:rPr>
          <w:rFonts w:asciiTheme="majorBidi" w:hAnsiTheme="majorBidi" w:cstheme="majorBidi"/>
          <w:sz w:val="24"/>
          <w:szCs w:val="24"/>
        </w:rPr>
        <w:t xml:space="preserve"> using SAS version 9.4 software </w:t>
      </w:r>
      <w:r>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a15i4g82g6k","properties":{"formattedCitation":"[18]","plainCitation":"[18]","noteIndex":0},"citationItems":[{"id":139,"uris":["http://zotero.org/users/2783131/items/F3HGSJZD"],"uri":["http://zotero.org/users/2783131/items/F3HGSJZD"],"itemData":{"id":139,"type":"book","title":"SAS version 9.4","publisher":"SAS Institute Inc.","publisher-place":"Cary, NC, USA","version":"9.4","event-place":"Cary, NC, USA","author":[{"literal":"SAS Institute Inc."}],"issued":{"date-parts":[["2013"]]}}}],"schema":"https://github.com/citation-style-language/schema/raw/master/csl-citation.json"} </w:instrText>
      </w:r>
      <w:r>
        <w:rPr>
          <w:rFonts w:asciiTheme="majorBidi" w:hAnsiTheme="majorBidi" w:cstheme="majorBidi"/>
          <w:sz w:val="24"/>
          <w:szCs w:val="24"/>
        </w:rPr>
        <w:fldChar w:fldCharType="separate"/>
      </w:r>
      <w:r w:rsidR="00BB1367" w:rsidRPr="0076525E">
        <w:rPr>
          <w:rFonts w:ascii="Times New Roman" w:hAnsi="Times New Roman" w:cs="Times New Roman"/>
          <w:sz w:val="24"/>
        </w:rPr>
        <w:t>[18]</w:t>
      </w:r>
      <w:r>
        <w:rPr>
          <w:rFonts w:asciiTheme="majorBidi" w:hAnsiTheme="majorBidi" w:cstheme="majorBidi"/>
          <w:sz w:val="24"/>
          <w:szCs w:val="24"/>
        </w:rPr>
        <w:fldChar w:fldCharType="end"/>
      </w:r>
      <w:r w:rsidR="008840E1">
        <w:rPr>
          <w:rFonts w:asciiTheme="majorBidi" w:hAnsiTheme="majorBidi" w:cstheme="majorBidi"/>
          <w:sz w:val="24"/>
          <w:szCs w:val="24"/>
        </w:rPr>
        <w:t xml:space="preserve">. </w:t>
      </w:r>
      <w:r w:rsidR="00A51281">
        <w:rPr>
          <w:rFonts w:asciiTheme="majorBidi" w:hAnsiTheme="majorBidi" w:cstheme="majorBidi"/>
          <w:sz w:val="24"/>
          <w:szCs w:val="24"/>
        </w:rPr>
        <w:t>To calculate estimates using DHS data</w:t>
      </w:r>
      <w:r w:rsidR="00A51281" w:rsidRPr="00A51281">
        <w:rPr>
          <w:rFonts w:asciiTheme="majorBidi" w:hAnsiTheme="majorBidi" w:cstheme="majorBidi"/>
          <w:sz w:val="24"/>
          <w:szCs w:val="24"/>
        </w:rPr>
        <w:t xml:space="preserve"> </w:t>
      </w:r>
      <w:r w:rsidR="00A51281">
        <w:rPr>
          <w:rFonts w:asciiTheme="majorBidi" w:hAnsiTheme="majorBidi" w:cstheme="majorBidi"/>
          <w:sz w:val="24"/>
          <w:szCs w:val="24"/>
        </w:rPr>
        <w:t>at a spatial area smaller than those which are reported through the DHS program, information on spatial location of household surveys are necessary through g</w:t>
      </w:r>
      <w:r w:rsidR="008840E1">
        <w:rPr>
          <w:rFonts w:asciiTheme="majorBidi" w:hAnsiTheme="majorBidi" w:cstheme="majorBidi"/>
          <w:sz w:val="24"/>
          <w:szCs w:val="24"/>
        </w:rPr>
        <w:t>lobal positioning</w:t>
      </w:r>
      <w:r>
        <w:rPr>
          <w:rFonts w:asciiTheme="majorBidi" w:hAnsiTheme="majorBidi" w:cstheme="majorBidi"/>
          <w:sz w:val="24"/>
          <w:szCs w:val="24"/>
        </w:rPr>
        <w:t xml:space="preserve"> </w:t>
      </w:r>
      <w:r w:rsidR="008840E1">
        <w:rPr>
          <w:rFonts w:asciiTheme="majorBidi" w:hAnsiTheme="majorBidi" w:cstheme="majorBidi"/>
          <w:sz w:val="24"/>
          <w:szCs w:val="24"/>
        </w:rPr>
        <w:t>s</w:t>
      </w:r>
      <w:r>
        <w:rPr>
          <w:rFonts w:asciiTheme="majorBidi" w:hAnsiTheme="majorBidi" w:cstheme="majorBidi"/>
          <w:sz w:val="24"/>
          <w:szCs w:val="24"/>
        </w:rPr>
        <w:t xml:space="preserve">ystem (GPS) coordinates </w:t>
      </w:r>
      <w:r>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ao9alqnc6o","properties":{"formattedCitation":"[16]","plainCitation":"[16]","noteIndex":0},"citationItems":[{"id":184,"uris":["http://zotero.org/users/2783131/items/HVVTDSTU"],"uri":["http://zotero.org/users/2783131/items/HVVTDSTU"],"itemData":{"id":184,"type":"report","title":"Creating Spatial Interpolation Surfaces with DHS Data","collection-title":"Creating Spatial Interpolation Surfaces with DHS Data","publisher":"ICF International","publisher-place":"Rockville, Maryland, USA","event-place":"Rockville, Maryland, USA","URL":"http://dhsprogram.com/pubs/pdf/SAR11/SAR11.pdf","number":"SAR 11","author":[{"family":"Gething","given":"Peter"},{"family":"Tatem","given":"Andrew"},{"family":"Bird","given":"Tom"},{"family":"Burgert","given":"Clara"}],"issued":{"date-parts":[["2015"]]},"accessed":{"date-parts":[["2017",3,28]]}}}],"schema":"https://github.com/citation-style-language/schema/raw/master/csl-citation.json"} </w:instrText>
      </w:r>
      <w:r>
        <w:rPr>
          <w:rFonts w:asciiTheme="majorBidi" w:hAnsiTheme="majorBidi" w:cstheme="majorBidi"/>
          <w:sz w:val="24"/>
          <w:szCs w:val="24"/>
        </w:rPr>
        <w:fldChar w:fldCharType="separate"/>
      </w:r>
      <w:r w:rsidR="00BB1367" w:rsidRPr="0076525E">
        <w:rPr>
          <w:rFonts w:ascii="Times New Roman" w:hAnsi="Times New Roman" w:cs="Times New Roman"/>
          <w:sz w:val="24"/>
        </w:rPr>
        <w:t>[16]</w:t>
      </w:r>
      <w:r>
        <w:rPr>
          <w:rFonts w:asciiTheme="majorBidi" w:hAnsiTheme="majorBidi" w:cstheme="majorBidi"/>
          <w:sz w:val="24"/>
          <w:szCs w:val="24"/>
        </w:rPr>
        <w:fldChar w:fldCharType="end"/>
      </w:r>
      <w:r>
        <w:rPr>
          <w:rFonts w:asciiTheme="majorBidi" w:hAnsiTheme="majorBidi" w:cstheme="majorBidi"/>
          <w:sz w:val="24"/>
          <w:szCs w:val="24"/>
        </w:rPr>
        <w:t xml:space="preserve">. The DHS program provides this information for recent surveys at the cluster (an aggregate of households) level, which is then displaced to maintain participant confidentiality. To facilitate spatial interpolation, we therefore included only standard DHS surveys in these analyses with corresponding geo-located cluster data available. </w:t>
      </w:r>
      <w:r w:rsidR="00CC45D8">
        <w:rPr>
          <w:rFonts w:asciiTheme="majorBidi" w:hAnsiTheme="majorBidi" w:cstheme="majorBidi"/>
          <w:sz w:val="24"/>
          <w:szCs w:val="24"/>
        </w:rPr>
        <w:t xml:space="preserve">Of note, at the time these analyses were performed, Burundi contained a full DHS survey with associated GPS data for only </w:t>
      </w:r>
      <w:r w:rsidR="007109B0">
        <w:rPr>
          <w:rFonts w:asciiTheme="majorBidi" w:hAnsiTheme="majorBidi" w:cstheme="majorBidi"/>
          <w:sz w:val="24"/>
          <w:szCs w:val="24"/>
        </w:rPr>
        <w:t xml:space="preserve">one </w:t>
      </w:r>
      <w:r w:rsidR="00CC45D8">
        <w:rPr>
          <w:rFonts w:asciiTheme="majorBidi" w:hAnsiTheme="majorBidi" w:cstheme="majorBidi"/>
          <w:sz w:val="24"/>
          <w:szCs w:val="24"/>
        </w:rPr>
        <w:t xml:space="preserve">year, and therefore was not included in our analyses. </w:t>
      </w:r>
      <w:r>
        <w:rPr>
          <w:rFonts w:asciiTheme="majorBidi" w:hAnsiTheme="majorBidi" w:cstheme="majorBidi"/>
          <w:sz w:val="24"/>
          <w:szCs w:val="24"/>
        </w:rPr>
        <w:t xml:space="preserve">We further restricted these analyses to women with births in the previous five years to generate estimates of MNH services. Table 1 </w:t>
      </w:r>
      <w:r w:rsidR="003D53BC">
        <w:rPr>
          <w:rFonts w:asciiTheme="majorBidi" w:hAnsiTheme="majorBidi" w:cstheme="majorBidi"/>
          <w:sz w:val="24"/>
          <w:szCs w:val="24"/>
        </w:rPr>
        <w:t>displays</w:t>
      </w:r>
      <w:r>
        <w:rPr>
          <w:rFonts w:asciiTheme="majorBidi" w:hAnsiTheme="majorBidi" w:cstheme="majorBidi"/>
          <w:sz w:val="24"/>
          <w:szCs w:val="24"/>
        </w:rPr>
        <w:t xml:space="preserve"> the DHS survey </w:t>
      </w:r>
      <w:r w:rsidR="003D53BC">
        <w:rPr>
          <w:rFonts w:asciiTheme="majorBidi" w:hAnsiTheme="majorBidi" w:cstheme="majorBidi"/>
          <w:sz w:val="24"/>
          <w:szCs w:val="24"/>
        </w:rPr>
        <w:t>characteristics</w:t>
      </w:r>
      <w:r>
        <w:rPr>
          <w:rFonts w:asciiTheme="majorBidi" w:hAnsiTheme="majorBidi" w:cstheme="majorBidi"/>
          <w:sz w:val="24"/>
          <w:szCs w:val="24"/>
        </w:rPr>
        <w:t>, final sample size, and number of clusters used in these analyses. We mapped cluster locations using ArcGIS software</w:t>
      </w:r>
      <w:r w:rsidR="003D53BC">
        <w:rPr>
          <w:rFonts w:asciiTheme="majorBidi" w:hAnsiTheme="majorBidi" w:cstheme="majorBidi"/>
          <w:sz w:val="24"/>
          <w:szCs w:val="24"/>
        </w:rPr>
        <w:t xml:space="preserve"> </w:t>
      </w:r>
      <w:r w:rsidR="003D53BC">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aib6019kph","properties":{"formattedCitation":"[31]","plainCitation":"[31]","noteIndex":0},"citationItems":[{"id":466,"uris":["http://zotero.org/users/2783131/items/4M9H99KJ"],"uri":["http://zotero.org/users/2783131/items/4M9H99KJ"],"itemData":{"id":466,"type":"book","title":"ArcGIS Desktop: Release 10.2.2","publisher-place":"Redlands, CA, USA","event-place":"Redlands, CA, USA","author":[{"family":"Environmental Systems Research Institute","given":""}],"issued":{"date-parts":[["2014"]]}}}],"schema":"https://github.com/citation-style-language/schema/raw/master/csl-citation.json"} </w:instrText>
      </w:r>
      <w:r w:rsidR="003D53BC">
        <w:rPr>
          <w:rFonts w:asciiTheme="majorBidi" w:hAnsiTheme="majorBidi" w:cstheme="majorBidi"/>
          <w:sz w:val="24"/>
          <w:szCs w:val="24"/>
        </w:rPr>
        <w:fldChar w:fldCharType="separate"/>
      </w:r>
      <w:r w:rsidR="00BB1367" w:rsidRPr="0076525E">
        <w:rPr>
          <w:rFonts w:ascii="Times New Roman" w:hAnsi="Times New Roman" w:cs="Times New Roman"/>
          <w:sz w:val="24"/>
        </w:rPr>
        <w:t>[31]</w:t>
      </w:r>
      <w:r w:rsidR="003D53BC">
        <w:rPr>
          <w:rFonts w:asciiTheme="majorBidi" w:hAnsiTheme="majorBidi" w:cstheme="majorBidi"/>
          <w:sz w:val="24"/>
          <w:szCs w:val="24"/>
        </w:rPr>
        <w:fldChar w:fldCharType="end"/>
      </w:r>
      <w:r>
        <w:rPr>
          <w:rFonts w:asciiTheme="majorBidi" w:hAnsiTheme="majorBidi" w:cstheme="majorBidi"/>
          <w:sz w:val="24"/>
          <w:szCs w:val="24"/>
        </w:rPr>
        <w:t xml:space="preserve"> and</w:t>
      </w:r>
      <w:r w:rsidR="00A51281" w:rsidRPr="00A51281">
        <w:rPr>
          <w:rFonts w:asciiTheme="majorBidi" w:hAnsiTheme="majorBidi" w:cstheme="majorBidi"/>
          <w:sz w:val="24"/>
          <w:szCs w:val="24"/>
        </w:rPr>
        <w:t xml:space="preserve"> </w:t>
      </w:r>
      <w:r w:rsidR="00A51281">
        <w:rPr>
          <w:rFonts w:asciiTheme="majorBidi" w:hAnsiTheme="majorBidi" w:cstheme="majorBidi"/>
          <w:sz w:val="24"/>
          <w:szCs w:val="24"/>
        </w:rPr>
        <w:t>drew corresponding buffers of 2km and 5km around urban and rural locations</w:t>
      </w:r>
      <w:r w:rsidR="00C83616">
        <w:rPr>
          <w:rFonts w:asciiTheme="majorBidi" w:hAnsiTheme="majorBidi" w:cstheme="majorBidi"/>
          <w:sz w:val="24"/>
          <w:szCs w:val="24"/>
        </w:rPr>
        <w:t xml:space="preserve"> (respectively)</w:t>
      </w:r>
      <w:r w:rsidR="00C83616" w:rsidRPr="00C83616">
        <w:rPr>
          <w:rFonts w:asciiTheme="majorBidi" w:hAnsiTheme="majorBidi" w:cstheme="majorBidi"/>
          <w:sz w:val="24"/>
          <w:szCs w:val="24"/>
        </w:rPr>
        <w:t xml:space="preserve"> </w:t>
      </w:r>
      <w:r w:rsidR="00C83616">
        <w:rPr>
          <w:rFonts w:asciiTheme="majorBidi" w:hAnsiTheme="majorBidi" w:cstheme="majorBidi"/>
          <w:sz w:val="24"/>
          <w:szCs w:val="24"/>
        </w:rPr>
        <w:t>in order to minimize bias resulting from DHS displacement protocols</w:t>
      </w:r>
      <w:r w:rsidR="00A51281">
        <w:rPr>
          <w:rFonts w:asciiTheme="majorBidi" w:hAnsiTheme="majorBidi" w:cstheme="majorBidi"/>
          <w:sz w:val="24"/>
          <w:szCs w:val="24"/>
        </w:rPr>
        <w:t>,</w:t>
      </w:r>
      <w:r>
        <w:rPr>
          <w:rFonts w:asciiTheme="majorBidi" w:hAnsiTheme="majorBidi" w:cstheme="majorBidi"/>
          <w:sz w:val="24"/>
          <w:szCs w:val="24"/>
        </w:rPr>
        <w:t xml:space="preserve"> in accordance with DHS </w:t>
      </w:r>
      <w:r w:rsidR="00A51281">
        <w:rPr>
          <w:rFonts w:asciiTheme="majorBidi" w:hAnsiTheme="majorBidi" w:cstheme="majorBidi"/>
          <w:sz w:val="24"/>
          <w:szCs w:val="24"/>
        </w:rPr>
        <w:t xml:space="preserve">recommendations outlined by Burgert and colleagues </w:t>
      </w:r>
      <w:r w:rsidR="00A51281">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a2k9at0cnbv","properties":{"formattedCitation":"[32]","plainCitation":"[32]","noteIndex":0},"citationItems":[{"id":241,"uris":["http://zotero.org/users/2783131/items/5TDWXFWF"],"uri":["http://zotero.org/users/2783131/items/5TDWXFWF"],"itemData":{"id":241,"type":"report","title":"Geographic displacement procedure and georeferenced data release policy for the Demographic and Health Surveys","collection-title":"DHS Spatial Analysis Reports No. 7","publisher":"ICF International","publisher-place":"Calverton, Maryland, USA","event-place":"Calverton, Maryland, USA","URL":"http://dhsprogram.com/pubs/pdf/SAR7/SAR7.pdf","author":[{"family":"Burgert","given":"Clara R."},{"family":"Colston","given":"Josh"},{"family":"Roy","given":"Thea"},{"family":"Zachary","given":"Blake"}],"issued":{"date-parts":[["2013"]]}}}],"schema":"https://github.com/citation-style-language/schema/raw/master/csl-citation.json"} </w:instrText>
      </w:r>
      <w:r w:rsidR="00A51281">
        <w:rPr>
          <w:rFonts w:asciiTheme="majorBidi" w:hAnsiTheme="majorBidi" w:cstheme="majorBidi"/>
          <w:sz w:val="24"/>
          <w:szCs w:val="24"/>
        </w:rPr>
        <w:fldChar w:fldCharType="separate"/>
      </w:r>
      <w:r w:rsidR="00BB1367" w:rsidRPr="0076525E">
        <w:rPr>
          <w:rFonts w:ascii="Times New Roman" w:hAnsi="Times New Roman" w:cs="Times New Roman"/>
          <w:sz w:val="24"/>
        </w:rPr>
        <w:t>[32]</w:t>
      </w:r>
      <w:r w:rsidR="00A51281">
        <w:rPr>
          <w:rFonts w:asciiTheme="majorBidi" w:hAnsiTheme="majorBidi" w:cstheme="majorBidi"/>
          <w:sz w:val="24"/>
          <w:szCs w:val="24"/>
        </w:rPr>
        <w:fldChar w:fldCharType="end"/>
      </w:r>
      <w:r w:rsidR="00C83616">
        <w:rPr>
          <w:rFonts w:asciiTheme="majorBidi" w:hAnsiTheme="majorBidi" w:cstheme="majorBidi"/>
          <w:sz w:val="24"/>
          <w:szCs w:val="24"/>
        </w:rPr>
        <w:t>.</w:t>
      </w:r>
      <w:r>
        <w:rPr>
          <w:rFonts w:asciiTheme="majorBidi" w:hAnsiTheme="majorBidi" w:cstheme="majorBidi"/>
          <w:sz w:val="24"/>
          <w:szCs w:val="24"/>
        </w:rPr>
        <w:t xml:space="preserve"> </w:t>
      </w:r>
    </w:p>
    <w:p w14:paraId="207C4E04" w14:textId="1C77594E" w:rsidR="00CB205F" w:rsidRDefault="00CB205F" w:rsidP="00C5021C">
      <w:pPr>
        <w:spacing w:line="480" w:lineRule="auto"/>
        <w:ind w:firstLine="720"/>
        <w:rPr>
          <w:rFonts w:asciiTheme="majorBidi" w:hAnsiTheme="majorBidi" w:cstheme="majorBidi"/>
          <w:sz w:val="24"/>
          <w:szCs w:val="24"/>
        </w:rPr>
      </w:pPr>
      <w:r>
        <w:rPr>
          <w:rFonts w:asciiTheme="majorBidi" w:hAnsiTheme="majorBidi" w:cstheme="majorBidi"/>
          <w:sz w:val="24"/>
          <w:szCs w:val="24"/>
        </w:rPr>
        <w:t>Finally, to allow for temporal analysis of model outcomes</w:t>
      </w:r>
      <w:r w:rsidR="00973B32">
        <w:rPr>
          <w:rFonts w:asciiTheme="majorBidi" w:hAnsiTheme="majorBidi" w:cstheme="majorBidi"/>
          <w:sz w:val="24"/>
          <w:szCs w:val="24"/>
        </w:rPr>
        <w:t xml:space="preserve"> and spatial comparison</w:t>
      </w:r>
      <w:r>
        <w:rPr>
          <w:rFonts w:asciiTheme="majorBidi" w:hAnsiTheme="majorBidi" w:cstheme="majorBidi"/>
          <w:sz w:val="24"/>
          <w:szCs w:val="24"/>
        </w:rPr>
        <w:t>, clusters at each</w:t>
      </w:r>
      <w:r w:rsidR="001464CD">
        <w:rPr>
          <w:rFonts w:asciiTheme="majorBidi" w:hAnsiTheme="majorBidi" w:cstheme="majorBidi"/>
          <w:sz w:val="24"/>
          <w:szCs w:val="24"/>
        </w:rPr>
        <w:t xml:space="preserve"> survey</w:t>
      </w:r>
      <w:r>
        <w:rPr>
          <w:rFonts w:asciiTheme="majorBidi" w:hAnsiTheme="majorBidi" w:cstheme="majorBidi"/>
          <w:sz w:val="24"/>
          <w:szCs w:val="24"/>
        </w:rPr>
        <w:t xml:space="preserve"> year available were spatially linked to the most recent administrative II </w:t>
      </w:r>
      <w:r w:rsidR="002D2C22">
        <w:rPr>
          <w:rFonts w:asciiTheme="majorBidi" w:hAnsiTheme="majorBidi" w:cstheme="majorBidi"/>
          <w:sz w:val="24"/>
          <w:szCs w:val="24"/>
        </w:rPr>
        <w:t xml:space="preserve">unit </w:t>
      </w:r>
      <w:r>
        <w:rPr>
          <w:rFonts w:asciiTheme="majorBidi" w:hAnsiTheme="majorBidi" w:cstheme="majorBidi"/>
          <w:sz w:val="24"/>
          <w:szCs w:val="24"/>
        </w:rPr>
        <w:t>available for each country using ArcGIS software.</w:t>
      </w:r>
      <w:r w:rsidR="002D2C22">
        <w:rPr>
          <w:rFonts w:asciiTheme="majorBidi" w:hAnsiTheme="majorBidi" w:cstheme="majorBidi"/>
          <w:sz w:val="24"/>
          <w:szCs w:val="24"/>
        </w:rPr>
        <w:t xml:space="preserve"> </w:t>
      </w:r>
      <w:r w:rsidR="007D0A36">
        <w:rPr>
          <w:rFonts w:asciiTheme="majorBidi" w:hAnsiTheme="majorBidi" w:cstheme="majorBidi"/>
          <w:sz w:val="24"/>
          <w:szCs w:val="24"/>
        </w:rPr>
        <w:t>Briefly, a</w:t>
      </w:r>
      <w:r w:rsidR="002D2C22">
        <w:rPr>
          <w:rFonts w:asciiTheme="majorBidi" w:hAnsiTheme="majorBidi" w:cstheme="majorBidi"/>
          <w:sz w:val="24"/>
          <w:szCs w:val="24"/>
        </w:rPr>
        <w:t xml:space="preserve">dministrative units are </w:t>
      </w:r>
      <w:r w:rsidR="00873751">
        <w:rPr>
          <w:rFonts w:asciiTheme="majorBidi" w:hAnsiTheme="majorBidi" w:cstheme="majorBidi"/>
          <w:sz w:val="24"/>
          <w:szCs w:val="24"/>
        </w:rPr>
        <w:t xml:space="preserve">subnational </w:t>
      </w:r>
      <w:r w:rsidR="002D2C22">
        <w:rPr>
          <w:rFonts w:asciiTheme="majorBidi" w:hAnsiTheme="majorBidi" w:cstheme="majorBidi"/>
          <w:sz w:val="24"/>
          <w:szCs w:val="24"/>
        </w:rPr>
        <w:t xml:space="preserve">geographic </w:t>
      </w:r>
      <w:r w:rsidR="00873751">
        <w:rPr>
          <w:rFonts w:asciiTheme="majorBidi" w:hAnsiTheme="majorBidi" w:cstheme="majorBidi"/>
          <w:sz w:val="24"/>
          <w:szCs w:val="24"/>
        </w:rPr>
        <w:t>areas used for administrative or political purposes, such as districts, regions, counties and states. In the United States, for example, administrative I unit</w:t>
      </w:r>
      <w:r w:rsidR="007D0A36">
        <w:rPr>
          <w:rFonts w:asciiTheme="majorBidi" w:hAnsiTheme="majorBidi" w:cstheme="majorBidi"/>
          <w:sz w:val="24"/>
          <w:szCs w:val="24"/>
        </w:rPr>
        <w:t>s</w:t>
      </w:r>
      <w:r w:rsidR="00873751">
        <w:rPr>
          <w:rFonts w:asciiTheme="majorBidi" w:hAnsiTheme="majorBidi" w:cstheme="majorBidi"/>
          <w:sz w:val="24"/>
          <w:szCs w:val="24"/>
        </w:rPr>
        <w:t xml:space="preserve"> correspond to</w:t>
      </w:r>
      <w:r w:rsidR="007D0A36">
        <w:rPr>
          <w:rFonts w:asciiTheme="majorBidi" w:hAnsiTheme="majorBidi" w:cstheme="majorBidi"/>
          <w:sz w:val="24"/>
          <w:szCs w:val="24"/>
        </w:rPr>
        <w:t xml:space="preserve"> the</w:t>
      </w:r>
      <w:r w:rsidR="00873751">
        <w:rPr>
          <w:rFonts w:asciiTheme="majorBidi" w:hAnsiTheme="majorBidi" w:cstheme="majorBidi"/>
          <w:sz w:val="24"/>
          <w:szCs w:val="24"/>
        </w:rPr>
        <w:t xml:space="preserve"> state</w:t>
      </w:r>
      <w:r w:rsidR="007D0A36">
        <w:rPr>
          <w:rFonts w:asciiTheme="majorBidi" w:hAnsiTheme="majorBidi" w:cstheme="majorBidi"/>
          <w:sz w:val="24"/>
          <w:szCs w:val="24"/>
        </w:rPr>
        <w:t xml:space="preserve"> level</w:t>
      </w:r>
      <w:r w:rsidR="00873751">
        <w:rPr>
          <w:rFonts w:asciiTheme="majorBidi" w:hAnsiTheme="majorBidi" w:cstheme="majorBidi"/>
          <w:sz w:val="24"/>
          <w:szCs w:val="24"/>
        </w:rPr>
        <w:t xml:space="preserve">, while administrative II units correspond to counties (with the exception of two states). Because the word for these geographic areas may vary substantially by country (ie, district, county, borough, etc.), the administrative II unit level used in these analyses is hereby referred to as the ‘district’ level for the purposes of this paper. </w:t>
      </w:r>
      <w:r w:rsidR="00C3721E">
        <w:rPr>
          <w:rFonts w:asciiTheme="majorBidi" w:hAnsiTheme="majorBidi" w:cstheme="majorBidi"/>
          <w:sz w:val="24"/>
          <w:szCs w:val="24"/>
        </w:rPr>
        <w:t xml:space="preserve">We spatially linked survey data to the most current district boundaries </w:t>
      </w:r>
      <w:r w:rsidR="007D0A36">
        <w:rPr>
          <w:rFonts w:asciiTheme="majorBidi" w:hAnsiTheme="majorBidi" w:cstheme="majorBidi"/>
          <w:sz w:val="24"/>
          <w:szCs w:val="24"/>
        </w:rPr>
        <w:t>available</w:t>
      </w:r>
      <w:r w:rsidR="00C3721E">
        <w:rPr>
          <w:rFonts w:asciiTheme="majorBidi" w:hAnsiTheme="majorBidi" w:cstheme="majorBidi"/>
          <w:sz w:val="24"/>
          <w:szCs w:val="24"/>
        </w:rPr>
        <w:t xml:space="preserve"> for each country,</w:t>
      </w:r>
      <w:r>
        <w:rPr>
          <w:rFonts w:asciiTheme="majorBidi" w:hAnsiTheme="majorBidi" w:cstheme="majorBidi"/>
          <w:sz w:val="24"/>
          <w:szCs w:val="24"/>
        </w:rPr>
        <w:t xml:space="preserve"> as both DHS and political boundaries</w:t>
      </w:r>
      <w:r w:rsidR="001464CD">
        <w:rPr>
          <w:rFonts w:asciiTheme="majorBidi" w:hAnsiTheme="majorBidi" w:cstheme="majorBidi"/>
          <w:sz w:val="24"/>
          <w:szCs w:val="24"/>
        </w:rPr>
        <w:t xml:space="preserve"> in many</w:t>
      </w:r>
      <w:r w:rsidR="00C3721E">
        <w:rPr>
          <w:rFonts w:asciiTheme="majorBidi" w:hAnsiTheme="majorBidi" w:cstheme="majorBidi"/>
          <w:sz w:val="24"/>
          <w:szCs w:val="24"/>
        </w:rPr>
        <w:t xml:space="preserve"> of the study</w:t>
      </w:r>
      <w:r w:rsidR="001464CD">
        <w:rPr>
          <w:rFonts w:asciiTheme="majorBidi" w:hAnsiTheme="majorBidi" w:cstheme="majorBidi"/>
          <w:sz w:val="24"/>
          <w:szCs w:val="24"/>
        </w:rPr>
        <w:t xml:space="preserve"> countries have</w:t>
      </w:r>
      <w:r>
        <w:rPr>
          <w:rFonts w:asciiTheme="majorBidi" w:hAnsiTheme="majorBidi" w:cstheme="majorBidi"/>
          <w:sz w:val="24"/>
          <w:szCs w:val="24"/>
        </w:rPr>
        <w:t xml:space="preserve"> change</w:t>
      </w:r>
      <w:r w:rsidR="001464CD">
        <w:rPr>
          <w:rFonts w:asciiTheme="majorBidi" w:hAnsiTheme="majorBidi" w:cstheme="majorBidi"/>
          <w:sz w:val="24"/>
          <w:szCs w:val="24"/>
        </w:rPr>
        <w:t>d since 1999,</w:t>
      </w:r>
      <w:r>
        <w:rPr>
          <w:rFonts w:asciiTheme="majorBidi" w:hAnsiTheme="majorBidi" w:cstheme="majorBidi"/>
          <w:sz w:val="24"/>
          <w:szCs w:val="24"/>
        </w:rPr>
        <w:t xml:space="preserve"> preventing direct comparison of change over time.</w:t>
      </w:r>
      <w:r w:rsidR="002A1E9F">
        <w:rPr>
          <w:rFonts w:asciiTheme="majorBidi" w:hAnsiTheme="majorBidi" w:cstheme="majorBidi"/>
          <w:sz w:val="24"/>
          <w:szCs w:val="24"/>
        </w:rPr>
        <w:t xml:space="preserve"> Further, by disaggregating each country at </w:t>
      </w:r>
      <w:r w:rsidR="00C8510F">
        <w:rPr>
          <w:rFonts w:asciiTheme="majorBidi" w:hAnsiTheme="majorBidi" w:cstheme="majorBidi"/>
          <w:sz w:val="24"/>
          <w:szCs w:val="24"/>
        </w:rPr>
        <w:t>a uniform</w:t>
      </w:r>
      <w:r w:rsidR="002A1E9F">
        <w:rPr>
          <w:rFonts w:asciiTheme="majorBidi" w:hAnsiTheme="majorBidi" w:cstheme="majorBidi"/>
          <w:sz w:val="24"/>
          <w:szCs w:val="24"/>
        </w:rPr>
        <w:t xml:space="preserve"> </w:t>
      </w:r>
      <w:r w:rsidR="00C3721E">
        <w:rPr>
          <w:rFonts w:asciiTheme="majorBidi" w:hAnsiTheme="majorBidi" w:cstheme="majorBidi"/>
          <w:sz w:val="24"/>
          <w:szCs w:val="24"/>
        </w:rPr>
        <w:t>district</w:t>
      </w:r>
      <w:r w:rsidR="002A1E9F">
        <w:rPr>
          <w:rFonts w:asciiTheme="majorBidi" w:hAnsiTheme="majorBidi" w:cstheme="majorBidi"/>
          <w:sz w:val="24"/>
          <w:szCs w:val="24"/>
        </w:rPr>
        <w:t xml:space="preserve"> level, spatial comparisons across countries could be standardized.</w:t>
      </w:r>
      <w:r>
        <w:rPr>
          <w:rFonts w:asciiTheme="majorBidi" w:hAnsiTheme="majorBidi" w:cstheme="majorBidi"/>
          <w:sz w:val="24"/>
          <w:szCs w:val="24"/>
        </w:rPr>
        <w:t xml:space="preserve"> </w:t>
      </w:r>
      <w:r>
        <w:rPr>
          <w:rFonts w:asciiTheme="majorBidi" w:hAnsiTheme="majorBidi" w:cstheme="majorBidi"/>
          <w:i/>
          <w:iCs/>
          <w:sz w:val="24"/>
          <w:szCs w:val="24"/>
        </w:rPr>
        <w:br/>
      </w:r>
      <w:r w:rsidR="000E1F85">
        <w:rPr>
          <w:rFonts w:asciiTheme="majorBidi" w:hAnsiTheme="majorBidi" w:cstheme="majorBidi"/>
          <w:i/>
          <w:iCs/>
          <w:sz w:val="24"/>
          <w:szCs w:val="24"/>
        </w:rPr>
        <w:t>Absolute indices of temporal change</w:t>
      </w:r>
    </w:p>
    <w:p w14:paraId="5BC9B0DD" w14:textId="5A899DEC" w:rsidR="00CB205F" w:rsidRDefault="00CB205F" w:rsidP="00281E7F">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We employed a Bayesian inference framework using the </w:t>
      </w:r>
      <w:r w:rsidR="008840E1">
        <w:rPr>
          <w:rFonts w:asciiTheme="majorBidi" w:hAnsiTheme="majorBidi" w:cstheme="majorBidi"/>
          <w:sz w:val="24"/>
          <w:szCs w:val="24"/>
        </w:rPr>
        <w:t>Integrated Nested Laplace Approximation (</w:t>
      </w:r>
      <w:r>
        <w:rPr>
          <w:rFonts w:asciiTheme="majorBidi" w:hAnsiTheme="majorBidi" w:cstheme="majorBidi"/>
          <w:sz w:val="24"/>
          <w:szCs w:val="24"/>
        </w:rPr>
        <w:t>INLA</w:t>
      </w:r>
      <w:r w:rsidR="008840E1">
        <w:rPr>
          <w:rFonts w:asciiTheme="majorBidi" w:hAnsiTheme="majorBidi" w:cstheme="majorBidi"/>
          <w:sz w:val="24"/>
          <w:szCs w:val="24"/>
        </w:rPr>
        <w:t>)</w:t>
      </w:r>
      <w:r>
        <w:rPr>
          <w:rFonts w:asciiTheme="majorBidi" w:hAnsiTheme="majorBidi" w:cstheme="majorBidi"/>
          <w:sz w:val="24"/>
          <w:szCs w:val="24"/>
        </w:rPr>
        <w:t xml:space="preserve"> package </w:t>
      </w:r>
      <w:r>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ahamh4mia0","properties":{"formattedCitation":"[33]","plainCitation":"[33]","noteIndex":0},"citationItems":[{"id":195,"uris":["http://zotero.org/users/2783131/items/FRURTKWU"],"uri":["http://zotero.org/users/2783131/items/FRURTKWU"],"itemData":{"id":195,"type":"article-journal","title":"Approximate Bayesian inference for latent Gaussian models by using integrated nested Laplace approximations","container-title":"Journal of the Royal Statistical Society: Series B (Statistical Methodology)","page":"319-392","volume":"71","issue":"2","source":"Wiley Online Library","abstract":"Summary.  Structured additive regression models are perhaps the most commonly used class of models in statistical applications. It includes, among others, (generalized) linear models, (generalized) additive models, smoothing spline models, state space models, semiparametric regression, spatial and spatiotemporal models, log-Gaussian Cox processes and geostatistical and geoadditive models. We consider approximate Bayesian inference in a popular subset of structured additive regression models, latent Gaussian models, where the latent field is Gaussian, controlled by a few hyperparameters and with non-Gaussian response variables. The posterior marginals are not available in closed form owing to the non-Gaussian response variables. For such models, Markov chain Monte Carlo methods can be implemented, but they are not without problems, in terms of both convergence and computational time. In some practical applications, the extent of these problems is such that Markov chain Monte Carlo sampling is simply not an appropriate tool for routine analysis. We show that, by using an integrated nested Laplace approximation and its simplified version, we can directly compute very accurate approximations to the posterior marginals. The main benefit of these approximations is computational: where Markov chain Monte Carlo algorithms need hours or days to run, our approximations provide more precise estimates in seconds or minutes. Another advantage with our approach is its generality, which makes it possible to perform Bayesian analysis in an automatic, streamlined way, and to compute model comparison criteria and various predictive measures so that models can be compared and the model under study can be challenged.","DOI":"10.1111/j.1467-9868.2008.00700.x","ISSN":"1467-9868","language":"en","author":[{"family":"Rue","given":"Håvard"},{"family":"Martino","given":"Sara"},{"family":"Chopin","given":"Nicolas"}],"issued":{"date-parts":[["2009",4,1]]}}}],"schema":"https://github.com/citation-style-language/schema/raw/master/csl-citation.json"} </w:instrText>
      </w:r>
      <w:r>
        <w:rPr>
          <w:rFonts w:asciiTheme="majorBidi" w:hAnsiTheme="majorBidi" w:cstheme="majorBidi"/>
          <w:sz w:val="24"/>
          <w:szCs w:val="24"/>
        </w:rPr>
        <w:fldChar w:fldCharType="separate"/>
      </w:r>
      <w:r w:rsidR="00BB1367" w:rsidRPr="0076525E">
        <w:rPr>
          <w:rFonts w:ascii="Times New Roman" w:hAnsi="Times New Roman" w:cs="Times New Roman"/>
          <w:sz w:val="24"/>
        </w:rPr>
        <w:t>[33]</w:t>
      </w:r>
      <w:r>
        <w:rPr>
          <w:rFonts w:asciiTheme="majorBidi" w:hAnsiTheme="majorBidi" w:cstheme="majorBidi"/>
          <w:sz w:val="24"/>
          <w:szCs w:val="24"/>
        </w:rPr>
        <w:fldChar w:fldCharType="end"/>
      </w:r>
      <w:r>
        <w:rPr>
          <w:rFonts w:asciiTheme="majorBidi" w:hAnsiTheme="majorBidi" w:cstheme="majorBidi"/>
          <w:sz w:val="24"/>
          <w:szCs w:val="24"/>
        </w:rPr>
        <w:t xml:space="preserve"> in R </w:t>
      </w:r>
      <w:r>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a1hmk2eitte","properties":{"formattedCitation":"[34]","plainCitation":"[34]","noteIndex":0},"citationItems":[{"id":117,"uris":["http://zotero.org/users/2783131/items/QN7FA7J5"],"uri":["http://zotero.org/users/2783131/items/QN7FA7J5"],"itemData":{"id":117,"type":"book","title":"R: A Language and Environment for Statistical Computing","publisher":"R Foundation for Statistical Computing","publisher-place":"Vienna, Austria","version":"3.4.2","event-place":"Vienna, Austria","URL":"http://www.R-project.org","ISBN":"3-900051-07-0","author":[{"literal":"R Development Core Team"}],"issued":{"date-parts":[["2017"]]}}}],"schema":"https://github.com/citation-style-language/schema/raw/master/csl-citation.json"} </w:instrText>
      </w:r>
      <w:r>
        <w:rPr>
          <w:rFonts w:asciiTheme="majorBidi" w:hAnsiTheme="majorBidi" w:cstheme="majorBidi"/>
          <w:sz w:val="24"/>
          <w:szCs w:val="24"/>
        </w:rPr>
        <w:fldChar w:fldCharType="separate"/>
      </w:r>
      <w:r w:rsidR="00BB1367" w:rsidRPr="0076525E">
        <w:rPr>
          <w:rFonts w:ascii="Times New Roman" w:hAnsi="Times New Roman" w:cs="Times New Roman"/>
          <w:sz w:val="24"/>
        </w:rPr>
        <w:t>[34]</w:t>
      </w:r>
      <w:r>
        <w:rPr>
          <w:rFonts w:asciiTheme="majorBidi" w:hAnsiTheme="majorBidi" w:cstheme="majorBidi"/>
          <w:sz w:val="24"/>
          <w:szCs w:val="24"/>
        </w:rPr>
        <w:fldChar w:fldCharType="end"/>
      </w:r>
      <w:r>
        <w:rPr>
          <w:rFonts w:asciiTheme="majorBidi" w:hAnsiTheme="majorBidi" w:cstheme="majorBidi"/>
          <w:sz w:val="24"/>
          <w:szCs w:val="24"/>
        </w:rPr>
        <w:t xml:space="preserve"> to spatially interpolate coverage estimates for ANC, SBA, and PNC at the </w:t>
      </w:r>
      <w:r w:rsidR="001E5933">
        <w:rPr>
          <w:rFonts w:asciiTheme="majorBidi" w:hAnsiTheme="majorBidi" w:cstheme="majorBidi"/>
          <w:sz w:val="24"/>
          <w:szCs w:val="24"/>
        </w:rPr>
        <w:t>district</w:t>
      </w:r>
      <w:r>
        <w:rPr>
          <w:rFonts w:asciiTheme="majorBidi" w:hAnsiTheme="majorBidi" w:cstheme="majorBidi"/>
          <w:sz w:val="24"/>
          <w:szCs w:val="24"/>
        </w:rPr>
        <w:t xml:space="preserve"> level throughout </w:t>
      </w:r>
      <w:r w:rsidR="00AC274E">
        <w:rPr>
          <w:rFonts w:asciiTheme="majorBidi" w:hAnsiTheme="majorBidi" w:cstheme="majorBidi"/>
          <w:sz w:val="24"/>
          <w:szCs w:val="24"/>
        </w:rPr>
        <w:t>our study countries</w:t>
      </w:r>
      <w:r>
        <w:rPr>
          <w:rFonts w:asciiTheme="majorBidi" w:hAnsiTheme="majorBidi" w:cstheme="majorBidi"/>
          <w:sz w:val="24"/>
          <w:szCs w:val="24"/>
        </w:rPr>
        <w:t xml:space="preserve">. </w:t>
      </w:r>
      <w:r w:rsidR="00AC274E">
        <w:rPr>
          <w:rFonts w:asciiTheme="majorBidi" w:hAnsiTheme="majorBidi" w:cstheme="majorBidi"/>
          <w:sz w:val="24"/>
          <w:szCs w:val="24"/>
        </w:rPr>
        <w:t>Specifically, we used</w:t>
      </w:r>
      <w:r>
        <w:rPr>
          <w:rFonts w:asciiTheme="majorBidi" w:hAnsiTheme="majorBidi" w:cstheme="majorBidi"/>
          <w:sz w:val="24"/>
          <w:szCs w:val="24"/>
        </w:rPr>
        <w:t xml:space="preserve"> the </w:t>
      </w:r>
      <w:r w:rsidRPr="00E77E8D">
        <w:rPr>
          <w:rFonts w:asciiTheme="majorBidi" w:hAnsiTheme="majorBidi" w:cstheme="majorBidi"/>
          <w:sz w:val="24"/>
          <w:szCs w:val="24"/>
        </w:rPr>
        <w:t>Besag-York-Mollier</w:t>
      </w:r>
      <w:r w:rsidR="00AC274E">
        <w:rPr>
          <w:rFonts w:asciiTheme="majorBidi" w:hAnsiTheme="majorBidi" w:cstheme="majorBidi"/>
          <w:sz w:val="24"/>
          <w:szCs w:val="24"/>
        </w:rPr>
        <w:t xml:space="preserve"> (BYM-2)</w:t>
      </w:r>
      <w:r>
        <w:rPr>
          <w:rFonts w:asciiTheme="majorBidi" w:hAnsiTheme="majorBidi" w:cstheme="majorBidi"/>
          <w:sz w:val="24"/>
          <w:szCs w:val="24"/>
        </w:rPr>
        <w:t xml:space="preserve"> class of models </w:t>
      </w:r>
      <w:r w:rsidR="00AC274E">
        <w:rPr>
          <w:rFonts w:asciiTheme="majorBidi" w:hAnsiTheme="majorBidi" w:cstheme="majorBidi"/>
          <w:sz w:val="24"/>
          <w:szCs w:val="24"/>
        </w:rPr>
        <w:t xml:space="preserve">within the INLA package, which </w:t>
      </w:r>
      <w:r>
        <w:rPr>
          <w:rFonts w:asciiTheme="majorBidi" w:hAnsiTheme="majorBidi" w:cstheme="majorBidi"/>
          <w:sz w:val="24"/>
          <w:szCs w:val="24"/>
        </w:rPr>
        <w:t xml:space="preserve">have been shown to be particularly useful in mapping disease, as unstructured spatial effects can be added to account for region-specific variation </w:t>
      </w:r>
      <w:r>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{"citationID":"BbrRS7WX","properties":{"formattedCitation":"[35, 36]","plainCitation":"[35, 36]","noteIndex":0},"citationItems":[{"id":467,"uris":["http://zotero.org/users/2783131/items/AJP2HH6E"],"uri":["http://zotero.org/users/2783131/items/AJP2HH6E"],"itemData":{"id":467,"type":"article-journal","title":"Bayesian Mapping of HIV Infection among Women of Reproductive Age in Rwanda","container-title":"PLOS ONE","page":"e0119944","volume":"10","issue":"3","source":"PLoS Journals","abstract":"HIV prevalence is rising and has been consistently higher among women in Rwanda whereas a decreasing national HIV prevalence rate in the adult population has stabilised since 2005. Factors explaining the increased vulnerability of women to HIV infection are not currently well understood. A statistical mapping at smaller geographic units and the identification of key HIV risk factors are crucial for pragmatic and more efficient interventions. The data used in this study were extracted from the 2010 Rwanda Demographic and Health Survey data for 6952 women. A full Bayesian geo-additive logistic regression model was fitted to data in order to assess the effect of key risk factors and map district-level spatial effects on the risk of HIV infection. The results showed that women who had STIs, concurrent sexual partners in the 12 months prior to the survey, a sex debut at earlier age than 19 years, were living in a woman-headed or high-economic status household were significantly associated with a higher risk of HIV infection. There was a protective effect of high HIV knowledge and perception. Women occupied in agriculture, and those residing in rural areas were also associated with lower risk of being infected. This study provides district-level maps of the variation of HIV infection among women of child-bearing age in Rwanda. The maps highlight areas where women are at a higher risk of infection; the aspect that proximate and distal factors alone could not uncover. There are distinctive geographic patterns, although statistically insignificant, of the risk of HIV infection suggesting potential effectiveness of district specific interventions. The results also suggest that changes in sexual behaviour can yield significant results in controlling HIV infection in Rwanda.","DOI":"10.1371/journal.pone.0119944","ISSN":"1932-6203","journalAbbreviation":"PLOS ONE","author":[{"family":"Niragire","given":"François"},{"family":"Achia","given":"Thomas N. O."},{"family":"Lyambabaje","given":"Alexandre"},{"family":"Ntaganira","given":"Joseph"}],"issued":{"date-parts":[["2015",3,26]]}}},{"id":123,"uris":["http://zotero.org/users/2783131/items/6NHFVCPQ"],"uri":["http://zotero.org/users/2783131/items/6NHFVCPQ"],"itemData":{"id":123,"type":"article-journal","title":"An intuitive Bayesian spatial model for disease mapping that accounts for scaling","container-title":"arXiv:1601.01180 [stat]","source":"arXiv.org","abstract":"In recent years, disease mapping studies have become a routine application within geographical epidemiology and are typically analysed within a Bayesian hierarchical model formulation. A variety of model formulations for the latent level have been proposed but all come with inherent issues. In the classical BYM model, the spatially structured component cannot be seen independently from the unstructured component. This makes prior definitions for the hyperparameters of the two random effects challenging. There are alternative model formulations that address this confounding, however, the issue on how to choose interpretable hyperpriors is still unsolved. Here, we discuss a recently proposed parameterisation of the BYM model that leads to improved parameter control as the hyperparameters can be seen independently from each other. Furthermore, the need for a scaled spatial component is addressed, which facilitates assignment of interpretable hyperpriors and make these transferable between spatial applications with different graph structures. We provide implementation details for the new model formulation which preserve sparsity properties, and we investigate systematically the model performance and compare it to existing parameterisations. Through a simulation study, we show that the new model performs well, both showing good learning abilities and good shrinkage behaviour. In terms of model choice criteria, the proposed model performs at least equally well as existing parameterisations, but only the new formulation offers parameters that are interpretable and hyperpriors that have a clear meaning.","URL":"http://arxiv.org/abs/1601.01180","note":"arXiv: 1601.01180","author":[{"family":"Riebler","given":"Andrea"},{"family":"Sørbye","given":"Sigrunn H."},{"family":"Simpson","given":"Daniel"},{"family":"Rue","given":"Håvard"}],"issued":{"date-parts":[["2016",1,6]]},"accessed":{"date-parts":[["2018",1,16]]}}}],"schema":"https://github.com/citation-style-language/schema/raw/master/csl-citation.json"} </w:instrText>
      </w:r>
      <w:r>
        <w:rPr>
          <w:rFonts w:asciiTheme="majorBidi" w:hAnsiTheme="majorBidi" w:cstheme="majorBidi"/>
          <w:sz w:val="24"/>
          <w:szCs w:val="24"/>
        </w:rPr>
        <w:fldChar w:fldCharType="separate"/>
      </w:r>
      <w:r w:rsidR="00BB1367" w:rsidRPr="0076525E">
        <w:rPr>
          <w:rFonts w:ascii="Times New Roman" w:hAnsi="Times New Roman" w:cs="Times New Roman"/>
          <w:sz w:val="24"/>
        </w:rPr>
        <w:t>[35, 36]</w:t>
      </w:r>
      <w:r>
        <w:rPr>
          <w:rFonts w:asciiTheme="majorBidi" w:hAnsiTheme="majorBidi" w:cstheme="majorBidi"/>
          <w:sz w:val="24"/>
          <w:szCs w:val="24"/>
        </w:rPr>
        <w:fldChar w:fldCharType="end"/>
      </w:r>
      <w:r>
        <w:rPr>
          <w:rFonts w:asciiTheme="majorBidi" w:hAnsiTheme="majorBidi" w:cstheme="majorBidi"/>
          <w:sz w:val="24"/>
          <w:szCs w:val="24"/>
        </w:rPr>
        <w:t xml:space="preserve">. Our model was therefore defined as </w:t>
      </w:r>
    </w:p>
    <w:p w14:paraId="6392FE14" w14:textId="15BD055C" w:rsidR="00CB205F" w:rsidRPr="009026D5" w:rsidRDefault="00CB205F" w:rsidP="00ED0F8C">
      <w:pPr>
        <w:spacing w:line="480" w:lineRule="auto"/>
        <w:rPr>
          <w:rFonts w:cs="Times New Roman"/>
          <w:sz w:val="24"/>
          <w:szCs w:val="24"/>
        </w:rPr>
      </w:pPr>
      <m:oMathPara>
        <m:oMath>
          <m:r>
            <m:rPr>
              <m:sty m:val="p"/>
            </m:rPr>
            <w:rPr>
              <w:rFonts w:ascii="Cambria Math" w:hAnsi="Cambria Math" w:cs="Times New Roman"/>
              <w:sz w:val="24"/>
              <w:szCs w:val="24"/>
            </w:rPr>
            <m:t>logit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ij</m:t>
                  </m:r>
                </m:sub>
              </m:sSub>
              <m:ctrlPr>
                <w:rPr>
                  <w:rFonts w:ascii="Cambria Math" w:hAnsi="Cambria Math" w:cs="Times New Roman"/>
                  <w:i/>
                  <w:sz w:val="24"/>
                  <w:szCs w:val="24"/>
                </w:rPr>
              </m:ctrlPr>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spat</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admin</m:t>
                  </m:r>
                </m:e>
                <m:sub>
                  <m:r>
                    <w:rPr>
                      <w:rFonts w:ascii="Cambria Math" w:hAnsi="Cambria Math" w:cs="Times New Roman"/>
                      <w:sz w:val="24"/>
                      <w:szCs w:val="24"/>
                    </w:rPr>
                    <m:t>j</m:t>
                  </m:r>
                </m:sub>
              </m:sSub>
            </m:e>
          </m:d>
        </m:oMath>
      </m:oMathPara>
    </w:p>
    <w:p w14:paraId="192A1F68" w14:textId="756469E4" w:rsidR="00CB205F" w:rsidRDefault="00CB205F" w:rsidP="00ED0F8C">
      <w:pPr>
        <w:spacing w:line="480" w:lineRule="auto"/>
        <w:rPr>
          <w:rFonts w:ascii="Times New Roman" w:hAnsi="Times New Roman" w:cs="Times New Roman"/>
          <w:sz w:val="24"/>
          <w:szCs w:val="24"/>
        </w:rPr>
      </w:pPr>
      <w:r>
        <w:rPr>
          <w:rFonts w:ascii="Times New Roman" w:hAnsi="Times New Roman" w:cs="Times New Roman"/>
          <w:sz w:val="24"/>
          <w:szCs w:val="24"/>
        </w:rPr>
        <w:t>where logit(</w:t>
      </w:r>
      <w:r>
        <w:rPr>
          <w:rFonts w:ascii="Times New Roman" w:hAnsi="Times New Roman" w:cs="Times New Roman"/>
          <w:i/>
          <w:sz w:val="24"/>
          <w:szCs w:val="24"/>
        </w:rPr>
        <w:t>p</w:t>
      </w:r>
      <w:r>
        <w:rPr>
          <w:rFonts w:ascii="Times New Roman" w:hAnsi="Times New Roman" w:cs="Times New Roman"/>
          <w:i/>
          <w:sz w:val="24"/>
          <w:szCs w:val="24"/>
          <w:vertAlign w:val="subscript"/>
        </w:rPr>
        <w:t>ij</w:t>
      </w:r>
      <w:r w:rsidR="00D705C7">
        <w:rPr>
          <w:rFonts w:ascii="Times New Roman" w:hAnsi="Times New Roman" w:cs="Times New Roman"/>
          <w:sz w:val="24"/>
          <w:szCs w:val="24"/>
        </w:rPr>
        <w:t>) represents the odds of a woman’s most recent birth</w:t>
      </w:r>
      <w:r>
        <w:rPr>
          <w:rFonts w:ascii="Times New Roman" w:hAnsi="Times New Roman" w:cs="Times New Roman"/>
          <w:sz w:val="24"/>
          <w:szCs w:val="24"/>
        </w:rPr>
        <w:t xml:space="preserve">, </w:t>
      </w:r>
      <w:r>
        <w:rPr>
          <w:rFonts w:ascii="Times New Roman" w:hAnsi="Times New Roman" w:cs="Times New Roman"/>
          <w:i/>
          <w:sz w:val="24"/>
          <w:szCs w:val="24"/>
        </w:rPr>
        <w:t xml:space="preserve">i, </w:t>
      </w:r>
      <w:r>
        <w:rPr>
          <w:rFonts w:ascii="Times New Roman" w:hAnsi="Times New Roman" w:cs="Times New Roman"/>
          <w:sz w:val="24"/>
          <w:szCs w:val="24"/>
        </w:rPr>
        <w:t xml:space="preserve">in administrative unit, </w:t>
      </w:r>
      <w:r>
        <w:rPr>
          <w:rFonts w:ascii="Times New Roman" w:hAnsi="Times New Roman" w:cs="Times New Roman"/>
          <w:i/>
          <w:sz w:val="24"/>
          <w:szCs w:val="24"/>
        </w:rPr>
        <w:t>j</w:t>
      </w:r>
      <w:r>
        <w:rPr>
          <w:rFonts w:ascii="Times New Roman" w:hAnsi="Times New Roman" w:cs="Times New Roman"/>
          <w:sz w:val="24"/>
          <w:szCs w:val="24"/>
        </w:rPr>
        <w:t xml:space="preserve">, obtaining the corresponding health service (SBA, ANC, and PNC);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oMath>
      <w:r>
        <w:rPr>
          <w:rFonts w:ascii="Times New Roman" w:hAnsi="Times New Roman" w:cs="Times New Roman"/>
          <w:sz w:val="24"/>
          <w:szCs w:val="24"/>
        </w:rPr>
        <w:t xml:space="preserve"> represents the fixed effects of the model as described below; and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spat</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admin</m:t>
                </m:r>
              </m:e>
              <m:sub>
                <m:r>
                  <w:rPr>
                    <w:rFonts w:ascii="Cambria Math" w:hAnsi="Cambria Math" w:cs="Times New Roman"/>
                    <w:sz w:val="24"/>
                    <w:szCs w:val="24"/>
                  </w:rPr>
                  <m:t>j</m:t>
                </m:r>
              </m:sub>
            </m:sSub>
          </m:e>
        </m:d>
      </m:oMath>
      <w:r>
        <w:rPr>
          <w:rFonts w:ascii="Times New Roman" w:hAnsi="Times New Roman" w:cs="Times New Roman"/>
          <w:sz w:val="24"/>
          <w:szCs w:val="24"/>
        </w:rPr>
        <w:t xml:space="preserve"> represents the structured spatial effect of administrative unit, </w:t>
      </w:r>
      <w:r>
        <w:rPr>
          <w:rFonts w:ascii="Times New Roman" w:hAnsi="Times New Roman" w:cs="Times New Roman"/>
          <w:i/>
          <w:sz w:val="24"/>
          <w:szCs w:val="24"/>
        </w:rPr>
        <w:t>j</w:t>
      </w:r>
      <w:r w:rsidR="00D705C7">
        <w:rPr>
          <w:rFonts w:ascii="Times New Roman" w:hAnsi="Times New Roman" w:cs="Times New Roman"/>
          <w:sz w:val="24"/>
          <w:szCs w:val="24"/>
        </w:rPr>
        <w:t xml:space="preserve">, as a combination of both </w:t>
      </w:r>
      <w:r>
        <w:rPr>
          <w:rFonts w:ascii="Times New Roman" w:hAnsi="Times New Roman" w:cs="Times New Roman"/>
          <w:sz w:val="24"/>
          <w:szCs w:val="24"/>
        </w:rPr>
        <w:t xml:space="preserve">the structured and unstructured random effects, defined as </w:t>
      </w:r>
    </w:p>
    <w:p w14:paraId="00039FF8" w14:textId="77777777" w:rsidR="00CB205F" w:rsidRPr="009026D5" w:rsidRDefault="004D3F0D" w:rsidP="00ED0F8C">
      <w:pPr>
        <w:spacing w:line="48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spat</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admin</m:t>
                  </m:r>
                </m:e>
                <m:sub>
                  <m:r>
                    <w:rPr>
                      <w:rFonts w:ascii="Cambria Math" w:hAnsi="Cambria Math" w:cs="Times New Roman"/>
                      <w:sz w:val="24"/>
                      <w:szCs w:val="24"/>
                    </w:rPr>
                    <m:t>j</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struc</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admin</m:t>
                  </m:r>
                </m:e>
                <m:sub>
                  <m:r>
                    <w:rPr>
                      <w:rFonts w:ascii="Cambria Math" w:hAnsi="Cambria Math" w:cs="Times New Roman"/>
                      <w:sz w:val="24"/>
                      <w:szCs w:val="24"/>
                    </w:rPr>
                    <m:t>j</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unstruc</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admin</m:t>
                  </m:r>
                </m:e>
                <m:sub>
                  <m:r>
                    <w:rPr>
                      <w:rFonts w:ascii="Cambria Math" w:hAnsi="Cambria Math" w:cs="Times New Roman"/>
                      <w:sz w:val="24"/>
                      <w:szCs w:val="24"/>
                    </w:rPr>
                    <m:t>j</m:t>
                  </m:r>
                </m:sub>
              </m:sSub>
            </m:e>
          </m:d>
        </m:oMath>
      </m:oMathPara>
    </w:p>
    <w:p w14:paraId="261C8FA3" w14:textId="18BC8B95" w:rsidR="00CB205F" w:rsidRDefault="004C1ACD" w:rsidP="0076525E">
      <w:pPr>
        <w:spacing w:line="480" w:lineRule="auto"/>
        <w:ind w:firstLine="720"/>
        <w:rPr>
          <w:rFonts w:asciiTheme="majorBidi" w:hAnsiTheme="majorBidi" w:cstheme="majorBidi"/>
          <w:sz w:val="24"/>
          <w:szCs w:val="24"/>
        </w:rPr>
      </w:pPr>
      <w:r w:rsidRPr="004C1ACD">
        <w:rPr>
          <w:rFonts w:asciiTheme="majorBidi" w:hAnsiTheme="majorBidi" w:cstheme="majorBidi"/>
          <w:sz w:val="24"/>
          <w:szCs w:val="24"/>
        </w:rPr>
        <w:t>For these analyses, we assumed an uninformative prior distribution on model parameters to allow the data to drive model resu</w:t>
      </w:r>
      <w:r>
        <w:rPr>
          <w:rFonts w:asciiTheme="majorBidi" w:hAnsiTheme="majorBidi" w:cstheme="majorBidi"/>
          <w:sz w:val="24"/>
          <w:szCs w:val="24"/>
        </w:rPr>
        <w:t>lts,</w:t>
      </w:r>
      <w:r w:rsidRPr="004C1ACD">
        <w:rPr>
          <w:rFonts w:asciiTheme="majorBidi" w:hAnsiTheme="majorBidi" w:cstheme="majorBidi"/>
          <w:sz w:val="24"/>
          <w:szCs w:val="24"/>
        </w:rPr>
        <w:t xml:space="preserve"> </w:t>
      </w:r>
      <w:r>
        <w:rPr>
          <w:rFonts w:asciiTheme="majorBidi" w:hAnsiTheme="majorBidi" w:cstheme="majorBidi"/>
          <w:sz w:val="24"/>
          <w:szCs w:val="24"/>
        </w:rPr>
        <w:t>a</w:t>
      </w:r>
      <w:r w:rsidRPr="004C1ACD">
        <w:rPr>
          <w:rFonts w:asciiTheme="majorBidi" w:hAnsiTheme="majorBidi" w:cstheme="majorBidi"/>
          <w:sz w:val="24"/>
          <w:szCs w:val="24"/>
        </w:rPr>
        <w:t xml:space="preserve">s no previous literature or data exist </w:t>
      </w:r>
      <w:r>
        <w:rPr>
          <w:rFonts w:asciiTheme="majorBidi" w:hAnsiTheme="majorBidi" w:cstheme="majorBidi"/>
          <w:sz w:val="24"/>
          <w:szCs w:val="24"/>
        </w:rPr>
        <w:t xml:space="preserve">at this level for each year </w:t>
      </w:r>
      <w:r w:rsidRPr="004C1ACD">
        <w:rPr>
          <w:rFonts w:asciiTheme="majorBidi" w:hAnsiTheme="majorBidi" w:cstheme="majorBidi"/>
          <w:sz w:val="24"/>
          <w:szCs w:val="24"/>
        </w:rPr>
        <w:t xml:space="preserve">to inform our expectations of the spatial distribution </w:t>
      </w:r>
      <w:r>
        <w:rPr>
          <w:rFonts w:asciiTheme="majorBidi" w:hAnsiTheme="majorBidi" w:cstheme="majorBidi"/>
          <w:sz w:val="24"/>
          <w:szCs w:val="24"/>
        </w:rPr>
        <w:t xml:space="preserve">of model outcomes. By assuming uninformative priors across all models at each time point available, this allowed for better comparison of model results. </w:t>
      </w:r>
      <w:r w:rsidR="006D0F78">
        <w:rPr>
          <w:rFonts w:asciiTheme="majorBidi" w:hAnsiTheme="majorBidi" w:cstheme="majorBidi"/>
          <w:sz w:val="24"/>
          <w:szCs w:val="24"/>
        </w:rPr>
        <w:t xml:space="preserve">Similar approaches have been used previously </w:t>
      </w:r>
      <w:r w:rsidR="006D0F78">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pAEi8h7v","properties":{"formattedCitation":"[17]","plainCitation":"[17]","noteIndex":0},"citationItems":[{"id":1051,"uris":["http://zotero.org/users/2783131/items/AVC44N8I"],"uri":["http://zotero.org/users/2783131/items/AVC44N8I"],"itemData":{"id":1051,"type":"article-journal","title":"Estimating prevalence of adolescent first births in Nepal using geospatial modelling","container-title":"Accepted to BMJ Global Health","author":[{"family":"Neal","given":"Sarah"},{"family":"Ruktanochai","given":"Corrine W"},{"family":"Chandra-Mouli","given":"Venkatraman"},{"family":"Harvey","given":"Chloe"},{"family":"Matthews","given":"Zoe"},{"family":"Raina","given":"Neena"},{"family":"Tatem","given":"Andrew J"}]}}],"schema":"https://github.com/citation-style-language/schema/raw/master/csl-citation.json"} </w:instrText>
      </w:r>
      <w:r w:rsidR="006D0F78">
        <w:rPr>
          <w:rFonts w:asciiTheme="majorBidi" w:hAnsiTheme="majorBidi" w:cstheme="majorBidi"/>
          <w:sz w:val="24"/>
          <w:szCs w:val="24"/>
        </w:rPr>
        <w:fldChar w:fldCharType="separate"/>
      </w:r>
      <w:r w:rsidR="006D0F78" w:rsidRPr="0076525E">
        <w:rPr>
          <w:rFonts w:ascii="Times New Roman" w:hAnsi="Times New Roman" w:cs="Times New Roman"/>
          <w:sz w:val="24"/>
        </w:rPr>
        <w:t>[17]</w:t>
      </w:r>
      <w:r w:rsidR="006D0F78">
        <w:rPr>
          <w:rFonts w:asciiTheme="majorBidi" w:hAnsiTheme="majorBidi" w:cstheme="majorBidi"/>
          <w:sz w:val="24"/>
          <w:szCs w:val="24"/>
        </w:rPr>
        <w:fldChar w:fldCharType="end"/>
      </w:r>
      <w:r w:rsidR="006D0F78">
        <w:rPr>
          <w:rFonts w:asciiTheme="majorBidi" w:hAnsiTheme="majorBidi" w:cstheme="majorBidi"/>
          <w:sz w:val="24"/>
          <w:szCs w:val="24"/>
        </w:rPr>
        <w:t xml:space="preserve"> with adolescent health indicators using DHS data. </w:t>
      </w:r>
      <w:r w:rsidR="00CB205F">
        <w:rPr>
          <w:rFonts w:asciiTheme="majorBidi" w:hAnsiTheme="majorBidi" w:cstheme="majorBidi"/>
          <w:sz w:val="24"/>
          <w:szCs w:val="24"/>
        </w:rPr>
        <w:t xml:space="preserve">The model outputs generated by this method represent a posterior distribution of possible estimates for each outcome at the </w:t>
      </w:r>
      <w:r w:rsidR="001E5933">
        <w:rPr>
          <w:rFonts w:asciiTheme="majorBidi" w:hAnsiTheme="majorBidi" w:cstheme="majorBidi"/>
          <w:sz w:val="24"/>
          <w:szCs w:val="24"/>
        </w:rPr>
        <w:t>district</w:t>
      </w:r>
      <w:r w:rsidR="00CB205F">
        <w:rPr>
          <w:rFonts w:asciiTheme="majorBidi" w:hAnsiTheme="majorBidi" w:cstheme="majorBidi"/>
          <w:sz w:val="24"/>
          <w:szCs w:val="24"/>
        </w:rPr>
        <w:t xml:space="preserve"> </w:t>
      </w:r>
      <w:r w:rsidR="001E5933">
        <w:rPr>
          <w:rFonts w:asciiTheme="majorBidi" w:hAnsiTheme="majorBidi" w:cstheme="majorBidi"/>
          <w:sz w:val="24"/>
          <w:szCs w:val="24"/>
        </w:rPr>
        <w:t>level</w:t>
      </w:r>
      <w:r w:rsidR="00CB205F">
        <w:rPr>
          <w:rFonts w:asciiTheme="majorBidi" w:hAnsiTheme="majorBidi" w:cstheme="majorBidi"/>
          <w:sz w:val="24"/>
          <w:szCs w:val="24"/>
        </w:rPr>
        <w:t xml:space="preserve">. The mean of this distribution can therefore be taken to represent a point estimate for each geographic unit, while also allowing for reporting of standard distribution statistics </w:t>
      </w:r>
      <w:r w:rsidR="00AC274E">
        <w:rPr>
          <w:rFonts w:asciiTheme="majorBidi" w:hAnsiTheme="majorBidi" w:cstheme="majorBidi"/>
          <w:sz w:val="24"/>
          <w:szCs w:val="24"/>
        </w:rPr>
        <w:t>(</w:t>
      </w:r>
      <w:r w:rsidR="00CB205F">
        <w:rPr>
          <w:rFonts w:asciiTheme="majorBidi" w:hAnsiTheme="majorBidi" w:cstheme="majorBidi"/>
          <w:sz w:val="24"/>
          <w:szCs w:val="24"/>
        </w:rPr>
        <w:t>such as standard deviation and credibility intervals</w:t>
      </w:r>
      <w:r w:rsidR="00AC274E">
        <w:rPr>
          <w:rFonts w:asciiTheme="majorBidi" w:hAnsiTheme="majorBidi" w:cstheme="majorBidi"/>
          <w:sz w:val="24"/>
          <w:szCs w:val="24"/>
        </w:rPr>
        <w:t>)</w:t>
      </w:r>
      <w:r w:rsidR="00CB205F">
        <w:rPr>
          <w:rFonts w:asciiTheme="majorBidi" w:hAnsiTheme="majorBidi" w:cstheme="majorBidi"/>
          <w:sz w:val="24"/>
          <w:szCs w:val="24"/>
        </w:rPr>
        <w:t xml:space="preserve"> which can be used to represent uncertainty surrounding each estimate. </w:t>
      </w:r>
      <w:r w:rsidR="000E1F85">
        <w:rPr>
          <w:rFonts w:asciiTheme="majorBidi" w:hAnsiTheme="majorBidi" w:cstheme="majorBidi"/>
          <w:sz w:val="24"/>
          <w:szCs w:val="24"/>
        </w:rPr>
        <w:t>To visualize the absolute change over time among these indicators, we compare</w:t>
      </w:r>
      <w:r w:rsidR="000B5EC6">
        <w:rPr>
          <w:rFonts w:asciiTheme="majorBidi" w:hAnsiTheme="majorBidi" w:cstheme="majorBidi"/>
          <w:sz w:val="24"/>
          <w:szCs w:val="24"/>
        </w:rPr>
        <w:t>d</w:t>
      </w:r>
      <w:r w:rsidR="000E1F85">
        <w:rPr>
          <w:rFonts w:asciiTheme="majorBidi" w:hAnsiTheme="majorBidi" w:cstheme="majorBidi"/>
          <w:sz w:val="24"/>
          <w:szCs w:val="24"/>
        </w:rPr>
        <w:t xml:space="preserve"> estimates for each country between the first and last surveys available. </w:t>
      </w:r>
    </w:p>
    <w:p w14:paraId="27011051" w14:textId="0B458FDE" w:rsidR="004062FF" w:rsidRDefault="00A96372" w:rsidP="004062FF">
      <w:pPr>
        <w:spacing w:line="480" w:lineRule="auto"/>
        <w:ind w:firstLine="720"/>
        <w:rPr>
          <w:rFonts w:asciiTheme="majorBidi" w:hAnsiTheme="majorBidi" w:cstheme="majorBidi"/>
          <w:sz w:val="24"/>
          <w:szCs w:val="24"/>
        </w:rPr>
      </w:pPr>
      <w:r>
        <w:rPr>
          <w:rFonts w:asciiTheme="majorBidi" w:hAnsiTheme="majorBidi" w:cstheme="majorBidi"/>
          <w:sz w:val="24"/>
          <w:szCs w:val="24"/>
        </w:rPr>
        <w:t>B</w:t>
      </w:r>
      <w:r w:rsidR="00D705C7">
        <w:rPr>
          <w:rFonts w:asciiTheme="majorBidi" w:hAnsiTheme="majorBidi" w:cstheme="majorBidi"/>
          <w:sz w:val="24"/>
          <w:szCs w:val="24"/>
        </w:rPr>
        <w:t>inary model outcomes included SBA, ANC, and PNC, while fixed model effects included urban/rural residence, education status, wealth quintile, maternal age, and parity</w:t>
      </w:r>
      <w:r w:rsidR="00944068">
        <w:rPr>
          <w:rFonts w:asciiTheme="majorBidi" w:hAnsiTheme="majorBidi" w:cstheme="majorBidi"/>
          <w:sz w:val="24"/>
          <w:szCs w:val="24"/>
        </w:rPr>
        <w:t xml:space="preserve">, which have been defined in previous literature as important predictors of MNH </w:t>
      </w:r>
      <w:r w:rsidR="003C6016">
        <w:rPr>
          <w:rFonts w:asciiTheme="majorBidi" w:hAnsiTheme="majorBidi" w:cstheme="majorBidi"/>
          <w:sz w:val="24"/>
          <w:szCs w:val="24"/>
        </w:rPr>
        <w:t xml:space="preserve">services </w:t>
      </w:r>
      <w:r w:rsidR="00944068">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{"citationID":"kOOWXs17","properties":{"formattedCitation":"[15, 37, 38]","plainCitation":"[15, 37, 38]","noteIndex":0},"citationItems":[{"id":514,"uris":["http://zotero.org/users/2783131/items/VEPFME8H"],"uri":["http://zotero.org/users/2783131/items/VEPFME8H"],"itemData":{"id":514,"type":"article-journal","title":"Equality in Maternal and Newborn Health: Modelling Geographic Disparities in Utilisation of Care in Five East African Countries","container-title":"PLOS ONE","page":"e0162006","volume":"11","issue":"8","source":"PLoS Journals","abstract":"Background   Geographic accessibility to health facilities represents a fundamental barrier to utilisation of maternal and newborn health (MNH) services, driving historically hidden spatial pockets of localized inequalities. Here, we examine utilisation of MNH care as an emergent property of accessibility, highlighting high-resolution spatial heterogeneity and sub-national inequalities in receiving care before, during, and after delivery throughout five East African countries.       Methods   We calculated a geographic inaccessibility score to the nearest health facility at 300 x 300 m using a dataset of 9,314 facilities throughout Burundi, Kenya, Rwanda, Tanzania and Uganda. Using Demographic and Health Surveys data, we utilised hierarchical mixed effects logistic regression to examine the odds of: 1) skilled birth attendance, 2) receiving 4+ antenatal care visits at time of delivery, and 3) receiving a postnatal health check-up within 48 hours of delivery. We applied model results onto the accessibility surface to visualise the probabilities of obtaining MNH care at both high-resolution and sub-national levels after adjusting for live births in 2015.       Results   Across all outcomes, decreasing wealth and education levels were associated with lower odds of obtaining MNH care. Increasing geographic inaccessibility scores were associated with the strongest effect in lowering odds of obtaining care observed across outcomes, with the widest disparities observed among skilled birth attendance. Specifically, for each increase in the inaccessibility score to the nearest health facility, the odds of having skilled birth attendance at delivery was reduced by over 75% (0.24; CI: 0.19–0.3), while the odds of receiving antenatal care decreased by nearly 25% (0.74; CI: 0.61–0.89) and 40% for obtaining postnatal care (0.58; CI: 0.45–0.75).       Conclusions   Overall, these results suggest decreasing accessibility to the nearest health facility significantly deterred utilisation of all maternal health care services. These results demonstrate how spatial approaches can inform policy efforts and promote evidence-based decision-making, and are particularly pertinent as the world shifts into the Sustainable Goals Development era, where sub-national applications will become increasingly useful in identifying and reducing persistent inequalities.","DOI":"10.1371/journal.pone.0162006","ISSN":"1932-6203","shortTitle":"Equality in Maternal and Newborn Health","journalAbbreviation":"PLOS ONE","author":[{"family":"Ruktanonchai","given":"Corrine W."},{"family":"Ruktanonchai","given":"Nick W."},{"family":"Nove","given":"Andrea"},{"family":"Lopes","given":"Sofia"},{"family":"Pezzulo","given":"Carla"},{"family":"Bosco","given":"Claudio"},{"family":"Alegana","given":"Victor A."},{"family":"Burgert","given":"Clara R."},{"family":"Ayiko","given":"Rogers"},{"family":"Charles","given":"Andrew SEK"},{"family":"Lambert","given":"Nkurunziza"},{"family":"Msechu","given":"Esther"},{"family":"Kathini","given":"Esther"},{"family":"Matthews","given":"Zoë"},{"family":"Tatem","given":"Andrew J."}],"issued":{"date-parts":[["2016",8,25]]}}},{"id":397,"uris":["http://zotero.org/users/2783131/items/J6IP5BW7"],"uri":["http://zotero.org/users/2783131/items/J6IP5BW7"],"itemData":{"id":397,"type":"article-journal","title":"Adolescent first births in East Africa: disaggregating characteristics, trends and determinants","container-title":"Reproductive Health","page":"13","volume":"12","source":"BioMed Central","abstract":"The use of a single national figure fails to capture the complex patterns and inequalities in early childbearing that occur within countries, as well as the differing contexts in which these pregnancies occur. Further disaggregated data that examine patterns and trends for different groups are needed to enable programmes to be focused on those most at risk. This paper describes a comprehensive analysis of adolescent first births using disaggregated data from Demographic and Household surveys (DHS) for three East African countries: Uganda, Kenya and Tanzania.","DOI":"10.1186/1742-4755-12-13","ISSN":"1742-4755","shortTitle":"Adolescent first births in East Africa","journalAbbreviation":"Reproductive Health","author":[{"family":"Neal","given":"Sarah E."},{"family":"Chandra-Mouli","given":"Venkatraman"},{"family":"Chou","given":"Doris"}],"issued":{"date-parts":[["2015"]]}}},{"id":381,"uris":["http://zotero.org/users/2783131/items/EXIDG9GM"],"uri":["http://zotero.org/users/2783131/items/EXIDG9GM"],"itemData":{"id":381,"type":"article-journal","title":"Still too far to walk: Literature review of the determinants of delivery service use","container-title":"BMC Pregnancy and Childbirth","page":"34","volume":"9","source":"BioMed Central","abstract":"Skilled attendance at childbirth is crucial for decreasing maternal and neonatal mortality, yet many women in low- and middle-income countries deliver outside of health facilities, without skilled help. The main conceptual framework in this field implicitly looks at home births with complications. We expand this to include \"preventive\" facility delivery for uncomplicated childbirth, and review the kinds of determinants studied in the literature, their hypothesized mechanisms of action and the typical findings, as well as methodological difficulties encountered.","DOI":"10.1186/1471-2393-9-34","ISSN":"1471-2393","shortTitle":"Still too far to walk","journalAbbreviation":"BMC Pregnancy and Childbirth","author":[{"family":"Gabrysch","given":"Sabine"},{"family":"Campbell","given":"Oona MR"}],"issued":{"date-parts":[["2009"]]}}}],"schema":"https://github.com/citation-style-language/schema/raw/master/csl-citation.json"} </w:instrText>
      </w:r>
      <w:r w:rsidR="00944068">
        <w:rPr>
          <w:rFonts w:asciiTheme="majorBidi" w:hAnsiTheme="majorBidi" w:cstheme="majorBidi"/>
          <w:sz w:val="24"/>
          <w:szCs w:val="24"/>
        </w:rPr>
        <w:fldChar w:fldCharType="separate"/>
      </w:r>
      <w:r w:rsidR="00BB1367" w:rsidRPr="0076525E">
        <w:rPr>
          <w:rFonts w:ascii="Times New Roman" w:hAnsi="Times New Roman" w:cs="Times New Roman"/>
          <w:sz w:val="24"/>
        </w:rPr>
        <w:t>[15, 37, 38]</w:t>
      </w:r>
      <w:r w:rsidR="00944068">
        <w:rPr>
          <w:rFonts w:asciiTheme="majorBidi" w:hAnsiTheme="majorBidi" w:cstheme="majorBidi"/>
          <w:sz w:val="24"/>
          <w:szCs w:val="24"/>
        </w:rPr>
        <w:fldChar w:fldCharType="end"/>
      </w:r>
      <w:r w:rsidR="00D705C7">
        <w:rPr>
          <w:rFonts w:asciiTheme="majorBidi" w:hAnsiTheme="majorBidi" w:cstheme="majorBidi"/>
          <w:sz w:val="24"/>
          <w:szCs w:val="24"/>
        </w:rPr>
        <w:t xml:space="preserve">. To maintain comparability across countries, we defined skilled birth attendance as births attended by a doctor, nurse, or auxiliary midwife for the most recent birth available. Antenatal care was defined amongst the most recent birth as 4+ antenatal care visits, while postnatal care was defined as a maternal check-up within 48 hours of the most recent delivery by a health professional (doctor, nurse, or auxiliary midwife). </w:t>
      </w:r>
      <w:r w:rsidR="004062FF">
        <w:rPr>
          <w:rFonts w:asciiTheme="majorBidi" w:hAnsiTheme="majorBidi" w:cstheme="majorBidi"/>
          <w:sz w:val="24"/>
          <w:szCs w:val="24"/>
        </w:rPr>
        <w:t>F</w:t>
      </w:r>
      <w:r w:rsidR="00D705C7">
        <w:rPr>
          <w:rFonts w:asciiTheme="majorBidi" w:hAnsiTheme="majorBidi" w:cstheme="majorBidi"/>
          <w:sz w:val="24"/>
          <w:szCs w:val="24"/>
        </w:rPr>
        <w:t>or deliveries occurring at a health facility, we assumed postnatal care was provided by a health professional</w:t>
      </w:r>
      <w:r w:rsidR="00281B58">
        <w:rPr>
          <w:rFonts w:asciiTheme="majorBidi" w:hAnsiTheme="majorBidi" w:cstheme="majorBidi"/>
          <w:sz w:val="24"/>
          <w:szCs w:val="24"/>
        </w:rPr>
        <w:t xml:space="preserve"> (as defined above)</w:t>
      </w:r>
      <w:r w:rsidR="00D705C7">
        <w:rPr>
          <w:rFonts w:asciiTheme="majorBidi" w:hAnsiTheme="majorBidi" w:cstheme="majorBidi"/>
          <w:sz w:val="24"/>
          <w:szCs w:val="24"/>
        </w:rPr>
        <w:t xml:space="preserve"> unless otherwis</w:t>
      </w:r>
      <w:r w:rsidR="004062FF">
        <w:rPr>
          <w:rFonts w:asciiTheme="majorBidi" w:hAnsiTheme="majorBidi" w:cstheme="majorBidi"/>
          <w:sz w:val="24"/>
          <w:szCs w:val="24"/>
        </w:rPr>
        <w:t xml:space="preserve">e specified by the data. Lastly, we report model fit through the Deviance Information Criterion (DIC) values, which provide a measure of goodness-of-fit for Bayesian models, while adjusting for model complexity and effective number of parameters, with smaller DIC values representing better fitting models </w:t>
      </w:r>
      <w:r w:rsidR="004062FF">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uKUZH5Z7","properties":{"formattedCitation":"[39]","plainCitation":"[39]","noteIndex":0},"citationItems":[{"id":118,"uris":["http://zotero.org/users/2783131/items/KVF2UJAH"],"uri":["http://zotero.org/users/2783131/items/KVF2UJAH"],"itemData":{"id":118,"type":"article-journal","title":"Bayesian measures of model complexity and fit","container-title":"Journal of the Royal Statistical Society: Series B (Statistical Methodology)","page":"583-639","volume":"64","issue":"4","source":"Wiley Online Library","abstract":"Summary. We consider the problem of comparing complex hierarchical models in which the number of parameters is not clearly defined. Using an information theoretic argument we derive a measure pD for the effective number of parameters in a model as the difference between the posterior mean of the deviance and the deviance at the posterior means of the parameters of interest. In general pD approximately corresponds to the trace of the product of Fisher's information and the posterior covariance, which in normal models is the trace of the ‘hat’ matrix projecting observations onto fitted values. Its properties in exponential families are explored. The posterior mean deviance is suggested as a Bayesian measure of fit or adequacy, and the contributions of individual observations to the fit and complexity can give rise to a diagnostic plot of deviance residuals against leverages. Adding pD to the posterior mean deviance gives a deviance information criterion for comparing models, which is related to other information criteria and has an approximate decision theoretic justification. The procedure is illustrated in some examples, and comparisons are drawn with alternative Bayesian and classical proposals. Throughout it is emphasized that the quantities required are trivial to compute in a Markov chain Monte Carlo analysis.","DOI":"10.1111/1467-9868.00353","ISSN":"1467-9868","language":"en","author":[{"family":"Spiegelhalter","given":"David J."},{"family":"Best","given":"Nicola G."},{"family":"Carlin","given":"Bradley P."},{"family":"Van Der Linde","given":"Angelika"}],"issued":{"date-parts":[["2002",10,1]]}}}],"schema":"https://github.com/citation-style-language/schema/raw/master/csl-citation.json"} </w:instrText>
      </w:r>
      <w:r w:rsidR="004062FF">
        <w:rPr>
          <w:rFonts w:asciiTheme="majorBidi" w:hAnsiTheme="majorBidi" w:cstheme="majorBidi"/>
          <w:sz w:val="24"/>
          <w:szCs w:val="24"/>
        </w:rPr>
        <w:fldChar w:fldCharType="separate"/>
      </w:r>
      <w:r w:rsidR="00BB1367" w:rsidRPr="0076525E">
        <w:rPr>
          <w:rFonts w:ascii="Times New Roman" w:hAnsi="Times New Roman" w:cs="Times New Roman"/>
          <w:sz w:val="24"/>
        </w:rPr>
        <w:t>[39]</w:t>
      </w:r>
      <w:r w:rsidR="004062FF">
        <w:rPr>
          <w:rFonts w:asciiTheme="majorBidi" w:hAnsiTheme="majorBidi" w:cstheme="majorBidi"/>
          <w:sz w:val="24"/>
          <w:szCs w:val="24"/>
        </w:rPr>
        <w:fldChar w:fldCharType="end"/>
      </w:r>
      <w:r w:rsidR="004062FF">
        <w:rPr>
          <w:rFonts w:asciiTheme="majorBidi" w:hAnsiTheme="majorBidi" w:cstheme="majorBidi"/>
          <w:sz w:val="24"/>
          <w:szCs w:val="24"/>
        </w:rPr>
        <w:t xml:space="preserve">. </w:t>
      </w:r>
    </w:p>
    <w:p w14:paraId="319EFC0B" w14:textId="26806720" w:rsidR="000E1F85" w:rsidRPr="000E1F85" w:rsidRDefault="000E1F85" w:rsidP="004062FF">
      <w:pPr>
        <w:spacing w:line="480" w:lineRule="auto"/>
        <w:rPr>
          <w:rFonts w:asciiTheme="majorBidi" w:hAnsiTheme="majorBidi" w:cstheme="majorBidi"/>
          <w:i/>
          <w:sz w:val="24"/>
          <w:szCs w:val="24"/>
        </w:rPr>
      </w:pPr>
      <w:r>
        <w:rPr>
          <w:rFonts w:asciiTheme="majorBidi" w:hAnsiTheme="majorBidi" w:cstheme="majorBidi"/>
          <w:i/>
          <w:sz w:val="24"/>
          <w:szCs w:val="24"/>
        </w:rPr>
        <w:t>Relative indices of temporal change</w:t>
      </w:r>
    </w:p>
    <w:p w14:paraId="6D4F5353" w14:textId="15B02FCD" w:rsidR="00633B24" w:rsidRDefault="00633B24" w:rsidP="003C1C09">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We </w:t>
      </w:r>
      <w:r w:rsidR="003146DD">
        <w:rPr>
          <w:rFonts w:asciiTheme="majorBidi" w:hAnsiTheme="majorBidi" w:cstheme="majorBidi"/>
          <w:sz w:val="24"/>
          <w:szCs w:val="24"/>
        </w:rPr>
        <w:t>examined</w:t>
      </w:r>
      <w:r>
        <w:rPr>
          <w:rFonts w:asciiTheme="majorBidi" w:hAnsiTheme="majorBidi" w:cstheme="majorBidi"/>
          <w:sz w:val="24"/>
          <w:szCs w:val="24"/>
        </w:rPr>
        <w:t xml:space="preserve"> relative indices of temporal change by </w:t>
      </w:r>
      <w:r w:rsidR="003146DD">
        <w:rPr>
          <w:rFonts w:asciiTheme="majorBidi" w:hAnsiTheme="majorBidi" w:cstheme="majorBidi"/>
          <w:sz w:val="24"/>
          <w:szCs w:val="24"/>
        </w:rPr>
        <w:t>quantifying</w:t>
      </w:r>
      <w:r>
        <w:rPr>
          <w:rFonts w:asciiTheme="majorBidi" w:hAnsiTheme="majorBidi" w:cstheme="majorBidi"/>
          <w:sz w:val="24"/>
          <w:szCs w:val="24"/>
        </w:rPr>
        <w:t xml:space="preserve"> the ratio between </w:t>
      </w:r>
      <w:r w:rsidR="003146DD">
        <w:rPr>
          <w:rFonts w:asciiTheme="majorBidi" w:hAnsiTheme="majorBidi" w:cstheme="majorBidi"/>
          <w:sz w:val="24"/>
          <w:szCs w:val="24"/>
        </w:rPr>
        <w:t xml:space="preserve">best-versus-worst </w:t>
      </w:r>
      <w:r>
        <w:rPr>
          <w:rFonts w:asciiTheme="majorBidi" w:hAnsiTheme="majorBidi" w:cstheme="majorBidi"/>
          <w:sz w:val="24"/>
          <w:szCs w:val="24"/>
        </w:rPr>
        <w:t>modelled</w:t>
      </w:r>
      <w:r w:rsidR="003146DD">
        <w:rPr>
          <w:rFonts w:asciiTheme="majorBidi" w:hAnsiTheme="majorBidi" w:cstheme="majorBidi"/>
          <w:sz w:val="24"/>
          <w:szCs w:val="24"/>
        </w:rPr>
        <w:t xml:space="preserve"> estimates among</w:t>
      </w:r>
      <w:r w:rsidR="001E5933">
        <w:rPr>
          <w:rFonts w:asciiTheme="majorBidi" w:hAnsiTheme="majorBidi" w:cstheme="majorBidi"/>
          <w:sz w:val="24"/>
          <w:szCs w:val="24"/>
        </w:rPr>
        <w:t xml:space="preserve"> district</w:t>
      </w:r>
      <w:r w:rsidR="003146DD">
        <w:rPr>
          <w:rFonts w:asciiTheme="majorBidi" w:hAnsiTheme="majorBidi" w:cstheme="majorBidi"/>
          <w:sz w:val="24"/>
          <w:szCs w:val="24"/>
        </w:rPr>
        <w:t>s</w:t>
      </w:r>
      <w:r>
        <w:rPr>
          <w:rFonts w:asciiTheme="majorBidi" w:hAnsiTheme="majorBidi" w:cstheme="majorBidi"/>
          <w:sz w:val="24"/>
          <w:szCs w:val="24"/>
        </w:rPr>
        <w:t xml:space="preserve">, with larger values representing increased </w:t>
      </w:r>
      <w:r w:rsidR="00B54BCE">
        <w:rPr>
          <w:rFonts w:asciiTheme="majorBidi" w:hAnsiTheme="majorBidi" w:cstheme="majorBidi"/>
          <w:sz w:val="24"/>
          <w:szCs w:val="24"/>
        </w:rPr>
        <w:t>gaps in coverage between districts</w:t>
      </w:r>
      <w:r>
        <w:rPr>
          <w:rFonts w:asciiTheme="majorBidi" w:hAnsiTheme="majorBidi" w:cstheme="majorBidi"/>
          <w:sz w:val="24"/>
          <w:szCs w:val="24"/>
        </w:rPr>
        <w:t xml:space="preserve">, and </w:t>
      </w:r>
      <w:r w:rsidR="003146DD">
        <w:rPr>
          <w:rFonts w:asciiTheme="majorBidi" w:hAnsiTheme="majorBidi" w:cstheme="majorBidi"/>
          <w:sz w:val="24"/>
          <w:szCs w:val="24"/>
        </w:rPr>
        <w:t xml:space="preserve">smaller </w:t>
      </w:r>
      <w:r>
        <w:rPr>
          <w:rFonts w:asciiTheme="majorBidi" w:hAnsiTheme="majorBidi" w:cstheme="majorBidi"/>
          <w:sz w:val="24"/>
          <w:szCs w:val="24"/>
        </w:rPr>
        <w:t xml:space="preserve">values nearing </w:t>
      </w:r>
      <w:r w:rsidR="00B77796">
        <w:rPr>
          <w:rFonts w:asciiTheme="majorBidi" w:hAnsiTheme="majorBidi" w:cstheme="majorBidi"/>
          <w:sz w:val="24"/>
          <w:szCs w:val="24"/>
        </w:rPr>
        <w:t>one</w:t>
      </w:r>
      <w:r>
        <w:rPr>
          <w:rFonts w:asciiTheme="majorBidi" w:hAnsiTheme="majorBidi" w:cstheme="majorBidi"/>
          <w:sz w:val="24"/>
          <w:szCs w:val="24"/>
        </w:rPr>
        <w:t xml:space="preserve"> representing </w:t>
      </w:r>
      <w:r w:rsidR="003146DD">
        <w:rPr>
          <w:rFonts w:asciiTheme="majorBidi" w:hAnsiTheme="majorBidi" w:cstheme="majorBidi"/>
          <w:sz w:val="24"/>
          <w:szCs w:val="24"/>
        </w:rPr>
        <w:t>decreasing</w:t>
      </w:r>
      <w:r>
        <w:rPr>
          <w:rFonts w:asciiTheme="majorBidi" w:hAnsiTheme="majorBidi" w:cstheme="majorBidi"/>
          <w:sz w:val="24"/>
          <w:szCs w:val="24"/>
        </w:rPr>
        <w:t xml:space="preserve"> </w:t>
      </w:r>
      <w:r w:rsidR="003C1C09">
        <w:rPr>
          <w:rFonts w:asciiTheme="majorBidi" w:hAnsiTheme="majorBidi" w:cstheme="majorBidi"/>
          <w:sz w:val="24"/>
          <w:szCs w:val="24"/>
        </w:rPr>
        <w:t xml:space="preserve">spatial </w:t>
      </w:r>
      <w:r w:rsidR="003146DD">
        <w:rPr>
          <w:rFonts w:asciiTheme="majorBidi" w:hAnsiTheme="majorBidi" w:cstheme="majorBidi"/>
          <w:sz w:val="24"/>
          <w:szCs w:val="24"/>
        </w:rPr>
        <w:t>in</w:t>
      </w:r>
      <w:r>
        <w:rPr>
          <w:rFonts w:asciiTheme="majorBidi" w:hAnsiTheme="majorBidi" w:cstheme="majorBidi"/>
          <w:sz w:val="24"/>
          <w:szCs w:val="24"/>
        </w:rPr>
        <w:t>equality.</w:t>
      </w:r>
      <w:r w:rsidR="003C1C09">
        <w:rPr>
          <w:rFonts w:asciiTheme="majorBidi" w:hAnsiTheme="majorBidi" w:cstheme="majorBidi"/>
          <w:sz w:val="24"/>
          <w:szCs w:val="24"/>
        </w:rPr>
        <w:t xml:space="preserve"> We further</w:t>
      </w:r>
      <w:r>
        <w:rPr>
          <w:rFonts w:asciiTheme="majorBidi" w:hAnsiTheme="majorBidi" w:cstheme="majorBidi"/>
          <w:sz w:val="24"/>
          <w:szCs w:val="24"/>
        </w:rPr>
        <w:t xml:space="preserve"> </w:t>
      </w:r>
      <w:r w:rsidR="003C1C09">
        <w:rPr>
          <w:rFonts w:asciiTheme="majorBidi" w:hAnsiTheme="majorBidi" w:cstheme="majorBidi"/>
          <w:sz w:val="24"/>
          <w:szCs w:val="24"/>
        </w:rPr>
        <w:t>examined</w:t>
      </w:r>
      <w:r>
        <w:rPr>
          <w:rFonts w:asciiTheme="majorBidi" w:hAnsiTheme="majorBidi" w:cstheme="majorBidi"/>
          <w:sz w:val="24"/>
          <w:szCs w:val="24"/>
        </w:rPr>
        <w:t xml:space="preserve"> the </w:t>
      </w:r>
      <w:r w:rsidR="003C1C09">
        <w:rPr>
          <w:rFonts w:asciiTheme="majorBidi" w:hAnsiTheme="majorBidi" w:cstheme="majorBidi"/>
          <w:sz w:val="24"/>
          <w:szCs w:val="24"/>
        </w:rPr>
        <w:t xml:space="preserve">temporal trend of spatial effects by reporting </w:t>
      </w:r>
      <w:r>
        <w:rPr>
          <w:rFonts w:asciiTheme="majorBidi" w:hAnsiTheme="majorBidi" w:cstheme="majorBidi"/>
          <w:sz w:val="24"/>
          <w:szCs w:val="24"/>
        </w:rPr>
        <w:t>univariate logistic odds ratio</w:t>
      </w:r>
      <w:r w:rsidR="007D76D2">
        <w:rPr>
          <w:rFonts w:asciiTheme="majorBidi" w:hAnsiTheme="majorBidi" w:cstheme="majorBidi"/>
          <w:sz w:val="24"/>
          <w:szCs w:val="24"/>
        </w:rPr>
        <w:t xml:space="preserve"> (OR)</w:t>
      </w:r>
      <w:r>
        <w:rPr>
          <w:rFonts w:asciiTheme="majorBidi" w:hAnsiTheme="majorBidi" w:cstheme="majorBidi"/>
          <w:sz w:val="24"/>
          <w:szCs w:val="24"/>
        </w:rPr>
        <w:t xml:space="preserve"> </w:t>
      </w:r>
      <w:r w:rsidR="003C1C09">
        <w:rPr>
          <w:rFonts w:asciiTheme="majorBidi" w:hAnsiTheme="majorBidi" w:cstheme="majorBidi"/>
          <w:sz w:val="24"/>
          <w:szCs w:val="24"/>
        </w:rPr>
        <w:t xml:space="preserve">using the ‘lme4’ package in R software </w:t>
      </w:r>
      <w:r w:rsidR="003C1C09">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a2kg5vf6nvq","properties":{"formattedCitation":"[40]","plainCitation":"[40]","noteIndex":0},"citationItems":[{"id":399,"uris":["http://zotero.org/users/2783131/items/HB5SVM6X"],"uri":["http://zotero.org/users/2783131/items/HB5SVM6X"],"itemData":{"id":399,"type":"article-journal","title":"Fitting Linear Mixed-Effects Models using lme4","container-title":"arXiv:1406.5823 [stat]","source":"arXiv.org","abstract":"Maximum likelihood or restricted maximum likelihood (REML) estimates of the parameters in linear mixed-effects models can be determined using the lmer function in the lme4 package for R. As for most model-fitting functions in R, the model is described in an lmer call by a formula, in this case including both fixed- and random-effects terms. The formula and data together determine a numerical representation of the model from which the profiled deviance or the profiled REML criterion can be evaluated as a function of some of the model parameters. The appropriate criterion is optimized, using one of the constrained optimization functions in R, to provide the parameter estimates. We describe the structure of the model, the steps in evaluating the profiled deviance or REML criterion, and the structure of classes or types that represents such a model. Sufficient detail is included to allow specialization of these structures by users who wish to write functions to fit specialized linear mixed models, such as models incorporating pedigrees or smoothing splines, that are not easily expressible in the formula language used by lmer.","URL":"http://arxiv.org/abs/1406.5823","note":"arXiv: 1406.5823","author":[{"family":"Bates","given":"Douglas"},{"family":"Mächler","given":"Martin"},{"family":"Bolker","given":"Ben"},{"family":"Walker","given":"Steve"}],"issued":{"date-parts":[["2014",6,23]]},"accessed":{"date-parts":[["2016",2,24]]}}}],"schema":"https://github.com/citation-style-language/schema/raw/master/csl-citation.json"} </w:instrText>
      </w:r>
      <w:r w:rsidR="003C1C09">
        <w:rPr>
          <w:rFonts w:asciiTheme="majorBidi" w:hAnsiTheme="majorBidi" w:cstheme="majorBidi"/>
          <w:sz w:val="24"/>
          <w:szCs w:val="24"/>
        </w:rPr>
        <w:fldChar w:fldCharType="separate"/>
      </w:r>
      <w:r w:rsidR="00BB1367" w:rsidRPr="0076525E">
        <w:rPr>
          <w:rFonts w:ascii="Times New Roman" w:hAnsi="Times New Roman" w:cs="Times New Roman"/>
          <w:sz w:val="24"/>
        </w:rPr>
        <w:t>[40]</w:t>
      </w:r>
      <w:r w:rsidR="003C1C09">
        <w:rPr>
          <w:rFonts w:asciiTheme="majorBidi" w:hAnsiTheme="majorBidi" w:cstheme="majorBidi"/>
          <w:sz w:val="24"/>
          <w:szCs w:val="24"/>
        </w:rPr>
        <w:fldChar w:fldCharType="end"/>
      </w:r>
      <w:r w:rsidR="003C1C09">
        <w:rPr>
          <w:rFonts w:asciiTheme="majorBidi" w:hAnsiTheme="majorBidi" w:cstheme="majorBidi"/>
          <w:sz w:val="24"/>
          <w:szCs w:val="24"/>
        </w:rPr>
        <w:t xml:space="preserve"> for</w:t>
      </w:r>
      <w:r>
        <w:rPr>
          <w:rFonts w:asciiTheme="majorBidi" w:hAnsiTheme="majorBidi" w:cstheme="majorBidi"/>
          <w:sz w:val="24"/>
          <w:szCs w:val="24"/>
        </w:rPr>
        <w:t xml:space="preserve"> each outcome and time point available. Similar approaches have been used by</w:t>
      </w:r>
      <w:r w:rsidR="00B06245">
        <w:rPr>
          <w:rFonts w:asciiTheme="majorBidi" w:hAnsiTheme="majorBidi" w:cstheme="majorBidi"/>
          <w:sz w:val="24"/>
          <w:szCs w:val="24"/>
        </w:rPr>
        <w:t xml:space="preserve"> researchers at</w:t>
      </w:r>
      <w:r>
        <w:rPr>
          <w:rFonts w:asciiTheme="majorBidi" w:hAnsiTheme="majorBidi" w:cstheme="majorBidi"/>
          <w:sz w:val="24"/>
          <w:szCs w:val="24"/>
        </w:rPr>
        <w:t xml:space="preserve"> the DHS</w:t>
      </w:r>
      <w:r w:rsidR="003C1C09">
        <w:rPr>
          <w:rFonts w:asciiTheme="majorBidi" w:hAnsiTheme="majorBidi" w:cstheme="majorBidi"/>
          <w:sz w:val="24"/>
          <w:szCs w:val="24"/>
        </w:rPr>
        <w:t xml:space="preserve"> </w:t>
      </w:r>
      <w:r w:rsidR="003A5D88">
        <w:rPr>
          <w:rFonts w:asciiTheme="majorBidi" w:hAnsiTheme="majorBidi" w:cstheme="majorBidi"/>
          <w:sz w:val="24"/>
          <w:szCs w:val="24"/>
        </w:rPr>
        <w:t>p</w:t>
      </w:r>
      <w:r w:rsidR="003C1C09">
        <w:rPr>
          <w:rFonts w:asciiTheme="majorBidi" w:hAnsiTheme="majorBidi" w:cstheme="majorBidi"/>
          <w:sz w:val="24"/>
          <w:szCs w:val="24"/>
        </w:rPr>
        <w:t>rogram</w:t>
      </w:r>
      <w:r w:rsidR="00B06245">
        <w:rPr>
          <w:rFonts w:asciiTheme="majorBidi" w:hAnsiTheme="majorBidi" w:cstheme="majorBidi"/>
          <w:sz w:val="24"/>
          <w:szCs w:val="24"/>
        </w:rPr>
        <w:t xml:space="preserve"> </w:t>
      </w:r>
      <w:r w:rsidR="00B06245">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a1sk9h4elij","properties":{"formattedCitation":"[7]","plainCitation":"[7]","noteIndex":0},"citationItems":[{"id":196,"uris":["http://zotero.org/users/2783131/items/FB3EPJSW"],"uri":["http://zotero.org/users/2783131/items/FB3EPJSW"],"itemData":{"id":196,"type":"report","title":"Levels and Trends in Maternal and Child Health Disparities by Wealth and Region in Eleven Countries with DHS Surveys","publisher":"ICF International","publisher-place":"Rockville, Maryland, USA","event-place":"Rockville, Maryland, USA","URL":"https://www.dhsprogram.com/pubs/pdf/CR42/CR42.pdf","number":"DHS Comparative Report No 42","author":[{"family":"Assaf","given":"S"},{"family":"Pullum","given":"T"}],"issued":{"date-parts":[["2016"]]},"accessed":{"date-parts":[["2017",3,13]]}}}],"schema":"https://github.com/citation-style-language/schema/raw/master/csl-citation.json"} </w:instrText>
      </w:r>
      <w:r w:rsidR="00B06245">
        <w:rPr>
          <w:rFonts w:asciiTheme="majorBidi" w:hAnsiTheme="majorBidi" w:cstheme="majorBidi"/>
          <w:sz w:val="24"/>
          <w:szCs w:val="24"/>
        </w:rPr>
        <w:fldChar w:fldCharType="separate"/>
      </w:r>
      <w:r w:rsidR="00197416" w:rsidRPr="0076525E">
        <w:rPr>
          <w:rFonts w:ascii="Times New Roman" w:hAnsi="Times New Roman" w:cs="Times New Roman"/>
          <w:sz w:val="24"/>
        </w:rPr>
        <w:t>[7]</w:t>
      </w:r>
      <w:r w:rsidR="00B06245">
        <w:rPr>
          <w:rFonts w:asciiTheme="majorBidi" w:hAnsiTheme="majorBidi" w:cstheme="majorBidi"/>
          <w:sz w:val="24"/>
          <w:szCs w:val="24"/>
        </w:rPr>
        <w:fldChar w:fldCharType="end"/>
      </w:r>
      <w:r>
        <w:rPr>
          <w:rFonts w:asciiTheme="majorBidi" w:hAnsiTheme="majorBidi" w:cstheme="majorBidi"/>
          <w:sz w:val="24"/>
          <w:szCs w:val="24"/>
        </w:rPr>
        <w:t xml:space="preserve"> to </w:t>
      </w:r>
      <w:r w:rsidR="003A5D88">
        <w:rPr>
          <w:rFonts w:asciiTheme="majorBidi" w:hAnsiTheme="majorBidi" w:cstheme="majorBidi"/>
          <w:sz w:val="24"/>
          <w:szCs w:val="24"/>
        </w:rPr>
        <w:t xml:space="preserve">temporally </w:t>
      </w:r>
      <w:r>
        <w:rPr>
          <w:rFonts w:asciiTheme="majorBidi" w:hAnsiTheme="majorBidi" w:cstheme="majorBidi"/>
          <w:sz w:val="24"/>
          <w:szCs w:val="24"/>
        </w:rPr>
        <w:t>examine</w:t>
      </w:r>
      <w:r w:rsidR="003C1C09">
        <w:rPr>
          <w:rFonts w:asciiTheme="majorBidi" w:hAnsiTheme="majorBidi" w:cstheme="majorBidi"/>
          <w:sz w:val="24"/>
          <w:szCs w:val="24"/>
        </w:rPr>
        <w:t xml:space="preserve"> socioeconomic</w:t>
      </w:r>
      <w:r>
        <w:rPr>
          <w:rFonts w:asciiTheme="majorBidi" w:hAnsiTheme="majorBidi" w:cstheme="majorBidi"/>
          <w:sz w:val="24"/>
          <w:szCs w:val="24"/>
        </w:rPr>
        <w:t xml:space="preserve"> </w:t>
      </w:r>
      <w:r w:rsidR="003A5D88">
        <w:rPr>
          <w:rFonts w:asciiTheme="majorBidi" w:hAnsiTheme="majorBidi" w:cstheme="majorBidi"/>
          <w:sz w:val="24"/>
          <w:szCs w:val="24"/>
        </w:rPr>
        <w:t>inequalities such as wealth in MNH. These analyses have reported</w:t>
      </w:r>
      <w:r>
        <w:rPr>
          <w:rFonts w:asciiTheme="majorBidi" w:hAnsiTheme="majorBidi" w:cstheme="majorBidi"/>
          <w:sz w:val="24"/>
          <w:szCs w:val="24"/>
        </w:rPr>
        <w:t xml:space="preserve"> coefficients for the richest quintiles as compared to the poorest, with values overlapping zero representing no </w:t>
      </w:r>
      <w:r w:rsidR="003A5D88">
        <w:rPr>
          <w:rFonts w:asciiTheme="majorBidi" w:hAnsiTheme="majorBidi" w:cstheme="majorBidi"/>
          <w:sz w:val="24"/>
          <w:szCs w:val="24"/>
        </w:rPr>
        <w:t xml:space="preserve">statistically </w:t>
      </w:r>
      <w:r>
        <w:rPr>
          <w:rFonts w:asciiTheme="majorBidi" w:hAnsiTheme="majorBidi" w:cstheme="majorBidi"/>
          <w:sz w:val="24"/>
          <w:szCs w:val="24"/>
        </w:rPr>
        <w:t xml:space="preserve">significant difference in </w:t>
      </w:r>
      <w:r w:rsidR="003C6016">
        <w:rPr>
          <w:rFonts w:asciiTheme="majorBidi" w:hAnsiTheme="majorBidi" w:cstheme="majorBidi"/>
          <w:sz w:val="24"/>
          <w:szCs w:val="24"/>
        </w:rPr>
        <w:t xml:space="preserve">services </w:t>
      </w:r>
      <w:r>
        <w:rPr>
          <w:rFonts w:asciiTheme="majorBidi" w:hAnsiTheme="majorBidi" w:cstheme="majorBidi"/>
          <w:sz w:val="24"/>
          <w:szCs w:val="24"/>
        </w:rPr>
        <w:t xml:space="preserve">as predicted by wealth. We </w:t>
      </w:r>
      <w:r w:rsidR="003A5D88">
        <w:rPr>
          <w:rFonts w:asciiTheme="majorBidi" w:hAnsiTheme="majorBidi" w:cstheme="majorBidi"/>
          <w:sz w:val="24"/>
          <w:szCs w:val="24"/>
        </w:rPr>
        <w:t>similarly</w:t>
      </w:r>
      <w:r>
        <w:rPr>
          <w:rFonts w:asciiTheme="majorBidi" w:hAnsiTheme="majorBidi" w:cstheme="majorBidi"/>
          <w:sz w:val="24"/>
          <w:szCs w:val="24"/>
        </w:rPr>
        <w:t xml:space="preserve"> report coefficients</w:t>
      </w:r>
      <w:r w:rsidR="003A5D88">
        <w:rPr>
          <w:rFonts w:asciiTheme="majorBidi" w:hAnsiTheme="majorBidi" w:cstheme="majorBidi"/>
          <w:sz w:val="24"/>
          <w:szCs w:val="24"/>
        </w:rPr>
        <w:t xml:space="preserve"> for</w:t>
      </w:r>
      <w:r>
        <w:rPr>
          <w:rFonts w:asciiTheme="majorBidi" w:hAnsiTheme="majorBidi" w:cstheme="majorBidi"/>
          <w:sz w:val="24"/>
          <w:szCs w:val="24"/>
        </w:rPr>
        <w:t xml:space="preserve"> </w:t>
      </w:r>
      <w:r w:rsidR="003A5D88">
        <w:rPr>
          <w:rFonts w:asciiTheme="majorBidi" w:hAnsiTheme="majorBidi" w:cstheme="majorBidi"/>
          <w:sz w:val="24"/>
          <w:szCs w:val="24"/>
        </w:rPr>
        <w:t xml:space="preserve">DHS region with the best-performing (or highest coverage) </w:t>
      </w:r>
      <w:r>
        <w:rPr>
          <w:rFonts w:asciiTheme="majorBidi" w:hAnsiTheme="majorBidi" w:cstheme="majorBidi"/>
          <w:sz w:val="24"/>
          <w:szCs w:val="24"/>
        </w:rPr>
        <w:t>for each outcome, as compared to the worst-performing</w:t>
      </w:r>
      <w:r w:rsidR="003A5D88">
        <w:rPr>
          <w:rFonts w:asciiTheme="majorBidi" w:hAnsiTheme="majorBidi" w:cstheme="majorBidi"/>
          <w:sz w:val="24"/>
          <w:szCs w:val="24"/>
        </w:rPr>
        <w:t xml:space="preserve"> (or lowest coverage)</w:t>
      </w:r>
      <w:r>
        <w:rPr>
          <w:rFonts w:asciiTheme="majorBidi" w:hAnsiTheme="majorBidi" w:cstheme="majorBidi"/>
          <w:sz w:val="24"/>
          <w:szCs w:val="24"/>
        </w:rPr>
        <w:t xml:space="preserve"> region, representing</w:t>
      </w:r>
      <w:r w:rsidR="003A5D88">
        <w:rPr>
          <w:rFonts w:asciiTheme="majorBidi" w:hAnsiTheme="majorBidi" w:cstheme="majorBidi"/>
          <w:sz w:val="24"/>
          <w:szCs w:val="24"/>
        </w:rPr>
        <w:t xml:space="preserve"> temporal trends in</w:t>
      </w:r>
      <w:r>
        <w:rPr>
          <w:rFonts w:asciiTheme="majorBidi" w:hAnsiTheme="majorBidi" w:cstheme="majorBidi"/>
          <w:sz w:val="24"/>
          <w:szCs w:val="24"/>
        </w:rPr>
        <w:t xml:space="preserve"> spatial </w:t>
      </w:r>
      <w:r w:rsidR="003A5D88">
        <w:rPr>
          <w:rFonts w:asciiTheme="majorBidi" w:hAnsiTheme="majorBidi" w:cstheme="majorBidi"/>
          <w:sz w:val="24"/>
          <w:szCs w:val="24"/>
        </w:rPr>
        <w:t xml:space="preserve">inequalities </w:t>
      </w:r>
      <w:r>
        <w:rPr>
          <w:rFonts w:asciiTheme="majorBidi" w:hAnsiTheme="majorBidi" w:cstheme="majorBidi"/>
          <w:sz w:val="24"/>
          <w:szCs w:val="24"/>
        </w:rPr>
        <w:t xml:space="preserve">divorced of </w:t>
      </w:r>
      <w:r w:rsidR="003A5D88">
        <w:rPr>
          <w:rFonts w:asciiTheme="majorBidi" w:hAnsiTheme="majorBidi" w:cstheme="majorBidi"/>
          <w:sz w:val="24"/>
          <w:szCs w:val="24"/>
        </w:rPr>
        <w:t>modelled</w:t>
      </w:r>
      <w:r>
        <w:rPr>
          <w:rFonts w:asciiTheme="majorBidi" w:hAnsiTheme="majorBidi" w:cstheme="majorBidi"/>
          <w:sz w:val="24"/>
          <w:szCs w:val="24"/>
        </w:rPr>
        <w:t xml:space="preserve"> estimates.</w:t>
      </w:r>
      <w:r w:rsidR="0019364A">
        <w:rPr>
          <w:rFonts w:asciiTheme="majorBidi" w:hAnsiTheme="majorBidi" w:cstheme="majorBidi"/>
          <w:sz w:val="24"/>
          <w:szCs w:val="24"/>
        </w:rPr>
        <w:t xml:space="preserve"> Specifically, we define</w:t>
      </w:r>
      <w:r w:rsidR="00525B01">
        <w:rPr>
          <w:rFonts w:asciiTheme="majorBidi" w:hAnsiTheme="majorBidi" w:cstheme="majorBidi"/>
          <w:sz w:val="24"/>
          <w:szCs w:val="24"/>
        </w:rPr>
        <w:t>d</w:t>
      </w:r>
      <w:r w:rsidR="0019364A">
        <w:rPr>
          <w:rFonts w:asciiTheme="majorBidi" w:hAnsiTheme="majorBidi" w:cstheme="majorBidi"/>
          <w:sz w:val="24"/>
          <w:szCs w:val="24"/>
        </w:rPr>
        <w:t xml:space="preserve"> coverage as the proportion of women in the sample accessing a given service—for example, 90% of women reporting skilled attendance at birth would correspond to 90% coverage for this indicator.</w:t>
      </w:r>
      <w:r>
        <w:rPr>
          <w:rFonts w:asciiTheme="majorBidi" w:hAnsiTheme="majorBidi" w:cstheme="majorBidi"/>
          <w:sz w:val="24"/>
          <w:szCs w:val="24"/>
        </w:rPr>
        <w:t xml:space="preserve"> </w:t>
      </w:r>
      <w:r w:rsidR="00CE7E1F">
        <w:rPr>
          <w:rFonts w:asciiTheme="majorBidi" w:hAnsiTheme="majorBidi" w:cstheme="majorBidi"/>
          <w:sz w:val="24"/>
          <w:szCs w:val="24"/>
        </w:rPr>
        <w:t>DHS r</w:t>
      </w:r>
      <w:r>
        <w:rPr>
          <w:rFonts w:asciiTheme="majorBidi" w:hAnsiTheme="majorBidi" w:cstheme="majorBidi"/>
          <w:sz w:val="24"/>
          <w:szCs w:val="24"/>
        </w:rPr>
        <w:t>egions used for reference and coefficients re</w:t>
      </w:r>
      <w:r w:rsidR="003A5D88">
        <w:rPr>
          <w:rFonts w:asciiTheme="majorBidi" w:hAnsiTheme="majorBidi" w:cstheme="majorBidi"/>
          <w:sz w:val="24"/>
          <w:szCs w:val="24"/>
        </w:rPr>
        <w:t>ported are outlined in Table A-1</w:t>
      </w:r>
      <w:r>
        <w:rPr>
          <w:rFonts w:asciiTheme="majorBidi" w:hAnsiTheme="majorBidi" w:cstheme="majorBidi"/>
          <w:sz w:val="24"/>
          <w:szCs w:val="24"/>
        </w:rPr>
        <w:t xml:space="preserve"> (see Appendix). </w:t>
      </w:r>
      <w:r w:rsidR="00CE7E1F">
        <w:rPr>
          <w:rFonts w:asciiTheme="majorBidi" w:hAnsiTheme="majorBidi" w:cstheme="majorBidi"/>
          <w:sz w:val="24"/>
          <w:szCs w:val="24"/>
        </w:rPr>
        <w:t xml:space="preserve">More information on region boundaries used by the DHS can be found at </w:t>
      </w:r>
      <w:hyperlink r:id="rId16" w:history="1">
        <w:r w:rsidR="00CE7E1F" w:rsidRPr="00F649E9">
          <w:rPr>
            <w:rStyle w:val="Hyperlink"/>
            <w:rFonts w:asciiTheme="majorBidi" w:hAnsiTheme="majorBidi" w:cstheme="majorBidi"/>
            <w:sz w:val="24"/>
            <w:szCs w:val="24"/>
          </w:rPr>
          <w:t>spatialdata.dhsprogram.com/boundaries</w:t>
        </w:r>
      </w:hyperlink>
      <w:r w:rsidR="00CE7E1F">
        <w:rPr>
          <w:rFonts w:asciiTheme="majorBidi" w:hAnsiTheme="majorBidi" w:cstheme="majorBidi"/>
          <w:sz w:val="24"/>
          <w:szCs w:val="24"/>
        </w:rPr>
        <w:t xml:space="preserve">. </w:t>
      </w:r>
      <w:r>
        <w:rPr>
          <w:rFonts w:asciiTheme="majorBidi" w:hAnsiTheme="majorBidi" w:cstheme="majorBidi"/>
          <w:sz w:val="24"/>
          <w:szCs w:val="24"/>
        </w:rPr>
        <w:t>In these analyses, values overlapping zero represent no significant</w:t>
      </w:r>
      <w:r w:rsidR="003A5D88">
        <w:rPr>
          <w:rFonts w:asciiTheme="majorBidi" w:hAnsiTheme="majorBidi" w:cstheme="majorBidi"/>
          <w:sz w:val="24"/>
          <w:szCs w:val="24"/>
        </w:rPr>
        <w:t xml:space="preserve"> effect of space in predicting odds of MNH outcome use</w:t>
      </w:r>
      <w:r>
        <w:rPr>
          <w:rFonts w:asciiTheme="majorBidi" w:hAnsiTheme="majorBidi" w:cstheme="majorBidi"/>
          <w:sz w:val="24"/>
          <w:szCs w:val="24"/>
        </w:rPr>
        <w:t xml:space="preserve">, </w:t>
      </w:r>
      <w:r w:rsidR="003A5D88">
        <w:rPr>
          <w:rFonts w:asciiTheme="majorBidi" w:hAnsiTheme="majorBidi" w:cstheme="majorBidi"/>
          <w:sz w:val="24"/>
          <w:szCs w:val="24"/>
        </w:rPr>
        <w:t>while</w:t>
      </w:r>
      <w:r>
        <w:rPr>
          <w:rFonts w:asciiTheme="majorBidi" w:hAnsiTheme="majorBidi" w:cstheme="majorBidi"/>
          <w:sz w:val="24"/>
          <w:szCs w:val="24"/>
        </w:rPr>
        <w:t xml:space="preserve"> increasing values represent </w:t>
      </w:r>
      <w:r w:rsidR="003A5D88">
        <w:rPr>
          <w:rFonts w:asciiTheme="majorBidi" w:hAnsiTheme="majorBidi" w:cstheme="majorBidi"/>
          <w:sz w:val="24"/>
          <w:szCs w:val="24"/>
        </w:rPr>
        <w:t xml:space="preserve">a greater effect of space alone in predicting </w:t>
      </w:r>
      <w:r w:rsidR="003C6016">
        <w:rPr>
          <w:rFonts w:asciiTheme="majorBidi" w:hAnsiTheme="majorBidi" w:cstheme="majorBidi"/>
          <w:sz w:val="24"/>
          <w:szCs w:val="24"/>
        </w:rPr>
        <w:t>service utilisation</w:t>
      </w:r>
      <w:r>
        <w:rPr>
          <w:rFonts w:asciiTheme="majorBidi" w:hAnsiTheme="majorBidi" w:cstheme="majorBidi"/>
          <w:sz w:val="24"/>
          <w:szCs w:val="24"/>
        </w:rPr>
        <w:t>.</w:t>
      </w:r>
    </w:p>
    <w:p w14:paraId="727AD63F" w14:textId="66F13C47" w:rsidR="007F209A" w:rsidRDefault="007F209A" w:rsidP="0076525E">
      <w:pPr>
        <w:spacing w:line="480" w:lineRule="auto"/>
        <w:rPr>
          <w:rFonts w:asciiTheme="majorBidi" w:hAnsiTheme="majorBidi" w:cstheme="majorBidi"/>
          <w:i/>
          <w:sz w:val="24"/>
          <w:szCs w:val="24"/>
        </w:rPr>
      </w:pPr>
      <w:r>
        <w:rPr>
          <w:rFonts w:asciiTheme="majorBidi" w:hAnsiTheme="majorBidi" w:cstheme="majorBidi"/>
          <w:i/>
          <w:sz w:val="24"/>
          <w:szCs w:val="24"/>
        </w:rPr>
        <w:t>Validation</w:t>
      </w:r>
    </w:p>
    <w:p w14:paraId="4FA264E8" w14:textId="176D3965" w:rsidR="007F209A" w:rsidRPr="007F209A" w:rsidRDefault="007F209A" w:rsidP="0076525E">
      <w:pPr>
        <w:spacing w:line="480" w:lineRule="auto"/>
        <w:rPr>
          <w:rFonts w:asciiTheme="majorBidi" w:hAnsiTheme="majorBidi" w:cstheme="majorBidi"/>
          <w:sz w:val="24"/>
          <w:szCs w:val="24"/>
        </w:rPr>
      </w:pPr>
      <w:r>
        <w:rPr>
          <w:rFonts w:asciiTheme="majorBidi" w:hAnsiTheme="majorBidi" w:cstheme="majorBidi"/>
          <w:sz w:val="24"/>
          <w:szCs w:val="24"/>
        </w:rPr>
        <w:t>To validate model performance, we</w:t>
      </w:r>
      <w:r w:rsidRPr="007F209A">
        <w:rPr>
          <w:rFonts w:asciiTheme="majorBidi" w:hAnsiTheme="majorBidi" w:cstheme="majorBidi"/>
          <w:sz w:val="24"/>
          <w:szCs w:val="24"/>
        </w:rPr>
        <w:t xml:space="preserve"> employed an out-of-sample validation technique, where 25% of the data were removed for validation purposes, while the remaining 75%</w:t>
      </w:r>
      <w:r>
        <w:rPr>
          <w:rFonts w:asciiTheme="majorBidi" w:hAnsiTheme="majorBidi" w:cstheme="majorBidi"/>
          <w:sz w:val="24"/>
          <w:szCs w:val="24"/>
        </w:rPr>
        <w:t xml:space="preserve"> were used for model training. We</w:t>
      </w:r>
      <w:r w:rsidRPr="007F209A">
        <w:rPr>
          <w:rFonts w:asciiTheme="majorBidi" w:hAnsiTheme="majorBidi" w:cstheme="majorBidi"/>
          <w:sz w:val="24"/>
          <w:szCs w:val="24"/>
        </w:rPr>
        <w:t xml:space="preserve"> report standard validation statistics, including mean absolute error (MAE), mean square error (MSE), and pseudo-R2. Previous studies</w:t>
      </w:r>
      <w:r w:rsidR="000A55C2">
        <w:rPr>
          <w:rFonts w:asciiTheme="majorBidi" w:hAnsiTheme="majorBidi" w:cstheme="majorBidi"/>
          <w:sz w:val="24"/>
          <w:szCs w:val="24"/>
        </w:rPr>
        <w:t xml:space="preserve"> </w:t>
      </w:r>
      <w:r w:rsidR="000A55C2">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{"citationID":"5m9g7ZsV","properties":{"formattedCitation":"[16, 41]","plainCitation":"[16, 41]","noteIndex":0},"citationItems":[{"id":184,"uris":["http://zotero.org/users/2783131/items/HVVTDSTU"],"uri":["http://zotero.org/users/2783131/items/HVVTDSTU"],"itemData":{"id":184,"type":"report","title":"Creating Spatial Interpolation Surfaces with DHS Data","collection-title":"Creating Spatial Interpolation Surfaces with DHS Data","publisher":"ICF International","publisher-place":"Rockville, Maryland, USA","event-place":"Rockville, Maryland, USA","URL":"http://dhsprogram.com/pubs/pdf/SAR11/SAR11.pdf","number":"SAR 11","author":[{"family":"Gething","given":"Peter"},{"family":"Tatem","given":"Andrew"},{"family":"Bird","given":"Tom"},{"family":"Burgert","given":"Clara"}],"issued":{"date-parts":[["2015"]]},"accessed":{"date-parts":[["2017",3,28]]}}},{"id":1055,"uris":["http://zotero.org/users/2783131/items/MKKY9D9J"],"uri":["http://zotero.org/users/2783131/items/MKKY9D9J"],"itemData":{"id":1055,"type":"article-journal","title":"Exploring the high-resolution mapping of gender-disaggregated development indicators","container-title":"Journal of The Royal Society Interface","page":"20160825","volume":"14","issue":"129","source":"rsif.royalsocietypublishing.org","abstract":"Improved understanding of geographical variation and inequity in health status, wealth and access to resources within countries is increasingly being recognized as central to meeting development goals. Development and health indicators assessed at national or subnational scale can often conceal important inequities, with the rural poor often least well represented. The ability to target limited resources is fundamental, especially in an international context where funding for health and development comes under pressure. This has recently prompted the exploration of the potential of spatial interpolation methods based on geolocated clusters from national household survey data for the high-resolution mapping of features such as population age structures, vaccination coverage and access to sanitation. It remains unclear, however, how predictable these different factors are across different settings, variables and between demographic groups. Here we test the accuracy of spatial interpolation methods in producing gender-disaggregated high-resolution maps of the rates of literacy, stunting and the use of modern contraceptive methods from a combination of geolocated demographic and health surveys cluster data and geospatial covariates. Bayesian geostatistical and machine learning modelling methods were tested across four low-income countries and varying gridded environmental and socio-economic covariate datasets to build 1×1 km spatial resolution maps with uncertainty estimates. Results show the potential of the approach in producing high-resolution maps of key gender-disaggregated socio-economic indicators, with explained variance through cross-validation being as high as 74–75% for female literacy in Nigeria and Kenya, and in the 50–70% range for many other variables. However, substantial variations by both country and variable were seen, with many variables showing poor mapping accuracies in the range of 2–30% explained variance using both geostatistical and machine learning approaches. The analyses offer a robust basis for the construction of timely maps with levels of detail that support geographically stratified decision-making and the monitoring of progress towards development goals. However, the great variability in results between countries and variables highlights the challenges in applying these interpolation methods universally across multiple countries, and the importance of validation and quantifying uncertainty if this is undertaken.","DOI":"10.1098/rsif.2016.0825","ISSN":"1742-5689, 1742-5662","note":"PMID: 28381641","language":"en","author":[{"family":"Bosco","given":"C."},{"family":"Alegana","given":"V."},{"family":"Bird","given":"T."},{"family":"Pezzulo","given":"C."},{"family":"Bengtsson","given":"L."},{"family":"Sorichetta","given":"A."},{"family":"Steele","given":"J."},{"family":"Hornby","given":"G."},{"family":"Ruktanonchai","given":"C."},{"family":"Ruktanonchai","given":"N."},{"family":"Wetter","given":"E."},{"family":"Tatem","given":"A. J."}],"issued":{"date-parts":[["2017",4,1]]}}}],"schema":"https://github.com/citation-style-language/schema/raw/master/csl-citation.json"} </w:instrText>
      </w:r>
      <w:r w:rsidR="000A55C2">
        <w:rPr>
          <w:rFonts w:asciiTheme="majorBidi" w:hAnsiTheme="majorBidi" w:cstheme="majorBidi"/>
          <w:sz w:val="24"/>
          <w:szCs w:val="24"/>
        </w:rPr>
        <w:fldChar w:fldCharType="separate"/>
      </w:r>
      <w:r w:rsidR="00BB1367" w:rsidRPr="0076525E">
        <w:rPr>
          <w:rFonts w:ascii="Times New Roman" w:hAnsi="Times New Roman" w:cs="Times New Roman"/>
          <w:sz w:val="24"/>
        </w:rPr>
        <w:t>[16, 41]</w:t>
      </w:r>
      <w:r w:rsidR="000A55C2">
        <w:rPr>
          <w:rFonts w:asciiTheme="majorBidi" w:hAnsiTheme="majorBidi" w:cstheme="majorBidi"/>
          <w:sz w:val="24"/>
          <w:szCs w:val="24"/>
        </w:rPr>
        <w:fldChar w:fldCharType="end"/>
      </w:r>
      <w:r w:rsidR="000A55C2">
        <w:rPr>
          <w:rFonts w:asciiTheme="majorBidi" w:hAnsiTheme="majorBidi" w:cstheme="majorBidi"/>
          <w:sz w:val="24"/>
          <w:szCs w:val="24"/>
        </w:rPr>
        <w:t xml:space="preserve"> </w:t>
      </w:r>
      <w:r w:rsidR="000A55C2" w:rsidRPr="000A55C2">
        <w:rPr>
          <w:rFonts w:asciiTheme="majorBidi" w:hAnsiTheme="majorBidi" w:cstheme="majorBidi"/>
          <w:sz w:val="24"/>
          <w:szCs w:val="24"/>
        </w:rPr>
        <w:t>have employed similar statistics when interpolating surfaces using DHS data, and represent information on model precision, model bias, and vari</w:t>
      </w:r>
      <w:r w:rsidR="000A55C2">
        <w:rPr>
          <w:rFonts w:asciiTheme="majorBidi" w:hAnsiTheme="majorBidi" w:cstheme="majorBidi"/>
          <w:sz w:val="24"/>
          <w:szCs w:val="24"/>
        </w:rPr>
        <w:t xml:space="preserve">ance explained, respectively. </w:t>
      </w:r>
    </w:p>
    <w:p w14:paraId="173C90B0" w14:textId="77777777" w:rsidR="001A3FB2" w:rsidRDefault="001A3FB2" w:rsidP="00ED0F8C">
      <w:pPr>
        <w:spacing w:line="480" w:lineRule="auto"/>
        <w:rPr>
          <w:rFonts w:asciiTheme="majorBidi" w:hAnsiTheme="majorBidi" w:cstheme="majorBidi"/>
          <w:b/>
          <w:sz w:val="24"/>
          <w:szCs w:val="24"/>
        </w:rPr>
      </w:pPr>
      <w:r>
        <w:rPr>
          <w:rFonts w:asciiTheme="majorBidi" w:hAnsiTheme="majorBidi" w:cstheme="majorBidi"/>
          <w:b/>
          <w:sz w:val="24"/>
          <w:szCs w:val="24"/>
        </w:rPr>
        <w:t>Results</w:t>
      </w:r>
    </w:p>
    <w:p w14:paraId="09877B65" w14:textId="77777777" w:rsidR="00236A44" w:rsidRPr="00236A44" w:rsidRDefault="00236A44" w:rsidP="00ED0F8C">
      <w:pPr>
        <w:spacing w:line="480" w:lineRule="auto"/>
        <w:rPr>
          <w:rFonts w:asciiTheme="majorBidi" w:hAnsiTheme="majorBidi" w:cstheme="majorBidi"/>
          <w:i/>
          <w:sz w:val="24"/>
          <w:szCs w:val="24"/>
        </w:rPr>
      </w:pPr>
      <w:r>
        <w:rPr>
          <w:rFonts w:asciiTheme="majorBidi" w:hAnsiTheme="majorBidi" w:cstheme="majorBidi"/>
          <w:i/>
          <w:sz w:val="24"/>
          <w:szCs w:val="24"/>
        </w:rPr>
        <w:t>Absolute indices of temporal change</w:t>
      </w:r>
    </w:p>
    <w:p w14:paraId="2D9581CC" w14:textId="222DBB00" w:rsidR="001A3FB2" w:rsidRDefault="0022696A" w:rsidP="00281E7F">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Figures </w:t>
      </w:r>
      <w:r w:rsidR="009A7055">
        <w:rPr>
          <w:rFonts w:asciiTheme="majorBidi" w:hAnsiTheme="majorBidi" w:cstheme="majorBidi"/>
          <w:sz w:val="24"/>
          <w:szCs w:val="24"/>
        </w:rPr>
        <w:t>1</w:t>
      </w:r>
      <w:r>
        <w:rPr>
          <w:rFonts w:asciiTheme="majorBidi" w:hAnsiTheme="majorBidi" w:cstheme="majorBidi"/>
          <w:sz w:val="24"/>
          <w:szCs w:val="24"/>
        </w:rPr>
        <w:t>a – d show modelled prevalence estimates of skilled birth attendance (</w:t>
      </w:r>
      <w:r w:rsidR="00B06245">
        <w:rPr>
          <w:rFonts w:asciiTheme="majorBidi" w:hAnsiTheme="majorBidi" w:cstheme="majorBidi"/>
          <w:sz w:val="24"/>
          <w:szCs w:val="24"/>
        </w:rPr>
        <w:t>i</w:t>
      </w:r>
      <w:r>
        <w:rPr>
          <w:rFonts w:asciiTheme="majorBidi" w:hAnsiTheme="majorBidi" w:cstheme="majorBidi"/>
          <w:sz w:val="24"/>
          <w:szCs w:val="24"/>
        </w:rPr>
        <w:t>), antenatal care (</w:t>
      </w:r>
      <w:r w:rsidR="00B06245">
        <w:rPr>
          <w:rFonts w:asciiTheme="majorBidi" w:hAnsiTheme="majorBidi" w:cstheme="majorBidi"/>
          <w:sz w:val="24"/>
          <w:szCs w:val="24"/>
        </w:rPr>
        <w:t>ii</w:t>
      </w:r>
      <w:r>
        <w:rPr>
          <w:rFonts w:asciiTheme="majorBidi" w:hAnsiTheme="majorBidi" w:cstheme="majorBidi"/>
          <w:sz w:val="24"/>
          <w:szCs w:val="24"/>
        </w:rPr>
        <w:t>), and postnatal care (</w:t>
      </w:r>
      <w:r w:rsidR="00B06245">
        <w:rPr>
          <w:rFonts w:asciiTheme="majorBidi" w:hAnsiTheme="majorBidi" w:cstheme="majorBidi"/>
          <w:sz w:val="24"/>
          <w:szCs w:val="24"/>
        </w:rPr>
        <w:t>iii</w:t>
      </w:r>
      <w:r>
        <w:rPr>
          <w:rFonts w:asciiTheme="majorBidi" w:hAnsiTheme="majorBidi" w:cstheme="majorBidi"/>
          <w:sz w:val="24"/>
          <w:szCs w:val="24"/>
        </w:rPr>
        <w:t xml:space="preserve">) at the </w:t>
      </w:r>
      <w:r w:rsidR="001E5933">
        <w:rPr>
          <w:rFonts w:asciiTheme="majorBidi" w:hAnsiTheme="majorBidi" w:cstheme="majorBidi"/>
          <w:sz w:val="24"/>
          <w:szCs w:val="24"/>
        </w:rPr>
        <w:t>district</w:t>
      </w:r>
      <w:r>
        <w:rPr>
          <w:rFonts w:asciiTheme="majorBidi" w:hAnsiTheme="majorBidi" w:cstheme="majorBidi"/>
          <w:sz w:val="24"/>
          <w:szCs w:val="24"/>
        </w:rPr>
        <w:t xml:space="preserve"> level</w:t>
      </w:r>
      <w:r w:rsidR="000E1F85">
        <w:rPr>
          <w:rFonts w:asciiTheme="majorBidi" w:hAnsiTheme="majorBidi" w:cstheme="majorBidi"/>
          <w:sz w:val="24"/>
          <w:szCs w:val="24"/>
        </w:rPr>
        <w:t xml:space="preserve">, and corresponding </w:t>
      </w:r>
      <w:r>
        <w:rPr>
          <w:rFonts w:asciiTheme="majorBidi" w:hAnsiTheme="majorBidi" w:cstheme="majorBidi"/>
          <w:sz w:val="24"/>
          <w:szCs w:val="24"/>
        </w:rPr>
        <w:t>absolute change</w:t>
      </w:r>
      <w:r w:rsidR="00F07864">
        <w:rPr>
          <w:rFonts w:asciiTheme="majorBidi" w:hAnsiTheme="majorBidi" w:cstheme="majorBidi"/>
          <w:sz w:val="24"/>
          <w:szCs w:val="24"/>
        </w:rPr>
        <w:t xml:space="preserve"> over time</w:t>
      </w:r>
      <w:r>
        <w:rPr>
          <w:rFonts w:asciiTheme="majorBidi" w:hAnsiTheme="majorBidi" w:cstheme="majorBidi"/>
          <w:sz w:val="24"/>
          <w:szCs w:val="24"/>
        </w:rPr>
        <w:t xml:space="preserve"> in these estimates between the</w:t>
      </w:r>
      <w:r w:rsidR="00F07864">
        <w:rPr>
          <w:rFonts w:asciiTheme="majorBidi" w:hAnsiTheme="majorBidi" w:cstheme="majorBidi"/>
          <w:sz w:val="24"/>
          <w:szCs w:val="24"/>
        </w:rPr>
        <w:t xml:space="preserve"> first and last time points available</w:t>
      </w:r>
      <w:r w:rsidR="000E1F85">
        <w:rPr>
          <w:rFonts w:asciiTheme="majorBidi" w:hAnsiTheme="majorBidi" w:cstheme="majorBidi"/>
          <w:sz w:val="24"/>
          <w:szCs w:val="24"/>
        </w:rPr>
        <w:t xml:space="preserve">. </w:t>
      </w:r>
      <w:r w:rsidR="005E0D0D">
        <w:rPr>
          <w:rFonts w:asciiTheme="majorBidi" w:hAnsiTheme="majorBidi" w:cstheme="majorBidi"/>
          <w:sz w:val="24"/>
          <w:szCs w:val="24"/>
        </w:rPr>
        <w:t>For absolute change over time, a</w:t>
      </w:r>
      <w:r w:rsidR="00F07864">
        <w:rPr>
          <w:rFonts w:asciiTheme="majorBidi" w:hAnsiTheme="majorBidi" w:cstheme="majorBidi"/>
          <w:sz w:val="24"/>
          <w:szCs w:val="24"/>
        </w:rPr>
        <w:t xml:space="preserve">reas in blue </w:t>
      </w:r>
      <w:r w:rsidR="000E1F85">
        <w:rPr>
          <w:rFonts w:asciiTheme="majorBidi" w:hAnsiTheme="majorBidi" w:cstheme="majorBidi"/>
          <w:sz w:val="24"/>
          <w:szCs w:val="24"/>
        </w:rPr>
        <w:t>indicate</w:t>
      </w:r>
      <w:r w:rsidR="00F07864">
        <w:rPr>
          <w:rFonts w:asciiTheme="majorBidi" w:hAnsiTheme="majorBidi" w:cstheme="majorBidi"/>
          <w:sz w:val="24"/>
          <w:szCs w:val="24"/>
        </w:rPr>
        <w:t xml:space="preserve"> an increas</w:t>
      </w:r>
      <w:r w:rsidR="005E0D0D">
        <w:rPr>
          <w:rFonts w:asciiTheme="majorBidi" w:hAnsiTheme="majorBidi" w:cstheme="majorBidi"/>
          <w:sz w:val="24"/>
          <w:szCs w:val="24"/>
        </w:rPr>
        <w:t>ing</w:t>
      </w:r>
      <w:r w:rsidR="00F07864">
        <w:rPr>
          <w:rFonts w:asciiTheme="majorBidi" w:hAnsiTheme="majorBidi" w:cstheme="majorBidi"/>
          <w:sz w:val="24"/>
          <w:szCs w:val="24"/>
        </w:rPr>
        <w:t xml:space="preserve"> prevalence </w:t>
      </w:r>
      <w:r w:rsidR="005E0D0D">
        <w:rPr>
          <w:rFonts w:asciiTheme="majorBidi" w:hAnsiTheme="majorBidi" w:cstheme="majorBidi"/>
          <w:sz w:val="24"/>
          <w:szCs w:val="24"/>
        </w:rPr>
        <w:t>estimates between the first and last time points</w:t>
      </w:r>
      <w:r w:rsidR="00F07864">
        <w:rPr>
          <w:rFonts w:asciiTheme="majorBidi" w:hAnsiTheme="majorBidi" w:cstheme="majorBidi"/>
          <w:sz w:val="24"/>
          <w:szCs w:val="24"/>
        </w:rPr>
        <w:t xml:space="preserve">, </w:t>
      </w:r>
      <w:r w:rsidR="000E1F85">
        <w:rPr>
          <w:rFonts w:asciiTheme="majorBidi" w:hAnsiTheme="majorBidi" w:cstheme="majorBidi"/>
          <w:sz w:val="24"/>
          <w:szCs w:val="24"/>
        </w:rPr>
        <w:t>while areas in white represent</w:t>
      </w:r>
      <w:r w:rsidR="00F07864">
        <w:rPr>
          <w:rFonts w:asciiTheme="majorBidi" w:hAnsiTheme="majorBidi" w:cstheme="majorBidi"/>
          <w:sz w:val="24"/>
          <w:szCs w:val="24"/>
        </w:rPr>
        <w:t xml:space="preserve"> a small, but </w:t>
      </w:r>
      <w:r w:rsidR="005E0D0D">
        <w:rPr>
          <w:rFonts w:asciiTheme="majorBidi" w:hAnsiTheme="majorBidi" w:cstheme="majorBidi"/>
          <w:sz w:val="24"/>
          <w:szCs w:val="24"/>
        </w:rPr>
        <w:t>increasing</w:t>
      </w:r>
      <w:r w:rsidR="00F07864">
        <w:rPr>
          <w:rFonts w:asciiTheme="majorBidi" w:hAnsiTheme="majorBidi" w:cstheme="majorBidi"/>
          <w:sz w:val="24"/>
          <w:szCs w:val="24"/>
        </w:rPr>
        <w:t xml:space="preserve"> change over time, and areas in red indicat</w:t>
      </w:r>
      <w:r w:rsidR="000E1F85">
        <w:rPr>
          <w:rFonts w:asciiTheme="majorBidi" w:hAnsiTheme="majorBidi" w:cstheme="majorBidi"/>
          <w:sz w:val="24"/>
          <w:szCs w:val="24"/>
        </w:rPr>
        <w:t>e</w:t>
      </w:r>
      <w:r w:rsidR="005E0D0D">
        <w:rPr>
          <w:rFonts w:asciiTheme="majorBidi" w:hAnsiTheme="majorBidi" w:cstheme="majorBidi"/>
          <w:sz w:val="24"/>
          <w:szCs w:val="24"/>
        </w:rPr>
        <w:t xml:space="preserve"> decreasing</w:t>
      </w:r>
      <w:r w:rsidR="00F07864">
        <w:rPr>
          <w:rFonts w:asciiTheme="majorBidi" w:hAnsiTheme="majorBidi" w:cstheme="majorBidi"/>
          <w:sz w:val="24"/>
          <w:szCs w:val="24"/>
        </w:rPr>
        <w:t xml:space="preserve"> prevalence </w:t>
      </w:r>
      <w:r w:rsidR="005E0D0D">
        <w:rPr>
          <w:rFonts w:asciiTheme="majorBidi" w:hAnsiTheme="majorBidi" w:cstheme="majorBidi"/>
          <w:sz w:val="24"/>
          <w:szCs w:val="24"/>
        </w:rPr>
        <w:t xml:space="preserve">estimates </w:t>
      </w:r>
      <w:r w:rsidR="00F07864">
        <w:rPr>
          <w:rFonts w:asciiTheme="majorBidi" w:hAnsiTheme="majorBidi" w:cstheme="majorBidi"/>
          <w:sz w:val="24"/>
          <w:szCs w:val="24"/>
        </w:rPr>
        <w:t xml:space="preserve">over time. </w:t>
      </w:r>
      <w:r w:rsidR="00017748">
        <w:rPr>
          <w:rFonts w:asciiTheme="majorBidi" w:hAnsiTheme="majorBidi" w:cstheme="majorBidi"/>
          <w:sz w:val="24"/>
          <w:szCs w:val="24"/>
        </w:rPr>
        <w:t xml:space="preserve">The </w:t>
      </w:r>
      <w:r w:rsidR="007D76D2">
        <w:rPr>
          <w:rFonts w:asciiTheme="majorBidi" w:hAnsiTheme="majorBidi" w:cstheme="majorBidi"/>
          <w:sz w:val="24"/>
          <w:szCs w:val="24"/>
        </w:rPr>
        <w:t>corresponding absolute change estimates</w:t>
      </w:r>
      <w:r w:rsidR="00017748">
        <w:rPr>
          <w:rFonts w:asciiTheme="majorBidi" w:hAnsiTheme="majorBidi" w:cstheme="majorBidi"/>
          <w:sz w:val="24"/>
          <w:szCs w:val="24"/>
        </w:rPr>
        <w:t xml:space="preserve"> for </w:t>
      </w:r>
      <w:r w:rsidR="007D76D2">
        <w:rPr>
          <w:rFonts w:asciiTheme="majorBidi" w:hAnsiTheme="majorBidi" w:cstheme="majorBidi"/>
          <w:sz w:val="24"/>
          <w:szCs w:val="24"/>
        </w:rPr>
        <w:t>each</w:t>
      </w:r>
      <w:r w:rsidR="00017748">
        <w:rPr>
          <w:rFonts w:asciiTheme="majorBidi" w:hAnsiTheme="majorBidi" w:cstheme="majorBidi"/>
          <w:sz w:val="24"/>
          <w:szCs w:val="24"/>
        </w:rPr>
        <w:t xml:space="preserve"> </w:t>
      </w:r>
      <w:r w:rsidR="001E5933">
        <w:rPr>
          <w:rFonts w:asciiTheme="majorBidi" w:hAnsiTheme="majorBidi" w:cstheme="majorBidi"/>
          <w:sz w:val="24"/>
          <w:szCs w:val="24"/>
        </w:rPr>
        <w:t>districts</w:t>
      </w:r>
      <w:r w:rsidR="00017748">
        <w:rPr>
          <w:rFonts w:asciiTheme="majorBidi" w:hAnsiTheme="majorBidi" w:cstheme="majorBidi"/>
          <w:sz w:val="24"/>
          <w:szCs w:val="24"/>
        </w:rPr>
        <w:t xml:space="preserve"> are labelled and ordered increasingly in figures A</w:t>
      </w:r>
      <w:r w:rsidR="000E1F85">
        <w:rPr>
          <w:rFonts w:asciiTheme="majorBidi" w:hAnsiTheme="majorBidi" w:cstheme="majorBidi"/>
          <w:sz w:val="24"/>
          <w:szCs w:val="24"/>
        </w:rPr>
        <w:t>.</w:t>
      </w:r>
      <w:r w:rsidR="00017748">
        <w:rPr>
          <w:rFonts w:asciiTheme="majorBidi" w:hAnsiTheme="majorBidi" w:cstheme="majorBidi"/>
          <w:sz w:val="24"/>
          <w:szCs w:val="24"/>
        </w:rPr>
        <w:t xml:space="preserve">1a – d </w:t>
      </w:r>
      <w:r w:rsidR="000E1F85">
        <w:rPr>
          <w:rFonts w:asciiTheme="majorBidi" w:hAnsiTheme="majorBidi" w:cstheme="majorBidi"/>
          <w:sz w:val="24"/>
          <w:szCs w:val="24"/>
        </w:rPr>
        <w:t xml:space="preserve">(see </w:t>
      </w:r>
      <w:r w:rsidR="00017748">
        <w:rPr>
          <w:rFonts w:asciiTheme="majorBidi" w:hAnsiTheme="majorBidi" w:cstheme="majorBidi"/>
          <w:sz w:val="24"/>
          <w:szCs w:val="24"/>
        </w:rPr>
        <w:t>Appendix</w:t>
      </w:r>
      <w:r w:rsidR="000E1F85">
        <w:rPr>
          <w:rFonts w:asciiTheme="majorBidi" w:hAnsiTheme="majorBidi" w:cstheme="majorBidi"/>
          <w:sz w:val="24"/>
          <w:szCs w:val="24"/>
        </w:rPr>
        <w:t>)</w:t>
      </w:r>
      <w:r w:rsidR="00017748">
        <w:rPr>
          <w:rFonts w:asciiTheme="majorBidi" w:hAnsiTheme="majorBidi" w:cstheme="majorBidi"/>
          <w:sz w:val="24"/>
          <w:szCs w:val="24"/>
        </w:rPr>
        <w:t xml:space="preserve">, to </w:t>
      </w:r>
      <w:r w:rsidR="007D76D2">
        <w:rPr>
          <w:rFonts w:asciiTheme="majorBidi" w:hAnsiTheme="majorBidi" w:cstheme="majorBidi"/>
          <w:sz w:val="24"/>
          <w:szCs w:val="24"/>
        </w:rPr>
        <w:t>facilitate</w:t>
      </w:r>
      <w:r w:rsidR="00017748">
        <w:rPr>
          <w:rFonts w:asciiTheme="majorBidi" w:hAnsiTheme="majorBidi" w:cstheme="majorBidi"/>
          <w:sz w:val="24"/>
          <w:szCs w:val="24"/>
        </w:rPr>
        <w:t xml:space="preserve"> </w:t>
      </w:r>
      <w:r w:rsidR="007D76D2">
        <w:rPr>
          <w:rFonts w:asciiTheme="majorBidi" w:hAnsiTheme="majorBidi" w:cstheme="majorBidi"/>
          <w:sz w:val="24"/>
          <w:szCs w:val="24"/>
        </w:rPr>
        <w:t>visualisation of</w:t>
      </w:r>
      <w:r w:rsidR="00017748">
        <w:rPr>
          <w:rFonts w:asciiTheme="majorBidi" w:hAnsiTheme="majorBidi" w:cstheme="majorBidi"/>
          <w:sz w:val="24"/>
          <w:szCs w:val="24"/>
        </w:rPr>
        <w:t xml:space="preserve"> </w:t>
      </w:r>
      <w:r w:rsidR="000E1F85">
        <w:rPr>
          <w:rFonts w:asciiTheme="majorBidi" w:hAnsiTheme="majorBidi" w:cstheme="majorBidi"/>
          <w:sz w:val="24"/>
          <w:szCs w:val="24"/>
        </w:rPr>
        <w:t>greatest</w:t>
      </w:r>
      <w:r w:rsidR="00017748">
        <w:rPr>
          <w:rFonts w:asciiTheme="majorBidi" w:hAnsiTheme="majorBidi" w:cstheme="majorBidi"/>
          <w:sz w:val="24"/>
          <w:szCs w:val="24"/>
        </w:rPr>
        <w:t xml:space="preserve"> to least improvement </w:t>
      </w:r>
      <w:r w:rsidR="000E1F85">
        <w:rPr>
          <w:rFonts w:asciiTheme="majorBidi" w:hAnsiTheme="majorBidi" w:cstheme="majorBidi"/>
          <w:sz w:val="24"/>
          <w:szCs w:val="24"/>
        </w:rPr>
        <w:t>for each district</w:t>
      </w:r>
      <w:r w:rsidR="00017748">
        <w:rPr>
          <w:rFonts w:asciiTheme="majorBidi" w:hAnsiTheme="majorBidi" w:cstheme="majorBidi"/>
          <w:sz w:val="24"/>
          <w:szCs w:val="24"/>
        </w:rPr>
        <w:t xml:space="preserve">.  </w:t>
      </w:r>
    </w:p>
    <w:p w14:paraId="5BA13A1C" w14:textId="4070A64E" w:rsidR="00633B24" w:rsidRDefault="00EF0775" w:rsidP="00281E7F">
      <w:pPr>
        <w:spacing w:line="480" w:lineRule="auto"/>
        <w:ind w:firstLine="720"/>
        <w:rPr>
          <w:rFonts w:asciiTheme="majorBidi" w:hAnsiTheme="majorBidi" w:cstheme="majorBidi"/>
          <w:sz w:val="24"/>
          <w:szCs w:val="24"/>
        </w:rPr>
      </w:pPr>
      <w:r w:rsidRPr="008A3EBC">
        <w:rPr>
          <w:rFonts w:asciiTheme="majorBidi" w:hAnsiTheme="majorBidi" w:cstheme="majorBidi"/>
          <w:sz w:val="24"/>
          <w:szCs w:val="24"/>
        </w:rPr>
        <w:t xml:space="preserve">Rwanda (Figure </w:t>
      </w:r>
      <w:r w:rsidR="00633B24" w:rsidRPr="008A3EBC">
        <w:rPr>
          <w:rFonts w:asciiTheme="majorBidi" w:hAnsiTheme="majorBidi" w:cstheme="majorBidi"/>
          <w:sz w:val="24"/>
          <w:szCs w:val="24"/>
        </w:rPr>
        <w:t>1</w:t>
      </w:r>
      <w:r w:rsidR="007D76D2">
        <w:rPr>
          <w:rFonts w:asciiTheme="majorBidi" w:hAnsiTheme="majorBidi" w:cstheme="majorBidi"/>
          <w:sz w:val="24"/>
          <w:szCs w:val="24"/>
        </w:rPr>
        <w:t>c</w:t>
      </w:r>
      <w:r w:rsidRPr="008A3EBC">
        <w:rPr>
          <w:rFonts w:asciiTheme="majorBidi" w:hAnsiTheme="majorBidi" w:cstheme="majorBidi"/>
          <w:sz w:val="24"/>
          <w:szCs w:val="24"/>
        </w:rPr>
        <w:t>) represented the o</w:t>
      </w:r>
      <w:r w:rsidR="001A3FB2" w:rsidRPr="008A3EBC">
        <w:rPr>
          <w:rFonts w:asciiTheme="majorBidi" w:hAnsiTheme="majorBidi" w:cstheme="majorBidi"/>
          <w:sz w:val="24"/>
          <w:szCs w:val="24"/>
        </w:rPr>
        <w:t>nly co</w:t>
      </w:r>
      <w:r w:rsidRPr="008A3EBC">
        <w:rPr>
          <w:rFonts w:asciiTheme="majorBidi" w:hAnsiTheme="majorBidi" w:cstheme="majorBidi"/>
          <w:sz w:val="24"/>
          <w:szCs w:val="24"/>
        </w:rPr>
        <w:t>untry with exclusively increasing prevalence over time amongst</w:t>
      </w:r>
      <w:r w:rsidR="00F378C6" w:rsidRPr="008A3EBC">
        <w:rPr>
          <w:rFonts w:asciiTheme="majorBidi" w:hAnsiTheme="majorBidi" w:cstheme="majorBidi"/>
          <w:sz w:val="24"/>
          <w:szCs w:val="24"/>
        </w:rPr>
        <w:t xml:space="preserve"> all </w:t>
      </w:r>
      <w:r w:rsidR="000656C0">
        <w:rPr>
          <w:rFonts w:asciiTheme="majorBidi" w:hAnsiTheme="majorBidi" w:cstheme="majorBidi"/>
          <w:sz w:val="24"/>
          <w:szCs w:val="24"/>
        </w:rPr>
        <w:t>three</w:t>
      </w:r>
      <w:r w:rsidR="00F378C6" w:rsidRPr="008A3EBC">
        <w:rPr>
          <w:rFonts w:asciiTheme="majorBidi" w:hAnsiTheme="majorBidi" w:cstheme="majorBidi"/>
          <w:sz w:val="24"/>
          <w:szCs w:val="24"/>
        </w:rPr>
        <w:t xml:space="preserve"> </w:t>
      </w:r>
      <w:r w:rsidR="003C6016">
        <w:rPr>
          <w:rFonts w:asciiTheme="majorBidi" w:hAnsiTheme="majorBidi" w:cstheme="majorBidi"/>
          <w:sz w:val="24"/>
          <w:szCs w:val="24"/>
        </w:rPr>
        <w:t>services</w:t>
      </w:r>
      <w:r w:rsidR="00F378C6" w:rsidRPr="008A3EBC">
        <w:rPr>
          <w:rFonts w:asciiTheme="majorBidi" w:hAnsiTheme="majorBidi" w:cstheme="majorBidi"/>
          <w:sz w:val="24"/>
          <w:szCs w:val="24"/>
        </w:rPr>
        <w:t xml:space="preserve">, with as much as 85% increases in SBA for some </w:t>
      </w:r>
      <w:r w:rsidR="001E5933" w:rsidRPr="008A3EBC">
        <w:rPr>
          <w:rFonts w:asciiTheme="majorBidi" w:hAnsiTheme="majorBidi" w:cstheme="majorBidi"/>
          <w:sz w:val="24"/>
          <w:szCs w:val="24"/>
        </w:rPr>
        <w:t>districts</w:t>
      </w:r>
      <w:r w:rsidR="00633B24" w:rsidRPr="008A3EBC">
        <w:rPr>
          <w:rFonts w:asciiTheme="majorBidi" w:hAnsiTheme="majorBidi" w:cstheme="majorBidi"/>
          <w:sz w:val="24"/>
          <w:szCs w:val="24"/>
        </w:rPr>
        <w:t xml:space="preserve"> and nearing</w:t>
      </w:r>
      <w:r w:rsidR="00633B24">
        <w:rPr>
          <w:rFonts w:asciiTheme="majorBidi" w:hAnsiTheme="majorBidi" w:cstheme="majorBidi"/>
          <w:sz w:val="24"/>
          <w:szCs w:val="24"/>
        </w:rPr>
        <w:t xml:space="preserve"> universal coverage for both SBA and PNC.</w:t>
      </w:r>
      <w:r w:rsidR="001A3FB2">
        <w:rPr>
          <w:rFonts w:asciiTheme="majorBidi" w:hAnsiTheme="majorBidi" w:cstheme="majorBidi"/>
          <w:sz w:val="24"/>
          <w:szCs w:val="24"/>
        </w:rPr>
        <w:t xml:space="preserve"> </w:t>
      </w:r>
      <w:r w:rsidR="00F378C6">
        <w:rPr>
          <w:rFonts w:asciiTheme="majorBidi" w:hAnsiTheme="majorBidi" w:cstheme="majorBidi"/>
          <w:sz w:val="24"/>
          <w:szCs w:val="24"/>
        </w:rPr>
        <w:t>While more moderate gains were seen for antenatal care, every area within the country saw increases in prevalence, ranging to as high as a 60% increase.</w:t>
      </w:r>
      <w:r w:rsidR="00633B24">
        <w:rPr>
          <w:rFonts w:asciiTheme="majorBidi" w:hAnsiTheme="majorBidi" w:cstheme="majorBidi"/>
          <w:sz w:val="24"/>
          <w:szCs w:val="24"/>
        </w:rPr>
        <w:t xml:space="preserve"> E</w:t>
      </w:r>
      <w:r w:rsidR="000E1F85">
        <w:rPr>
          <w:rFonts w:asciiTheme="majorBidi" w:hAnsiTheme="majorBidi" w:cstheme="majorBidi"/>
          <w:sz w:val="24"/>
          <w:szCs w:val="24"/>
        </w:rPr>
        <w:t>qually e</w:t>
      </w:r>
      <w:r w:rsidR="00633B24">
        <w:rPr>
          <w:rFonts w:asciiTheme="majorBidi" w:hAnsiTheme="majorBidi" w:cstheme="majorBidi"/>
          <w:sz w:val="24"/>
          <w:szCs w:val="24"/>
        </w:rPr>
        <w:t xml:space="preserve">ncouraging, the greatest increases for Kenya (Figure 1a) were primarily localized within the eastern region of Kenya, </w:t>
      </w:r>
      <w:r w:rsidR="00BB146D">
        <w:rPr>
          <w:rFonts w:asciiTheme="majorBidi" w:hAnsiTheme="majorBidi" w:cstheme="majorBidi"/>
          <w:sz w:val="24"/>
          <w:szCs w:val="24"/>
        </w:rPr>
        <w:t xml:space="preserve">which has historically shown higher levels of wealth inequality and more adverse maternal health outcomes as compared to the rest of the country, particularly in the northern parts of the region </w:t>
      </w:r>
      <w:r w:rsidR="00BB146D">
        <w:rPr>
          <w:rFonts w:asciiTheme="majorBidi" w:hAnsiTheme="majorBidi" w:cstheme="majorBidi"/>
          <w:sz w:val="24"/>
          <w:szCs w:val="24"/>
        </w:rPr>
        <w:fldChar w:fldCharType="begin"/>
      </w:r>
      <w:r w:rsidR="00BB146D">
        <w:rPr>
          <w:rFonts w:asciiTheme="majorBidi" w:hAnsiTheme="majorBidi" w:cstheme="majorBidi"/>
          <w:sz w:val="24"/>
          <w:szCs w:val="24"/>
        </w:rPr>
        <w:instrText xml:space="preserve"> ADDIN ZOTERO_ITEM CSL_CITATION {"citationID":"jNP6A6bi","properties":{"formattedCitation":"[7]","plainCitation":"[7]","noteIndex":0},"citationItems":[{"id":196,"uris":["http://zotero.org/users/2783131/items/FB3EPJSW"],"uri":["http://zotero.org/users/2783131/items/FB3EPJSW"],"itemData":{"id":196,"type":"report","title":"Levels and Trends in Maternal and Child Health Disparities by Wealth and Region in Eleven Countries with DHS Surveys","publisher":"ICF International","publisher-place":"Rockville, Maryland, USA","event-place":"Rockville, Maryland, USA","URL":"https://www.dhsprogram.com/pubs/pdf/CR42/CR42.pdf","number":"DHS Comparative Report No 42","author":[{"family":"Assaf","given":"S"},{"family":"Pullum","given":"T"}],"issued":{"date-parts":[["2016"]]},"accessed":{"date-parts":[["2017",3,13]]}}}],"schema":"https://github.com/citation-style-language/schema/raw/master/csl-citation.json"} </w:instrText>
      </w:r>
      <w:r w:rsidR="00BB146D">
        <w:rPr>
          <w:rFonts w:asciiTheme="majorBidi" w:hAnsiTheme="majorBidi" w:cstheme="majorBidi"/>
          <w:sz w:val="24"/>
          <w:szCs w:val="24"/>
        </w:rPr>
        <w:fldChar w:fldCharType="separate"/>
      </w:r>
      <w:r w:rsidR="00BB146D" w:rsidRPr="0076525E">
        <w:rPr>
          <w:rFonts w:ascii="Times New Roman" w:hAnsi="Times New Roman" w:cs="Times New Roman"/>
          <w:sz w:val="24"/>
        </w:rPr>
        <w:t>[7]</w:t>
      </w:r>
      <w:r w:rsidR="00BB146D">
        <w:rPr>
          <w:rFonts w:asciiTheme="majorBidi" w:hAnsiTheme="majorBidi" w:cstheme="majorBidi"/>
          <w:sz w:val="24"/>
          <w:szCs w:val="24"/>
        </w:rPr>
        <w:fldChar w:fldCharType="end"/>
      </w:r>
      <w:r w:rsidR="00633B24">
        <w:rPr>
          <w:rFonts w:asciiTheme="majorBidi" w:hAnsiTheme="majorBidi" w:cstheme="majorBidi"/>
          <w:sz w:val="24"/>
          <w:szCs w:val="24"/>
        </w:rPr>
        <w:t xml:space="preserve">. Increases in this area were also seen amongst skilled birth attendance and postnatal care, however these were comparatively more conservative increases.  </w:t>
      </w:r>
    </w:p>
    <w:p w14:paraId="533F3D8E" w14:textId="01497487" w:rsidR="00500462" w:rsidRDefault="00633B24" w:rsidP="00281E7F">
      <w:pPr>
        <w:spacing w:line="480" w:lineRule="auto"/>
        <w:ind w:firstLine="720"/>
        <w:rPr>
          <w:rFonts w:asciiTheme="majorBidi" w:hAnsiTheme="majorBidi" w:cstheme="majorBidi"/>
          <w:sz w:val="24"/>
          <w:szCs w:val="24"/>
        </w:rPr>
      </w:pPr>
      <w:r w:rsidRPr="008A3EBC">
        <w:rPr>
          <w:rFonts w:asciiTheme="majorBidi" w:hAnsiTheme="majorBidi" w:cstheme="majorBidi"/>
          <w:sz w:val="24"/>
          <w:szCs w:val="24"/>
        </w:rPr>
        <w:t>Conversely, Tanzania (Figure 1</w:t>
      </w:r>
      <w:r w:rsidR="007D76D2">
        <w:rPr>
          <w:rFonts w:asciiTheme="majorBidi" w:hAnsiTheme="majorBidi" w:cstheme="majorBidi"/>
          <w:sz w:val="24"/>
          <w:szCs w:val="24"/>
        </w:rPr>
        <w:t>b</w:t>
      </w:r>
      <w:r w:rsidR="009E77B8" w:rsidRPr="008A3EBC">
        <w:rPr>
          <w:rFonts w:asciiTheme="majorBidi" w:hAnsiTheme="majorBidi" w:cstheme="majorBidi"/>
          <w:sz w:val="24"/>
          <w:szCs w:val="24"/>
        </w:rPr>
        <w:t>) had noticeable reductions</w:t>
      </w:r>
      <w:r w:rsidRPr="008A3EBC">
        <w:rPr>
          <w:rFonts w:asciiTheme="majorBidi" w:hAnsiTheme="majorBidi" w:cstheme="majorBidi"/>
          <w:sz w:val="24"/>
          <w:szCs w:val="24"/>
        </w:rPr>
        <w:t xml:space="preserve"> in coverage</w:t>
      </w:r>
      <w:r w:rsidR="009E77B8" w:rsidRPr="008A3EBC">
        <w:rPr>
          <w:rFonts w:asciiTheme="majorBidi" w:hAnsiTheme="majorBidi" w:cstheme="majorBidi"/>
          <w:sz w:val="24"/>
          <w:szCs w:val="24"/>
        </w:rPr>
        <w:t xml:space="preserve"> throughout most of the country in utilisation of 4+ antenatal care visits, with some areas experiencing as much as a 55% reduction.</w:t>
      </w:r>
      <w:r w:rsidR="009E77B8">
        <w:rPr>
          <w:rFonts w:asciiTheme="majorBidi" w:hAnsiTheme="majorBidi" w:cstheme="majorBidi"/>
          <w:sz w:val="24"/>
          <w:szCs w:val="24"/>
        </w:rPr>
        <w:t xml:space="preserve"> This trend was predominantly driven by high coverage in ANC in 1999, which were substantially reduced in the 2010 and 2015 DHS surveys. This trend however, did not hold for skilled birth attendance and postnatal care, with much of the country experiencing improvement amongst these </w:t>
      </w:r>
      <w:r w:rsidR="003C6016">
        <w:rPr>
          <w:rFonts w:asciiTheme="majorBidi" w:hAnsiTheme="majorBidi" w:cstheme="majorBidi"/>
          <w:sz w:val="24"/>
          <w:szCs w:val="24"/>
        </w:rPr>
        <w:t>services</w:t>
      </w:r>
      <w:r w:rsidR="009E77B8">
        <w:rPr>
          <w:rFonts w:asciiTheme="majorBidi" w:hAnsiTheme="majorBidi" w:cstheme="majorBidi"/>
          <w:sz w:val="24"/>
          <w:szCs w:val="24"/>
        </w:rPr>
        <w:t xml:space="preserve">. </w:t>
      </w:r>
      <w:r>
        <w:rPr>
          <w:rFonts w:asciiTheme="majorBidi" w:hAnsiTheme="majorBidi" w:cstheme="majorBidi"/>
          <w:sz w:val="24"/>
          <w:szCs w:val="24"/>
        </w:rPr>
        <w:t xml:space="preserve">While </w:t>
      </w:r>
      <w:r w:rsidR="00500462">
        <w:rPr>
          <w:rFonts w:asciiTheme="majorBidi" w:hAnsiTheme="majorBidi" w:cstheme="majorBidi"/>
          <w:sz w:val="24"/>
          <w:szCs w:val="24"/>
        </w:rPr>
        <w:t xml:space="preserve">Uganda (Figure </w:t>
      </w:r>
      <w:r>
        <w:rPr>
          <w:rFonts w:asciiTheme="majorBidi" w:hAnsiTheme="majorBidi" w:cstheme="majorBidi"/>
          <w:sz w:val="24"/>
          <w:szCs w:val="24"/>
        </w:rPr>
        <w:t>1</w:t>
      </w:r>
      <w:r w:rsidR="00500462">
        <w:rPr>
          <w:rFonts w:asciiTheme="majorBidi" w:hAnsiTheme="majorBidi" w:cstheme="majorBidi"/>
          <w:sz w:val="24"/>
          <w:szCs w:val="24"/>
        </w:rPr>
        <w:t xml:space="preserve">d) experienced improvement in skilled birth attendance over time, </w:t>
      </w:r>
      <w:r>
        <w:rPr>
          <w:rFonts w:asciiTheme="majorBidi" w:hAnsiTheme="majorBidi" w:cstheme="majorBidi"/>
          <w:sz w:val="24"/>
          <w:szCs w:val="24"/>
        </w:rPr>
        <w:t xml:space="preserve">it </w:t>
      </w:r>
      <w:r w:rsidR="00500462">
        <w:rPr>
          <w:rFonts w:asciiTheme="majorBidi" w:hAnsiTheme="majorBidi" w:cstheme="majorBidi"/>
          <w:sz w:val="24"/>
          <w:szCs w:val="24"/>
        </w:rPr>
        <w:t>experienced equally substantial decreases</w:t>
      </w:r>
      <w:r>
        <w:rPr>
          <w:rFonts w:asciiTheme="majorBidi" w:hAnsiTheme="majorBidi" w:cstheme="majorBidi"/>
          <w:sz w:val="24"/>
          <w:szCs w:val="24"/>
        </w:rPr>
        <w:t xml:space="preserve"> or little to no improvement</w:t>
      </w:r>
      <w:r w:rsidR="00500462">
        <w:rPr>
          <w:rFonts w:asciiTheme="majorBidi" w:hAnsiTheme="majorBidi" w:cstheme="majorBidi"/>
          <w:sz w:val="24"/>
          <w:szCs w:val="24"/>
        </w:rPr>
        <w:t xml:space="preserve"> in ant</w:t>
      </w:r>
      <w:r>
        <w:rPr>
          <w:rFonts w:asciiTheme="majorBidi" w:hAnsiTheme="majorBidi" w:cstheme="majorBidi"/>
          <w:sz w:val="24"/>
          <w:szCs w:val="24"/>
        </w:rPr>
        <w:t xml:space="preserve">enatal care and postnatal care in </w:t>
      </w:r>
      <w:r w:rsidR="00500462">
        <w:rPr>
          <w:rFonts w:asciiTheme="majorBidi" w:hAnsiTheme="majorBidi" w:cstheme="majorBidi"/>
          <w:sz w:val="24"/>
          <w:szCs w:val="24"/>
        </w:rPr>
        <w:t xml:space="preserve">Northern and central Uganda. Similar to Tanzania, these trends were predominantly driven by high estimates during the 2000 DHS, decreasing with the 2006 and 2011 surveys. </w:t>
      </w:r>
    </w:p>
    <w:p w14:paraId="3C295451" w14:textId="347985D2" w:rsidR="00633B24" w:rsidRDefault="00633B24" w:rsidP="00281E7F">
      <w:pPr>
        <w:spacing w:line="480" w:lineRule="auto"/>
        <w:ind w:firstLine="720"/>
        <w:rPr>
          <w:rFonts w:asciiTheme="majorBidi" w:hAnsiTheme="majorBidi" w:cstheme="majorBidi"/>
          <w:sz w:val="24"/>
          <w:szCs w:val="24"/>
        </w:rPr>
      </w:pPr>
      <w:r>
        <w:rPr>
          <w:rFonts w:asciiTheme="majorBidi" w:hAnsiTheme="majorBidi" w:cstheme="majorBidi"/>
          <w:sz w:val="24"/>
          <w:szCs w:val="24"/>
        </w:rPr>
        <w:t>Model outcomes, estimates and fit are outlined in Table A-</w:t>
      </w:r>
      <w:r w:rsidR="003A5D88">
        <w:rPr>
          <w:rFonts w:asciiTheme="majorBidi" w:hAnsiTheme="majorBidi" w:cstheme="majorBidi"/>
          <w:sz w:val="24"/>
          <w:szCs w:val="24"/>
        </w:rPr>
        <w:t>2</w:t>
      </w:r>
      <w:r>
        <w:rPr>
          <w:rFonts w:asciiTheme="majorBidi" w:hAnsiTheme="majorBidi" w:cstheme="majorBidi"/>
          <w:sz w:val="24"/>
          <w:szCs w:val="24"/>
        </w:rPr>
        <w:t xml:space="preserve"> (see Appendix). Figure 2 compares model fits across outcomes by country, as measured by the </w:t>
      </w:r>
      <w:r w:rsidR="004062FF">
        <w:rPr>
          <w:rFonts w:asciiTheme="majorBidi" w:hAnsiTheme="majorBidi" w:cstheme="majorBidi"/>
          <w:sz w:val="24"/>
          <w:szCs w:val="24"/>
        </w:rPr>
        <w:t>DIC</w:t>
      </w:r>
      <w:r>
        <w:rPr>
          <w:rFonts w:asciiTheme="majorBidi" w:hAnsiTheme="majorBidi" w:cstheme="majorBidi"/>
          <w:sz w:val="24"/>
          <w:szCs w:val="24"/>
        </w:rPr>
        <w:t xml:space="preserve">. Of note, the y-axis for DIC values varies by country, as these values should not be compared between countries. In general, </w:t>
      </w:r>
      <w:r w:rsidR="003E4AF1">
        <w:rPr>
          <w:rFonts w:asciiTheme="majorBidi" w:hAnsiTheme="majorBidi" w:cstheme="majorBidi"/>
          <w:sz w:val="24"/>
          <w:szCs w:val="24"/>
        </w:rPr>
        <w:t>SBA</w:t>
      </w:r>
      <w:r>
        <w:rPr>
          <w:rFonts w:asciiTheme="majorBidi" w:hAnsiTheme="majorBidi" w:cstheme="majorBidi"/>
          <w:sz w:val="24"/>
          <w:szCs w:val="24"/>
        </w:rPr>
        <w:t xml:space="preserve"> and </w:t>
      </w:r>
      <w:r w:rsidR="003E4AF1">
        <w:rPr>
          <w:rFonts w:asciiTheme="majorBidi" w:hAnsiTheme="majorBidi" w:cstheme="majorBidi"/>
          <w:sz w:val="24"/>
          <w:szCs w:val="24"/>
        </w:rPr>
        <w:t>PNC</w:t>
      </w:r>
      <w:r>
        <w:rPr>
          <w:rFonts w:asciiTheme="majorBidi" w:hAnsiTheme="majorBidi" w:cstheme="majorBidi"/>
          <w:sz w:val="24"/>
          <w:szCs w:val="24"/>
        </w:rPr>
        <w:t xml:space="preserve"> models tended to perform better as compared to </w:t>
      </w:r>
      <w:r w:rsidR="003E4AF1">
        <w:rPr>
          <w:rFonts w:asciiTheme="majorBidi" w:hAnsiTheme="majorBidi" w:cstheme="majorBidi"/>
          <w:sz w:val="24"/>
          <w:szCs w:val="24"/>
        </w:rPr>
        <w:t xml:space="preserve">ANC </w:t>
      </w:r>
      <w:r>
        <w:rPr>
          <w:rFonts w:asciiTheme="majorBidi" w:hAnsiTheme="majorBidi" w:cstheme="majorBidi"/>
          <w:sz w:val="24"/>
          <w:szCs w:val="24"/>
        </w:rPr>
        <w:t xml:space="preserve">models, with the exception of the most recent models in Uganda, where models all performed similarly. DIC values also tended to increase over time, possibly due to increasing sample size (see Table 1), with the exception of Rwanda. Models in Rwanda tended to perform similarly in 2010, but had more variability in 2005 and 2014. However, this variability only ranged between 30 points, similar to models in other countries.   </w:t>
      </w:r>
    </w:p>
    <w:p w14:paraId="18947834" w14:textId="77777777" w:rsidR="00236A44" w:rsidRPr="00236A44" w:rsidRDefault="00236A44" w:rsidP="00ED0F8C">
      <w:pPr>
        <w:spacing w:line="480" w:lineRule="auto"/>
        <w:rPr>
          <w:rFonts w:asciiTheme="majorBidi" w:hAnsiTheme="majorBidi" w:cstheme="majorBidi"/>
          <w:i/>
          <w:sz w:val="24"/>
          <w:szCs w:val="24"/>
        </w:rPr>
      </w:pPr>
      <w:r>
        <w:rPr>
          <w:rFonts w:asciiTheme="majorBidi" w:hAnsiTheme="majorBidi" w:cstheme="majorBidi"/>
          <w:i/>
          <w:sz w:val="24"/>
          <w:szCs w:val="24"/>
        </w:rPr>
        <w:t>Relative indices of temporal change</w:t>
      </w:r>
    </w:p>
    <w:p w14:paraId="12D40F07" w14:textId="28B7800C" w:rsidR="00CF2E8E" w:rsidRPr="009F6595" w:rsidRDefault="00236A44" w:rsidP="00281E7F">
      <w:pPr>
        <w:spacing w:line="480" w:lineRule="auto"/>
        <w:ind w:firstLine="720"/>
      </w:pPr>
      <w:r>
        <w:rPr>
          <w:rFonts w:asciiTheme="majorBidi" w:hAnsiTheme="majorBidi" w:cstheme="majorBidi"/>
          <w:sz w:val="24"/>
          <w:szCs w:val="24"/>
        </w:rPr>
        <w:t>Figure 3</w:t>
      </w:r>
      <w:r w:rsidR="001A3FB2">
        <w:rPr>
          <w:rFonts w:asciiTheme="majorBidi" w:hAnsiTheme="majorBidi" w:cstheme="majorBidi"/>
          <w:sz w:val="24"/>
          <w:szCs w:val="24"/>
        </w:rPr>
        <w:t xml:space="preserve"> </w:t>
      </w:r>
      <w:r>
        <w:rPr>
          <w:rFonts w:asciiTheme="majorBidi" w:hAnsiTheme="majorBidi" w:cstheme="majorBidi"/>
          <w:sz w:val="24"/>
          <w:szCs w:val="24"/>
        </w:rPr>
        <w:t xml:space="preserve">shows performance ratios of each outcome, reflecting the relative gap within countries between the </w:t>
      </w:r>
      <w:r w:rsidR="001E5933">
        <w:rPr>
          <w:rFonts w:asciiTheme="majorBidi" w:hAnsiTheme="majorBidi" w:cstheme="majorBidi"/>
          <w:sz w:val="24"/>
          <w:szCs w:val="24"/>
        </w:rPr>
        <w:t>district</w:t>
      </w:r>
      <w:r>
        <w:rPr>
          <w:rFonts w:asciiTheme="majorBidi" w:hAnsiTheme="majorBidi" w:cstheme="majorBidi"/>
          <w:sz w:val="24"/>
          <w:szCs w:val="24"/>
        </w:rPr>
        <w:t xml:space="preserve"> with the highest</w:t>
      </w:r>
      <w:r w:rsidR="001E5933">
        <w:rPr>
          <w:rFonts w:asciiTheme="majorBidi" w:hAnsiTheme="majorBidi" w:cstheme="majorBidi"/>
          <w:sz w:val="24"/>
          <w:szCs w:val="24"/>
        </w:rPr>
        <w:t>-</w:t>
      </w:r>
      <w:r w:rsidR="009F6595">
        <w:rPr>
          <w:rFonts w:asciiTheme="majorBidi" w:hAnsiTheme="majorBidi" w:cstheme="majorBidi"/>
          <w:sz w:val="24"/>
          <w:szCs w:val="24"/>
        </w:rPr>
        <w:t>versus</w:t>
      </w:r>
      <w:r w:rsidR="001E5933">
        <w:rPr>
          <w:rFonts w:asciiTheme="majorBidi" w:hAnsiTheme="majorBidi" w:cstheme="majorBidi"/>
          <w:sz w:val="24"/>
          <w:szCs w:val="24"/>
        </w:rPr>
        <w:t>-</w:t>
      </w:r>
      <w:r>
        <w:rPr>
          <w:rFonts w:asciiTheme="majorBidi" w:hAnsiTheme="majorBidi" w:cstheme="majorBidi"/>
          <w:sz w:val="24"/>
          <w:szCs w:val="24"/>
        </w:rPr>
        <w:t>lowest prevalence estimates over time</w:t>
      </w:r>
      <w:r w:rsidR="00367769">
        <w:rPr>
          <w:rFonts w:asciiTheme="majorBidi" w:hAnsiTheme="majorBidi" w:cstheme="majorBidi"/>
          <w:sz w:val="24"/>
          <w:szCs w:val="24"/>
        </w:rPr>
        <w:t xml:space="preserve">. Values closer to </w:t>
      </w:r>
      <w:r w:rsidR="00B77796">
        <w:rPr>
          <w:rFonts w:asciiTheme="majorBidi" w:hAnsiTheme="majorBidi" w:cstheme="majorBidi"/>
          <w:sz w:val="24"/>
          <w:szCs w:val="24"/>
        </w:rPr>
        <w:t>one</w:t>
      </w:r>
      <w:r w:rsidR="00367769">
        <w:rPr>
          <w:rFonts w:asciiTheme="majorBidi" w:hAnsiTheme="majorBidi" w:cstheme="majorBidi"/>
          <w:sz w:val="24"/>
          <w:szCs w:val="24"/>
        </w:rPr>
        <w:t xml:space="preserve"> therefore</w:t>
      </w:r>
      <w:r w:rsidR="001A3FB2">
        <w:rPr>
          <w:rFonts w:asciiTheme="majorBidi" w:hAnsiTheme="majorBidi" w:cstheme="majorBidi"/>
          <w:sz w:val="24"/>
          <w:szCs w:val="24"/>
        </w:rPr>
        <w:t xml:space="preserve"> represent </w:t>
      </w:r>
      <w:r w:rsidR="009F6595">
        <w:rPr>
          <w:rFonts w:asciiTheme="majorBidi" w:hAnsiTheme="majorBidi" w:cstheme="majorBidi"/>
          <w:sz w:val="24"/>
          <w:szCs w:val="24"/>
        </w:rPr>
        <w:t>spatial</w:t>
      </w:r>
      <w:r w:rsidR="00367769">
        <w:rPr>
          <w:rFonts w:asciiTheme="majorBidi" w:hAnsiTheme="majorBidi" w:cstheme="majorBidi"/>
          <w:sz w:val="24"/>
          <w:szCs w:val="24"/>
        </w:rPr>
        <w:t xml:space="preserve"> homogeneity</w:t>
      </w:r>
      <w:r w:rsidR="001A3FB2">
        <w:rPr>
          <w:rFonts w:asciiTheme="majorBidi" w:hAnsiTheme="majorBidi" w:cstheme="majorBidi"/>
          <w:sz w:val="24"/>
          <w:szCs w:val="24"/>
        </w:rPr>
        <w:t xml:space="preserve"> </w:t>
      </w:r>
      <w:r w:rsidR="009F6595">
        <w:rPr>
          <w:rFonts w:asciiTheme="majorBidi" w:hAnsiTheme="majorBidi" w:cstheme="majorBidi"/>
          <w:sz w:val="24"/>
          <w:szCs w:val="24"/>
        </w:rPr>
        <w:t>in coverage,</w:t>
      </w:r>
      <w:r w:rsidR="001A3FB2">
        <w:rPr>
          <w:rFonts w:asciiTheme="majorBidi" w:hAnsiTheme="majorBidi" w:cstheme="majorBidi"/>
          <w:sz w:val="24"/>
          <w:szCs w:val="24"/>
        </w:rPr>
        <w:t xml:space="preserve"> </w:t>
      </w:r>
      <w:r w:rsidR="009F6595">
        <w:rPr>
          <w:rFonts w:asciiTheme="majorBidi" w:hAnsiTheme="majorBidi" w:cstheme="majorBidi"/>
          <w:sz w:val="24"/>
          <w:szCs w:val="24"/>
        </w:rPr>
        <w:t>while higher values represent</w:t>
      </w:r>
      <w:r w:rsidR="001A3FB2">
        <w:rPr>
          <w:rFonts w:asciiTheme="majorBidi" w:hAnsiTheme="majorBidi" w:cstheme="majorBidi"/>
          <w:sz w:val="24"/>
          <w:szCs w:val="24"/>
        </w:rPr>
        <w:t xml:space="preserve"> </w:t>
      </w:r>
      <w:r w:rsidR="009F6595">
        <w:rPr>
          <w:rFonts w:asciiTheme="majorBidi" w:hAnsiTheme="majorBidi" w:cstheme="majorBidi"/>
          <w:sz w:val="24"/>
          <w:szCs w:val="24"/>
        </w:rPr>
        <w:t xml:space="preserve">more disparate </w:t>
      </w:r>
      <w:r w:rsidR="00EA1CB6">
        <w:rPr>
          <w:rFonts w:asciiTheme="majorBidi" w:hAnsiTheme="majorBidi" w:cstheme="majorBidi"/>
          <w:sz w:val="24"/>
          <w:szCs w:val="24"/>
        </w:rPr>
        <w:t>gaps</w:t>
      </w:r>
      <w:r w:rsidR="009F6595">
        <w:rPr>
          <w:rFonts w:asciiTheme="majorBidi" w:hAnsiTheme="majorBidi" w:cstheme="majorBidi"/>
          <w:sz w:val="24"/>
          <w:szCs w:val="24"/>
        </w:rPr>
        <w:t xml:space="preserve"> within countries</w:t>
      </w:r>
      <w:r w:rsidR="00EA1CB6">
        <w:rPr>
          <w:rFonts w:asciiTheme="majorBidi" w:hAnsiTheme="majorBidi" w:cstheme="majorBidi"/>
          <w:sz w:val="24"/>
          <w:szCs w:val="24"/>
        </w:rPr>
        <w:t xml:space="preserve"> amongst </w:t>
      </w:r>
      <w:r w:rsidR="003C6016">
        <w:rPr>
          <w:rFonts w:asciiTheme="majorBidi" w:hAnsiTheme="majorBidi" w:cstheme="majorBidi"/>
          <w:sz w:val="24"/>
          <w:szCs w:val="24"/>
        </w:rPr>
        <w:t>services</w:t>
      </w:r>
      <w:r w:rsidR="00367769">
        <w:rPr>
          <w:rFonts w:asciiTheme="majorBidi" w:hAnsiTheme="majorBidi" w:cstheme="majorBidi"/>
          <w:sz w:val="24"/>
          <w:szCs w:val="24"/>
        </w:rPr>
        <w:t xml:space="preserve">. </w:t>
      </w:r>
      <w:r w:rsidR="00A02F01">
        <w:rPr>
          <w:rFonts w:asciiTheme="majorBidi" w:hAnsiTheme="majorBidi" w:cstheme="majorBidi"/>
          <w:sz w:val="24"/>
          <w:szCs w:val="24"/>
        </w:rPr>
        <w:t>Across</w:t>
      </w:r>
      <w:r w:rsidR="009F6595">
        <w:rPr>
          <w:rFonts w:asciiTheme="majorBidi" w:hAnsiTheme="majorBidi" w:cstheme="majorBidi"/>
          <w:sz w:val="24"/>
          <w:szCs w:val="24"/>
        </w:rPr>
        <w:t xml:space="preserve"> all</w:t>
      </w:r>
      <w:r w:rsidR="00A02F01">
        <w:rPr>
          <w:rFonts w:asciiTheme="majorBidi" w:hAnsiTheme="majorBidi" w:cstheme="majorBidi"/>
          <w:sz w:val="24"/>
          <w:szCs w:val="24"/>
        </w:rPr>
        <w:t xml:space="preserve"> countries, the lowest ratios tended to be </w:t>
      </w:r>
      <w:r w:rsidR="009F6595">
        <w:rPr>
          <w:rFonts w:asciiTheme="majorBidi" w:hAnsiTheme="majorBidi" w:cstheme="majorBidi"/>
          <w:sz w:val="24"/>
          <w:szCs w:val="24"/>
        </w:rPr>
        <w:t>among</w:t>
      </w:r>
      <w:r w:rsidR="00A02F01">
        <w:rPr>
          <w:rFonts w:asciiTheme="majorBidi" w:hAnsiTheme="majorBidi" w:cstheme="majorBidi"/>
          <w:sz w:val="24"/>
          <w:szCs w:val="24"/>
        </w:rPr>
        <w:t xml:space="preserve"> </w:t>
      </w:r>
      <w:r w:rsidR="007D76D2">
        <w:rPr>
          <w:rFonts w:asciiTheme="majorBidi" w:hAnsiTheme="majorBidi" w:cstheme="majorBidi"/>
          <w:sz w:val="24"/>
          <w:szCs w:val="24"/>
        </w:rPr>
        <w:t>ANC, with the exception of Rwanda</w:t>
      </w:r>
      <w:r w:rsidR="009F6595">
        <w:rPr>
          <w:rFonts w:asciiTheme="majorBidi" w:hAnsiTheme="majorBidi" w:cstheme="majorBidi"/>
          <w:sz w:val="24"/>
          <w:szCs w:val="24"/>
        </w:rPr>
        <w:t>, while SBA and</w:t>
      </w:r>
      <w:r w:rsidR="00A02F01">
        <w:rPr>
          <w:rFonts w:asciiTheme="majorBidi" w:hAnsiTheme="majorBidi" w:cstheme="majorBidi"/>
          <w:sz w:val="24"/>
          <w:szCs w:val="24"/>
        </w:rPr>
        <w:t xml:space="preserve"> </w:t>
      </w:r>
      <w:r w:rsidR="009F6595">
        <w:rPr>
          <w:rFonts w:asciiTheme="majorBidi" w:hAnsiTheme="majorBidi" w:cstheme="majorBidi"/>
          <w:sz w:val="24"/>
          <w:szCs w:val="24"/>
        </w:rPr>
        <w:t>PNC</w:t>
      </w:r>
      <w:r w:rsidR="00A02F01">
        <w:rPr>
          <w:rFonts w:asciiTheme="majorBidi" w:hAnsiTheme="majorBidi" w:cstheme="majorBidi"/>
          <w:sz w:val="24"/>
          <w:szCs w:val="24"/>
        </w:rPr>
        <w:t xml:space="preserve"> tended to have greater ratios between the highest and lowest </w:t>
      </w:r>
      <w:r w:rsidR="001E5933">
        <w:rPr>
          <w:rFonts w:asciiTheme="majorBidi" w:hAnsiTheme="majorBidi" w:cstheme="majorBidi"/>
          <w:sz w:val="24"/>
          <w:szCs w:val="24"/>
        </w:rPr>
        <w:t xml:space="preserve">district </w:t>
      </w:r>
      <w:r w:rsidR="00A02F01">
        <w:rPr>
          <w:rFonts w:asciiTheme="majorBidi" w:hAnsiTheme="majorBidi" w:cstheme="majorBidi"/>
          <w:sz w:val="24"/>
          <w:szCs w:val="24"/>
        </w:rPr>
        <w:t>estimates, suggesting greater spatial heterogeneity.</w:t>
      </w:r>
      <w:r w:rsidR="009F6595" w:rsidRPr="009F6595">
        <w:rPr>
          <w:rFonts w:asciiTheme="majorBidi" w:hAnsiTheme="majorBidi" w:cstheme="majorBidi"/>
          <w:sz w:val="24"/>
          <w:szCs w:val="24"/>
        </w:rPr>
        <w:t xml:space="preserve"> </w:t>
      </w:r>
      <w:r w:rsidR="001D45E5">
        <w:rPr>
          <w:rFonts w:asciiTheme="majorBidi" w:hAnsiTheme="majorBidi" w:cstheme="majorBidi"/>
          <w:sz w:val="24"/>
          <w:szCs w:val="24"/>
        </w:rPr>
        <w:t>Generally</w:t>
      </w:r>
      <w:r w:rsidR="009F6595" w:rsidRPr="008A3EBC">
        <w:rPr>
          <w:rFonts w:asciiTheme="majorBidi" w:hAnsiTheme="majorBidi" w:cstheme="majorBidi"/>
          <w:sz w:val="24"/>
          <w:szCs w:val="24"/>
        </w:rPr>
        <w:t xml:space="preserve">, ratios </w:t>
      </w:r>
      <w:r w:rsidR="00B11EA0" w:rsidRPr="008A3EBC">
        <w:rPr>
          <w:rFonts w:asciiTheme="majorBidi" w:hAnsiTheme="majorBidi" w:cstheme="majorBidi"/>
          <w:sz w:val="24"/>
          <w:szCs w:val="24"/>
        </w:rPr>
        <w:t xml:space="preserve">have </w:t>
      </w:r>
      <w:r w:rsidR="001D45E5">
        <w:rPr>
          <w:rFonts w:asciiTheme="majorBidi" w:hAnsiTheme="majorBidi" w:cstheme="majorBidi"/>
          <w:sz w:val="24"/>
          <w:szCs w:val="24"/>
        </w:rPr>
        <w:t>typically</w:t>
      </w:r>
      <w:r w:rsidR="001D45E5" w:rsidRPr="008A3EBC">
        <w:rPr>
          <w:rFonts w:asciiTheme="majorBidi" w:hAnsiTheme="majorBidi" w:cstheme="majorBidi"/>
          <w:sz w:val="24"/>
          <w:szCs w:val="24"/>
        </w:rPr>
        <w:t xml:space="preserve"> </w:t>
      </w:r>
      <w:r w:rsidR="00B11EA0" w:rsidRPr="008A3EBC">
        <w:rPr>
          <w:rFonts w:asciiTheme="majorBidi" w:hAnsiTheme="majorBidi" w:cstheme="majorBidi"/>
          <w:sz w:val="24"/>
          <w:szCs w:val="24"/>
        </w:rPr>
        <w:t>decreased or remained stably low over time across all countries</w:t>
      </w:r>
      <w:r w:rsidR="001D45E5">
        <w:rPr>
          <w:rFonts w:asciiTheme="majorBidi" w:hAnsiTheme="majorBidi" w:cstheme="majorBidi"/>
          <w:sz w:val="24"/>
          <w:szCs w:val="24"/>
        </w:rPr>
        <w:t>.</w:t>
      </w:r>
    </w:p>
    <w:p w14:paraId="6C51327E" w14:textId="483AB182" w:rsidR="001A3FB2" w:rsidRPr="00B11EA0" w:rsidRDefault="009F6595" w:rsidP="00281E7F">
      <w:pPr>
        <w:spacing w:line="480" w:lineRule="auto"/>
        <w:ind w:firstLine="720"/>
        <w:rPr>
          <w:rFonts w:asciiTheme="majorBidi" w:hAnsiTheme="majorBidi" w:cstheme="majorBidi"/>
          <w:sz w:val="24"/>
          <w:szCs w:val="24"/>
        </w:rPr>
      </w:pPr>
      <w:r>
        <w:rPr>
          <w:rFonts w:asciiTheme="majorBidi" w:hAnsiTheme="majorBidi" w:cstheme="majorBidi"/>
          <w:sz w:val="24"/>
          <w:szCs w:val="24"/>
        </w:rPr>
        <w:t>Historically, Rwanda had relatively small ratios which decreased over time,</w:t>
      </w:r>
      <w:r w:rsidR="001D45E5">
        <w:rPr>
          <w:rFonts w:asciiTheme="majorBidi" w:hAnsiTheme="majorBidi" w:cstheme="majorBidi"/>
          <w:sz w:val="24"/>
          <w:szCs w:val="24"/>
        </w:rPr>
        <w:t xml:space="preserve"> </w:t>
      </w:r>
      <w:r>
        <w:rPr>
          <w:rFonts w:asciiTheme="majorBidi" w:hAnsiTheme="majorBidi" w:cstheme="majorBidi"/>
          <w:sz w:val="24"/>
          <w:szCs w:val="24"/>
        </w:rPr>
        <w:t xml:space="preserve">while </w:t>
      </w:r>
      <w:r w:rsidR="00EA1CB6">
        <w:rPr>
          <w:rFonts w:asciiTheme="majorBidi" w:hAnsiTheme="majorBidi" w:cstheme="majorBidi"/>
          <w:sz w:val="24"/>
          <w:szCs w:val="24"/>
        </w:rPr>
        <w:t>Kenya had the</w:t>
      </w:r>
      <w:r w:rsidR="001A3FB2">
        <w:rPr>
          <w:rFonts w:asciiTheme="majorBidi" w:hAnsiTheme="majorBidi" w:cstheme="majorBidi"/>
          <w:sz w:val="24"/>
          <w:szCs w:val="24"/>
        </w:rPr>
        <w:t xml:space="preserve"> highe</w:t>
      </w:r>
      <w:r w:rsidR="00EA1CB6">
        <w:rPr>
          <w:rFonts w:asciiTheme="majorBidi" w:hAnsiTheme="majorBidi" w:cstheme="majorBidi"/>
          <w:sz w:val="24"/>
          <w:szCs w:val="24"/>
        </w:rPr>
        <w:t>st</w:t>
      </w:r>
      <w:r>
        <w:rPr>
          <w:rFonts w:asciiTheme="majorBidi" w:hAnsiTheme="majorBidi" w:cstheme="majorBidi"/>
          <w:sz w:val="24"/>
          <w:szCs w:val="24"/>
        </w:rPr>
        <w:t xml:space="preserve"> </w:t>
      </w:r>
      <w:r w:rsidR="007D76D2">
        <w:rPr>
          <w:rFonts w:asciiTheme="majorBidi" w:hAnsiTheme="majorBidi" w:cstheme="majorBidi"/>
          <w:sz w:val="24"/>
          <w:szCs w:val="24"/>
        </w:rPr>
        <w:t>inequalities</w:t>
      </w:r>
      <w:r>
        <w:rPr>
          <w:rFonts w:asciiTheme="majorBidi" w:hAnsiTheme="majorBidi" w:cstheme="majorBidi"/>
          <w:sz w:val="24"/>
          <w:szCs w:val="24"/>
        </w:rPr>
        <w:t xml:space="preserve"> in SBA</w:t>
      </w:r>
      <w:r w:rsidR="001A3FB2">
        <w:rPr>
          <w:rFonts w:asciiTheme="majorBidi" w:hAnsiTheme="majorBidi" w:cstheme="majorBidi"/>
          <w:sz w:val="24"/>
          <w:szCs w:val="24"/>
        </w:rPr>
        <w:t xml:space="preserve">, </w:t>
      </w:r>
      <w:r>
        <w:rPr>
          <w:rFonts w:asciiTheme="majorBidi" w:hAnsiTheme="majorBidi" w:cstheme="majorBidi"/>
          <w:sz w:val="24"/>
          <w:szCs w:val="24"/>
        </w:rPr>
        <w:t>these were substantially reduced over time</w:t>
      </w:r>
      <w:r w:rsidR="00EA1CB6">
        <w:rPr>
          <w:rFonts w:asciiTheme="majorBidi" w:hAnsiTheme="majorBidi" w:cstheme="majorBidi"/>
          <w:sz w:val="24"/>
          <w:szCs w:val="24"/>
        </w:rPr>
        <w:t xml:space="preserve">. </w:t>
      </w:r>
      <w:r w:rsidR="00A02F01">
        <w:rPr>
          <w:rFonts w:asciiTheme="majorBidi" w:hAnsiTheme="majorBidi" w:cstheme="majorBidi"/>
          <w:sz w:val="24"/>
          <w:szCs w:val="24"/>
        </w:rPr>
        <w:t xml:space="preserve">Tanzania </w:t>
      </w:r>
      <w:r>
        <w:rPr>
          <w:rFonts w:asciiTheme="majorBidi" w:hAnsiTheme="majorBidi" w:cstheme="majorBidi"/>
          <w:sz w:val="24"/>
          <w:szCs w:val="24"/>
        </w:rPr>
        <w:t xml:space="preserve">equally </w:t>
      </w:r>
      <w:r w:rsidR="00FB2D89">
        <w:rPr>
          <w:rFonts w:asciiTheme="majorBidi" w:hAnsiTheme="majorBidi" w:cstheme="majorBidi"/>
          <w:sz w:val="24"/>
          <w:szCs w:val="24"/>
        </w:rPr>
        <w:t>e</w:t>
      </w:r>
      <w:r w:rsidR="00A02F01">
        <w:rPr>
          <w:rFonts w:asciiTheme="majorBidi" w:hAnsiTheme="majorBidi" w:cstheme="majorBidi"/>
          <w:sz w:val="24"/>
          <w:szCs w:val="24"/>
        </w:rPr>
        <w:t xml:space="preserve">xperienced reductions </w:t>
      </w:r>
      <w:r>
        <w:rPr>
          <w:rFonts w:asciiTheme="majorBidi" w:hAnsiTheme="majorBidi" w:cstheme="majorBidi"/>
          <w:sz w:val="24"/>
          <w:szCs w:val="24"/>
        </w:rPr>
        <w:t>in SBA and PNC</w:t>
      </w:r>
      <w:r w:rsidR="00A02F01">
        <w:rPr>
          <w:rFonts w:asciiTheme="majorBidi" w:hAnsiTheme="majorBidi" w:cstheme="majorBidi"/>
          <w:sz w:val="24"/>
          <w:szCs w:val="24"/>
        </w:rPr>
        <w:t xml:space="preserve">, but saw little to no change in </w:t>
      </w:r>
      <w:r>
        <w:rPr>
          <w:rFonts w:asciiTheme="majorBidi" w:hAnsiTheme="majorBidi" w:cstheme="majorBidi"/>
          <w:sz w:val="24"/>
          <w:szCs w:val="24"/>
        </w:rPr>
        <w:t>ANC over time as it was already relatively low</w:t>
      </w:r>
      <w:r w:rsidR="00A02F01">
        <w:rPr>
          <w:rFonts w:asciiTheme="majorBidi" w:hAnsiTheme="majorBidi" w:cstheme="majorBidi"/>
          <w:sz w:val="24"/>
          <w:szCs w:val="24"/>
        </w:rPr>
        <w:t xml:space="preserve">. </w:t>
      </w:r>
      <w:r w:rsidR="00B11EA0">
        <w:rPr>
          <w:rFonts w:asciiTheme="majorBidi" w:hAnsiTheme="majorBidi" w:cstheme="majorBidi"/>
          <w:sz w:val="24"/>
          <w:szCs w:val="24"/>
        </w:rPr>
        <w:t>Uganda also saw substantial improvement in reducing disparities over time for SBA and PNC (despite an increasing ratio for the year 2005), nearly halving the SBA ratio from 25 to 12 within the span of a decade. Regardless, the most recent r</w:t>
      </w:r>
      <w:r w:rsidR="00FB2D89">
        <w:rPr>
          <w:rFonts w:asciiTheme="majorBidi" w:hAnsiTheme="majorBidi" w:cstheme="majorBidi"/>
          <w:sz w:val="24"/>
          <w:szCs w:val="24"/>
        </w:rPr>
        <w:t>atios</w:t>
      </w:r>
      <w:r w:rsidR="00B11EA0">
        <w:rPr>
          <w:rFonts w:asciiTheme="majorBidi" w:hAnsiTheme="majorBidi" w:cstheme="majorBidi"/>
          <w:sz w:val="24"/>
          <w:szCs w:val="24"/>
        </w:rPr>
        <w:t xml:space="preserve"> in Kenya and Tanzania</w:t>
      </w:r>
      <w:r w:rsidR="00FB2D89">
        <w:rPr>
          <w:rFonts w:asciiTheme="majorBidi" w:hAnsiTheme="majorBidi" w:cstheme="majorBidi"/>
          <w:sz w:val="24"/>
          <w:szCs w:val="24"/>
        </w:rPr>
        <w:t xml:space="preserve"> </w:t>
      </w:r>
      <w:r>
        <w:rPr>
          <w:rFonts w:asciiTheme="majorBidi" w:hAnsiTheme="majorBidi" w:cstheme="majorBidi"/>
          <w:sz w:val="24"/>
          <w:szCs w:val="24"/>
        </w:rPr>
        <w:t xml:space="preserve">across </w:t>
      </w:r>
      <w:r w:rsidR="003C6016">
        <w:rPr>
          <w:rFonts w:asciiTheme="majorBidi" w:hAnsiTheme="majorBidi" w:cstheme="majorBidi"/>
          <w:sz w:val="24"/>
          <w:szCs w:val="24"/>
        </w:rPr>
        <w:t xml:space="preserve">service utilisation </w:t>
      </w:r>
      <w:r w:rsidR="00FB2D89">
        <w:rPr>
          <w:rFonts w:asciiTheme="majorBidi" w:hAnsiTheme="majorBidi" w:cstheme="majorBidi"/>
          <w:sz w:val="24"/>
          <w:szCs w:val="24"/>
        </w:rPr>
        <w:t>still remained around 5, meaning the best performing region of the country had coverage about 5-times higher than the corresponding lowest region.</w:t>
      </w:r>
      <w:r w:rsidR="00B11EA0">
        <w:rPr>
          <w:rFonts w:asciiTheme="majorBidi" w:hAnsiTheme="majorBidi" w:cstheme="majorBidi"/>
          <w:sz w:val="24"/>
          <w:szCs w:val="24"/>
        </w:rPr>
        <w:t xml:space="preserve"> Further, while Uganda saw i</w:t>
      </w:r>
      <w:r w:rsidR="00FB2D89">
        <w:rPr>
          <w:rFonts w:asciiTheme="majorBidi" w:hAnsiTheme="majorBidi" w:cstheme="majorBidi"/>
          <w:sz w:val="24"/>
          <w:szCs w:val="24"/>
        </w:rPr>
        <w:t xml:space="preserve">mprovement </w:t>
      </w:r>
      <w:r w:rsidR="00B11EA0">
        <w:rPr>
          <w:rFonts w:asciiTheme="majorBidi" w:hAnsiTheme="majorBidi" w:cstheme="majorBidi"/>
          <w:sz w:val="24"/>
          <w:szCs w:val="24"/>
        </w:rPr>
        <w:t xml:space="preserve">across </w:t>
      </w:r>
      <w:r w:rsidR="003C6016">
        <w:rPr>
          <w:rFonts w:asciiTheme="majorBidi" w:hAnsiTheme="majorBidi" w:cstheme="majorBidi"/>
          <w:sz w:val="24"/>
          <w:szCs w:val="24"/>
        </w:rPr>
        <w:t>services</w:t>
      </w:r>
      <w:r w:rsidR="00B11EA0">
        <w:rPr>
          <w:rFonts w:asciiTheme="majorBidi" w:hAnsiTheme="majorBidi" w:cstheme="majorBidi"/>
          <w:sz w:val="24"/>
          <w:szCs w:val="24"/>
        </w:rPr>
        <w:t>, ratios amongst SBA and PNC still represent the highest ratios across the region, suggesting there is still need for further improvement.</w:t>
      </w:r>
      <w:r w:rsidR="000626DE">
        <w:rPr>
          <w:rFonts w:asciiTheme="majorBidi" w:hAnsiTheme="majorBidi" w:cstheme="majorBidi"/>
          <w:sz w:val="24"/>
          <w:szCs w:val="24"/>
        </w:rPr>
        <w:t xml:space="preserve"> </w:t>
      </w:r>
    </w:p>
    <w:p w14:paraId="020AF966" w14:textId="100ABD77" w:rsidR="00E811B8" w:rsidRDefault="009130C4" w:rsidP="00281E7F">
      <w:pPr>
        <w:spacing w:line="480" w:lineRule="auto"/>
        <w:ind w:firstLine="720"/>
        <w:rPr>
          <w:rFonts w:asciiTheme="majorBidi" w:hAnsiTheme="majorBidi" w:cstheme="majorBidi"/>
          <w:sz w:val="24"/>
          <w:szCs w:val="24"/>
        </w:rPr>
      </w:pPr>
      <w:r>
        <w:rPr>
          <w:rFonts w:asciiTheme="majorBidi" w:hAnsiTheme="majorBidi" w:cstheme="majorBidi"/>
          <w:sz w:val="24"/>
          <w:szCs w:val="24"/>
        </w:rPr>
        <w:t>Lastly,</w:t>
      </w:r>
      <w:r w:rsidR="00EF6939">
        <w:rPr>
          <w:rFonts w:asciiTheme="majorBidi" w:hAnsiTheme="majorBidi" w:cstheme="majorBidi"/>
          <w:sz w:val="24"/>
          <w:szCs w:val="24"/>
        </w:rPr>
        <w:t xml:space="preserve"> </w:t>
      </w:r>
      <w:r w:rsidR="00AC35CF">
        <w:rPr>
          <w:rFonts w:asciiTheme="majorBidi" w:hAnsiTheme="majorBidi" w:cstheme="majorBidi"/>
          <w:sz w:val="24"/>
          <w:szCs w:val="24"/>
        </w:rPr>
        <w:t>Figure 4</w:t>
      </w:r>
      <w:r>
        <w:rPr>
          <w:rFonts w:asciiTheme="majorBidi" w:hAnsiTheme="majorBidi" w:cstheme="majorBidi"/>
          <w:sz w:val="24"/>
          <w:szCs w:val="24"/>
        </w:rPr>
        <w:t xml:space="preserve"> shows results of the unadjusted logistic odds ratio, plotting coefficients of the DHS region</w:t>
      </w:r>
      <w:r w:rsidR="005B7E1D">
        <w:rPr>
          <w:rFonts w:asciiTheme="majorBidi" w:hAnsiTheme="majorBidi" w:cstheme="majorBidi"/>
          <w:sz w:val="24"/>
          <w:szCs w:val="24"/>
        </w:rPr>
        <w:t xml:space="preserve"> with the </w:t>
      </w:r>
      <w:r w:rsidR="007912FD">
        <w:rPr>
          <w:rFonts w:asciiTheme="majorBidi" w:hAnsiTheme="majorBidi" w:cstheme="majorBidi"/>
          <w:sz w:val="24"/>
          <w:szCs w:val="24"/>
        </w:rPr>
        <w:t>highest</w:t>
      </w:r>
      <w:r w:rsidR="005B7E1D">
        <w:rPr>
          <w:rFonts w:asciiTheme="majorBidi" w:hAnsiTheme="majorBidi" w:cstheme="majorBidi"/>
          <w:sz w:val="24"/>
          <w:szCs w:val="24"/>
        </w:rPr>
        <w:t xml:space="preserve"> corresponding coverage</w:t>
      </w:r>
      <w:r>
        <w:rPr>
          <w:rFonts w:asciiTheme="majorBidi" w:hAnsiTheme="majorBidi" w:cstheme="majorBidi"/>
          <w:sz w:val="24"/>
          <w:szCs w:val="24"/>
        </w:rPr>
        <w:t xml:space="preserve"> as compared to the region</w:t>
      </w:r>
      <w:r w:rsidR="005B7E1D">
        <w:rPr>
          <w:rFonts w:asciiTheme="majorBidi" w:hAnsiTheme="majorBidi" w:cstheme="majorBidi"/>
          <w:sz w:val="24"/>
          <w:szCs w:val="24"/>
        </w:rPr>
        <w:t xml:space="preserve"> with the </w:t>
      </w:r>
      <w:r w:rsidR="007912FD">
        <w:rPr>
          <w:rFonts w:asciiTheme="majorBidi" w:hAnsiTheme="majorBidi" w:cstheme="majorBidi"/>
          <w:sz w:val="24"/>
          <w:szCs w:val="24"/>
        </w:rPr>
        <w:t>lowest</w:t>
      </w:r>
      <w:r w:rsidR="005B7E1D">
        <w:rPr>
          <w:rFonts w:asciiTheme="majorBidi" w:hAnsiTheme="majorBidi" w:cstheme="majorBidi"/>
          <w:sz w:val="24"/>
          <w:szCs w:val="24"/>
        </w:rPr>
        <w:t xml:space="preserve"> coverage</w:t>
      </w:r>
      <w:r w:rsidR="00EF6939">
        <w:rPr>
          <w:rFonts w:asciiTheme="majorBidi" w:hAnsiTheme="majorBidi" w:cstheme="majorBidi"/>
          <w:sz w:val="24"/>
          <w:szCs w:val="24"/>
        </w:rPr>
        <w:t xml:space="preserve"> as reference</w:t>
      </w:r>
      <w:r>
        <w:rPr>
          <w:rFonts w:asciiTheme="majorBidi" w:hAnsiTheme="majorBidi" w:cstheme="majorBidi"/>
          <w:sz w:val="24"/>
          <w:szCs w:val="24"/>
        </w:rPr>
        <w:t xml:space="preserve">. </w:t>
      </w:r>
      <w:r w:rsidR="001A3FB2" w:rsidRPr="005B7E1D">
        <w:rPr>
          <w:rFonts w:asciiTheme="majorBidi" w:hAnsiTheme="majorBidi" w:cstheme="majorBidi"/>
          <w:sz w:val="24"/>
          <w:szCs w:val="24"/>
        </w:rPr>
        <w:t xml:space="preserve">Positive, significant coefficients </w:t>
      </w:r>
      <w:r w:rsidR="005B7E1D">
        <w:rPr>
          <w:rFonts w:asciiTheme="majorBidi" w:hAnsiTheme="majorBidi" w:cstheme="majorBidi"/>
          <w:sz w:val="24"/>
          <w:szCs w:val="24"/>
        </w:rPr>
        <w:t>imply a</w:t>
      </w:r>
      <w:r w:rsidR="001A3FB2" w:rsidRPr="005B7E1D">
        <w:rPr>
          <w:rFonts w:asciiTheme="majorBidi" w:hAnsiTheme="majorBidi" w:cstheme="majorBidi"/>
          <w:sz w:val="24"/>
          <w:szCs w:val="24"/>
        </w:rPr>
        <w:t xml:space="preserve"> statistically significant </w:t>
      </w:r>
      <w:r w:rsidR="005B7E1D">
        <w:rPr>
          <w:rFonts w:asciiTheme="majorBidi" w:hAnsiTheme="majorBidi" w:cstheme="majorBidi"/>
          <w:sz w:val="24"/>
          <w:szCs w:val="24"/>
        </w:rPr>
        <w:t>effect of space exists</w:t>
      </w:r>
      <w:r w:rsidR="001A3FB2" w:rsidRPr="005B7E1D">
        <w:rPr>
          <w:rFonts w:asciiTheme="majorBidi" w:hAnsiTheme="majorBidi" w:cstheme="majorBidi"/>
          <w:sz w:val="24"/>
          <w:szCs w:val="24"/>
        </w:rPr>
        <w:t xml:space="preserve">, while estimates </w:t>
      </w:r>
      <w:r w:rsidR="005047D3">
        <w:rPr>
          <w:rFonts w:asciiTheme="majorBidi" w:hAnsiTheme="majorBidi" w:cstheme="majorBidi"/>
          <w:sz w:val="24"/>
          <w:szCs w:val="24"/>
        </w:rPr>
        <w:t>spanning</w:t>
      </w:r>
      <w:r w:rsidR="005047D3" w:rsidRPr="005B7E1D">
        <w:rPr>
          <w:rFonts w:asciiTheme="majorBidi" w:hAnsiTheme="majorBidi" w:cstheme="majorBidi"/>
          <w:sz w:val="24"/>
          <w:szCs w:val="24"/>
        </w:rPr>
        <w:t xml:space="preserve"> </w:t>
      </w:r>
      <w:r w:rsidR="001A3FB2" w:rsidRPr="005B7E1D">
        <w:rPr>
          <w:rFonts w:asciiTheme="majorBidi" w:hAnsiTheme="majorBidi" w:cstheme="majorBidi"/>
          <w:sz w:val="24"/>
          <w:szCs w:val="24"/>
        </w:rPr>
        <w:t>zero imply no significant difference</w:t>
      </w:r>
      <w:r w:rsidR="005B7E1D">
        <w:rPr>
          <w:rFonts w:asciiTheme="majorBidi" w:hAnsiTheme="majorBidi" w:cstheme="majorBidi"/>
          <w:sz w:val="24"/>
          <w:szCs w:val="24"/>
        </w:rPr>
        <w:t xml:space="preserve"> across regions</w:t>
      </w:r>
      <w:r w:rsidR="007D76D2">
        <w:rPr>
          <w:rFonts w:asciiTheme="majorBidi" w:hAnsiTheme="majorBidi" w:cstheme="majorBidi"/>
          <w:sz w:val="24"/>
          <w:szCs w:val="24"/>
        </w:rPr>
        <w:t xml:space="preserve"> in likelihood of utilising SBA, ANC, or </w:t>
      </w:r>
      <w:r w:rsidR="001A3FB2" w:rsidRPr="005B7E1D">
        <w:rPr>
          <w:rFonts w:asciiTheme="majorBidi" w:hAnsiTheme="majorBidi" w:cstheme="majorBidi"/>
          <w:sz w:val="24"/>
          <w:szCs w:val="24"/>
        </w:rPr>
        <w:t>PNC</w:t>
      </w:r>
      <w:r w:rsidR="005B7E1D" w:rsidRPr="008A3EBC">
        <w:rPr>
          <w:rFonts w:asciiTheme="majorBidi" w:hAnsiTheme="majorBidi" w:cstheme="majorBidi"/>
          <w:sz w:val="24"/>
          <w:szCs w:val="24"/>
        </w:rPr>
        <w:t>.</w:t>
      </w:r>
      <w:r w:rsidR="00EF6939" w:rsidRPr="008A3EBC">
        <w:rPr>
          <w:rFonts w:asciiTheme="majorBidi" w:hAnsiTheme="majorBidi" w:cstheme="majorBidi"/>
          <w:sz w:val="24"/>
          <w:szCs w:val="24"/>
        </w:rPr>
        <w:t xml:space="preserve"> </w:t>
      </w:r>
      <w:r w:rsidR="001A2AD2">
        <w:rPr>
          <w:rFonts w:asciiTheme="majorBidi" w:hAnsiTheme="majorBidi" w:cstheme="majorBidi"/>
          <w:sz w:val="24"/>
          <w:szCs w:val="24"/>
        </w:rPr>
        <w:t xml:space="preserve">Historically, </w:t>
      </w:r>
      <w:r w:rsidR="00EF6939" w:rsidRPr="008A3EBC">
        <w:rPr>
          <w:rFonts w:asciiTheme="majorBidi" w:hAnsiTheme="majorBidi" w:cstheme="majorBidi"/>
          <w:sz w:val="24"/>
          <w:szCs w:val="24"/>
        </w:rPr>
        <w:t xml:space="preserve">Rwanda saw high levels of </w:t>
      </w:r>
      <w:r w:rsidR="007D76D2">
        <w:rPr>
          <w:rFonts w:asciiTheme="majorBidi" w:hAnsiTheme="majorBidi" w:cstheme="majorBidi"/>
          <w:sz w:val="24"/>
          <w:szCs w:val="24"/>
        </w:rPr>
        <w:t>inequality</w:t>
      </w:r>
      <w:r w:rsidR="00EF6939" w:rsidRPr="008A3EBC">
        <w:rPr>
          <w:rFonts w:asciiTheme="majorBidi" w:hAnsiTheme="majorBidi" w:cstheme="majorBidi"/>
          <w:sz w:val="24"/>
          <w:szCs w:val="24"/>
        </w:rPr>
        <w:t xml:space="preserve"> in utilising MNH services by space, but univariate logistic odds results suggest the effect of space has been substantially reduced over the decade</w:t>
      </w:r>
      <w:r w:rsidR="007D76D2">
        <w:rPr>
          <w:rFonts w:asciiTheme="majorBidi" w:hAnsiTheme="majorBidi" w:cstheme="majorBidi"/>
          <w:sz w:val="24"/>
          <w:szCs w:val="24"/>
        </w:rPr>
        <w:t>s</w:t>
      </w:r>
      <w:r w:rsidR="00EF6939" w:rsidRPr="008A3EBC">
        <w:rPr>
          <w:rFonts w:asciiTheme="majorBidi" w:hAnsiTheme="majorBidi" w:cstheme="majorBidi"/>
          <w:sz w:val="24"/>
          <w:szCs w:val="24"/>
        </w:rPr>
        <w:t xml:space="preserve">, representing the country with the lowest odds ratios across </w:t>
      </w:r>
      <w:r w:rsidR="003C6016">
        <w:rPr>
          <w:rFonts w:asciiTheme="majorBidi" w:hAnsiTheme="majorBidi" w:cstheme="majorBidi"/>
          <w:sz w:val="24"/>
          <w:szCs w:val="24"/>
        </w:rPr>
        <w:t>services</w:t>
      </w:r>
      <w:r w:rsidR="003C6016" w:rsidRPr="008A3EBC">
        <w:rPr>
          <w:rFonts w:asciiTheme="majorBidi" w:hAnsiTheme="majorBidi" w:cstheme="majorBidi"/>
          <w:sz w:val="24"/>
          <w:szCs w:val="24"/>
        </w:rPr>
        <w:t xml:space="preserve"> </w:t>
      </w:r>
      <w:r w:rsidR="00EF6939" w:rsidRPr="008A3EBC">
        <w:rPr>
          <w:rFonts w:asciiTheme="majorBidi" w:hAnsiTheme="majorBidi" w:cstheme="majorBidi"/>
          <w:sz w:val="24"/>
          <w:szCs w:val="24"/>
        </w:rPr>
        <w:t xml:space="preserve">amongst the most recent survey. </w:t>
      </w:r>
      <w:r w:rsidR="008A3EBC">
        <w:rPr>
          <w:rFonts w:asciiTheme="majorBidi" w:hAnsiTheme="majorBidi" w:cstheme="majorBidi"/>
          <w:sz w:val="24"/>
          <w:szCs w:val="24"/>
        </w:rPr>
        <w:t xml:space="preserve">Of note, the odds of obtaining PNC in 2010 was negative, implying odds in the best performing regions were actually reduced as compared to the worst performing region. </w:t>
      </w:r>
      <w:r w:rsidR="005E7DEB" w:rsidRPr="008A3EBC">
        <w:rPr>
          <w:rFonts w:asciiTheme="majorBidi" w:hAnsiTheme="majorBidi" w:cstheme="majorBidi"/>
          <w:sz w:val="24"/>
          <w:szCs w:val="24"/>
        </w:rPr>
        <w:t>Kenya</w:t>
      </w:r>
      <w:r w:rsidR="005E7DEB">
        <w:rPr>
          <w:rFonts w:asciiTheme="majorBidi" w:hAnsiTheme="majorBidi" w:cstheme="majorBidi"/>
          <w:sz w:val="24"/>
          <w:szCs w:val="24"/>
        </w:rPr>
        <w:t xml:space="preserve"> further saw decreasing ORs over time for both ANC and PNC, but saw little improvement for SBA,</w:t>
      </w:r>
      <w:r w:rsidR="005E7DEB" w:rsidRPr="005E7DEB">
        <w:rPr>
          <w:rFonts w:asciiTheme="majorBidi" w:hAnsiTheme="majorBidi" w:cstheme="majorBidi"/>
          <w:sz w:val="24"/>
          <w:szCs w:val="24"/>
        </w:rPr>
        <w:t xml:space="preserve"> </w:t>
      </w:r>
      <w:r w:rsidR="005E7DEB">
        <w:rPr>
          <w:rFonts w:asciiTheme="majorBidi" w:hAnsiTheme="majorBidi" w:cstheme="majorBidi"/>
          <w:sz w:val="24"/>
          <w:szCs w:val="24"/>
        </w:rPr>
        <w:t>with Nairobi having 2 to 3</w:t>
      </w:r>
      <w:r w:rsidR="00CE7E1F">
        <w:rPr>
          <w:rFonts w:asciiTheme="majorBidi" w:hAnsiTheme="majorBidi" w:cstheme="majorBidi"/>
          <w:sz w:val="24"/>
          <w:szCs w:val="24"/>
        </w:rPr>
        <w:t xml:space="preserve"> times</w:t>
      </w:r>
      <w:r w:rsidR="005E7DEB">
        <w:rPr>
          <w:rFonts w:asciiTheme="majorBidi" w:hAnsiTheme="majorBidi" w:cstheme="majorBidi"/>
          <w:sz w:val="24"/>
          <w:szCs w:val="24"/>
        </w:rPr>
        <w:t xml:space="preserve"> higher odds of utilising skilled birth attendance over time as compared to the North Eastern region. Despite this improvement, Kenya’s ORs remain amongst the highest across the region</w:t>
      </w:r>
      <w:r w:rsidR="00BE066A">
        <w:rPr>
          <w:rFonts w:asciiTheme="majorBidi" w:hAnsiTheme="majorBidi" w:cstheme="majorBidi"/>
          <w:sz w:val="24"/>
          <w:szCs w:val="24"/>
        </w:rPr>
        <w:t>,</w:t>
      </w:r>
      <w:r w:rsidR="005E7DEB">
        <w:rPr>
          <w:rFonts w:asciiTheme="majorBidi" w:hAnsiTheme="majorBidi" w:cstheme="majorBidi"/>
          <w:sz w:val="24"/>
          <w:szCs w:val="24"/>
        </w:rPr>
        <w:t xml:space="preserve"> in combination with Tanzania. </w:t>
      </w:r>
    </w:p>
    <w:p w14:paraId="7A0E67A3" w14:textId="41930FF4" w:rsidR="00041665" w:rsidRDefault="005E7DEB" w:rsidP="00281E7F">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In contrast to Rwanda and Kenya’s decreasing </w:t>
      </w:r>
      <w:r w:rsidR="00BE066A">
        <w:rPr>
          <w:rFonts w:asciiTheme="majorBidi" w:hAnsiTheme="majorBidi" w:cstheme="majorBidi"/>
          <w:sz w:val="24"/>
          <w:szCs w:val="24"/>
        </w:rPr>
        <w:t>trends in ORs</w:t>
      </w:r>
      <w:r>
        <w:rPr>
          <w:rFonts w:asciiTheme="majorBidi" w:hAnsiTheme="majorBidi" w:cstheme="majorBidi"/>
          <w:sz w:val="24"/>
          <w:szCs w:val="24"/>
        </w:rPr>
        <w:t xml:space="preserve">, </w:t>
      </w:r>
      <w:r w:rsidR="006715C4">
        <w:rPr>
          <w:rFonts w:asciiTheme="majorBidi" w:hAnsiTheme="majorBidi" w:cstheme="majorBidi"/>
          <w:sz w:val="24"/>
          <w:szCs w:val="24"/>
        </w:rPr>
        <w:t>Tanzania</w:t>
      </w:r>
      <w:r>
        <w:rPr>
          <w:rFonts w:asciiTheme="majorBidi" w:hAnsiTheme="majorBidi" w:cstheme="majorBidi"/>
          <w:sz w:val="24"/>
          <w:szCs w:val="24"/>
        </w:rPr>
        <w:t xml:space="preserve"> and Uganda had substantial variability in ORs over time.</w:t>
      </w:r>
      <w:r w:rsidR="006715C4">
        <w:rPr>
          <w:rFonts w:asciiTheme="majorBidi" w:hAnsiTheme="majorBidi" w:cstheme="majorBidi"/>
          <w:sz w:val="24"/>
          <w:szCs w:val="24"/>
        </w:rPr>
        <w:t xml:space="preserve"> </w:t>
      </w:r>
      <w:r>
        <w:rPr>
          <w:rFonts w:asciiTheme="majorBidi" w:hAnsiTheme="majorBidi" w:cstheme="majorBidi"/>
          <w:sz w:val="24"/>
          <w:szCs w:val="24"/>
        </w:rPr>
        <w:t xml:space="preserve">Encouragingly, the effect of space is relatively low in Uganda amongst ANC and PNC, but has increased over time for SBA. </w:t>
      </w:r>
      <w:r w:rsidR="00D76E47">
        <w:rPr>
          <w:rFonts w:asciiTheme="majorBidi" w:hAnsiTheme="majorBidi" w:cstheme="majorBidi"/>
          <w:sz w:val="24"/>
          <w:szCs w:val="24"/>
        </w:rPr>
        <w:t xml:space="preserve">However, the odds of obtaining SBA amongst the DHS region with the highest SBA coverage versus the lowest was just over 1 in 2011, representing the lowest coefficient for SBA outside of Rwanda. </w:t>
      </w:r>
      <w:r>
        <w:rPr>
          <w:rFonts w:asciiTheme="majorBidi" w:hAnsiTheme="majorBidi" w:cstheme="majorBidi"/>
          <w:sz w:val="24"/>
          <w:szCs w:val="24"/>
        </w:rPr>
        <w:t xml:space="preserve">Tanzania also </w:t>
      </w:r>
      <w:r w:rsidR="00D76E47">
        <w:rPr>
          <w:rFonts w:asciiTheme="majorBidi" w:hAnsiTheme="majorBidi" w:cstheme="majorBidi"/>
          <w:sz w:val="24"/>
          <w:szCs w:val="24"/>
        </w:rPr>
        <w:t>saw</w:t>
      </w:r>
      <w:r>
        <w:rPr>
          <w:rFonts w:asciiTheme="majorBidi" w:hAnsiTheme="majorBidi" w:cstheme="majorBidi"/>
          <w:sz w:val="24"/>
          <w:szCs w:val="24"/>
        </w:rPr>
        <w:t xml:space="preserve"> an increasing effect of space over time for PNC, and further has high ORs along with Kenya.</w:t>
      </w:r>
      <w:r w:rsidR="005A3737" w:rsidRPr="008A3EBC">
        <w:rPr>
          <w:rFonts w:asciiTheme="majorBidi" w:hAnsiTheme="majorBidi" w:cstheme="majorBidi"/>
          <w:sz w:val="24"/>
          <w:szCs w:val="24"/>
        </w:rPr>
        <w:t xml:space="preserve"> </w:t>
      </w:r>
      <w:r w:rsidR="00044B03">
        <w:rPr>
          <w:rFonts w:asciiTheme="majorBidi" w:hAnsiTheme="majorBidi" w:cstheme="majorBidi"/>
          <w:sz w:val="24"/>
          <w:szCs w:val="24"/>
        </w:rPr>
        <w:t xml:space="preserve"> </w:t>
      </w:r>
    </w:p>
    <w:p w14:paraId="536E040A" w14:textId="1B7CACDB" w:rsidR="00FB1006" w:rsidRDefault="00FB1006" w:rsidP="0076525E">
      <w:pPr>
        <w:spacing w:line="480" w:lineRule="auto"/>
        <w:rPr>
          <w:rFonts w:asciiTheme="majorBidi" w:hAnsiTheme="majorBidi" w:cstheme="majorBidi"/>
          <w:i/>
          <w:sz w:val="24"/>
          <w:szCs w:val="24"/>
        </w:rPr>
      </w:pPr>
      <w:r>
        <w:rPr>
          <w:rFonts w:asciiTheme="majorBidi" w:hAnsiTheme="majorBidi" w:cstheme="majorBidi"/>
          <w:i/>
          <w:sz w:val="24"/>
          <w:szCs w:val="24"/>
        </w:rPr>
        <w:t>Model validation</w:t>
      </w:r>
    </w:p>
    <w:p w14:paraId="1900132B" w14:textId="12FC367A" w:rsidR="00FB1006" w:rsidRDefault="00FB1006" w:rsidP="0076525E">
      <w:pPr>
        <w:spacing w:line="480" w:lineRule="auto"/>
        <w:rPr>
          <w:rFonts w:asciiTheme="majorBidi" w:hAnsiTheme="majorBidi" w:cstheme="majorBidi"/>
          <w:sz w:val="24"/>
          <w:szCs w:val="24"/>
        </w:rPr>
      </w:pPr>
      <w:r w:rsidRPr="00FB1006">
        <w:rPr>
          <w:rFonts w:asciiTheme="majorBidi" w:hAnsiTheme="majorBidi" w:cstheme="majorBidi"/>
          <w:sz w:val="24"/>
          <w:szCs w:val="24"/>
        </w:rPr>
        <w:t xml:space="preserve">Model validation results are show in Table </w:t>
      </w:r>
      <w:r w:rsidR="00A67B9B">
        <w:rPr>
          <w:rFonts w:asciiTheme="majorBidi" w:hAnsiTheme="majorBidi" w:cstheme="majorBidi"/>
          <w:sz w:val="24"/>
          <w:szCs w:val="24"/>
        </w:rPr>
        <w:t>2</w:t>
      </w:r>
      <w:r w:rsidRPr="00FB1006">
        <w:rPr>
          <w:rFonts w:asciiTheme="majorBidi" w:hAnsiTheme="majorBidi" w:cstheme="majorBidi"/>
          <w:sz w:val="24"/>
          <w:szCs w:val="24"/>
        </w:rPr>
        <w:t xml:space="preserve">. Generally, model fit was greatest for all </w:t>
      </w:r>
      <w:r w:rsidR="003C6016">
        <w:rPr>
          <w:rFonts w:asciiTheme="majorBidi" w:hAnsiTheme="majorBidi" w:cstheme="majorBidi"/>
          <w:sz w:val="24"/>
          <w:szCs w:val="24"/>
        </w:rPr>
        <w:t>services</w:t>
      </w:r>
      <w:r w:rsidRPr="00FB1006">
        <w:rPr>
          <w:rFonts w:asciiTheme="majorBidi" w:hAnsiTheme="majorBidi" w:cstheme="majorBidi"/>
          <w:sz w:val="24"/>
          <w:szCs w:val="24"/>
        </w:rPr>
        <w:t xml:space="preserve"> in Kenya, ranging from 88.4% variance explained for ANC in 2008 to as high as 99.7% in 2014 for SBA and PNC. Model fit was poorest for ANC in Uganda, with psudeo-R2 estimates of 0.138 and 0.239 for ANC in 2006 and 2014. In general, model fit was poorest for ANC for all years and countries, with the exception of Rwanda after 2010. Model precision and bias were predominantly uniform across countries, but was worst among Uganda models, </w:t>
      </w:r>
      <w:r w:rsidR="00A67B9B">
        <w:rPr>
          <w:rFonts w:asciiTheme="majorBidi" w:hAnsiTheme="majorBidi" w:cstheme="majorBidi"/>
          <w:sz w:val="24"/>
          <w:szCs w:val="24"/>
        </w:rPr>
        <w:t>potentially</w:t>
      </w:r>
      <w:r w:rsidRPr="00FB1006">
        <w:rPr>
          <w:rFonts w:asciiTheme="majorBidi" w:hAnsiTheme="majorBidi" w:cstheme="majorBidi"/>
          <w:sz w:val="24"/>
          <w:szCs w:val="24"/>
        </w:rPr>
        <w:t xml:space="preserve"> contributing to the low explained variance.  </w:t>
      </w:r>
    </w:p>
    <w:p w14:paraId="15AAD128" w14:textId="77777777" w:rsidR="00D54D3E" w:rsidRDefault="00D54D3E" w:rsidP="00ED0F8C">
      <w:pPr>
        <w:spacing w:line="480" w:lineRule="auto"/>
        <w:rPr>
          <w:rFonts w:asciiTheme="majorBidi" w:hAnsiTheme="majorBidi" w:cstheme="majorBidi"/>
          <w:b/>
          <w:sz w:val="24"/>
          <w:szCs w:val="24"/>
        </w:rPr>
      </w:pPr>
      <w:r>
        <w:rPr>
          <w:rFonts w:asciiTheme="majorBidi" w:hAnsiTheme="majorBidi" w:cstheme="majorBidi"/>
          <w:b/>
          <w:sz w:val="24"/>
          <w:szCs w:val="24"/>
        </w:rPr>
        <w:t>Discussion</w:t>
      </w:r>
    </w:p>
    <w:p w14:paraId="7C148DA6" w14:textId="4F86E15A" w:rsidR="00164D86" w:rsidRDefault="00B1461B" w:rsidP="00F9758F">
      <w:pPr>
        <w:spacing w:line="480" w:lineRule="auto"/>
        <w:ind w:firstLine="720"/>
        <w:rPr>
          <w:rFonts w:asciiTheme="majorBidi" w:hAnsiTheme="majorBidi" w:cstheme="majorBidi"/>
          <w:sz w:val="24"/>
          <w:szCs w:val="24"/>
        </w:rPr>
      </w:pPr>
      <w:r w:rsidRPr="00B1461B">
        <w:rPr>
          <w:rFonts w:asciiTheme="majorBidi" w:hAnsiTheme="majorBidi" w:cstheme="majorBidi"/>
          <w:sz w:val="24"/>
          <w:szCs w:val="24"/>
        </w:rPr>
        <w:t xml:space="preserve">The vast majority of </w:t>
      </w:r>
      <w:r>
        <w:rPr>
          <w:rFonts w:asciiTheme="majorBidi" w:hAnsiTheme="majorBidi" w:cstheme="majorBidi"/>
          <w:sz w:val="24"/>
          <w:szCs w:val="24"/>
        </w:rPr>
        <w:t>maternal deaths</w:t>
      </w:r>
      <w:r w:rsidRPr="00B1461B">
        <w:rPr>
          <w:rFonts w:asciiTheme="majorBidi" w:hAnsiTheme="majorBidi" w:cstheme="majorBidi"/>
          <w:sz w:val="24"/>
          <w:szCs w:val="24"/>
        </w:rPr>
        <w:t xml:space="preserve"> can be prevented through routine health services, such as antenatal care </w:t>
      </w:r>
      <w:r w:rsidR="000B52E0">
        <w:rPr>
          <w:rFonts w:asciiTheme="majorBidi" w:hAnsiTheme="majorBidi" w:cstheme="majorBidi"/>
          <w:sz w:val="24"/>
          <w:szCs w:val="24"/>
        </w:rPr>
        <w:t>and</w:t>
      </w:r>
      <w:r w:rsidRPr="00B1461B">
        <w:rPr>
          <w:rFonts w:asciiTheme="majorBidi" w:hAnsiTheme="majorBidi" w:cstheme="majorBidi"/>
          <w:sz w:val="24"/>
          <w:szCs w:val="24"/>
        </w:rPr>
        <w:t xml:space="preserve"> skilled birth attendance, or treated through timely </w:t>
      </w:r>
      <w:r>
        <w:rPr>
          <w:rFonts w:asciiTheme="majorBidi" w:hAnsiTheme="majorBidi" w:cstheme="majorBidi"/>
          <w:sz w:val="24"/>
          <w:szCs w:val="24"/>
        </w:rPr>
        <w:t>interventions</w:t>
      </w:r>
      <w:r w:rsidRPr="00B1461B">
        <w:rPr>
          <w:rFonts w:asciiTheme="majorBidi" w:hAnsiTheme="majorBidi" w:cstheme="majorBidi"/>
          <w:sz w:val="24"/>
          <w:szCs w:val="24"/>
        </w:rPr>
        <w:t xml:space="preserve"> and prevention</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Hy7sHokz","properties":{"formattedCitation":"[42]","plainCitation":"[42]","noteIndex":0},"citationItems":[{"id":489,"uris":["http://zotero.org/users/2783131/items/6NKGWI5C"],"uri":["http://zotero.org/users/2783131/items/6NKGWI5C"],"itemData":{"id":489,"type":"article-journal","title":"The availability of life-saving obstetric services in developing countries: An in-depth look at the signal functions for emergency obstetric care","container-title":"International Journal of Gynecology &amp; Obstetrics","page":"285-291","volume":"93","issue":"3","source":"ScienceDirect","abstract":"Objective: This paper examines the frequency with which a set of life-saving interventions or signal functions was performed to treat major obstetric complications. Methods and results: The basic signal functions include parenteral antibiotics, anticonvulsants and oxytocics, and the procedures of manual removal of the placenta, removal of retained uterine products, and assisted vaginal delivery. Comprehensive functions include the six basic functions, cesarean delivery, and blood transfusions. Data from 1906 health facilities in 13 countries indicate that the most likely functions to be reported are oxytocics and antibiotics. The basic function least likely to be reported is assisted vaginal delivery. Many of the facilities surveyed did not have the infrastructure to perform operations or provide blood transfusions. Conclusions: These data can help governments allocate their budgets appropriately, help policy makers and planners identify systemic bottlenecks and prioritize solutions. Monitoring the performance of the functions informs us of the capacity of the health system to provide key interventions when obstetric emergencies occur.","DOI":"10.1016/j.ijgo.2006.01.028","ISSN":"0020-7292","shortTitle":"The availability of life-saving obstetric services in developing countries","journalAbbreviation":"International Journal of Gynecology &amp; Obstetrics","author":[{"family":"Bailey","given":"P."},{"family":"Paxton","given":"A."},{"family":"Lobis","given":"S."},{"family":"Fry","given":"D."}],"issued":{"date-parts":[["2006",6]]}}}],"schema":"https://github.com/citation-style-language/schema/raw/master/csl-citation.json"} </w:instrText>
      </w:r>
      <w:r>
        <w:rPr>
          <w:rFonts w:asciiTheme="majorBidi" w:hAnsiTheme="majorBidi" w:cstheme="majorBidi"/>
          <w:sz w:val="24"/>
          <w:szCs w:val="24"/>
        </w:rPr>
        <w:fldChar w:fldCharType="separate"/>
      </w:r>
      <w:r w:rsidRPr="0076525E">
        <w:rPr>
          <w:rFonts w:ascii="Times New Roman" w:hAnsi="Times New Roman" w:cs="Times New Roman"/>
          <w:sz w:val="24"/>
        </w:rPr>
        <w:t>[42]</w:t>
      </w:r>
      <w:r>
        <w:rPr>
          <w:rFonts w:asciiTheme="majorBidi" w:hAnsiTheme="majorBidi" w:cstheme="majorBidi"/>
          <w:sz w:val="24"/>
          <w:szCs w:val="24"/>
        </w:rPr>
        <w:fldChar w:fldCharType="end"/>
      </w:r>
      <w:r>
        <w:rPr>
          <w:rFonts w:asciiTheme="majorBidi" w:hAnsiTheme="majorBidi" w:cstheme="majorBidi"/>
          <w:sz w:val="24"/>
          <w:szCs w:val="24"/>
        </w:rPr>
        <w:t>.</w:t>
      </w:r>
      <w:r w:rsidRPr="00B1461B">
        <w:rPr>
          <w:rFonts w:asciiTheme="majorBidi" w:hAnsiTheme="majorBidi" w:cstheme="majorBidi"/>
          <w:sz w:val="24"/>
          <w:szCs w:val="24"/>
        </w:rPr>
        <w:t xml:space="preserve"> </w:t>
      </w:r>
      <w:r w:rsidR="001C1394">
        <w:rPr>
          <w:rFonts w:asciiTheme="majorBidi" w:hAnsiTheme="majorBidi" w:cstheme="majorBidi"/>
          <w:sz w:val="24"/>
          <w:szCs w:val="24"/>
        </w:rPr>
        <w:t>Within developing countries, however, the use of key life-saving interventions can be limited</w:t>
      </w:r>
      <w:r>
        <w:rPr>
          <w:rFonts w:asciiTheme="majorBidi" w:hAnsiTheme="majorBidi" w:cstheme="majorBidi"/>
          <w:sz w:val="24"/>
          <w:szCs w:val="24"/>
        </w:rPr>
        <w:t xml:space="preserve"> and inequitably distributed</w:t>
      </w:r>
      <w:r w:rsidR="001C1394">
        <w:rPr>
          <w:rFonts w:asciiTheme="majorBidi" w:hAnsiTheme="majorBidi" w:cstheme="majorBidi"/>
          <w:sz w:val="24"/>
          <w:szCs w:val="24"/>
        </w:rPr>
        <w:t xml:space="preserve">, and varies </w:t>
      </w:r>
      <w:r w:rsidR="001C1394" w:rsidRPr="001C1394">
        <w:rPr>
          <w:rFonts w:asciiTheme="majorBidi" w:hAnsiTheme="majorBidi" w:cstheme="majorBidi"/>
          <w:sz w:val="24"/>
          <w:szCs w:val="24"/>
        </w:rPr>
        <w:t xml:space="preserve">by </w:t>
      </w:r>
      <w:r w:rsidR="001C1394">
        <w:rPr>
          <w:rFonts w:asciiTheme="majorBidi" w:hAnsiTheme="majorBidi" w:cstheme="majorBidi"/>
          <w:sz w:val="24"/>
          <w:szCs w:val="24"/>
        </w:rPr>
        <w:t xml:space="preserve">country-specific </w:t>
      </w:r>
      <w:r w:rsidR="001C1394" w:rsidRPr="001C1394">
        <w:rPr>
          <w:rFonts w:asciiTheme="majorBidi" w:hAnsiTheme="majorBidi" w:cstheme="majorBidi"/>
          <w:sz w:val="24"/>
          <w:szCs w:val="24"/>
        </w:rPr>
        <w:t>contextual issues</w:t>
      </w:r>
      <w:r w:rsidR="001C1394">
        <w:rPr>
          <w:rFonts w:asciiTheme="majorBidi" w:hAnsiTheme="majorBidi" w:cstheme="majorBidi"/>
          <w:sz w:val="24"/>
          <w:szCs w:val="24"/>
        </w:rPr>
        <w:t xml:space="preserve">, such as </w:t>
      </w:r>
      <w:r w:rsidR="001C1394" w:rsidRPr="001C1394">
        <w:rPr>
          <w:rFonts w:asciiTheme="majorBidi" w:hAnsiTheme="majorBidi" w:cstheme="majorBidi"/>
          <w:sz w:val="24"/>
          <w:szCs w:val="24"/>
        </w:rPr>
        <w:t>funding and organization of health care or social and cultural issues</w:t>
      </w:r>
      <w:r w:rsidR="00F9758F">
        <w:rPr>
          <w:rFonts w:asciiTheme="majorBidi" w:hAnsiTheme="majorBidi" w:cstheme="majorBidi"/>
          <w:sz w:val="24"/>
          <w:szCs w:val="24"/>
        </w:rPr>
        <w:t xml:space="preserve"> </w:t>
      </w:r>
      <w:r w:rsidR="001C1394">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RiZ2Sq59","properties":{"formattedCitation":"[43]","plainCitation":"[43]","noteIndex":0},"citationItems":[{"id":334,"uris":["http://zotero.org/users/2783131/items/54J4JS3E"],"uri":["http://zotero.org/users/2783131/items/54J4JS3E"],"itemData":{"id":334,"type":"article-journal","title":"A systematic review of inequalities in the use of maternal health care in developing countries: examining the scale of the problem and the importance of context","container-title":"Bulletin of the World Health Organization","page":"812-819","volume":"85","issue":"10","source":"SciELO","DOI":"10.1590/S0042-96862007001000019","ISSN":"0042-9686","shortTitle":"A systematic review of inequalities in the use of maternal health care in developing countries","author":[{"family":"Say","given":"Lale"},{"family":"Raine","given":"Rosalind"}],"issued":{"date-parts":[["2007",10]]}}}],"schema":"https://github.com/citation-style-language/schema/raw/master/csl-citation.json"} </w:instrText>
      </w:r>
      <w:r w:rsidR="001C1394">
        <w:rPr>
          <w:rFonts w:asciiTheme="majorBidi" w:hAnsiTheme="majorBidi" w:cstheme="majorBidi"/>
          <w:sz w:val="24"/>
          <w:szCs w:val="24"/>
        </w:rPr>
        <w:fldChar w:fldCharType="separate"/>
      </w:r>
      <w:r w:rsidRPr="0076525E">
        <w:rPr>
          <w:rFonts w:ascii="Times New Roman" w:hAnsi="Times New Roman" w:cs="Times New Roman"/>
          <w:sz w:val="24"/>
        </w:rPr>
        <w:t>[43]</w:t>
      </w:r>
      <w:r w:rsidR="001C1394">
        <w:rPr>
          <w:rFonts w:asciiTheme="majorBidi" w:hAnsiTheme="majorBidi" w:cstheme="majorBidi"/>
          <w:sz w:val="24"/>
          <w:szCs w:val="24"/>
        </w:rPr>
        <w:fldChar w:fldCharType="end"/>
      </w:r>
      <w:r w:rsidR="001C1394">
        <w:rPr>
          <w:rFonts w:asciiTheme="majorBidi" w:hAnsiTheme="majorBidi" w:cstheme="majorBidi"/>
          <w:sz w:val="24"/>
          <w:szCs w:val="24"/>
        </w:rPr>
        <w:t>.</w:t>
      </w:r>
      <w:r>
        <w:rPr>
          <w:rFonts w:asciiTheme="majorBidi" w:hAnsiTheme="majorBidi" w:cstheme="majorBidi"/>
          <w:sz w:val="24"/>
          <w:szCs w:val="24"/>
        </w:rPr>
        <w:t xml:space="preserve"> Continuing MDG progress in preventing maternal deaths and achieving</w:t>
      </w:r>
      <w:r w:rsidRPr="00B06245">
        <w:rPr>
          <w:rFonts w:asciiTheme="majorBidi" w:hAnsiTheme="majorBidi" w:cstheme="majorBidi"/>
          <w:sz w:val="24"/>
          <w:szCs w:val="24"/>
        </w:rPr>
        <w:t xml:space="preserve"> SDG targets of “ensuring healthy lives and promoting well-being for all at all ages”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rR5dLMoL","properties":{"formattedCitation":"[6]","plainCitation":"[6]","noteIndex":0},"citationItems":[{"id":983,"uris":["http://zotero.org/users/2783131/items/U3A4S5TA"],"uri":["http://zotero.org/users/2783131/items/U3A4S5TA"],"itemData":{"id":983,"type":"report","title":"Health in 2015: from MDGs, Millennium Development Goals to SDGs, Sustainable Development Goals","publisher":"World Health Organization","publisher-place":"Geneva, Switzerland","event-place":"Geneva, Switzerland","URL":"http://www.who.int/gho/publications/mdgs-sdgs/en/","shortTitle":"Health in 2015","author":[{"literal":"WHO"}],"issued":{"date-parts":[["2015"]]},"accessed":{"date-parts":[["2018",4,19]]}}}],"schema":"https://github.com/citation-style-language/schema/raw/master/csl-citation.json"} </w:instrText>
      </w:r>
      <w:r>
        <w:rPr>
          <w:rFonts w:asciiTheme="majorBidi" w:hAnsiTheme="majorBidi" w:cstheme="majorBidi"/>
          <w:sz w:val="24"/>
          <w:szCs w:val="24"/>
        </w:rPr>
        <w:fldChar w:fldCharType="separate"/>
      </w:r>
      <w:r w:rsidRPr="00276428">
        <w:rPr>
          <w:rFonts w:ascii="Times New Roman" w:hAnsi="Times New Roman" w:cs="Times New Roman"/>
          <w:sz w:val="24"/>
        </w:rPr>
        <w:t>[6]</w:t>
      </w:r>
      <w:r>
        <w:rPr>
          <w:rFonts w:asciiTheme="majorBidi" w:hAnsiTheme="majorBidi" w:cstheme="majorBidi"/>
          <w:sz w:val="24"/>
          <w:szCs w:val="24"/>
        </w:rPr>
        <w:fldChar w:fldCharType="end"/>
      </w:r>
      <w:r>
        <w:rPr>
          <w:rFonts w:asciiTheme="majorBidi" w:hAnsiTheme="majorBidi" w:cstheme="majorBidi"/>
          <w:sz w:val="24"/>
          <w:szCs w:val="24"/>
        </w:rPr>
        <w:t xml:space="preserve"> will require </w:t>
      </w:r>
      <w:r w:rsidRPr="00B06245">
        <w:rPr>
          <w:rFonts w:asciiTheme="majorBidi" w:hAnsiTheme="majorBidi" w:cstheme="majorBidi"/>
          <w:sz w:val="24"/>
          <w:szCs w:val="24"/>
        </w:rPr>
        <w:t>more resolved spatial, temporal, and demographic information to identify and monitor persistent health inequalities.</w:t>
      </w:r>
      <w:r w:rsidR="001C1394">
        <w:rPr>
          <w:rFonts w:asciiTheme="majorBidi" w:hAnsiTheme="majorBidi" w:cstheme="majorBidi"/>
          <w:sz w:val="24"/>
          <w:szCs w:val="24"/>
        </w:rPr>
        <w:t xml:space="preserve"> </w:t>
      </w:r>
      <w:r w:rsidR="00E314DE">
        <w:rPr>
          <w:rFonts w:asciiTheme="majorBidi" w:hAnsiTheme="majorBidi" w:cstheme="majorBidi"/>
          <w:sz w:val="24"/>
          <w:szCs w:val="24"/>
        </w:rPr>
        <w:t>Examining</w:t>
      </w:r>
      <w:r w:rsidR="00551591">
        <w:rPr>
          <w:rFonts w:asciiTheme="majorBidi" w:hAnsiTheme="majorBidi" w:cstheme="majorBidi"/>
          <w:sz w:val="24"/>
          <w:szCs w:val="24"/>
        </w:rPr>
        <w:t xml:space="preserve"> temporal</w:t>
      </w:r>
      <w:r w:rsidR="00E314DE">
        <w:rPr>
          <w:rFonts w:asciiTheme="majorBidi" w:hAnsiTheme="majorBidi" w:cstheme="majorBidi"/>
          <w:sz w:val="24"/>
          <w:szCs w:val="24"/>
        </w:rPr>
        <w:t xml:space="preserve"> </w:t>
      </w:r>
      <w:r w:rsidR="00551591">
        <w:rPr>
          <w:rFonts w:asciiTheme="majorBidi" w:hAnsiTheme="majorBidi" w:cstheme="majorBidi"/>
          <w:sz w:val="24"/>
          <w:szCs w:val="24"/>
        </w:rPr>
        <w:t>change in</w:t>
      </w:r>
      <w:r w:rsidR="00E314DE">
        <w:rPr>
          <w:rFonts w:asciiTheme="majorBidi" w:hAnsiTheme="majorBidi" w:cstheme="majorBidi"/>
          <w:sz w:val="24"/>
          <w:szCs w:val="24"/>
        </w:rPr>
        <w:t xml:space="preserve"> spatial inequalities </w:t>
      </w:r>
      <w:r w:rsidR="00551591">
        <w:rPr>
          <w:rFonts w:asciiTheme="majorBidi" w:hAnsiTheme="majorBidi" w:cstheme="majorBidi"/>
          <w:sz w:val="24"/>
          <w:szCs w:val="24"/>
        </w:rPr>
        <w:t>of</w:t>
      </w:r>
      <w:r w:rsidR="00E314DE">
        <w:rPr>
          <w:rFonts w:asciiTheme="majorBidi" w:hAnsiTheme="majorBidi" w:cstheme="majorBidi"/>
          <w:sz w:val="24"/>
          <w:szCs w:val="24"/>
        </w:rPr>
        <w:t xml:space="preserve"> </w:t>
      </w:r>
      <w:r w:rsidR="00551591">
        <w:rPr>
          <w:rFonts w:asciiTheme="majorBidi" w:hAnsiTheme="majorBidi" w:cstheme="majorBidi"/>
          <w:sz w:val="24"/>
          <w:szCs w:val="24"/>
        </w:rPr>
        <w:t>maternal health service use</w:t>
      </w:r>
      <w:r w:rsidR="0060404C">
        <w:rPr>
          <w:rFonts w:asciiTheme="majorBidi" w:hAnsiTheme="majorBidi" w:cstheme="majorBidi"/>
          <w:sz w:val="24"/>
          <w:szCs w:val="24"/>
        </w:rPr>
        <w:t>, however,</w:t>
      </w:r>
      <w:r w:rsidR="00E314DE">
        <w:rPr>
          <w:rFonts w:asciiTheme="majorBidi" w:hAnsiTheme="majorBidi" w:cstheme="majorBidi"/>
          <w:sz w:val="24"/>
          <w:szCs w:val="24"/>
        </w:rPr>
        <w:t xml:space="preserve"> requires reporting of both absolute and relative indices</w:t>
      </w:r>
      <w:r w:rsidR="00551591">
        <w:rPr>
          <w:rFonts w:asciiTheme="majorBidi" w:hAnsiTheme="majorBidi" w:cstheme="majorBidi"/>
          <w:sz w:val="24"/>
          <w:szCs w:val="24"/>
        </w:rPr>
        <w:t xml:space="preserve">, as such measures often interact with each other synergistically and therefore require joint interpretation </w:t>
      </w:r>
      <w:r w:rsidR="00551591">
        <w:rPr>
          <w:rFonts w:asciiTheme="majorBidi" w:hAnsiTheme="majorBidi" w:cstheme="majorBidi"/>
          <w:sz w:val="24"/>
          <w:szCs w:val="24"/>
        </w:rPr>
        <w:fldChar w:fldCharType="begin"/>
      </w:r>
      <w:r w:rsidR="001A73EC">
        <w:rPr>
          <w:rFonts w:asciiTheme="majorBidi" w:hAnsiTheme="majorBidi" w:cstheme="majorBidi"/>
          <w:sz w:val="24"/>
          <w:szCs w:val="24"/>
        </w:rPr>
        <w:instrText xml:space="preserve"> ADDIN ZOTERO_ITEM CSL_CITATION {"citationID":"aol607i7du","properties":{"formattedCitation":"[5]","plainCitation":"[5]","noteIndex":0},"citationItems":[{"id":497,"uris":["http://zotero.org/users/2783131/items/2R85SUUE"],"uri":["http://zotero.org/users/2783131/items/2R85SUUE"],"itemData":{"id":497,"type":"article-journal","title":"Measuring Coverage in MNCH: Determining and Interpreting Inequalities in Coverage of Maternal, Newborn, and Child Health Interventions","container-title":"PLOS Medicine","page":"e1001390","volume":"10","issue":"5","source":"PLoS Journals","abstract":"In a PLOS Medicine Review, Aluísio Barros and Cesar Victora provide a practical guide to measuring and interpreting inequalities in the coverage of maternal, newborn, and child interventions in low- and middle-income countries using data collected by large household surveys.","DOI":"10.1371/journal.pmed.1001390","ISSN":"1549-1676","shortTitle":"Measuring Coverage in MNCH","journalAbbreviation":"PLOS Medicine","author":[{"family":"Barros","given":"Aluísio J. D."},{"family":"Victora","given":"Cesar G."}],"issued":{"date-parts":[["2013",5,7]]}}}],"schema":"https://github.com/citation-style-language/schema/raw/master/csl-citation.json"} </w:instrText>
      </w:r>
      <w:r w:rsidR="00551591">
        <w:rPr>
          <w:rFonts w:asciiTheme="majorBidi" w:hAnsiTheme="majorBidi" w:cstheme="majorBidi"/>
          <w:sz w:val="24"/>
          <w:szCs w:val="24"/>
        </w:rPr>
        <w:fldChar w:fldCharType="separate"/>
      </w:r>
      <w:r w:rsidR="00197416" w:rsidRPr="0076525E">
        <w:rPr>
          <w:rFonts w:ascii="Times New Roman" w:hAnsi="Times New Roman" w:cs="Times New Roman"/>
          <w:sz w:val="24"/>
        </w:rPr>
        <w:t>[5]</w:t>
      </w:r>
      <w:r w:rsidR="00551591">
        <w:rPr>
          <w:rFonts w:asciiTheme="majorBidi" w:hAnsiTheme="majorBidi" w:cstheme="majorBidi"/>
          <w:sz w:val="24"/>
          <w:szCs w:val="24"/>
        </w:rPr>
        <w:fldChar w:fldCharType="end"/>
      </w:r>
      <w:r w:rsidR="00E314DE">
        <w:rPr>
          <w:rFonts w:asciiTheme="majorBidi" w:hAnsiTheme="majorBidi" w:cstheme="majorBidi"/>
          <w:sz w:val="24"/>
          <w:szCs w:val="24"/>
        </w:rPr>
        <w:t xml:space="preserve">. </w:t>
      </w:r>
    </w:p>
    <w:p w14:paraId="5588445B" w14:textId="2F566DA3" w:rsidR="00CC07A2" w:rsidRPr="0076525E" w:rsidRDefault="00B1461B" w:rsidP="001C1394">
      <w:pPr>
        <w:spacing w:line="480" w:lineRule="auto"/>
        <w:ind w:firstLine="720"/>
      </w:pPr>
      <w:r>
        <w:rPr>
          <w:rFonts w:asciiTheme="majorBidi" w:hAnsiTheme="majorBidi" w:cstheme="majorBidi"/>
          <w:sz w:val="24"/>
          <w:szCs w:val="24"/>
        </w:rPr>
        <w:t xml:space="preserve">Here, we found that </w:t>
      </w:r>
      <w:r w:rsidR="00E314DE">
        <w:rPr>
          <w:rFonts w:asciiTheme="majorBidi" w:hAnsiTheme="majorBidi" w:cstheme="majorBidi"/>
          <w:sz w:val="24"/>
          <w:szCs w:val="24"/>
        </w:rPr>
        <w:t>Rwanda was the only country to make substantial progress in</w:t>
      </w:r>
      <w:r w:rsidR="00551591">
        <w:rPr>
          <w:rFonts w:asciiTheme="majorBidi" w:hAnsiTheme="majorBidi" w:cstheme="majorBidi"/>
          <w:sz w:val="24"/>
          <w:szCs w:val="24"/>
        </w:rPr>
        <w:t xml:space="preserve"> both absolute and relative measures,</w:t>
      </w:r>
      <w:r w:rsidR="00E314DE">
        <w:rPr>
          <w:rFonts w:asciiTheme="majorBidi" w:hAnsiTheme="majorBidi" w:cstheme="majorBidi"/>
          <w:sz w:val="24"/>
          <w:szCs w:val="24"/>
        </w:rPr>
        <w:t xml:space="preserve"> increasing </w:t>
      </w:r>
      <w:r w:rsidR="00551591">
        <w:rPr>
          <w:rFonts w:asciiTheme="majorBidi" w:hAnsiTheme="majorBidi" w:cstheme="majorBidi"/>
          <w:sz w:val="24"/>
          <w:szCs w:val="24"/>
        </w:rPr>
        <w:t>coverage</w:t>
      </w:r>
      <w:r w:rsidR="00E314DE">
        <w:rPr>
          <w:rFonts w:asciiTheme="majorBidi" w:hAnsiTheme="majorBidi" w:cstheme="majorBidi"/>
          <w:sz w:val="24"/>
          <w:szCs w:val="24"/>
        </w:rPr>
        <w:t xml:space="preserve"> </w:t>
      </w:r>
      <w:r w:rsidR="008E28B6">
        <w:rPr>
          <w:rFonts w:asciiTheme="majorBidi" w:hAnsiTheme="majorBidi" w:cstheme="majorBidi"/>
          <w:sz w:val="24"/>
          <w:szCs w:val="24"/>
        </w:rPr>
        <w:t>amongst</w:t>
      </w:r>
      <w:r w:rsidR="00E314DE">
        <w:rPr>
          <w:rFonts w:asciiTheme="majorBidi" w:hAnsiTheme="majorBidi" w:cstheme="majorBidi"/>
          <w:sz w:val="24"/>
          <w:szCs w:val="24"/>
        </w:rPr>
        <w:t xml:space="preserve"> all services</w:t>
      </w:r>
      <w:r w:rsidR="00961823">
        <w:rPr>
          <w:rFonts w:asciiTheme="majorBidi" w:hAnsiTheme="majorBidi" w:cstheme="majorBidi"/>
          <w:sz w:val="24"/>
          <w:szCs w:val="24"/>
        </w:rPr>
        <w:t xml:space="preserve"> and reducing</w:t>
      </w:r>
      <w:r w:rsidR="00551591">
        <w:rPr>
          <w:rFonts w:asciiTheme="majorBidi" w:hAnsiTheme="majorBidi" w:cstheme="majorBidi"/>
          <w:sz w:val="24"/>
          <w:szCs w:val="24"/>
        </w:rPr>
        <w:t xml:space="preserve"> relative</w:t>
      </w:r>
      <w:r w:rsidR="00961823">
        <w:rPr>
          <w:rFonts w:asciiTheme="majorBidi" w:hAnsiTheme="majorBidi" w:cstheme="majorBidi"/>
          <w:sz w:val="24"/>
          <w:szCs w:val="24"/>
        </w:rPr>
        <w:t xml:space="preserve"> inequalities. </w:t>
      </w:r>
      <w:r w:rsidR="001D45E5">
        <w:rPr>
          <w:rFonts w:asciiTheme="majorBidi" w:hAnsiTheme="majorBidi" w:cstheme="majorBidi"/>
          <w:sz w:val="24"/>
          <w:szCs w:val="24"/>
        </w:rPr>
        <w:t>Impo</w:t>
      </w:r>
      <w:r w:rsidR="00164D86">
        <w:rPr>
          <w:rFonts w:asciiTheme="majorBidi" w:hAnsiTheme="majorBidi" w:cstheme="majorBidi"/>
          <w:sz w:val="24"/>
          <w:szCs w:val="24"/>
        </w:rPr>
        <w:t>rtantly, Rwanda had historically low relative inequality in service coverage (Figure 3)</w:t>
      </w:r>
      <w:r w:rsidR="001D45E5">
        <w:rPr>
          <w:rFonts w:asciiTheme="majorBidi" w:hAnsiTheme="majorBidi" w:cstheme="majorBidi"/>
          <w:sz w:val="24"/>
          <w:szCs w:val="24"/>
        </w:rPr>
        <w:t xml:space="preserve">, suggesting that the increases in service coverage seen in Rwanda over the decades were experienced in spatially equitable manner, with most of the country improving together. </w:t>
      </w:r>
      <w:r w:rsidR="00961823">
        <w:rPr>
          <w:rFonts w:asciiTheme="majorBidi" w:hAnsiTheme="majorBidi" w:cstheme="majorBidi"/>
          <w:sz w:val="24"/>
          <w:szCs w:val="24"/>
        </w:rPr>
        <w:t>These results are</w:t>
      </w:r>
      <w:r w:rsidR="00E314DE">
        <w:rPr>
          <w:rFonts w:asciiTheme="majorBidi" w:hAnsiTheme="majorBidi" w:cstheme="majorBidi"/>
          <w:sz w:val="24"/>
          <w:szCs w:val="24"/>
        </w:rPr>
        <w:t xml:space="preserve"> in line with previous findings</w:t>
      </w:r>
      <w:r w:rsidR="00CC07A2">
        <w:rPr>
          <w:rFonts w:asciiTheme="majorBidi" w:hAnsiTheme="majorBidi" w:cstheme="majorBidi"/>
          <w:sz w:val="24"/>
          <w:szCs w:val="24"/>
        </w:rPr>
        <w:t xml:space="preserve">, given that </w:t>
      </w:r>
      <w:r w:rsidR="00E314DE">
        <w:rPr>
          <w:rFonts w:asciiTheme="majorBidi" w:hAnsiTheme="majorBidi" w:cstheme="majorBidi"/>
          <w:sz w:val="24"/>
          <w:szCs w:val="24"/>
        </w:rPr>
        <w:t>Rwanda was</w:t>
      </w:r>
      <w:r w:rsidR="00CC07A2">
        <w:rPr>
          <w:rFonts w:asciiTheme="majorBidi" w:hAnsiTheme="majorBidi" w:cstheme="majorBidi"/>
          <w:sz w:val="24"/>
          <w:szCs w:val="24"/>
        </w:rPr>
        <w:t xml:space="preserve"> the only country in the regio</w:t>
      </w:r>
      <w:r w:rsidR="00E314DE">
        <w:rPr>
          <w:rFonts w:asciiTheme="majorBidi" w:hAnsiTheme="majorBidi" w:cstheme="majorBidi"/>
          <w:sz w:val="24"/>
          <w:szCs w:val="24"/>
        </w:rPr>
        <w:t>n to achieve the MDG target 5a (</w:t>
      </w:r>
      <w:r w:rsidR="00CC07A2">
        <w:rPr>
          <w:rFonts w:asciiTheme="majorBidi" w:hAnsiTheme="majorBidi" w:cstheme="majorBidi"/>
          <w:sz w:val="24"/>
          <w:szCs w:val="24"/>
        </w:rPr>
        <w:t>reduce</w:t>
      </w:r>
      <w:r w:rsidR="008E28B6">
        <w:rPr>
          <w:rFonts w:asciiTheme="majorBidi" w:hAnsiTheme="majorBidi" w:cstheme="majorBidi"/>
          <w:sz w:val="24"/>
          <w:szCs w:val="24"/>
        </w:rPr>
        <w:t xml:space="preserve"> MMR</w:t>
      </w:r>
      <w:r w:rsidR="00CC07A2">
        <w:rPr>
          <w:rFonts w:asciiTheme="majorBidi" w:hAnsiTheme="majorBidi" w:cstheme="majorBidi"/>
          <w:sz w:val="24"/>
          <w:szCs w:val="24"/>
        </w:rPr>
        <w:t xml:space="preserve"> by 75% between 1990 and 2015</w:t>
      </w:r>
      <w:r w:rsidR="00E314DE">
        <w:rPr>
          <w:rFonts w:asciiTheme="majorBidi" w:hAnsiTheme="majorBidi" w:cstheme="majorBidi"/>
          <w:sz w:val="24"/>
          <w:szCs w:val="24"/>
        </w:rPr>
        <w:t>)</w:t>
      </w:r>
      <w:r w:rsidR="00CC07A2">
        <w:rPr>
          <w:rFonts w:asciiTheme="majorBidi" w:hAnsiTheme="majorBidi" w:cstheme="majorBidi"/>
          <w:sz w:val="24"/>
          <w:szCs w:val="24"/>
        </w:rPr>
        <w:t xml:space="preserve"> </w:t>
      </w:r>
      <w:r w:rsidR="00CC07A2" w:rsidRPr="0076525E">
        <w:rPr>
          <w:rFonts w:ascii="Times New Roman" w:hAnsi="Times New Roman" w:cs="Times New Roman"/>
          <w:sz w:val="24"/>
          <w:szCs w:val="24"/>
        </w:rPr>
        <w:fldChar w:fldCharType="begin"/>
      </w:r>
      <w:r w:rsidR="001A73EC">
        <w:rPr>
          <w:rFonts w:ascii="Times New Roman" w:hAnsi="Times New Roman" w:cs="Times New Roman"/>
          <w:sz w:val="24"/>
          <w:szCs w:val="24"/>
        </w:rPr>
        <w:instrText xml:space="preserve"> ADDIN ZOTERO_ITEM CSL_CITATION {"citationID":"a23usva7gvo","properties":{"formattedCitation":"[3]","plainCitation":"[3]","noteIndex":0},"citationItems":[{"id":478,"uris":["http://zotero.org/users/2783131/items/S9RMTHGC"],"uri":["http://zotero.org/users/2783131/items/S9RMTHGC"],"itemData":{"id":478,"type":"report","title":"Trends in Maternal Mortality: 1990 to 2015","publisher":"World Health Organization","URL":"http://apps.who.int/iris/bitstream/10665/194254/1/9789241565141_eng.pdf?ua=1","author":[{"family":"WHO","given":""},{"family":"UNICEF","given":""},{"family":"World Bank","given":""},{"family":"UNFPA","given":""},{"family":"United Nations Population Division","given":""}],"issued":{"date-parts":[["2015"]]},"accessed":{"date-parts":[["2017",1,20]]}}}],"schema":"https://github.com/citation-style-language/schema/raw/master/csl-citation.json"} </w:instrText>
      </w:r>
      <w:r w:rsidR="00CC07A2" w:rsidRPr="0076525E">
        <w:rPr>
          <w:rFonts w:ascii="Times New Roman" w:hAnsi="Times New Roman" w:cs="Times New Roman"/>
          <w:sz w:val="24"/>
          <w:szCs w:val="24"/>
        </w:rPr>
        <w:fldChar w:fldCharType="separate"/>
      </w:r>
      <w:r w:rsidR="00197416" w:rsidRPr="0076525E">
        <w:rPr>
          <w:rFonts w:ascii="Times New Roman" w:hAnsi="Times New Roman" w:cs="Times New Roman"/>
          <w:sz w:val="24"/>
          <w:szCs w:val="24"/>
        </w:rPr>
        <w:t>[3]</w:t>
      </w:r>
      <w:r w:rsidR="00CC07A2" w:rsidRPr="0076525E">
        <w:rPr>
          <w:rFonts w:ascii="Times New Roman" w:hAnsi="Times New Roman" w:cs="Times New Roman"/>
          <w:sz w:val="24"/>
          <w:szCs w:val="24"/>
        </w:rPr>
        <w:fldChar w:fldCharType="end"/>
      </w:r>
      <w:r w:rsidR="00CC07A2" w:rsidRPr="0076525E">
        <w:rPr>
          <w:rFonts w:ascii="Times New Roman" w:hAnsi="Times New Roman" w:cs="Times New Roman"/>
          <w:sz w:val="24"/>
          <w:szCs w:val="24"/>
        </w:rPr>
        <w:t>.</w:t>
      </w:r>
      <w:r w:rsidR="00CC07A2">
        <w:rPr>
          <w:rFonts w:asciiTheme="majorBidi" w:hAnsiTheme="majorBidi" w:cstheme="majorBidi"/>
          <w:sz w:val="24"/>
          <w:szCs w:val="24"/>
        </w:rPr>
        <w:t xml:space="preserve"> </w:t>
      </w:r>
      <w:r w:rsidR="009F17C7">
        <w:rPr>
          <w:rFonts w:asciiTheme="majorBidi" w:hAnsiTheme="majorBidi" w:cstheme="majorBidi"/>
          <w:sz w:val="24"/>
          <w:szCs w:val="24"/>
        </w:rPr>
        <w:t xml:space="preserve">After experiencing a devastating genocide in the mid-90s, Rwanda radically re-developed their health system, aimed at: 1) coordinating policy with external donors and government aid; 2) implementation of national-level health insurance; and, 3) introduction of a performance-based pay system for health workers </w:t>
      </w:r>
      <w:r w:rsidR="009F17C7" w:rsidRPr="0076525E">
        <w:rPr>
          <w:rFonts w:ascii="Times New Roman" w:hAnsi="Times New Roman" w:cs="Times New Roman"/>
          <w:sz w:val="24"/>
          <w:szCs w:val="24"/>
        </w:rPr>
        <w:fldChar w:fldCharType="begin"/>
      </w:r>
      <w:r w:rsidRPr="00C32C00">
        <w:rPr>
          <w:rFonts w:ascii="Times New Roman" w:hAnsi="Times New Roman" w:cs="Times New Roman"/>
          <w:sz w:val="24"/>
          <w:szCs w:val="24"/>
        </w:rPr>
        <w:instrText xml:space="preserve"> ADDIN ZOTERO_ITEM CSL_CITATION {"citationID":"a6q5237tej","properties":{"formattedCitation":"[44]","plainCitation":"[44]","noteIndex":0},"citationItems":[{"id":869,"uris":["http://zotero.org/users/2783131/items/IDP97WBI"],"uri":["http://zotero.org/users/2783131/items/IDP97WBI"],"itemData":{"id":869,"type":"article-journal","title":"Innovations in Rwanda's health system: looking to the future","container-title":"The Lancet","page":"256-261","volume":"372","issue":"9634","source":"ScienceDirect","abstract":"Summary\nRwanda is making substantial progress towards improvement of health and is working towards achievement of the Millennium Development Goals, which is a challenging task because the country has had genocide in 1994, has few natural resources, is landlocked, and has high population growth. Like many impoverished sub-Saharan countries, Rwanda's health system has had an uncoordinated plethora of donors, shortage of health staff, inequity of access, and poor quality of care in health facilities. This report describes three health system developments introduced by the Rwandan government that are improving these barriers to care—ie, the coordination of donors and external aid with government policy, and monitoring the effectiveness of aid; a country-wide independent community health insurance scheme; and the introduction of a performance-based pay initiative. If these innovations are successful, they might be of interest to other sub-Saharan countries. However, Rwanda still does not have sufficient financial resources for health and will need additional external aid for some time to attain the Millennium Development Goals.","DOI":"10.1016/S0140-6736(08)60962-9","ISSN":"0140-6736","shortTitle":"Innovations in Rwanda's health system","journalAbbreviation":"The Lancet","author":[{"family":"Logie","given":"Dorothy E"},{"family":"Rowson","given":"Michael"},{"family":"Ndagije","given":"Felix"}],"issued":{"date-parts":[["2008",7,19]]}}}],"schema":"https://github.com/citation-style-language/schema/raw/master/csl-citation.json"} </w:instrText>
      </w:r>
      <w:r w:rsidR="009F17C7" w:rsidRPr="0076525E">
        <w:rPr>
          <w:rFonts w:ascii="Times New Roman" w:hAnsi="Times New Roman" w:cs="Times New Roman"/>
          <w:sz w:val="24"/>
          <w:szCs w:val="24"/>
        </w:rPr>
        <w:fldChar w:fldCharType="separate"/>
      </w:r>
      <w:r w:rsidRPr="0076525E">
        <w:rPr>
          <w:rFonts w:ascii="Times New Roman" w:hAnsi="Times New Roman" w:cs="Times New Roman"/>
          <w:sz w:val="24"/>
          <w:szCs w:val="24"/>
        </w:rPr>
        <w:t>[44]</w:t>
      </w:r>
      <w:r w:rsidR="009F17C7" w:rsidRPr="0076525E">
        <w:rPr>
          <w:rFonts w:ascii="Times New Roman" w:hAnsi="Times New Roman" w:cs="Times New Roman"/>
          <w:sz w:val="24"/>
          <w:szCs w:val="24"/>
        </w:rPr>
        <w:fldChar w:fldCharType="end"/>
      </w:r>
      <w:r w:rsidR="009F17C7">
        <w:rPr>
          <w:rFonts w:asciiTheme="majorBidi" w:hAnsiTheme="majorBidi" w:cstheme="majorBidi"/>
          <w:sz w:val="24"/>
          <w:szCs w:val="24"/>
        </w:rPr>
        <w:t xml:space="preserve">. This commitment to improving health across the country translated into a nearly 78% reduction in MMR throughout the MDG era, </w:t>
      </w:r>
      <w:r w:rsidR="00674F3F">
        <w:rPr>
          <w:rFonts w:asciiTheme="majorBidi" w:hAnsiTheme="majorBidi" w:cstheme="majorBidi"/>
          <w:sz w:val="24"/>
          <w:szCs w:val="24"/>
        </w:rPr>
        <w:t xml:space="preserve">as well as a substantial reduction in under-5 mortality </w:t>
      </w:r>
      <w:r w:rsidR="00674F3F">
        <w:rPr>
          <w:rFonts w:asciiTheme="majorBidi" w:hAnsiTheme="majorBidi" w:cstheme="majorBidi"/>
          <w:sz w:val="24"/>
          <w:szCs w:val="24"/>
        </w:rPr>
        <w:fldChar w:fldCharType="begin"/>
      </w:r>
      <w:r w:rsidR="001A73EC">
        <w:rPr>
          <w:rFonts w:asciiTheme="majorBidi" w:hAnsiTheme="majorBidi" w:cstheme="majorBidi"/>
          <w:sz w:val="24"/>
          <w:szCs w:val="24"/>
        </w:rPr>
        <w:instrText xml:space="preserve"> ADDIN ZOTERO_ITEM CSL_CITATION {"citationID":"ECjfcKVv","properties":{"formattedCitation":"[9]","plainCitation":"[9]","noteIndex":0},"citationItems":[{"id":124,"uris":["http://zotero.org/users/2783131/items/4MVZDVBJ"],"uri":["http://zotero.org/users/2783131/items/4MVZDVBJ"],"itemData":{"id":124,"type":"article-journal","title":"Mapping under-5 and neonatal mortality in Africa, 2000–15: a baseline analysis for the Sustainable Development Goals","container-title":"The Lancet","page":"2171-2182","volume":"390","issue":"10108","source":"www.thelancet.com","abstract":"&lt;h2&gt;Summary&lt;/h2&gt;&lt;h3&gt;Background&lt;/h3&gt;&lt;p&gt;During the Millennium Development Goal (MDG) era, many countries in Africa achieved marked reductions in under-5 and neonatal mortality. Yet the pace of progress toward these goals substantially varied at the national level, demonstrating an essential need for tracking even more local trends in child mortality. With the adoption of the Sustainable Development Goals (SDGs) in 2015, which established ambitious targets for improving child survival by 2030, optimal intervention planning and targeting will require understanding of trends and rates of progress at a higher spatial resolution. In this study, we aimed to generate high-resolution estimates of under-5 and neonatal all-cause mortality across 46 countries in Africa.&lt;/p&gt;&lt;h3&gt;Methods&lt;/h3&gt;&lt;p&gt;We assembled 235 geographically resolved household survey and census data sources on child deaths to produce estimates of under-5 and neonatal mortality at a resolution of 5 × 5 km grid cells across 46 African countries for 2000, 2005, 2010, and 2015. We used a Bayesian geostatistical analytical framework to generate these estimates, and implemented predictive validity tests. In addition to reporting 5 × 5 km estimates, we also aggregated results obtained from these estimates into three different levels—national, and subnational administrative levels 1 and 2—to provide the full range of geospatial resolution that local, national, and global decision makers might require.&lt;/p&gt;&lt;h3&gt;Findings&lt;/h3&gt;&lt;p&gt;Amid improving child survival in Africa, there was substantial heterogeneity in absolute levels of under-5 and neonatal mortality in 2015, as well as the annualised rates of decline achieved from 2000 to 2015. Subnational areas in countries such as Botswana, Rwanda, and Ethiopia recorded some of the largest decreases in child mortality rates since 2000, positioning them well to achieve SDG targets by 2030 or earlier. Yet these places were the exception for Africa, since many areas, particularly in central and western Africa, must reduce under-5 mortality rates by at least 8·8% per year, between 2015 and 2030, to achieve the SDG 3.2 target for under-5 mortality by 2030.&lt;/p&gt;&lt;h3&gt;Interpretation&lt;/h3&gt;&lt;p&gt;In the absence of unprecedented political commitment, financial support, and medical advances, the viability of SDG 3.2 achievement in Africa is precarious at best. By producing under-5 and neonatal mortality rates at multiple levels of geospatial resolution over time, this study provides key information for decision makers to target interventions at populations in the greatest need. In an era when precision public health increasingly has the potential to transform the design, implementation, and impact of health programmes, our 5 × 5 km estimates of child mortality in Africa provide a baseline against which local, national, and global stakeholders can map the pathways for ending preventable child deaths by 2030.&lt;/p&gt;&lt;h3&gt;Funding&lt;/h3&gt;&lt;p&gt;Bill &amp; Melinda Gates Foundation.&lt;/p&gt;","DOI":"10.1016/S0140-6736(17)31758-0","ISSN":"0140-6736, 1474-547X","note":"PMID: 28958464, 28958464","shortTitle":"Mapping under-5 and neonatal mortality in Africa, 2000–15","journalAbbreviation":"The Lancet","language":"English","author":[{"family":"Golding","given":"Nick"},{"family":"Burstein","given":"Roy"},{"family":"Longbottom","given":"Joshua"},{"family":"Browne","given":"Annie J."},{"family":"Fullman","given":"Nancy"},{"family":"Osgood-Zimmerman","given":"Aaron"},{"family":"Earl","given":"Lucas"},{"family":"Bhatt","given":"Samir"},{"family":"Cameron","given":"Ewan"},{"family":"Casey","given":"Daniel C."},{"family":"Dwyer-Lindgren","given":"Laura"},{"family":"Farag","given":"Tamer H."},{"family":"Flaxman","given":"Abraham D."},{"family":"Fraser","given":"Maya S."},{"family":"Gething","given":"Peter W."},{"family":"Gibson","given":"Harry S."},{"family":"Graetz","given":"Nicholas"},{"family":"Krause","given":"L. Kendall"},{"family":"Kulikoff","given":"Xie Rachel"},{"family":"Lim","given":"Stephen S."},{"family":"Mappin","given":"Bonnie"},{"family":"Morozoff","given":"Chloe"},{"family":"Reiner","given":"Robert C."},{"family":"Sligar","given":"Amber"},{"family":"Smith","given":"David L."},{"family":"Wang","given":"Haidong"},{"family":"Weiss","given":"Daniel J."},{"family":"Murray","given":"Christopher J. L."},{"family":"Moyes","given":"Catherine L."},{"family":"Hay","given":"Simon I."}],"issued":{"date-parts":[["2017",11,11]]}}}],"schema":"https://github.com/citation-style-language/schema/raw/master/csl-citation.json"} </w:instrText>
      </w:r>
      <w:r w:rsidR="00674F3F">
        <w:rPr>
          <w:rFonts w:asciiTheme="majorBidi" w:hAnsiTheme="majorBidi" w:cstheme="majorBidi"/>
          <w:sz w:val="24"/>
          <w:szCs w:val="24"/>
        </w:rPr>
        <w:fldChar w:fldCharType="separate"/>
      </w:r>
      <w:r w:rsidR="00197416" w:rsidRPr="0076525E">
        <w:rPr>
          <w:rFonts w:ascii="Times New Roman" w:hAnsi="Times New Roman" w:cs="Times New Roman"/>
          <w:sz w:val="24"/>
        </w:rPr>
        <w:t>[9]</w:t>
      </w:r>
      <w:r w:rsidR="00674F3F">
        <w:rPr>
          <w:rFonts w:asciiTheme="majorBidi" w:hAnsiTheme="majorBidi" w:cstheme="majorBidi"/>
          <w:sz w:val="24"/>
          <w:szCs w:val="24"/>
        </w:rPr>
        <w:fldChar w:fldCharType="end"/>
      </w:r>
      <w:r w:rsidR="008E28B6">
        <w:rPr>
          <w:rFonts w:asciiTheme="majorBidi" w:hAnsiTheme="majorBidi" w:cstheme="majorBidi"/>
          <w:sz w:val="24"/>
          <w:szCs w:val="24"/>
        </w:rPr>
        <w:t>, and may contribute to the findings outlined in this study</w:t>
      </w:r>
      <w:r w:rsidR="00674F3F">
        <w:rPr>
          <w:rFonts w:asciiTheme="majorBidi" w:hAnsiTheme="majorBidi" w:cstheme="majorBidi"/>
          <w:sz w:val="24"/>
          <w:szCs w:val="24"/>
        </w:rPr>
        <w:t xml:space="preserve">. </w:t>
      </w:r>
    </w:p>
    <w:p w14:paraId="0751377A" w14:textId="32B3A9C3" w:rsidR="00DB4DE4" w:rsidRDefault="00AF15B1" w:rsidP="00281E7F">
      <w:pPr>
        <w:spacing w:line="480" w:lineRule="auto"/>
        <w:ind w:firstLine="720"/>
        <w:rPr>
          <w:rFonts w:asciiTheme="majorBidi" w:hAnsiTheme="majorBidi" w:cstheme="majorBidi"/>
          <w:sz w:val="24"/>
          <w:szCs w:val="24"/>
        </w:rPr>
      </w:pPr>
      <w:r>
        <w:rPr>
          <w:rFonts w:asciiTheme="majorBidi" w:hAnsiTheme="majorBidi" w:cstheme="majorBidi"/>
          <w:sz w:val="24"/>
          <w:szCs w:val="24"/>
        </w:rPr>
        <w:t>We found that Uganda has experienced both absolute and relative</w:t>
      </w:r>
      <w:r w:rsidR="0056549E">
        <w:rPr>
          <w:rFonts w:asciiTheme="majorBidi" w:hAnsiTheme="majorBidi" w:cstheme="majorBidi"/>
          <w:sz w:val="24"/>
          <w:szCs w:val="24"/>
        </w:rPr>
        <w:t xml:space="preserve"> improvement</w:t>
      </w:r>
      <w:r>
        <w:rPr>
          <w:rFonts w:asciiTheme="majorBidi" w:hAnsiTheme="majorBidi" w:cstheme="majorBidi"/>
          <w:sz w:val="24"/>
          <w:szCs w:val="24"/>
        </w:rPr>
        <w:t xml:space="preserve"> over time</w:t>
      </w:r>
      <w:r w:rsidR="0056549E">
        <w:rPr>
          <w:rFonts w:asciiTheme="majorBidi" w:hAnsiTheme="majorBidi" w:cstheme="majorBidi"/>
          <w:sz w:val="24"/>
          <w:szCs w:val="24"/>
        </w:rPr>
        <w:t xml:space="preserve"> in SBA across most of the country, while improvement in PNC and ANC lagged, parti</w:t>
      </w:r>
      <w:r w:rsidR="00AA1B64">
        <w:rPr>
          <w:rFonts w:asciiTheme="majorBidi" w:hAnsiTheme="majorBidi" w:cstheme="majorBidi"/>
          <w:sz w:val="24"/>
          <w:szCs w:val="24"/>
        </w:rPr>
        <w:t>cularly in the northern region. Previous studies</w:t>
      </w:r>
      <w:r w:rsidR="00F61F49">
        <w:rPr>
          <w:rFonts w:asciiTheme="majorBidi" w:hAnsiTheme="majorBidi" w:cstheme="majorBidi"/>
          <w:sz w:val="24"/>
          <w:szCs w:val="24"/>
        </w:rPr>
        <w:t xml:space="preserve"> </w:t>
      </w:r>
      <w:r w:rsidR="00F61F49" w:rsidRPr="0076525E">
        <w:rPr>
          <w:rFonts w:ascii="Times New Roman" w:hAnsi="Times New Roman" w:cs="Times New Roman"/>
          <w:sz w:val="24"/>
          <w:szCs w:val="24"/>
        </w:rPr>
        <w:fldChar w:fldCharType="begin"/>
      </w:r>
      <w:r w:rsidR="00B1461B" w:rsidRPr="00C32C00">
        <w:rPr>
          <w:rFonts w:ascii="Times New Roman" w:hAnsi="Times New Roman" w:cs="Times New Roman"/>
          <w:sz w:val="24"/>
          <w:szCs w:val="24"/>
        </w:rPr>
        <w:instrText xml:space="preserve"> ADDIN ZOTERO_ITEM CSL_CITATION {"citationID":"a1j3sjec42k","properties":{"formattedCitation":"[45]","plainCitation":"[45]","noteIndex":0},"citationItems":[{"id":1004,"uris":["http://zotero.org/users/2783131/items/L98HLN8J"],"uri":["http://zotero.org/users/2783131/items/L98HLN8J"],"itemData":{"id":1004,"type":"article-journal","title":"Trends and determinants of under-five mortality in Uganda.","container-title":"East African Journal of Public Health","page":"136-140","volume":"6","issue":"2","source":"europepmc.org","abstract":"Abstract: OBJECTIVES: We assessed the levels and trends of childhood mortality between 1990 and 2006, and assessed the determinants of under-five...","ISSN":"0856-8960","note":"PMID: 20000017","journalAbbreviation":"East Afr J Public Health","language":"eng","author":[{"family":"Ayiko","given":"R."},{"family":"Antai","given":"D."},{"family":"Kulane","given":"A."}],"issued":{"date-parts":[["2009",8]]}}}],"schema":"https://github.com/citation-style-language/schema/raw/master/csl-citation.json"} </w:instrText>
      </w:r>
      <w:r w:rsidR="00F61F49" w:rsidRPr="0076525E">
        <w:rPr>
          <w:rFonts w:ascii="Times New Roman" w:hAnsi="Times New Roman" w:cs="Times New Roman"/>
          <w:sz w:val="24"/>
          <w:szCs w:val="24"/>
        </w:rPr>
        <w:fldChar w:fldCharType="separate"/>
      </w:r>
      <w:r w:rsidR="00B1461B" w:rsidRPr="0076525E">
        <w:rPr>
          <w:rFonts w:ascii="Times New Roman" w:hAnsi="Times New Roman" w:cs="Times New Roman"/>
          <w:sz w:val="24"/>
          <w:szCs w:val="24"/>
        </w:rPr>
        <w:t>[45]</w:t>
      </w:r>
      <w:r w:rsidR="00F61F49" w:rsidRPr="0076525E">
        <w:rPr>
          <w:rFonts w:ascii="Times New Roman" w:hAnsi="Times New Roman" w:cs="Times New Roman"/>
          <w:sz w:val="24"/>
          <w:szCs w:val="24"/>
        </w:rPr>
        <w:fldChar w:fldCharType="end"/>
      </w:r>
      <w:r w:rsidR="00AA1B64" w:rsidRPr="0076525E">
        <w:rPr>
          <w:rFonts w:ascii="Times New Roman" w:hAnsi="Times New Roman" w:cs="Times New Roman"/>
          <w:sz w:val="24"/>
          <w:szCs w:val="24"/>
        </w:rPr>
        <w:t xml:space="preserve"> </w:t>
      </w:r>
      <w:r w:rsidR="00AA1B64">
        <w:rPr>
          <w:rFonts w:asciiTheme="majorBidi" w:hAnsiTheme="majorBidi" w:cstheme="majorBidi"/>
          <w:sz w:val="24"/>
          <w:szCs w:val="24"/>
        </w:rPr>
        <w:t xml:space="preserve">have similarly found poor outcomes in under-five mortality in this area, </w:t>
      </w:r>
      <w:r w:rsidR="001A73EC">
        <w:rPr>
          <w:rFonts w:asciiTheme="majorBidi" w:hAnsiTheme="majorBidi" w:cstheme="majorBidi"/>
          <w:sz w:val="24"/>
          <w:szCs w:val="24"/>
        </w:rPr>
        <w:t>attributing the trend partly</w:t>
      </w:r>
      <w:r w:rsidR="00AA1B64">
        <w:rPr>
          <w:rFonts w:asciiTheme="majorBidi" w:hAnsiTheme="majorBidi" w:cstheme="majorBidi"/>
          <w:sz w:val="24"/>
          <w:szCs w:val="24"/>
        </w:rPr>
        <w:t xml:space="preserve"> to the nearly two decades of armed conflict in the region which disrupted health systems and impacted the socio-economic stability across the region. </w:t>
      </w:r>
      <w:r w:rsidR="001A73EC">
        <w:rPr>
          <w:rFonts w:asciiTheme="majorBidi" w:hAnsiTheme="majorBidi" w:cstheme="majorBidi"/>
          <w:sz w:val="24"/>
          <w:szCs w:val="24"/>
        </w:rPr>
        <w:t xml:space="preserve">Other studies </w:t>
      </w:r>
      <w:r w:rsidR="001A73EC">
        <w:rPr>
          <w:rFonts w:asciiTheme="majorBidi" w:hAnsiTheme="majorBidi" w:cstheme="majorBidi"/>
          <w:sz w:val="24"/>
          <w:szCs w:val="24"/>
        </w:rPr>
        <w:fldChar w:fldCharType="begin"/>
      </w:r>
      <w:r w:rsidR="001A73EC">
        <w:rPr>
          <w:rFonts w:asciiTheme="majorBidi" w:hAnsiTheme="majorBidi" w:cstheme="majorBidi"/>
          <w:sz w:val="24"/>
          <w:szCs w:val="24"/>
        </w:rPr>
        <w:instrText xml:space="preserve"> ADDIN ZOTERO_ITEM CSL_CITATION {"citationID":"8tVtad9L","properties":{"formattedCitation":"[46]","plainCitation":"[46]","noteIndex":0},"citationItems":[{"id":2966,"uris":["http://zotero.org/users/2783131/items/NZ73QQNB"],"uri":["http://zotero.org/users/2783131/items/NZ73QQNB"],"itemData":{"id":2966,"type":"article-journal","title":"Health systems factors influencing maternal health services: a four-country comparison","container-title":"Health Policy","page":"127-138","volume":"73","issue":"2","source":"ScienceDirect","abstract":"It is widely understood that maternal health care relies on the entire health system. However, little empirical, country-specific, research has been done to trace out the ways in which health system elements can shape maternal health outcomes. This study seeks to redress this situation, by providing an example of how a health systems approach can benefit the understanding of maternal health services. A comparative analysis was conducted based on extensive case studies of maternal health and health systems in Bangladesh, Russia, South Africa, and Uganda. A number of cross-cutting health system characteristics affecting maternal health were identified by comparing these diverse settings. The most important common systems issues underlying maternal health care were found to be the human resource structures, the public–private mix of service provision, and the changes involved with health sector reforms. Specific country contexts can further determine many factors influencing maternal health outcomes and service performance. Systems issues were found to influence the access to and utilization of services, quality of care provided, and ultimately maternal health outcomes. This paper provides a first step in tracing out how such broad systems issues actually work to influence maternal health.","DOI":"10.1016/j.healthpol.2004.11.001","ISSN":"0168-8510","shortTitle":"Health systems factors influencing maternal health services","journalAbbreviation":"Health Policy","author":[{"family":"Parkhurst","given":"Justin Oliver"},{"family":"Penn-Kekana","given":"Loveday"},{"family":"Blaauw","given":"Duane"},{"family":"Balabanova","given":"Dina"},{"family":"Danishevski","given":"Kirill"},{"family":"Rahman","given":"Syed Azizur"},{"family":"Onama","given":"Virgil"},{"family":"Ssengooba","given":"Freddie"}],"issued":{"date-parts":[["2005",8,1]]}}}],"schema":"https://github.com/citation-style-language/schema/raw/master/csl-citation.json"} </w:instrText>
      </w:r>
      <w:r w:rsidR="001A73EC">
        <w:rPr>
          <w:rFonts w:asciiTheme="majorBidi" w:hAnsiTheme="majorBidi" w:cstheme="majorBidi"/>
          <w:sz w:val="24"/>
          <w:szCs w:val="24"/>
        </w:rPr>
        <w:fldChar w:fldCharType="separate"/>
      </w:r>
      <w:r w:rsidR="001A73EC" w:rsidRPr="0076525E">
        <w:rPr>
          <w:rFonts w:ascii="Times New Roman" w:hAnsi="Times New Roman" w:cs="Times New Roman"/>
          <w:sz w:val="24"/>
        </w:rPr>
        <w:t>[46]</w:t>
      </w:r>
      <w:r w:rsidR="001A73EC">
        <w:rPr>
          <w:rFonts w:asciiTheme="majorBidi" w:hAnsiTheme="majorBidi" w:cstheme="majorBidi"/>
          <w:sz w:val="24"/>
          <w:szCs w:val="24"/>
        </w:rPr>
        <w:fldChar w:fldCharType="end"/>
      </w:r>
      <w:r w:rsidR="001A73EC">
        <w:rPr>
          <w:rFonts w:asciiTheme="majorBidi" w:hAnsiTheme="majorBidi" w:cstheme="majorBidi"/>
          <w:sz w:val="24"/>
          <w:szCs w:val="24"/>
        </w:rPr>
        <w:t xml:space="preserve"> have found that while skilled attendance is high, other key MNH metrics such as vaccine coverage lag, and suggest that quality of care in Uganda is insufficient, resulting in delayed emergency treatment and insufficient supplies.</w:t>
      </w:r>
      <w:r w:rsidR="00AA1B64">
        <w:rPr>
          <w:rFonts w:asciiTheme="majorBidi" w:hAnsiTheme="majorBidi" w:cstheme="majorBidi"/>
          <w:sz w:val="24"/>
          <w:szCs w:val="24"/>
        </w:rPr>
        <w:t xml:space="preserve"> </w:t>
      </w:r>
      <w:r w:rsidR="001A73EC">
        <w:rPr>
          <w:rFonts w:asciiTheme="majorBidi" w:hAnsiTheme="majorBidi" w:cstheme="majorBidi"/>
          <w:sz w:val="24"/>
          <w:szCs w:val="24"/>
        </w:rPr>
        <w:t>Further</w:t>
      </w:r>
      <w:r w:rsidR="0056549E">
        <w:rPr>
          <w:rFonts w:asciiTheme="majorBidi" w:hAnsiTheme="majorBidi" w:cstheme="majorBidi"/>
          <w:sz w:val="24"/>
          <w:szCs w:val="24"/>
        </w:rPr>
        <w:t xml:space="preserve"> studies</w:t>
      </w:r>
      <w:r w:rsidR="001A73EC">
        <w:rPr>
          <w:rFonts w:asciiTheme="majorBidi" w:hAnsiTheme="majorBidi" w:cstheme="majorBidi"/>
          <w:sz w:val="24"/>
          <w:szCs w:val="24"/>
        </w:rPr>
        <w:t xml:space="preserve"> </w:t>
      </w:r>
      <w:r w:rsidR="001A73EC" w:rsidRPr="00E14652">
        <w:rPr>
          <w:rFonts w:ascii="Times New Roman" w:hAnsi="Times New Roman" w:cs="Times New Roman"/>
          <w:sz w:val="24"/>
          <w:szCs w:val="24"/>
        </w:rPr>
        <w:fldChar w:fldCharType="begin"/>
      </w:r>
      <w:r w:rsidR="001A73EC" w:rsidRPr="00E14652">
        <w:rPr>
          <w:rFonts w:ascii="Times New Roman" w:hAnsi="Times New Roman" w:cs="Times New Roman"/>
          <w:sz w:val="24"/>
          <w:szCs w:val="24"/>
        </w:rPr>
        <w:instrText xml:space="preserve"> ADDIN ZOTERO_ITEM CSL_CITATION {"citationID":"a2gc3beers2","properties":{"formattedCitation":"[47]","plainCitation":"[47]","noteIndex":0},"citationItems":[{"id":872,"uris":["http://zotero.org/users/2783131/items/9JANAB5H"],"uri":["http://zotero.org/users/2783131/items/9JANAB5H"],"itemData":{"id":872,"type":"article-journal","title":"Benchmarking health system performance across regions in Uganda: a systematic analysis of levels and trends in key maternal and child health interventions, 1990–2011","container-title":"BMC Medicine","page":"285","volume":"13","source":"BioMed Central","abstract":"Globally, countries are increasingly prioritizing the reduction of health inequalities and provision of universal health coverage. While national benchmarking has become more common, such work at subnational levels is rare. The timely and rigorous measurement of local levels and trends in key health interventions and outcomes is vital to identifying areas of progress and detecting early signs of stalled or declining health system performance. Previous studies have yet to provide a comprehensive assessment of Uganda’s maternal and child health (MCH) landscape at the subnational level.","DOI":"10.1186/s12916-015-0518-x","ISSN":"1741-7015","shortTitle":"Benchmarking health system performance across regions in Uganda","journalAbbreviation":"BMC Medicine","author":[{"family":"Roberts","given":"D. Allen"},{"family":"Ng","given":"Marie"},{"family":"Ikilezi","given":"Gloria"},{"family":"Gasasira","given":"Anne"},{"family":"Dwyer-Lindgren","given":"Laura"},{"family":"Fullman","given":"Nancy"},{"family":"Nalugwa","given":"Talemwa"},{"family":"Kamya","given":"Moses"},{"family":"Gakidou","given":"Emmanuela"}],"issued":{"date-parts":[["2015",12,3]]}}}],"schema":"https://github.com/citation-style-language/schema/raw/master/csl-citation.json"} </w:instrText>
      </w:r>
      <w:r w:rsidR="001A73EC" w:rsidRPr="00E14652">
        <w:rPr>
          <w:rFonts w:ascii="Times New Roman" w:hAnsi="Times New Roman" w:cs="Times New Roman"/>
          <w:sz w:val="24"/>
          <w:szCs w:val="24"/>
        </w:rPr>
        <w:fldChar w:fldCharType="separate"/>
      </w:r>
      <w:r w:rsidR="001A73EC" w:rsidRPr="00E14652">
        <w:rPr>
          <w:rFonts w:ascii="Times New Roman" w:hAnsi="Times New Roman" w:cs="Times New Roman"/>
          <w:sz w:val="24"/>
          <w:szCs w:val="24"/>
        </w:rPr>
        <w:t>[47]</w:t>
      </w:r>
      <w:r w:rsidR="001A73EC" w:rsidRPr="00E14652">
        <w:rPr>
          <w:rFonts w:ascii="Times New Roman" w:hAnsi="Times New Roman" w:cs="Times New Roman"/>
          <w:sz w:val="24"/>
          <w:szCs w:val="24"/>
        </w:rPr>
        <w:fldChar w:fldCharType="end"/>
      </w:r>
      <w:r w:rsidR="0056549E">
        <w:rPr>
          <w:rFonts w:asciiTheme="majorBidi" w:hAnsiTheme="majorBidi" w:cstheme="majorBidi"/>
          <w:sz w:val="24"/>
          <w:szCs w:val="24"/>
        </w:rPr>
        <w:t xml:space="preserve"> have found minimal increases over time in </w:t>
      </w:r>
      <w:r>
        <w:rPr>
          <w:rFonts w:asciiTheme="majorBidi" w:hAnsiTheme="majorBidi" w:cstheme="majorBidi"/>
          <w:sz w:val="24"/>
          <w:szCs w:val="24"/>
        </w:rPr>
        <w:t>MNH</w:t>
      </w:r>
      <w:r w:rsidR="0056549E">
        <w:rPr>
          <w:rFonts w:asciiTheme="majorBidi" w:hAnsiTheme="majorBidi" w:cstheme="majorBidi"/>
          <w:sz w:val="24"/>
          <w:szCs w:val="24"/>
        </w:rPr>
        <w:t xml:space="preserve"> indicators requiring multiple contacts with the health system, such as 4+ antenatal care visits</w:t>
      </w:r>
      <w:r w:rsidR="001A73EC">
        <w:rPr>
          <w:rFonts w:asciiTheme="majorBidi" w:hAnsiTheme="majorBidi" w:cstheme="majorBidi"/>
          <w:sz w:val="24"/>
          <w:szCs w:val="24"/>
        </w:rPr>
        <w:t>, consistent with our findings</w:t>
      </w:r>
      <w:r w:rsidR="0056549E" w:rsidRPr="0076525E">
        <w:rPr>
          <w:rFonts w:ascii="Times New Roman" w:hAnsi="Times New Roman" w:cs="Times New Roman"/>
          <w:sz w:val="24"/>
          <w:szCs w:val="24"/>
        </w:rPr>
        <w:t>.</w:t>
      </w:r>
      <w:r w:rsidR="0056549E">
        <w:rPr>
          <w:rFonts w:asciiTheme="majorBidi" w:hAnsiTheme="majorBidi" w:cstheme="majorBidi"/>
          <w:sz w:val="24"/>
          <w:szCs w:val="24"/>
        </w:rPr>
        <w:t xml:space="preserve"> </w:t>
      </w:r>
      <w:r w:rsidR="006C258D">
        <w:rPr>
          <w:rFonts w:asciiTheme="majorBidi" w:hAnsiTheme="majorBidi" w:cstheme="majorBidi"/>
          <w:sz w:val="24"/>
          <w:szCs w:val="24"/>
        </w:rPr>
        <w:t>This suggests that while Uganda has rapidly increased the number and scale of maternal health interventions across the country,</w:t>
      </w:r>
      <w:r w:rsidR="00DF5167">
        <w:rPr>
          <w:rFonts w:asciiTheme="majorBidi" w:hAnsiTheme="majorBidi" w:cstheme="majorBidi"/>
          <w:sz w:val="24"/>
          <w:szCs w:val="24"/>
        </w:rPr>
        <w:t xml:space="preserve"> some areas</w:t>
      </w:r>
      <w:r w:rsidR="006C258D">
        <w:rPr>
          <w:rFonts w:asciiTheme="majorBidi" w:hAnsiTheme="majorBidi" w:cstheme="majorBidi"/>
          <w:sz w:val="24"/>
          <w:szCs w:val="24"/>
        </w:rPr>
        <w:t xml:space="preserve"> </w:t>
      </w:r>
      <w:r w:rsidR="00DF5167">
        <w:rPr>
          <w:rFonts w:asciiTheme="majorBidi" w:hAnsiTheme="majorBidi" w:cstheme="majorBidi"/>
          <w:sz w:val="24"/>
          <w:szCs w:val="24"/>
        </w:rPr>
        <w:t>(</w:t>
      </w:r>
      <w:r w:rsidR="00AA1B64">
        <w:rPr>
          <w:rFonts w:asciiTheme="majorBidi" w:hAnsiTheme="majorBidi" w:cstheme="majorBidi"/>
          <w:sz w:val="24"/>
          <w:szCs w:val="24"/>
        </w:rPr>
        <w:t>particularly in the northern regions</w:t>
      </w:r>
      <w:r w:rsidR="00DF5167">
        <w:rPr>
          <w:rFonts w:asciiTheme="majorBidi" w:hAnsiTheme="majorBidi" w:cstheme="majorBidi"/>
          <w:sz w:val="24"/>
          <w:szCs w:val="24"/>
        </w:rPr>
        <w:t>)</w:t>
      </w:r>
      <w:r w:rsidR="00AA1B64">
        <w:rPr>
          <w:rFonts w:asciiTheme="majorBidi" w:hAnsiTheme="majorBidi" w:cstheme="majorBidi"/>
          <w:sz w:val="24"/>
          <w:szCs w:val="24"/>
        </w:rPr>
        <w:t xml:space="preserve"> </w:t>
      </w:r>
      <w:r w:rsidR="00DF5167">
        <w:rPr>
          <w:rFonts w:asciiTheme="majorBidi" w:hAnsiTheme="majorBidi" w:cstheme="majorBidi"/>
          <w:sz w:val="24"/>
          <w:szCs w:val="24"/>
        </w:rPr>
        <w:t xml:space="preserve">have </w:t>
      </w:r>
      <w:r w:rsidR="006C258D">
        <w:rPr>
          <w:rFonts w:asciiTheme="majorBidi" w:hAnsiTheme="majorBidi" w:cstheme="majorBidi"/>
          <w:sz w:val="24"/>
          <w:szCs w:val="24"/>
        </w:rPr>
        <w:t xml:space="preserve">historically and systematically </w:t>
      </w:r>
      <w:r w:rsidR="00DF5167">
        <w:rPr>
          <w:rFonts w:asciiTheme="majorBidi" w:hAnsiTheme="majorBidi" w:cstheme="majorBidi"/>
          <w:sz w:val="24"/>
          <w:szCs w:val="24"/>
        </w:rPr>
        <w:t>lagged behind and require more deliberate efforts and focused interventions to further close the gap in MNH inequalities</w:t>
      </w:r>
      <w:r w:rsidR="00AA1B64">
        <w:rPr>
          <w:rFonts w:asciiTheme="majorBidi" w:hAnsiTheme="majorBidi" w:cstheme="majorBidi"/>
          <w:sz w:val="24"/>
          <w:szCs w:val="24"/>
        </w:rPr>
        <w:t xml:space="preserve"> </w:t>
      </w:r>
      <w:r w:rsidR="00AA1B64" w:rsidRPr="0076525E">
        <w:rPr>
          <w:rFonts w:ascii="Times New Roman" w:hAnsi="Times New Roman" w:cs="Times New Roman"/>
          <w:sz w:val="24"/>
          <w:szCs w:val="24"/>
        </w:rPr>
        <w:fldChar w:fldCharType="begin"/>
      </w:r>
      <w:r w:rsidR="00B1461B" w:rsidRPr="008F5EA0">
        <w:rPr>
          <w:rFonts w:ascii="Times New Roman" w:hAnsi="Times New Roman" w:cs="Times New Roman"/>
          <w:sz w:val="24"/>
          <w:szCs w:val="24"/>
        </w:rPr>
        <w:instrText xml:space="preserve"> ADDIN ZOTERO_ITEM CSL_CITATION {"citationID":"a1bfs8mbj3s","properties":{"formattedCitation":"[45]","plainCitation":"[45]","noteIndex":0},"citationItems":[{"id":1004,"uris":["http://zotero.org/users/2783131/items/L98HLN8J"],"uri":["http://zotero.org/users/2783131/items/L98HLN8J"],"itemData":{"id":1004,"type":"article-journal","title":"Trends and determinants of under-five mortality in Uganda.","container-title":"East African Journal of Public Health","page":"136-140","volume":"6","issue":"2","source":"europepmc.org","abstract":"Abstract: OBJECTIVES: We assessed the levels and trends of childhood mortality between 1990 and 2006, and assessed the determinants of under-five...","ISSN":"0856-8960","note":"PMID: 20000017","journalAbbreviation":"East Afr J Public Health","language":"eng","author":[{"family":"Ayiko","given":"R."},{"family":"Antai","given":"D."},{"family":"Kulane","given":"A."}],"issued":{"date-parts":[["2009",8]]}}}],"schema":"https://github.com/citation-style-language/schema/raw/master/csl-citation.json"} </w:instrText>
      </w:r>
      <w:r w:rsidR="00AA1B64" w:rsidRPr="0076525E">
        <w:rPr>
          <w:rFonts w:ascii="Times New Roman" w:hAnsi="Times New Roman" w:cs="Times New Roman"/>
          <w:sz w:val="24"/>
          <w:szCs w:val="24"/>
        </w:rPr>
        <w:fldChar w:fldCharType="separate"/>
      </w:r>
      <w:r w:rsidR="00B1461B" w:rsidRPr="0076525E">
        <w:rPr>
          <w:rFonts w:ascii="Times New Roman" w:hAnsi="Times New Roman" w:cs="Times New Roman"/>
          <w:sz w:val="24"/>
          <w:szCs w:val="24"/>
        </w:rPr>
        <w:t>[45]</w:t>
      </w:r>
      <w:r w:rsidR="00AA1B64" w:rsidRPr="0076525E">
        <w:rPr>
          <w:rFonts w:ascii="Times New Roman" w:hAnsi="Times New Roman" w:cs="Times New Roman"/>
          <w:sz w:val="24"/>
          <w:szCs w:val="24"/>
        </w:rPr>
        <w:fldChar w:fldCharType="end"/>
      </w:r>
      <w:r w:rsidR="006C258D">
        <w:rPr>
          <w:rFonts w:asciiTheme="majorBidi" w:hAnsiTheme="majorBidi" w:cstheme="majorBidi"/>
          <w:sz w:val="24"/>
          <w:szCs w:val="24"/>
        </w:rPr>
        <w:t xml:space="preserve">. </w:t>
      </w:r>
      <w:r w:rsidR="0056549E">
        <w:rPr>
          <w:rFonts w:asciiTheme="majorBidi" w:hAnsiTheme="majorBidi" w:cstheme="majorBidi"/>
          <w:sz w:val="24"/>
          <w:szCs w:val="24"/>
        </w:rPr>
        <w:t xml:space="preserve"> </w:t>
      </w:r>
    </w:p>
    <w:p w14:paraId="3634E8A5" w14:textId="5D0187EE" w:rsidR="004A1634" w:rsidRDefault="00F90445" w:rsidP="00281E7F">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In Tanzania, </w:t>
      </w:r>
      <w:r w:rsidR="005573BD">
        <w:rPr>
          <w:rFonts w:asciiTheme="majorBidi" w:hAnsiTheme="majorBidi" w:cstheme="majorBidi"/>
          <w:sz w:val="24"/>
          <w:szCs w:val="24"/>
        </w:rPr>
        <w:t xml:space="preserve">we found a notable absolute decrease in </w:t>
      </w:r>
      <w:r>
        <w:rPr>
          <w:rFonts w:asciiTheme="majorBidi" w:hAnsiTheme="majorBidi" w:cstheme="majorBidi"/>
          <w:sz w:val="24"/>
          <w:szCs w:val="24"/>
        </w:rPr>
        <w:t>coverage of 4+ antenatal care visits between 1999 and 2010, with little change through 2015.</w:t>
      </w:r>
      <w:r w:rsidR="005573BD">
        <w:rPr>
          <w:rFonts w:asciiTheme="majorBidi" w:hAnsiTheme="majorBidi" w:cstheme="majorBidi"/>
          <w:sz w:val="24"/>
          <w:szCs w:val="24"/>
        </w:rPr>
        <w:t xml:space="preserve"> </w:t>
      </w:r>
      <w:r w:rsidR="001D45E5">
        <w:rPr>
          <w:rFonts w:asciiTheme="majorBidi" w:hAnsiTheme="majorBidi" w:cstheme="majorBidi"/>
          <w:sz w:val="24"/>
          <w:szCs w:val="24"/>
        </w:rPr>
        <w:t xml:space="preserve">Regardless, northern and north-eastern Tanzania experienced a relative reduction over time across all services, suggesting the possibility that these areas are being left behind in improving access to or utilisation of maternal health services. </w:t>
      </w:r>
      <w:r w:rsidR="007D46A2">
        <w:rPr>
          <w:rFonts w:asciiTheme="majorBidi" w:hAnsiTheme="majorBidi" w:cstheme="majorBidi"/>
          <w:sz w:val="24"/>
          <w:szCs w:val="24"/>
        </w:rPr>
        <w:t>Tanzania achieved MDG targets for child survival,</w:t>
      </w:r>
      <w:r w:rsidR="00C937A5">
        <w:rPr>
          <w:rFonts w:asciiTheme="majorBidi" w:hAnsiTheme="majorBidi" w:cstheme="majorBidi"/>
          <w:sz w:val="24"/>
          <w:szCs w:val="24"/>
        </w:rPr>
        <w:t xml:space="preserve"> and while</w:t>
      </w:r>
      <w:r w:rsidR="007D46A2">
        <w:rPr>
          <w:rFonts w:asciiTheme="majorBidi" w:hAnsiTheme="majorBidi" w:cstheme="majorBidi"/>
          <w:sz w:val="24"/>
          <w:szCs w:val="24"/>
        </w:rPr>
        <w:t xml:space="preserve"> previous studies</w:t>
      </w:r>
      <w:r w:rsidR="00F61F49">
        <w:rPr>
          <w:rFonts w:asciiTheme="majorBidi" w:hAnsiTheme="majorBidi" w:cstheme="majorBidi"/>
          <w:sz w:val="24"/>
          <w:szCs w:val="24"/>
        </w:rPr>
        <w:t xml:space="preserve"> </w:t>
      </w:r>
      <w:r w:rsidR="00F61F49" w:rsidRPr="0076525E">
        <w:rPr>
          <w:rFonts w:ascii="Times New Roman" w:hAnsi="Times New Roman" w:cs="Times New Roman"/>
          <w:sz w:val="24"/>
          <w:szCs w:val="24"/>
        </w:rPr>
        <w:fldChar w:fldCharType="begin"/>
      </w:r>
      <w:r w:rsidR="001A73EC" w:rsidRPr="00C937A5">
        <w:rPr>
          <w:rFonts w:ascii="Times New Roman" w:hAnsi="Times New Roman" w:cs="Times New Roman"/>
          <w:sz w:val="24"/>
          <w:szCs w:val="24"/>
        </w:rPr>
        <w:instrText xml:space="preserve"> ADDIN ZOTERO_ITEM CSL_CITATION {"citationID":"a2240rnjti","properties":{"formattedCitation":"[48]","plainCitation":"[48]","noteIndex":0},"citationItems":[{"id":1005,"uris":["http://zotero.org/users/2783131/items/NTMB92W4"],"uri":["http://zotero.org/users/2783131/items/NTMB92W4"],"itemData":{"id":1005,"type":"article-journal","title":"Access to maternal health services: geographical inequalities, United Republic of Tanzania","container-title":"Bulletin of the World Health Organization","page":"810 - 820","volume":"95","note":"DOI: 10.2471/BLT.17.194126","shortTitle":"Access to maternal health services","author":[{"family":"Hanson","given":"Claudia"},{"family":"Gabrysch, Sabine","given":""},{"family":"Mbaruku","given":"Godfrey"},{"family":"Cox, Jonathan","given":""},{"family":"Mkumbo","given":"Elibariki"},{"family":"Manzi","given":"Fatuma"},{"family":"Schellenberg","given":"Joanna"},{"family":"Ronsmans, Carine","given":""}],"issued":{"date-parts":[["2017"]]}}}],"schema":"https://github.com/citation-style-language/schema/raw/master/csl-citation.json"} </w:instrText>
      </w:r>
      <w:r w:rsidR="00F61F49" w:rsidRPr="0076525E">
        <w:rPr>
          <w:rFonts w:ascii="Times New Roman" w:hAnsi="Times New Roman" w:cs="Times New Roman"/>
          <w:sz w:val="24"/>
          <w:szCs w:val="24"/>
        </w:rPr>
        <w:fldChar w:fldCharType="separate"/>
      </w:r>
      <w:r w:rsidR="001A73EC" w:rsidRPr="0076525E">
        <w:rPr>
          <w:rFonts w:ascii="Times New Roman" w:hAnsi="Times New Roman" w:cs="Times New Roman"/>
          <w:sz w:val="24"/>
          <w:szCs w:val="24"/>
        </w:rPr>
        <w:t>[48]</w:t>
      </w:r>
      <w:r w:rsidR="00F61F49" w:rsidRPr="0076525E">
        <w:rPr>
          <w:rFonts w:ascii="Times New Roman" w:hAnsi="Times New Roman" w:cs="Times New Roman"/>
          <w:sz w:val="24"/>
          <w:szCs w:val="24"/>
        </w:rPr>
        <w:fldChar w:fldCharType="end"/>
      </w:r>
      <w:r w:rsidR="007D46A2" w:rsidRPr="0076525E">
        <w:rPr>
          <w:rFonts w:ascii="Times New Roman" w:hAnsi="Times New Roman" w:cs="Times New Roman"/>
          <w:sz w:val="24"/>
          <w:szCs w:val="24"/>
        </w:rPr>
        <w:t xml:space="preserve"> </w:t>
      </w:r>
      <w:r w:rsidR="007D46A2">
        <w:rPr>
          <w:rFonts w:asciiTheme="majorBidi" w:hAnsiTheme="majorBidi" w:cstheme="majorBidi"/>
          <w:sz w:val="24"/>
          <w:szCs w:val="24"/>
        </w:rPr>
        <w:t>have noted that geographic inequalities in access to primary care at childbirth have been reduced, inequalities persist in actual hospital-based deliveries and antenatal care.</w:t>
      </w:r>
      <w:r>
        <w:rPr>
          <w:rFonts w:asciiTheme="majorBidi" w:hAnsiTheme="majorBidi" w:cstheme="majorBidi"/>
          <w:sz w:val="24"/>
          <w:szCs w:val="24"/>
        </w:rPr>
        <w:t xml:space="preserve"> </w:t>
      </w:r>
      <w:r w:rsidR="00395D2B">
        <w:rPr>
          <w:rFonts w:asciiTheme="majorBidi" w:hAnsiTheme="majorBidi" w:cstheme="majorBidi"/>
          <w:sz w:val="24"/>
          <w:szCs w:val="24"/>
        </w:rPr>
        <w:t>Our findings</w:t>
      </w:r>
      <w:r>
        <w:rPr>
          <w:rFonts w:asciiTheme="majorBidi" w:hAnsiTheme="majorBidi" w:cstheme="majorBidi"/>
          <w:sz w:val="24"/>
          <w:szCs w:val="24"/>
        </w:rPr>
        <w:t xml:space="preserve"> are in line with </w:t>
      </w:r>
      <w:r w:rsidR="00395D2B">
        <w:rPr>
          <w:rFonts w:asciiTheme="majorBidi" w:hAnsiTheme="majorBidi" w:cstheme="majorBidi"/>
          <w:sz w:val="24"/>
          <w:szCs w:val="24"/>
        </w:rPr>
        <w:t>these</w:t>
      </w:r>
      <w:r>
        <w:rPr>
          <w:rFonts w:asciiTheme="majorBidi" w:hAnsiTheme="majorBidi" w:cstheme="majorBidi"/>
          <w:sz w:val="24"/>
          <w:szCs w:val="24"/>
        </w:rPr>
        <w:t xml:space="preserve"> studies</w:t>
      </w:r>
      <w:r w:rsidR="000A0C8A">
        <w:rPr>
          <w:rFonts w:asciiTheme="majorBidi" w:hAnsiTheme="majorBidi" w:cstheme="majorBidi"/>
          <w:sz w:val="24"/>
          <w:szCs w:val="24"/>
        </w:rPr>
        <w:t xml:space="preserve"> </w:t>
      </w:r>
      <w:r w:rsidR="000A0C8A" w:rsidRPr="008B1AAD">
        <w:rPr>
          <w:rFonts w:ascii="Times New Roman" w:hAnsi="Times New Roman" w:cs="Times New Roman"/>
          <w:sz w:val="24"/>
          <w:szCs w:val="24"/>
        </w:rPr>
        <w:fldChar w:fldCharType="begin"/>
      </w:r>
      <w:r w:rsidR="000A0C8A" w:rsidRPr="008B1AAD">
        <w:rPr>
          <w:rFonts w:ascii="Times New Roman" w:hAnsi="Times New Roman" w:cs="Times New Roman"/>
          <w:sz w:val="24"/>
          <w:szCs w:val="24"/>
        </w:rPr>
        <w:instrText xml:space="preserve"> ADDIN ZOTERO_ITEM CSL_CITATION {"citationID":"a1paau0fkvs","properties":{"formattedCitation":"[49]","plainCitation":"[49]","noteIndex":0},"citationItems":[{"id":866,"uris":["http://zotero.org/users/2783131/items/DR3IKNI3"],"uri":["http://zotero.org/users/2783131/items/DR3IKNI3"],"itemData":{"id":866,"type":"article-journal","title":"Subnational variation for care at birth in Tanzania: is this explained by place, people, money or drugs?","container-title":"BMC public health","page":"795","volume":"16 Suppl 2","source":"PubMed","abstract":"BACKGROUND: Tanzania achieved the Millennium Development Goal for child survival, yet made insufficient progress for maternal and neonatal survival and stillbirths, due to low coverage and quality of services for care at birth, with rural women left behind. Our study aimed to evaluate Tanzania's subnational (regional-level) variations for rural care at birth outcomes, i.e., rural women giving birth in a facility and by Caesarean section (C-section), and associations with health systems inputs (financing, health workforce, facilities, and commodities), outputs (readiness and quality of care) and context (education and GDP).\nMETHODS: We undertook correlation analyses of subnational-level associations between health system inputs, outputs, context, and rural care at birth outcomes; and constructed implementation readiness barometers using benchmarks for each health system input indicator. We used geographical information system (GIS) mapping to visualise subnational variations in care at birth for rural women, with a focus on service availability and readiness, and collected qualitative data to investigate financial flows from national to council level to understand variation in financing inputs.\nRESULTS: We found wide subnational variation for rural care at birth outcomes, health systems inputs, and contextual indicators. There was a positive association between rural women giving birth in a facility and by C-section; maternal education; workforce and facility density; and quality of care. There was a negative association between these outcomes and proportion of all births to rural women, total fertility rate, and availability of essential commodities at facilities. Per capita recurrent expenditure was positively associated with facility births (correlation coefficient = 0.43; p = 0.05) but not with C-section. Qualitative results showed that the health financing system is complex and insufficient for providing care at birth services. Bottlenecks for care at birth included low density of health workers, poor availability of essential commodities, and low health financing in Lake and Western Zones.\nCONCLUSIONS: No region meets the benchmarks for the four health systems building blocks including health finance, health workforce, health facilities, and commodities. Strategies for addressing health system inequities, including overall increases in health expenditure, are needed in rural populations and areas of highest unmet need for family planning to improve coverage of care at birth for rural women in Tanzania.","DOI":"10.1186/s12889-016-3404-3","ISSN":"1471-2458","note":"PMID: 27634353\nPMCID: PMC5025821","shortTitle":"Subnational variation for care at birth in Tanzania","journalAbbreviation":"BMC Public Health","language":"eng","author":[{"family":"Armstrong","given":"Corinne E."},{"family":"Martínez-Álvarez","given":"Melisa"},{"family":"Singh","given":"Neha S."},{"family":"John","given":"Theopista"},{"family":"Afnan-Holmes","given":"Hoviyeh"},{"family":"Grundy","given":"Chris"},{"family":"Ruktanochai","given":"Corrine W."},{"family":"Borghi","given":"Josephine"},{"family":"Magoma","given":"Moke"},{"family":"Msemo","given":"Georgina"},{"family":"Matthews","given":"Zoe"},{"family":"Mtei","given":"Gemini"},{"family":"Lawn","given":"Joy E."}],"issued":{"date-parts":[["2016"]],"season":"12"}}}],"schema":"https://github.com/citation-style-language/schema/raw/master/csl-citation.json"} </w:instrText>
      </w:r>
      <w:r w:rsidR="000A0C8A" w:rsidRPr="008B1AAD">
        <w:rPr>
          <w:rFonts w:ascii="Times New Roman" w:hAnsi="Times New Roman" w:cs="Times New Roman"/>
          <w:sz w:val="24"/>
          <w:szCs w:val="24"/>
        </w:rPr>
        <w:fldChar w:fldCharType="separate"/>
      </w:r>
      <w:r w:rsidR="000A0C8A" w:rsidRPr="008B1AAD">
        <w:rPr>
          <w:rFonts w:ascii="Times New Roman" w:hAnsi="Times New Roman" w:cs="Times New Roman"/>
          <w:sz w:val="24"/>
          <w:szCs w:val="24"/>
        </w:rPr>
        <w:t>[49]</w:t>
      </w:r>
      <w:r w:rsidR="000A0C8A" w:rsidRPr="008B1AAD">
        <w:rPr>
          <w:rFonts w:ascii="Times New Roman" w:hAnsi="Times New Roman" w:cs="Times New Roman"/>
          <w:sz w:val="24"/>
          <w:szCs w:val="24"/>
        </w:rPr>
        <w:fldChar w:fldCharType="end"/>
      </w:r>
      <w:r>
        <w:rPr>
          <w:rFonts w:asciiTheme="majorBidi" w:hAnsiTheme="majorBidi" w:cstheme="majorBidi"/>
          <w:sz w:val="24"/>
          <w:szCs w:val="24"/>
        </w:rPr>
        <w:t xml:space="preserve"> suggesting maternal survival has lagged behind due to low coverage of maternal health services, with rural women bearing a disproportionate burden</w:t>
      </w:r>
      <w:r w:rsidR="005573BD">
        <w:rPr>
          <w:rFonts w:asciiTheme="majorBidi" w:hAnsiTheme="majorBidi" w:cstheme="majorBidi"/>
          <w:sz w:val="24"/>
          <w:szCs w:val="24"/>
        </w:rPr>
        <w:t xml:space="preserve"> of risk</w:t>
      </w:r>
      <w:r>
        <w:rPr>
          <w:rFonts w:asciiTheme="majorBidi" w:hAnsiTheme="majorBidi" w:cstheme="majorBidi"/>
          <w:sz w:val="24"/>
          <w:szCs w:val="24"/>
        </w:rPr>
        <w:t>. Examining potential bottlenecks to explain these patterns, Armstrong et al.</w:t>
      </w:r>
      <w:r w:rsidR="00373419">
        <w:rPr>
          <w:rFonts w:asciiTheme="majorBidi" w:hAnsiTheme="majorBidi" w:cstheme="majorBidi"/>
          <w:sz w:val="24"/>
          <w:szCs w:val="24"/>
        </w:rPr>
        <w:t xml:space="preserve"> </w:t>
      </w:r>
      <w:r w:rsidR="00373419">
        <w:rPr>
          <w:rFonts w:asciiTheme="majorBidi" w:hAnsiTheme="majorBidi" w:cstheme="majorBidi"/>
          <w:sz w:val="24"/>
          <w:szCs w:val="24"/>
        </w:rPr>
        <w:fldChar w:fldCharType="begin"/>
      </w:r>
      <w:r w:rsidR="00373419">
        <w:rPr>
          <w:rFonts w:asciiTheme="majorBidi" w:hAnsiTheme="majorBidi" w:cstheme="majorBidi"/>
          <w:sz w:val="24"/>
          <w:szCs w:val="24"/>
        </w:rPr>
        <w:instrText xml:space="preserve"> ADDIN ZOTERO_ITEM CSL_CITATION {"citationID":"a6Go9Nud","properties":{"formattedCitation":"[49]","plainCitation":"[49]","noteIndex":0},"citationItems":[{"id":866,"uris":["http://zotero.org/users/2783131/items/DR3IKNI3"],"uri":["http://zotero.org/users/2783131/items/DR3IKNI3"],"itemData":{"id":866,"type":"article-journal","title":"Subnational variation for care at birth in Tanzania: is this explained by place, people, money or drugs?","container-title":"BMC public health","page":"795","volume":"16 Suppl 2","source":"PubMed","abstract":"BACKGROUND: Tanzania achieved the Millennium Development Goal for child survival, yet made insufficient progress for maternal and neonatal survival and stillbirths, due to low coverage and quality of services for care at birth, with rural women left behind. Our study aimed to evaluate Tanzania's subnational (regional-level) variations for rural care at birth outcomes, i.e., rural women giving birth in a facility and by Caesarean section (C-section), and associations with health systems inputs (financing, health workforce, facilities, and commodities), outputs (readiness and quality of care) and context (education and GDP).\nMETHODS: We undertook correlation analyses of subnational-level associations between health system inputs, outputs, context, and rural care at birth outcomes; and constructed implementation readiness barometers using benchmarks for each health system input indicator. We used geographical information system (GIS) mapping to visualise subnational variations in care at birth for rural women, with a focus on service availability and readiness, and collected qualitative data to investigate financial flows from national to council level to understand variation in financing inputs.\nRESULTS: We found wide subnational variation for rural care at birth outcomes, health systems inputs, and contextual indicators. There was a positive association between rural women giving birth in a facility and by C-section; maternal education; workforce and facility density; and quality of care. There was a negative association between these outcomes and proportion of all births to rural women, total fertility rate, and availability of essential commodities at facilities. Per capita recurrent expenditure was positively associated with facility births (correlation coefficient = 0.43; p = 0.05) but not with C-section. Qualitative results showed that the health financing system is complex and insufficient for providing care at birth services. Bottlenecks for care at birth included low density of health workers, poor availability of essential commodities, and low health financing in Lake and Western Zones.\nCONCLUSIONS: No region meets the benchmarks for the four health systems building blocks including health finance, health workforce, health facilities, and commodities. Strategies for addressing health system inequities, including overall increases in health expenditure, are needed in rural populations and areas of highest unmet need for family planning to improve coverage of care at birth for rural women in Tanzania.","DOI":"10.1186/s12889-016-3404-3","ISSN":"1471-2458","note":"PMID: 27634353\nPMCID: PMC5025821","shortTitle":"Subnational variation for care at birth in Tanzania","journalAbbreviation":"BMC Public Health","language":"eng","author":[{"family":"Armstrong","given":"Corinne E."},{"family":"Martínez-Álvarez","given":"Melisa"},{"family":"Singh","given":"Neha S."},{"family":"John","given":"Theopista"},{"family":"Afnan-Holmes","given":"Hoviyeh"},{"family":"Grundy","given":"Chris"},{"family":"Ruktanochai","given":"Corrine W."},{"family":"Borghi","given":"Josephine"},{"family":"Magoma","given":"Moke"},{"family":"Msemo","given":"Georgina"},{"family":"Matthews","given":"Zoe"},{"family":"Mtei","given":"Gemini"},{"family":"Lawn","given":"Joy E."}],"issued":{"date-parts":[["2016"]],"season":"12"}}}],"schema":"https://github.com/citation-style-language/schema/raw/master/csl-citation.json"} </w:instrText>
      </w:r>
      <w:r w:rsidR="00373419">
        <w:rPr>
          <w:rFonts w:asciiTheme="majorBidi" w:hAnsiTheme="majorBidi" w:cstheme="majorBidi"/>
          <w:sz w:val="24"/>
          <w:szCs w:val="24"/>
        </w:rPr>
        <w:fldChar w:fldCharType="separate"/>
      </w:r>
      <w:r w:rsidR="00373419" w:rsidRPr="0076525E">
        <w:rPr>
          <w:rFonts w:ascii="Times New Roman" w:hAnsi="Times New Roman" w:cs="Times New Roman"/>
          <w:sz w:val="24"/>
        </w:rPr>
        <w:t>[49]</w:t>
      </w:r>
      <w:r w:rsidR="00373419">
        <w:rPr>
          <w:rFonts w:asciiTheme="majorBidi" w:hAnsiTheme="majorBidi" w:cstheme="majorBidi"/>
          <w:sz w:val="24"/>
          <w:szCs w:val="24"/>
        </w:rPr>
        <w:fldChar w:fldCharType="end"/>
      </w:r>
      <w:r>
        <w:rPr>
          <w:rFonts w:asciiTheme="majorBidi" w:hAnsiTheme="majorBidi" w:cstheme="majorBidi"/>
          <w:sz w:val="24"/>
          <w:szCs w:val="24"/>
        </w:rPr>
        <w:t xml:space="preserve"> suggested that Tanzania must make progress in all four “benchmarks” of quality health systems, </w:t>
      </w:r>
      <w:r w:rsidR="005573BD">
        <w:rPr>
          <w:rFonts w:asciiTheme="majorBidi" w:hAnsiTheme="majorBidi" w:cstheme="majorBidi"/>
          <w:sz w:val="24"/>
          <w:szCs w:val="24"/>
        </w:rPr>
        <w:t>as the country experienced</w:t>
      </w:r>
      <w:r>
        <w:rPr>
          <w:rFonts w:asciiTheme="majorBidi" w:hAnsiTheme="majorBidi" w:cstheme="majorBidi"/>
          <w:sz w:val="24"/>
          <w:szCs w:val="24"/>
        </w:rPr>
        <w:t xml:space="preserve"> low density of health workers, poor availability of supplies at health facilities, and </w:t>
      </w:r>
      <w:r w:rsidR="0012244C">
        <w:rPr>
          <w:rFonts w:asciiTheme="majorBidi" w:hAnsiTheme="majorBidi" w:cstheme="majorBidi"/>
          <w:sz w:val="24"/>
          <w:szCs w:val="24"/>
        </w:rPr>
        <w:t>low levels</w:t>
      </w:r>
      <w:r>
        <w:rPr>
          <w:rFonts w:asciiTheme="majorBidi" w:hAnsiTheme="majorBidi" w:cstheme="majorBidi"/>
          <w:sz w:val="24"/>
          <w:szCs w:val="24"/>
        </w:rPr>
        <w:t xml:space="preserve"> of health financing</w:t>
      </w:r>
      <w:r w:rsidR="005573BD">
        <w:rPr>
          <w:rFonts w:asciiTheme="majorBidi" w:hAnsiTheme="majorBidi" w:cstheme="majorBidi"/>
          <w:sz w:val="24"/>
          <w:szCs w:val="24"/>
        </w:rPr>
        <w:t>,</w:t>
      </w:r>
      <w:r>
        <w:rPr>
          <w:rFonts w:asciiTheme="majorBidi" w:hAnsiTheme="majorBidi" w:cstheme="majorBidi"/>
          <w:sz w:val="24"/>
          <w:szCs w:val="24"/>
        </w:rPr>
        <w:t xml:space="preserve"> particularly in the Lake and Western districts. Despite this, </w:t>
      </w:r>
      <w:r w:rsidR="005573BD">
        <w:rPr>
          <w:rFonts w:asciiTheme="majorBidi" w:hAnsiTheme="majorBidi" w:cstheme="majorBidi"/>
          <w:sz w:val="24"/>
          <w:szCs w:val="24"/>
        </w:rPr>
        <w:t xml:space="preserve">we found </w:t>
      </w:r>
      <w:r>
        <w:rPr>
          <w:rFonts w:asciiTheme="majorBidi" w:hAnsiTheme="majorBidi" w:cstheme="majorBidi"/>
          <w:sz w:val="24"/>
          <w:szCs w:val="24"/>
        </w:rPr>
        <w:t xml:space="preserve">ratios between districts </w:t>
      </w:r>
      <w:r w:rsidR="0012244C">
        <w:rPr>
          <w:rFonts w:asciiTheme="majorBidi" w:hAnsiTheme="majorBidi" w:cstheme="majorBidi"/>
          <w:sz w:val="24"/>
          <w:szCs w:val="24"/>
        </w:rPr>
        <w:t xml:space="preserve">generally decreased </w:t>
      </w:r>
      <w:r w:rsidR="005573BD">
        <w:rPr>
          <w:rFonts w:asciiTheme="majorBidi" w:hAnsiTheme="majorBidi" w:cstheme="majorBidi"/>
          <w:sz w:val="24"/>
          <w:szCs w:val="24"/>
        </w:rPr>
        <w:t>slightly</w:t>
      </w:r>
      <w:r>
        <w:rPr>
          <w:rFonts w:asciiTheme="majorBidi" w:hAnsiTheme="majorBidi" w:cstheme="majorBidi"/>
          <w:sz w:val="24"/>
          <w:szCs w:val="24"/>
        </w:rPr>
        <w:t>, suggesting</w:t>
      </w:r>
      <w:r w:rsidR="005573BD">
        <w:rPr>
          <w:rFonts w:asciiTheme="majorBidi" w:hAnsiTheme="majorBidi" w:cstheme="majorBidi"/>
          <w:sz w:val="24"/>
          <w:szCs w:val="24"/>
        </w:rPr>
        <w:t xml:space="preserve"> some</w:t>
      </w:r>
      <w:r>
        <w:rPr>
          <w:rFonts w:asciiTheme="majorBidi" w:hAnsiTheme="majorBidi" w:cstheme="majorBidi"/>
          <w:sz w:val="24"/>
          <w:szCs w:val="24"/>
        </w:rPr>
        <w:t xml:space="preserve"> progress is being made</w:t>
      </w:r>
      <w:r w:rsidR="0012244C">
        <w:rPr>
          <w:rFonts w:asciiTheme="majorBidi" w:hAnsiTheme="majorBidi" w:cstheme="majorBidi"/>
          <w:sz w:val="24"/>
          <w:szCs w:val="24"/>
        </w:rPr>
        <w:t xml:space="preserve"> in reducing inequalities</w:t>
      </w:r>
      <w:r>
        <w:rPr>
          <w:rFonts w:asciiTheme="majorBidi" w:hAnsiTheme="majorBidi" w:cstheme="majorBidi"/>
          <w:sz w:val="24"/>
          <w:szCs w:val="24"/>
        </w:rPr>
        <w:t>. Further,</w:t>
      </w:r>
      <w:r w:rsidR="005573BD">
        <w:rPr>
          <w:rFonts w:asciiTheme="majorBidi" w:hAnsiTheme="majorBidi" w:cstheme="majorBidi"/>
          <w:sz w:val="24"/>
          <w:szCs w:val="24"/>
        </w:rPr>
        <w:t xml:space="preserve"> we found</w:t>
      </w:r>
      <w:r w:rsidR="0012244C">
        <w:rPr>
          <w:rFonts w:asciiTheme="majorBidi" w:hAnsiTheme="majorBidi" w:cstheme="majorBidi"/>
          <w:sz w:val="24"/>
          <w:szCs w:val="24"/>
        </w:rPr>
        <w:t xml:space="preserve"> the </w:t>
      </w:r>
      <w:r w:rsidR="006F62AD">
        <w:rPr>
          <w:rFonts w:asciiTheme="majorBidi" w:hAnsiTheme="majorBidi" w:cstheme="majorBidi"/>
          <w:sz w:val="24"/>
          <w:szCs w:val="24"/>
        </w:rPr>
        <w:t>odds</w:t>
      </w:r>
      <w:r w:rsidR="0012244C">
        <w:rPr>
          <w:rFonts w:asciiTheme="majorBidi" w:hAnsiTheme="majorBidi" w:cstheme="majorBidi"/>
          <w:sz w:val="24"/>
          <w:szCs w:val="24"/>
        </w:rPr>
        <w:t xml:space="preserve"> of </w:t>
      </w:r>
      <w:r w:rsidR="006F62AD">
        <w:rPr>
          <w:rFonts w:asciiTheme="majorBidi" w:hAnsiTheme="majorBidi" w:cstheme="majorBidi"/>
          <w:sz w:val="24"/>
          <w:szCs w:val="24"/>
        </w:rPr>
        <w:t>region alone</w:t>
      </w:r>
      <w:r>
        <w:rPr>
          <w:rFonts w:asciiTheme="majorBidi" w:hAnsiTheme="majorBidi" w:cstheme="majorBidi"/>
          <w:sz w:val="24"/>
          <w:szCs w:val="24"/>
        </w:rPr>
        <w:t xml:space="preserve"> </w:t>
      </w:r>
      <w:r w:rsidR="006F62AD">
        <w:rPr>
          <w:rFonts w:asciiTheme="majorBidi" w:hAnsiTheme="majorBidi" w:cstheme="majorBidi"/>
          <w:sz w:val="24"/>
          <w:szCs w:val="24"/>
        </w:rPr>
        <w:t>in</w:t>
      </w:r>
      <w:r>
        <w:rPr>
          <w:rFonts w:asciiTheme="majorBidi" w:hAnsiTheme="majorBidi" w:cstheme="majorBidi"/>
          <w:sz w:val="24"/>
          <w:szCs w:val="24"/>
        </w:rPr>
        <w:t xml:space="preserve"> predicting </w:t>
      </w:r>
      <w:r w:rsidR="005573BD">
        <w:rPr>
          <w:rFonts w:asciiTheme="majorBidi" w:hAnsiTheme="majorBidi" w:cstheme="majorBidi"/>
          <w:sz w:val="24"/>
          <w:szCs w:val="24"/>
        </w:rPr>
        <w:t>SBA</w:t>
      </w:r>
      <w:r w:rsidR="006F62AD">
        <w:rPr>
          <w:rFonts w:asciiTheme="majorBidi" w:hAnsiTheme="majorBidi" w:cstheme="majorBidi"/>
          <w:sz w:val="24"/>
          <w:szCs w:val="24"/>
        </w:rPr>
        <w:t xml:space="preserve"> substantially declined </w:t>
      </w:r>
      <w:r w:rsidR="00154FAB">
        <w:rPr>
          <w:rFonts w:asciiTheme="majorBidi" w:hAnsiTheme="majorBidi" w:cstheme="majorBidi"/>
          <w:sz w:val="24"/>
          <w:szCs w:val="24"/>
        </w:rPr>
        <w:t>and</w:t>
      </w:r>
      <w:r w:rsidR="005573BD">
        <w:rPr>
          <w:rFonts w:asciiTheme="majorBidi" w:hAnsiTheme="majorBidi" w:cstheme="majorBidi"/>
          <w:sz w:val="24"/>
          <w:szCs w:val="24"/>
        </w:rPr>
        <w:t xml:space="preserve"> is</w:t>
      </w:r>
      <w:r w:rsidR="00154FAB">
        <w:rPr>
          <w:rFonts w:asciiTheme="majorBidi" w:hAnsiTheme="majorBidi" w:cstheme="majorBidi"/>
          <w:sz w:val="24"/>
          <w:szCs w:val="24"/>
        </w:rPr>
        <w:t xml:space="preserve"> remaining relatively stable with </w:t>
      </w:r>
      <w:r w:rsidR="005573BD">
        <w:rPr>
          <w:rFonts w:asciiTheme="majorBidi" w:hAnsiTheme="majorBidi" w:cstheme="majorBidi"/>
          <w:sz w:val="24"/>
          <w:szCs w:val="24"/>
        </w:rPr>
        <w:t>ANC</w:t>
      </w:r>
      <w:r w:rsidR="00154FAB">
        <w:rPr>
          <w:rFonts w:asciiTheme="majorBidi" w:hAnsiTheme="majorBidi" w:cstheme="majorBidi"/>
          <w:sz w:val="24"/>
          <w:szCs w:val="24"/>
        </w:rPr>
        <w:t xml:space="preserve">, yet is </w:t>
      </w:r>
      <w:r w:rsidR="006F62AD">
        <w:rPr>
          <w:rFonts w:asciiTheme="majorBidi" w:hAnsiTheme="majorBidi" w:cstheme="majorBidi"/>
          <w:sz w:val="24"/>
          <w:szCs w:val="24"/>
        </w:rPr>
        <w:t xml:space="preserve">noticeably </w:t>
      </w:r>
      <w:r w:rsidR="00154FAB">
        <w:rPr>
          <w:rFonts w:asciiTheme="majorBidi" w:hAnsiTheme="majorBidi" w:cstheme="majorBidi"/>
          <w:sz w:val="24"/>
          <w:szCs w:val="24"/>
        </w:rPr>
        <w:t xml:space="preserve">increasing for </w:t>
      </w:r>
      <w:r w:rsidR="005573BD">
        <w:rPr>
          <w:rFonts w:asciiTheme="majorBidi" w:hAnsiTheme="majorBidi" w:cstheme="majorBidi"/>
          <w:sz w:val="24"/>
          <w:szCs w:val="24"/>
        </w:rPr>
        <w:t>PNC</w:t>
      </w:r>
      <w:r w:rsidR="00154FAB">
        <w:rPr>
          <w:rFonts w:asciiTheme="majorBidi" w:hAnsiTheme="majorBidi" w:cstheme="majorBidi"/>
          <w:sz w:val="24"/>
          <w:szCs w:val="24"/>
        </w:rPr>
        <w:t xml:space="preserve">. These findings suggest that </w:t>
      </w:r>
      <w:r w:rsidR="006F62AD">
        <w:rPr>
          <w:rFonts w:asciiTheme="majorBidi" w:hAnsiTheme="majorBidi" w:cstheme="majorBidi"/>
          <w:sz w:val="24"/>
          <w:szCs w:val="24"/>
        </w:rPr>
        <w:t xml:space="preserve">geographic inequalities in </w:t>
      </w:r>
      <w:r w:rsidR="00154FAB">
        <w:rPr>
          <w:rFonts w:asciiTheme="majorBidi" w:hAnsiTheme="majorBidi" w:cstheme="majorBidi"/>
          <w:sz w:val="24"/>
          <w:szCs w:val="24"/>
        </w:rPr>
        <w:t xml:space="preserve">coverage of </w:t>
      </w:r>
      <w:r w:rsidR="005573BD">
        <w:rPr>
          <w:rFonts w:asciiTheme="majorBidi" w:hAnsiTheme="majorBidi" w:cstheme="majorBidi"/>
          <w:sz w:val="24"/>
          <w:szCs w:val="24"/>
        </w:rPr>
        <w:t>SBA</w:t>
      </w:r>
      <w:r w:rsidR="00154FAB">
        <w:rPr>
          <w:rFonts w:asciiTheme="majorBidi" w:hAnsiTheme="majorBidi" w:cstheme="majorBidi"/>
          <w:sz w:val="24"/>
          <w:szCs w:val="24"/>
        </w:rPr>
        <w:t xml:space="preserve"> </w:t>
      </w:r>
      <w:r w:rsidR="005573BD">
        <w:rPr>
          <w:rFonts w:asciiTheme="majorBidi" w:hAnsiTheme="majorBidi" w:cstheme="majorBidi"/>
          <w:sz w:val="24"/>
          <w:szCs w:val="24"/>
        </w:rPr>
        <w:t>are</w:t>
      </w:r>
      <w:r w:rsidR="00154FAB">
        <w:rPr>
          <w:rFonts w:asciiTheme="majorBidi" w:hAnsiTheme="majorBidi" w:cstheme="majorBidi"/>
          <w:sz w:val="24"/>
          <w:szCs w:val="24"/>
        </w:rPr>
        <w:t xml:space="preserve"> being reduced within country, but coverage </w:t>
      </w:r>
      <w:r w:rsidR="005573BD">
        <w:rPr>
          <w:rFonts w:asciiTheme="majorBidi" w:hAnsiTheme="majorBidi" w:cstheme="majorBidi"/>
          <w:sz w:val="24"/>
          <w:szCs w:val="24"/>
        </w:rPr>
        <w:t>in</w:t>
      </w:r>
      <w:r w:rsidR="00154FAB">
        <w:rPr>
          <w:rFonts w:asciiTheme="majorBidi" w:hAnsiTheme="majorBidi" w:cstheme="majorBidi"/>
          <w:sz w:val="24"/>
          <w:szCs w:val="24"/>
        </w:rPr>
        <w:t xml:space="preserve"> </w:t>
      </w:r>
      <w:r w:rsidR="005573BD">
        <w:rPr>
          <w:rFonts w:asciiTheme="majorBidi" w:hAnsiTheme="majorBidi" w:cstheme="majorBidi"/>
          <w:sz w:val="24"/>
          <w:szCs w:val="24"/>
        </w:rPr>
        <w:t>ANC</w:t>
      </w:r>
      <w:r w:rsidR="00154FAB">
        <w:rPr>
          <w:rFonts w:asciiTheme="majorBidi" w:hAnsiTheme="majorBidi" w:cstheme="majorBidi"/>
          <w:sz w:val="24"/>
          <w:szCs w:val="24"/>
        </w:rPr>
        <w:t xml:space="preserve"> and </w:t>
      </w:r>
      <w:r w:rsidR="005573BD">
        <w:rPr>
          <w:rFonts w:asciiTheme="majorBidi" w:hAnsiTheme="majorBidi" w:cstheme="majorBidi"/>
          <w:sz w:val="24"/>
          <w:szCs w:val="24"/>
        </w:rPr>
        <w:t>PNC</w:t>
      </w:r>
      <w:r w:rsidR="00154FAB">
        <w:rPr>
          <w:rFonts w:asciiTheme="majorBidi" w:hAnsiTheme="majorBidi" w:cstheme="majorBidi"/>
          <w:sz w:val="24"/>
          <w:szCs w:val="24"/>
        </w:rPr>
        <w:t xml:space="preserve"> </w:t>
      </w:r>
      <w:r w:rsidR="006F62AD">
        <w:rPr>
          <w:rFonts w:asciiTheme="majorBidi" w:hAnsiTheme="majorBidi" w:cstheme="majorBidi"/>
          <w:sz w:val="24"/>
          <w:szCs w:val="24"/>
        </w:rPr>
        <w:t>must be followed closely and prioritized over the coming decades</w:t>
      </w:r>
      <w:r w:rsidR="00154FAB">
        <w:rPr>
          <w:rFonts w:asciiTheme="majorBidi" w:hAnsiTheme="majorBidi" w:cstheme="majorBidi"/>
          <w:sz w:val="24"/>
          <w:szCs w:val="24"/>
        </w:rPr>
        <w:t xml:space="preserve">. </w:t>
      </w:r>
      <w:r>
        <w:rPr>
          <w:rFonts w:asciiTheme="majorBidi" w:hAnsiTheme="majorBidi" w:cstheme="majorBidi"/>
          <w:sz w:val="24"/>
          <w:szCs w:val="24"/>
        </w:rPr>
        <w:t xml:space="preserve">  </w:t>
      </w:r>
    </w:p>
    <w:p w14:paraId="23FD2DD4" w14:textId="33C32B4A" w:rsidR="00F90445" w:rsidRPr="0056549E" w:rsidRDefault="004A1634" w:rsidP="00281E7F">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Finally, we found that Kenya experienced substantial improvement in </w:t>
      </w:r>
      <w:r w:rsidR="005573BD">
        <w:rPr>
          <w:rFonts w:asciiTheme="majorBidi" w:hAnsiTheme="majorBidi" w:cstheme="majorBidi"/>
          <w:sz w:val="24"/>
          <w:szCs w:val="24"/>
        </w:rPr>
        <w:t>absolute chang</w:t>
      </w:r>
      <w:r>
        <w:rPr>
          <w:rFonts w:asciiTheme="majorBidi" w:hAnsiTheme="majorBidi" w:cstheme="majorBidi"/>
          <w:sz w:val="24"/>
          <w:szCs w:val="24"/>
        </w:rPr>
        <w:t xml:space="preserve">e of </w:t>
      </w:r>
      <w:r w:rsidR="00783B07">
        <w:rPr>
          <w:rFonts w:asciiTheme="majorBidi" w:hAnsiTheme="majorBidi" w:cstheme="majorBidi"/>
          <w:sz w:val="24"/>
          <w:szCs w:val="24"/>
        </w:rPr>
        <w:t xml:space="preserve">4+ </w:t>
      </w:r>
      <w:r w:rsidR="005573BD">
        <w:rPr>
          <w:rFonts w:asciiTheme="majorBidi" w:hAnsiTheme="majorBidi" w:cstheme="majorBidi"/>
          <w:sz w:val="24"/>
          <w:szCs w:val="24"/>
        </w:rPr>
        <w:t>ANC</w:t>
      </w:r>
      <w:r w:rsidR="00783B07">
        <w:rPr>
          <w:rFonts w:asciiTheme="majorBidi" w:hAnsiTheme="majorBidi" w:cstheme="majorBidi"/>
          <w:sz w:val="24"/>
          <w:szCs w:val="24"/>
        </w:rPr>
        <w:t xml:space="preserve"> visits</w:t>
      </w:r>
      <w:r>
        <w:rPr>
          <w:rFonts w:asciiTheme="majorBidi" w:hAnsiTheme="majorBidi" w:cstheme="majorBidi"/>
          <w:sz w:val="24"/>
          <w:szCs w:val="24"/>
        </w:rPr>
        <w:t xml:space="preserve"> over time, particularly with the </w:t>
      </w:r>
      <w:r w:rsidR="008733AE">
        <w:rPr>
          <w:rFonts w:asciiTheme="majorBidi" w:hAnsiTheme="majorBidi" w:cstheme="majorBidi"/>
          <w:sz w:val="24"/>
          <w:szCs w:val="24"/>
        </w:rPr>
        <w:t>e</w:t>
      </w:r>
      <w:r>
        <w:rPr>
          <w:rFonts w:asciiTheme="majorBidi" w:hAnsiTheme="majorBidi" w:cstheme="majorBidi"/>
          <w:sz w:val="24"/>
          <w:szCs w:val="24"/>
        </w:rPr>
        <w:t xml:space="preserve">astern districts, but coverage in </w:t>
      </w:r>
      <w:r w:rsidR="005573BD">
        <w:rPr>
          <w:rFonts w:asciiTheme="majorBidi" w:hAnsiTheme="majorBidi" w:cstheme="majorBidi"/>
          <w:sz w:val="24"/>
          <w:szCs w:val="24"/>
        </w:rPr>
        <w:t>SBA</w:t>
      </w:r>
      <w:r>
        <w:rPr>
          <w:rFonts w:asciiTheme="majorBidi" w:hAnsiTheme="majorBidi" w:cstheme="majorBidi"/>
          <w:sz w:val="24"/>
          <w:szCs w:val="24"/>
        </w:rPr>
        <w:t xml:space="preserve"> and </w:t>
      </w:r>
      <w:r w:rsidR="005573BD">
        <w:rPr>
          <w:rFonts w:asciiTheme="majorBidi" w:hAnsiTheme="majorBidi" w:cstheme="majorBidi"/>
          <w:sz w:val="24"/>
          <w:szCs w:val="24"/>
        </w:rPr>
        <w:t>PN</w:t>
      </w:r>
      <w:r w:rsidR="00CE7E1F">
        <w:rPr>
          <w:rFonts w:asciiTheme="majorBidi" w:hAnsiTheme="majorBidi" w:cstheme="majorBidi"/>
          <w:sz w:val="24"/>
          <w:szCs w:val="24"/>
        </w:rPr>
        <w:t>C</w:t>
      </w:r>
      <w:r w:rsidR="005573BD">
        <w:rPr>
          <w:rFonts w:asciiTheme="majorBidi" w:hAnsiTheme="majorBidi" w:cstheme="majorBidi"/>
          <w:sz w:val="24"/>
          <w:szCs w:val="24"/>
        </w:rPr>
        <w:t xml:space="preserve"> </w:t>
      </w:r>
      <w:r>
        <w:rPr>
          <w:rFonts w:asciiTheme="majorBidi" w:hAnsiTheme="majorBidi" w:cstheme="majorBidi"/>
          <w:sz w:val="24"/>
          <w:szCs w:val="24"/>
        </w:rPr>
        <w:t xml:space="preserve">decreased, particularly in the </w:t>
      </w:r>
      <w:r w:rsidR="008733AE">
        <w:rPr>
          <w:rFonts w:asciiTheme="majorBidi" w:hAnsiTheme="majorBidi" w:cstheme="majorBidi"/>
          <w:sz w:val="24"/>
          <w:szCs w:val="24"/>
        </w:rPr>
        <w:t>n</w:t>
      </w:r>
      <w:r>
        <w:rPr>
          <w:rFonts w:asciiTheme="majorBidi" w:hAnsiTheme="majorBidi" w:cstheme="majorBidi"/>
          <w:sz w:val="24"/>
          <w:szCs w:val="24"/>
        </w:rPr>
        <w:t>orthern districts.</w:t>
      </w:r>
      <w:r w:rsidR="00405175">
        <w:rPr>
          <w:rFonts w:asciiTheme="majorBidi" w:hAnsiTheme="majorBidi" w:cstheme="majorBidi"/>
          <w:sz w:val="24"/>
          <w:szCs w:val="24"/>
        </w:rPr>
        <w:t xml:space="preserve"> We further found that while </w:t>
      </w:r>
      <w:r w:rsidR="005573BD">
        <w:rPr>
          <w:rFonts w:asciiTheme="majorBidi" w:hAnsiTheme="majorBidi" w:cstheme="majorBidi"/>
          <w:sz w:val="24"/>
          <w:szCs w:val="24"/>
        </w:rPr>
        <w:t xml:space="preserve">relative </w:t>
      </w:r>
      <w:r w:rsidR="00405175">
        <w:rPr>
          <w:rFonts w:asciiTheme="majorBidi" w:hAnsiTheme="majorBidi" w:cstheme="majorBidi"/>
          <w:sz w:val="24"/>
          <w:szCs w:val="24"/>
        </w:rPr>
        <w:t xml:space="preserve">inequalities between districts are reducing across </w:t>
      </w:r>
      <w:r w:rsidR="003C6016">
        <w:rPr>
          <w:rFonts w:asciiTheme="majorBidi" w:hAnsiTheme="majorBidi" w:cstheme="majorBidi"/>
          <w:sz w:val="24"/>
          <w:szCs w:val="24"/>
        </w:rPr>
        <w:t>services</w:t>
      </w:r>
      <w:r w:rsidR="00405175">
        <w:rPr>
          <w:rFonts w:asciiTheme="majorBidi" w:hAnsiTheme="majorBidi" w:cstheme="majorBidi"/>
          <w:sz w:val="24"/>
          <w:szCs w:val="24"/>
        </w:rPr>
        <w:t xml:space="preserve">, they still remain high </w:t>
      </w:r>
      <w:r w:rsidR="005573BD">
        <w:rPr>
          <w:rFonts w:asciiTheme="majorBidi" w:hAnsiTheme="majorBidi" w:cstheme="majorBidi"/>
          <w:sz w:val="24"/>
          <w:szCs w:val="24"/>
        </w:rPr>
        <w:t>compared</w:t>
      </w:r>
      <w:r w:rsidR="00405175">
        <w:rPr>
          <w:rFonts w:asciiTheme="majorBidi" w:hAnsiTheme="majorBidi" w:cstheme="majorBidi"/>
          <w:sz w:val="24"/>
          <w:szCs w:val="24"/>
        </w:rPr>
        <w:t xml:space="preserve"> to the rest of the </w:t>
      </w:r>
      <w:r w:rsidR="001A2AD2">
        <w:rPr>
          <w:rFonts w:asciiTheme="majorBidi" w:hAnsiTheme="majorBidi" w:cstheme="majorBidi"/>
          <w:sz w:val="24"/>
          <w:szCs w:val="24"/>
        </w:rPr>
        <w:t xml:space="preserve">region. Across the country, we also found that urban areas experienced substantially higher odds of obtaining MNH services (and particularly skilled birth attendance) as compared to rural areas, in line with previous research </w:t>
      </w:r>
      <w:r w:rsidR="001A2AD2">
        <w:rPr>
          <w:rFonts w:asciiTheme="majorBidi" w:hAnsiTheme="majorBidi" w:cstheme="majorBidi"/>
          <w:sz w:val="24"/>
          <w:szCs w:val="24"/>
        </w:rPr>
        <w:fldChar w:fldCharType="begin"/>
      </w:r>
      <w:r w:rsidR="001A2AD2">
        <w:rPr>
          <w:rFonts w:asciiTheme="majorBidi" w:hAnsiTheme="majorBidi" w:cstheme="majorBidi"/>
          <w:sz w:val="24"/>
          <w:szCs w:val="24"/>
        </w:rPr>
        <w:instrText xml:space="preserve"> ADDIN ZOTERO_ITEM CSL_CITATION {"citationID":"a1191sabkpq","properties":{"formattedCitation":"[7]","plainCitation":"[7]","noteIndex":0},"citationItems":[{"id":375,"uris":["http://zotero.org/users/2783131/items/FB3EPJSW"],"uri":["http://zotero.org/users/2783131/items/FB3EPJSW"],"itemData":{"id":375,"type":"report","title":"Levels and Trends in Maternal and Child Health Disparities by Wealth and Region in Eleven Countries with DHS Surveys","publisher":"ICF International","publisher-place":"Rockville, Maryland, USA","event-place":"Rockville, Maryland, USA","URL":"https://www.dhsprogram.com/pubs/pdf/CR42/CR42.pdf","number":"DHS Comparative Report No 42","author":[{"family":"Assaf","given":"S"},{"family":"Pullum","given":"T"}],"issued":{"date-parts":[["2016"]]},"accessed":{"date-parts":[["2017",3,13]]}}}],"schema":"https://github.com/citation-style-language/schema/raw/master/csl-citation.json"} </w:instrText>
      </w:r>
      <w:r w:rsidR="001A2AD2">
        <w:rPr>
          <w:rFonts w:asciiTheme="majorBidi" w:hAnsiTheme="majorBidi" w:cstheme="majorBidi"/>
          <w:sz w:val="24"/>
          <w:szCs w:val="24"/>
        </w:rPr>
        <w:fldChar w:fldCharType="separate"/>
      </w:r>
      <w:r w:rsidR="001A2AD2" w:rsidRPr="00276428">
        <w:rPr>
          <w:rFonts w:ascii="Times New Roman" w:hAnsi="Times New Roman" w:cs="Times New Roman"/>
          <w:sz w:val="24"/>
        </w:rPr>
        <w:t>[7]</w:t>
      </w:r>
      <w:r w:rsidR="001A2AD2">
        <w:rPr>
          <w:rFonts w:asciiTheme="majorBidi" w:hAnsiTheme="majorBidi" w:cstheme="majorBidi"/>
          <w:sz w:val="24"/>
          <w:szCs w:val="24"/>
        </w:rPr>
        <w:fldChar w:fldCharType="end"/>
      </w:r>
      <w:r w:rsidR="001A2AD2">
        <w:rPr>
          <w:rFonts w:asciiTheme="majorBidi" w:hAnsiTheme="majorBidi" w:cstheme="majorBidi"/>
          <w:sz w:val="24"/>
          <w:szCs w:val="24"/>
        </w:rPr>
        <w:t>.</w:t>
      </w:r>
      <w:r>
        <w:rPr>
          <w:rFonts w:asciiTheme="majorBidi" w:hAnsiTheme="majorBidi" w:cstheme="majorBidi"/>
          <w:sz w:val="24"/>
          <w:szCs w:val="24"/>
        </w:rPr>
        <w:t xml:space="preserve"> </w:t>
      </w:r>
      <w:r w:rsidR="00783B07">
        <w:rPr>
          <w:rFonts w:asciiTheme="majorBidi" w:hAnsiTheme="majorBidi" w:cstheme="majorBidi"/>
          <w:sz w:val="24"/>
          <w:szCs w:val="24"/>
        </w:rPr>
        <w:t>Nguhiu et al. similarly found that while</w:t>
      </w:r>
      <w:r w:rsidR="005626DA">
        <w:rPr>
          <w:rFonts w:asciiTheme="majorBidi" w:hAnsiTheme="majorBidi" w:cstheme="majorBidi"/>
          <w:sz w:val="24"/>
          <w:szCs w:val="24"/>
        </w:rPr>
        <w:t xml:space="preserve"> overall</w:t>
      </w:r>
      <w:r w:rsidR="00783B07">
        <w:rPr>
          <w:rFonts w:asciiTheme="majorBidi" w:hAnsiTheme="majorBidi" w:cstheme="majorBidi"/>
          <w:sz w:val="24"/>
          <w:szCs w:val="24"/>
        </w:rPr>
        <w:t xml:space="preserve"> coverage</w:t>
      </w:r>
      <w:r w:rsidR="005626DA">
        <w:rPr>
          <w:rFonts w:asciiTheme="majorBidi" w:hAnsiTheme="majorBidi" w:cstheme="majorBidi"/>
          <w:sz w:val="24"/>
          <w:szCs w:val="24"/>
        </w:rPr>
        <w:t xml:space="preserve"> of</w:t>
      </w:r>
      <w:r w:rsidR="005573BD">
        <w:rPr>
          <w:rFonts w:asciiTheme="majorBidi" w:hAnsiTheme="majorBidi" w:cstheme="majorBidi"/>
          <w:sz w:val="24"/>
          <w:szCs w:val="24"/>
        </w:rPr>
        <w:t xml:space="preserve"> MNH</w:t>
      </w:r>
      <w:r w:rsidR="005626DA">
        <w:rPr>
          <w:rFonts w:asciiTheme="majorBidi" w:hAnsiTheme="majorBidi" w:cstheme="majorBidi"/>
          <w:sz w:val="24"/>
          <w:szCs w:val="24"/>
        </w:rPr>
        <w:t xml:space="preserve"> interventions</w:t>
      </w:r>
      <w:r w:rsidR="00783B07">
        <w:rPr>
          <w:rFonts w:asciiTheme="majorBidi" w:hAnsiTheme="majorBidi" w:cstheme="majorBidi"/>
          <w:sz w:val="24"/>
          <w:szCs w:val="24"/>
        </w:rPr>
        <w:t xml:space="preserve"> </w:t>
      </w:r>
      <w:r w:rsidR="005626DA">
        <w:rPr>
          <w:rFonts w:asciiTheme="majorBidi" w:hAnsiTheme="majorBidi" w:cstheme="majorBidi"/>
          <w:sz w:val="24"/>
          <w:szCs w:val="24"/>
        </w:rPr>
        <w:t>has steadily increased</w:t>
      </w:r>
      <w:r w:rsidR="00783B07">
        <w:rPr>
          <w:rFonts w:asciiTheme="majorBidi" w:hAnsiTheme="majorBidi" w:cstheme="majorBidi"/>
          <w:sz w:val="24"/>
          <w:szCs w:val="24"/>
        </w:rPr>
        <w:t xml:space="preserve"> over time and maternal inequities decreased</w:t>
      </w:r>
      <w:r w:rsidR="005573BD" w:rsidRPr="005573BD">
        <w:rPr>
          <w:rFonts w:asciiTheme="majorBidi" w:hAnsiTheme="majorBidi" w:cstheme="majorBidi"/>
          <w:sz w:val="24"/>
          <w:szCs w:val="24"/>
        </w:rPr>
        <w:t xml:space="preserve"> </w:t>
      </w:r>
      <w:r w:rsidR="005573BD">
        <w:rPr>
          <w:rFonts w:asciiTheme="majorBidi" w:hAnsiTheme="majorBidi" w:cstheme="majorBidi"/>
          <w:sz w:val="24"/>
          <w:szCs w:val="24"/>
        </w:rPr>
        <w:t>within Kenya</w:t>
      </w:r>
      <w:r w:rsidR="00783B07">
        <w:rPr>
          <w:rFonts w:asciiTheme="majorBidi" w:hAnsiTheme="majorBidi" w:cstheme="majorBidi"/>
          <w:sz w:val="24"/>
          <w:szCs w:val="24"/>
        </w:rPr>
        <w:t>, coverage of individual interventions</w:t>
      </w:r>
      <w:r w:rsidR="004E0B2C">
        <w:rPr>
          <w:rFonts w:asciiTheme="majorBidi" w:hAnsiTheme="majorBidi" w:cstheme="majorBidi"/>
          <w:sz w:val="24"/>
          <w:szCs w:val="24"/>
        </w:rPr>
        <w:t xml:space="preserve"> including antenatal care and skilled birth attendance</w:t>
      </w:r>
      <w:r w:rsidR="00783B07">
        <w:rPr>
          <w:rFonts w:asciiTheme="majorBidi" w:hAnsiTheme="majorBidi" w:cstheme="majorBidi"/>
          <w:sz w:val="24"/>
          <w:szCs w:val="24"/>
        </w:rPr>
        <w:t xml:space="preserve"> remained </w:t>
      </w:r>
      <w:r w:rsidR="005573BD">
        <w:rPr>
          <w:rFonts w:asciiTheme="majorBidi" w:hAnsiTheme="majorBidi" w:cstheme="majorBidi"/>
          <w:sz w:val="24"/>
          <w:szCs w:val="24"/>
        </w:rPr>
        <w:t xml:space="preserve">stubbornly </w:t>
      </w:r>
      <w:r w:rsidR="00783B07">
        <w:rPr>
          <w:rFonts w:asciiTheme="majorBidi" w:hAnsiTheme="majorBidi" w:cstheme="majorBidi"/>
          <w:sz w:val="24"/>
          <w:szCs w:val="24"/>
        </w:rPr>
        <w:t>low and inequitable</w:t>
      </w:r>
      <w:r w:rsidR="004E0B2C">
        <w:rPr>
          <w:rFonts w:asciiTheme="majorBidi" w:hAnsiTheme="majorBidi" w:cstheme="majorBidi"/>
          <w:sz w:val="24"/>
          <w:szCs w:val="24"/>
        </w:rPr>
        <w:t>, with ANC experiencing the most inequitable coverage</w:t>
      </w:r>
      <w:r w:rsidR="00783B07">
        <w:rPr>
          <w:rFonts w:asciiTheme="majorBidi" w:hAnsiTheme="majorBidi" w:cstheme="majorBidi"/>
          <w:sz w:val="24"/>
          <w:szCs w:val="24"/>
        </w:rPr>
        <w:t xml:space="preserve"> </w:t>
      </w:r>
      <w:r w:rsidR="00783B07">
        <w:rPr>
          <w:rFonts w:asciiTheme="majorBidi" w:hAnsiTheme="majorBidi" w:cstheme="majorBidi"/>
          <w:sz w:val="24"/>
          <w:szCs w:val="24"/>
        </w:rPr>
        <w:fldChar w:fldCharType="begin"/>
      </w:r>
      <w:r w:rsidR="00197416">
        <w:rPr>
          <w:rFonts w:asciiTheme="majorBidi" w:hAnsiTheme="majorBidi" w:cstheme="majorBidi"/>
          <w:sz w:val="24"/>
          <w:szCs w:val="24"/>
        </w:rPr>
        <w:instrText xml:space="preserve"> ADDIN ZOTERO_ITEM CSL_CITATION {"citationID":"a2elekfno5j","properties":{"formattedCitation":"[2]","plainCitation":"[2]","noteIndex":0},"citationItems":[{"id":372,"uris":["http://zotero.org/users/2783131/items/4TKFS9DJ"],"uri":["http://zotero.org/users/2783131/items/4TKFS9DJ"],"itemData":{"id":372,"type":"article-journal","title":"Determining the effective coverage of maternal and child health services in Kenya, using demographic and health survey data sets: tracking progress towards universal health coverage","container-title":"Tropical Medicine &amp; International Health","page":"442-453","volume":"22","issue":"4","source":"Wiley Online Library","abstract":"Objectives\n\nEffective coverage (EC) is a measure of health systems’ performance that combines need, use and quality indicators. This study aimed to assess the extent to which the Kenyan health system provides effective and equitable maternal and child health services, as a means of tracking the country's progress towards universal health coverage.\n\n\nMethods and results\n\nThe Demographic Health Surveys (2003, 2008–2009 and 2014) and Service Provision Assessment surveys (2004, 2010) were the main sources of data. Indicators of need, use and quality for eight maternal and child health interventions were aggregated across interventions and economic quintiles to compute EC. EC has increased from 26.7% in 2003 to 50.9% in 2014, but remains low for the majority of interventions. There is a reduction in economic inequalities in EC with the highest to lowest wealth quintile ratio decreasing from 2.41 in 2003 to 1.65 in 2014, but maternal health services remain highly inequitable.\n\n\nConclusions\n\nEffective coverage of key maternal and child health services remains low, indicating that individuals are not receiving the maximum possible health gain from existing health services. There is an urgent need to focus on the quality and reach of maternal and child health services in Kenya to achieve the goals of universal health coverage.","DOI":"10.1111/tmi.12841","ISSN":"1365-3156","shortTitle":"Determining the effective coverage of maternal and child health services in Kenya, using demographic and health survey data sets","journalAbbreviation":"Trop Med Int Health","language":"en","author":[{"family":"Nguhiu","given":"Peter K."},{"family":"Barasa","given":"Edwine W."},{"family":"Chuma","given":"Jane"}],"issued":{"date-parts":[["2017",4,1]]}}}],"schema":"https://github.com/citation-style-language/schema/raw/master/csl-citation.json"} </w:instrText>
      </w:r>
      <w:r w:rsidR="00783B07">
        <w:rPr>
          <w:rFonts w:asciiTheme="majorBidi" w:hAnsiTheme="majorBidi" w:cstheme="majorBidi"/>
          <w:sz w:val="24"/>
          <w:szCs w:val="24"/>
        </w:rPr>
        <w:fldChar w:fldCharType="separate"/>
      </w:r>
      <w:r w:rsidR="00B06245" w:rsidRPr="00B06245">
        <w:rPr>
          <w:rFonts w:ascii="Times New Roman" w:hAnsi="Times New Roman" w:cs="Times New Roman"/>
          <w:sz w:val="24"/>
        </w:rPr>
        <w:t>[2]</w:t>
      </w:r>
      <w:r w:rsidR="00783B07">
        <w:rPr>
          <w:rFonts w:asciiTheme="majorBidi" w:hAnsiTheme="majorBidi" w:cstheme="majorBidi"/>
          <w:sz w:val="24"/>
          <w:szCs w:val="24"/>
        </w:rPr>
        <w:fldChar w:fldCharType="end"/>
      </w:r>
      <w:r w:rsidR="00783B07">
        <w:rPr>
          <w:rFonts w:asciiTheme="majorBidi" w:hAnsiTheme="majorBidi" w:cstheme="majorBidi"/>
          <w:sz w:val="24"/>
          <w:szCs w:val="24"/>
        </w:rPr>
        <w:t xml:space="preserve">. </w:t>
      </w:r>
      <w:r w:rsidR="005626DA">
        <w:rPr>
          <w:rFonts w:asciiTheme="majorBidi" w:hAnsiTheme="majorBidi" w:cstheme="majorBidi"/>
          <w:sz w:val="24"/>
          <w:szCs w:val="24"/>
        </w:rPr>
        <w:t xml:space="preserve">They </w:t>
      </w:r>
      <w:r w:rsidR="004E0B2C">
        <w:rPr>
          <w:rFonts w:asciiTheme="majorBidi" w:hAnsiTheme="majorBidi" w:cstheme="majorBidi"/>
          <w:sz w:val="24"/>
          <w:szCs w:val="24"/>
        </w:rPr>
        <w:t>suggest</w:t>
      </w:r>
      <w:r w:rsidR="005626DA">
        <w:rPr>
          <w:rFonts w:asciiTheme="majorBidi" w:hAnsiTheme="majorBidi" w:cstheme="majorBidi"/>
          <w:sz w:val="24"/>
          <w:szCs w:val="24"/>
        </w:rPr>
        <w:t xml:space="preserve"> </w:t>
      </w:r>
      <w:r w:rsidR="004E0B2C">
        <w:rPr>
          <w:rFonts w:asciiTheme="majorBidi" w:hAnsiTheme="majorBidi" w:cstheme="majorBidi"/>
          <w:sz w:val="24"/>
          <w:szCs w:val="24"/>
        </w:rPr>
        <w:t xml:space="preserve">that </w:t>
      </w:r>
      <w:r w:rsidR="005626DA">
        <w:rPr>
          <w:rFonts w:asciiTheme="majorBidi" w:hAnsiTheme="majorBidi" w:cstheme="majorBidi"/>
          <w:sz w:val="24"/>
          <w:szCs w:val="24"/>
        </w:rPr>
        <w:t>increased overall coverage</w:t>
      </w:r>
      <w:r w:rsidR="004E0B2C">
        <w:rPr>
          <w:rFonts w:asciiTheme="majorBidi" w:hAnsiTheme="majorBidi" w:cstheme="majorBidi"/>
          <w:sz w:val="24"/>
          <w:szCs w:val="24"/>
        </w:rPr>
        <w:t xml:space="preserve"> may be linked</w:t>
      </w:r>
      <w:r w:rsidR="005573BD">
        <w:rPr>
          <w:rFonts w:asciiTheme="majorBidi" w:hAnsiTheme="majorBidi" w:cstheme="majorBidi"/>
          <w:sz w:val="24"/>
          <w:szCs w:val="24"/>
        </w:rPr>
        <w:t xml:space="preserve"> to increasing</w:t>
      </w:r>
      <w:r w:rsidR="005626DA">
        <w:rPr>
          <w:rFonts w:asciiTheme="majorBidi" w:hAnsiTheme="majorBidi" w:cstheme="majorBidi"/>
          <w:sz w:val="24"/>
          <w:szCs w:val="24"/>
        </w:rPr>
        <w:t xml:space="preserve"> per capita health expenditure</w:t>
      </w:r>
      <w:r w:rsidR="005573BD">
        <w:rPr>
          <w:rFonts w:asciiTheme="majorBidi" w:hAnsiTheme="majorBidi" w:cstheme="majorBidi"/>
          <w:sz w:val="24"/>
          <w:szCs w:val="24"/>
        </w:rPr>
        <w:t xml:space="preserve"> within the country</w:t>
      </w:r>
      <w:r w:rsidR="005626DA">
        <w:rPr>
          <w:rFonts w:asciiTheme="majorBidi" w:hAnsiTheme="majorBidi" w:cstheme="majorBidi"/>
          <w:sz w:val="24"/>
          <w:szCs w:val="24"/>
        </w:rPr>
        <w:t xml:space="preserve">, as well as </w:t>
      </w:r>
      <w:r w:rsidR="004E0B2C">
        <w:rPr>
          <w:rFonts w:asciiTheme="majorBidi" w:hAnsiTheme="majorBidi" w:cstheme="majorBidi"/>
          <w:sz w:val="24"/>
          <w:szCs w:val="24"/>
        </w:rPr>
        <w:t xml:space="preserve">urbanization and </w:t>
      </w:r>
      <w:r w:rsidR="005626DA">
        <w:rPr>
          <w:rFonts w:asciiTheme="majorBidi" w:hAnsiTheme="majorBidi" w:cstheme="majorBidi"/>
          <w:sz w:val="24"/>
          <w:szCs w:val="24"/>
        </w:rPr>
        <w:t>expansion of lower level heal</w:t>
      </w:r>
      <w:r w:rsidR="004E0B2C">
        <w:rPr>
          <w:rFonts w:asciiTheme="majorBidi" w:hAnsiTheme="majorBidi" w:cstheme="majorBidi"/>
          <w:sz w:val="24"/>
          <w:szCs w:val="24"/>
        </w:rPr>
        <w:t xml:space="preserve">th facilities over the decades, but propose that interventions directed at those services lagging behind should be </w:t>
      </w:r>
      <w:r w:rsidR="005573BD">
        <w:rPr>
          <w:rFonts w:asciiTheme="majorBidi" w:hAnsiTheme="majorBidi" w:cstheme="majorBidi"/>
          <w:sz w:val="24"/>
          <w:szCs w:val="24"/>
        </w:rPr>
        <w:t xml:space="preserve">accordingly </w:t>
      </w:r>
      <w:r w:rsidR="004E0B2C">
        <w:rPr>
          <w:rFonts w:asciiTheme="majorBidi" w:hAnsiTheme="majorBidi" w:cstheme="majorBidi"/>
          <w:sz w:val="24"/>
          <w:szCs w:val="24"/>
        </w:rPr>
        <w:t xml:space="preserve">prioritised </w:t>
      </w:r>
      <w:r w:rsidR="00405175">
        <w:rPr>
          <w:rFonts w:asciiTheme="majorBidi" w:hAnsiTheme="majorBidi" w:cstheme="majorBidi"/>
          <w:sz w:val="24"/>
          <w:szCs w:val="24"/>
        </w:rPr>
        <w:t>over the coming decades.</w:t>
      </w:r>
    </w:p>
    <w:p w14:paraId="0C951059" w14:textId="0284F581" w:rsidR="00F07FFC" w:rsidRPr="0056549E" w:rsidRDefault="0056549E" w:rsidP="00ED0F8C">
      <w:pPr>
        <w:spacing w:line="480" w:lineRule="auto"/>
      </w:pPr>
      <w:r>
        <w:rPr>
          <w:rFonts w:asciiTheme="majorBidi" w:hAnsiTheme="majorBidi" w:cstheme="majorBidi"/>
          <w:i/>
          <w:sz w:val="24"/>
          <w:szCs w:val="24"/>
        </w:rPr>
        <w:t>L</w:t>
      </w:r>
      <w:r w:rsidR="00F07FFC">
        <w:rPr>
          <w:rFonts w:asciiTheme="majorBidi" w:hAnsiTheme="majorBidi" w:cstheme="majorBidi"/>
          <w:i/>
          <w:sz w:val="24"/>
          <w:szCs w:val="24"/>
        </w:rPr>
        <w:t>imitations</w:t>
      </w:r>
    </w:p>
    <w:p w14:paraId="4DA0EEB6" w14:textId="7574029D" w:rsidR="003677C9" w:rsidRDefault="003677C9" w:rsidP="00281E7F">
      <w:pPr>
        <w:spacing w:line="480" w:lineRule="auto"/>
        <w:ind w:firstLine="720"/>
        <w:rPr>
          <w:rFonts w:asciiTheme="majorBidi" w:hAnsiTheme="majorBidi" w:cstheme="majorBidi"/>
          <w:sz w:val="24"/>
          <w:szCs w:val="24"/>
        </w:rPr>
      </w:pPr>
      <w:r>
        <w:rPr>
          <w:rFonts w:asciiTheme="majorBidi" w:hAnsiTheme="majorBidi" w:cstheme="majorBidi"/>
          <w:sz w:val="24"/>
          <w:szCs w:val="24"/>
        </w:rPr>
        <w:t>As this work primarily utilises estimates generated using statistical inference, it is subject to several limitations, including survey and sampling errors inherent to DHS data. Particular to spatial interpolation at levels below the DHS region, these data were collected using methods representative at geographic units which are different from the measures we report, potentially resulting in model uncertainty and errors. However, the DHS program endorses use of geospatial interpolation methods such as Bayesian inference, particularly because of the ability</w:t>
      </w:r>
      <w:r w:rsidR="004A1634">
        <w:rPr>
          <w:rFonts w:asciiTheme="majorBidi" w:hAnsiTheme="majorBidi" w:cstheme="majorBidi"/>
          <w:sz w:val="24"/>
          <w:szCs w:val="24"/>
        </w:rPr>
        <w:t xml:space="preserve"> to qu</w:t>
      </w:r>
      <w:r>
        <w:rPr>
          <w:rFonts w:asciiTheme="majorBidi" w:hAnsiTheme="majorBidi" w:cstheme="majorBidi"/>
          <w:sz w:val="24"/>
          <w:szCs w:val="24"/>
        </w:rPr>
        <w:t xml:space="preserve">antify this uncertainty in posterior distribution estimates </w:t>
      </w:r>
      <w:r>
        <w:rPr>
          <w:rFonts w:asciiTheme="majorBidi" w:hAnsiTheme="majorBidi" w:cstheme="majorBidi"/>
          <w:sz w:val="24"/>
          <w:szCs w:val="24"/>
        </w:rPr>
        <w:fldChar w:fldCharType="begin"/>
      </w:r>
      <w:r w:rsidR="00BB1367">
        <w:rPr>
          <w:rFonts w:asciiTheme="majorBidi" w:hAnsiTheme="majorBidi" w:cstheme="majorBidi"/>
          <w:sz w:val="24"/>
          <w:szCs w:val="24"/>
        </w:rPr>
        <w:instrText xml:space="preserve"> ADDIN ZOTERO_ITEM CSL_CITATION {"citationID":"a1r8j7btsum","properties":{"formattedCitation":"[16]","plainCitation":"[16]","noteIndex":0},"citationItems":[{"id":363,"uris":["http://zotero.org/users/2783131/items/HVVTDSTU"],"uri":["http://zotero.org/users/2783131/items/HVVTDSTU"],"itemData":{"id":363,"type":"report","title":"Creating Spatial Interpolation Surfaces with DHS Data","collection-title":"Creating Spatial Interpolation Surfaces with DHS Data","publisher":"ICF International","publisher-place":"Rockville, Maryland, USA","event-place":"Rockville, Maryland, USA","URL":"http://dhsprogram.com/pubs/pdf/SAR11/SAR11.pdf","number":"SAR 11","author":[{"family":"Gething","given":"Peter"},{"family":"Tatem","given":"Andrew"},{"family":"Bird","given":"Tom"},{"family":"Burgert","given":"Clara"}],"issued":{"date-parts":[["2015"]]},"accessed":{"date-parts":[["2017",3,28]]}}}],"schema":"https://github.com/citation-style-language/schema/raw/master/csl-citation.json"} </w:instrText>
      </w:r>
      <w:r>
        <w:rPr>
          <w:rFonts w:asciiTheme="majorBidi" w:hAnsiTheme="majorBidi" w:cstheme="majorBidi"/>
          <w:sz w:val="24"/>
          <w:szCs w:val="24"/>
        </w:rPr>
        <w:fldChar w:fldCharType="separate"/>
      </w:r>
      <w:r w:rsidR="00BB1367" w:rsidRPr="0076525E">
        <w:rPr>
          <w:rFonts w:ascii="Times New Roman" w:hAnsi="Times New Roman" w:cs="Times New Roman"/>
          <w:sz w:val="24"/>
        </w:rPr>
        <w:t>[16]</w:t>
      </w:r>
      <w:r>
        <w:rPr>
          <w:rFonts w:asciiTheme="majorBidi" w:hAnsiTheme="majorBidi" w:cstheme="majorBidi"/>
          <w:sz w:val="24"/>
          <w:szCs w:val="24"/>
        </w:rPr>
        <w:fldChar w:fldCharType="end"/>
      </w:r>
      <w:r>
        <w:rPr>
          <w:rFonts w:asciiTheme="majorBidi" w:hAnsiTheme="majorBidi" w:cstheme="majorBidi"/>
          <w:sz w:val="24"/>
          <w:szCs w:val="24"/>
        </w:rPr>
        <w:t>.</w:t>
      </w:r>
      <w:r w:rsidR="00171CC3">
        <w:rPr>
          <w:rFonts w:asciiTheme="majorBidi" w:hAnsiTheme="majorBidi" w:cstheme="majorBidi"/>
          <w:sz w:val="24"/>
          <w:szCs w:val="24"/>
        </w:rPr>
        <w:t xml:space="preserve"> T</w:t>
      </w:r>
      <w:r w:rsidR="00945A57">
        <w:rPr>
          <w:rFonts w:asciiTheme="majorBidi" w:hAnsiTheme="majorBidi" w:cstheme="majorBidi"/>
          <w:sz w:val="24"/>
          <w:szCs w:val="24"/>
        </w:rPr>
        <w:t xml:space="preserve">he DHS data is </w:t>
      </w:r>
      <w:r w:rsidR="00171CC3">
        <w:rPr>
          <w:rFonts w:asciiTheme="majorBidi" w:hAnsiTheme="majorBidi" w:cstheme="majorBidi"/>
          <w:sz w:val="24"/>
          <w:szCs w:val="24"/>
        </w:rPr>
        <w:t>also subject to temporal biases, as it is collected at varying intervals between countries,</w:t>
      </w:r>
      <w:r w:rsidR="00945A57">
        <w:rPr>
          <w:rFonts w:asciiTheme="majorBidi" w:hAnsiTheme="majorBidi" w:cstheme="majorBidi"/>
          <w:sz w:val="24"/>
          <w:szCs w:val="24"/>
        </w:rPr>
        <w:t xml:space="preserve"> and information on maternal services are collected for up to five years previous. This represents a potential time lag in temporal analyses, and the trends reported </w:t>
      </w:r>
      <w:r w:rsidR="00171CC3">
        <w:rPr>
          <w:rFonts w:asciiTheme="majorBidi" w:hAnsiTheme="majorBidi" w:cstheme="majorBidi"/>
          <w:sz w:val="24"/>
          <w:szCs w:val="24"/>
        </w:rPr>
        <w:t xml:space="preserve">here </w:t>
      </w:r>
      <w:r w:rsidR="00945A57">
        <w:rPr>
          <w:rFonts w:asciiTheme="majorBidi" w:hAnsiTheme="majorBidi" w:cstheme="majorBidi"/>
          <w:sz w:val="24"/>
          <w:szCs w:val="24"/>
        </w:rPr>
        <w:t xml:space="preserve">may not represent the current picture of MNH service utilisation in these countries. </w:t>
      </w:r>
      <w:r w:rsidR="00E45D7D">
        <w:rPr>
          <w:rFonts w:asciiTheme="majorBidi" w:hAnsiTheme="majorBidi" w:cstheme="majorBidi"/>
          <w:sz w:val="24"/>
          <w:szCs w:val="24"/>
        </w:rPr>
        <w:t>Further, with some of the countries used in thes</w:t>
      </w:r>
      <w:r w:rsidR="00171CC3">
        <w:rPr>
          <w:rFonts w:asciiTheme="majorBidi" w:hAnsiTheme="majorBidi" w:cstheme="majorBidi"/>
          <w:sz w:val="24"/>
          <w:szCs w:val="24"/>
        </w:rPr>
        <w:t xml:space="preserve">e analyses, the most recent DHS available is </w:t>
      </w:r>
      <w:r w:rsidR="00E45D7D">
        <w:rPr>
          <w:rFonts w:asciiTheme="majorBidi" w:hAnsiTheme="majorBidi" w:cstheme="majorBidi"/>
          <w:sz w:val="24"/>
          <w:szCs w:val="24"/>
        </w:rPr>
        <w:t>upwards of five years old, representing an important avenue for future analyses to continue to examine these trends</w:t>
      </w:r>
      <w:r w:rsidR="00171CC3">
        <w:rPr>
          <w:rFonts w:asciiTheme="majorBidi" w:hAnsiTheme="majorBidi" w:cstheme="majorBidi"/>
          <w:sz w:val="24"/>
          <w:szCs w:val="24"/>
        </w:rPr>
        <w:t xml:space="preserve"> using more recent data</w:t>
      </w:r>
      <w:r w:rsidR="00E45D7D">
        <w:rPr>
          <w:rFonts w:asciiTheme="majorBidi" w:hAnsiTheme="majorBidi" w:cstheme="majorBidi"/>
          <w:sz w:val="24"/>
          <w:szCs w:val="24"/>
        </w:rPr>
        <w:t xml:space="preserve">. </w:t>
      </w:r>
      <w:r w:rsidR="00BB3B09">
        <w:rPr>
          <w:rFonts w:asciiTheme="majorBidi" w:hAnsiTheme="majorBidi" w:cstheme="majorBidi"/>
          <w:sz w:val="24"/>
          <w:szCs w:val="24"/>
        </w:rPr>
        <w:t>Lastly, the actual hospital or health facility used for the services</w:t>
      </w:r>
      <w:r w:rsidR="0023676C">
        <w:rPr>
          <w:rFonts w:asciiTheme="majorBidi" w:hAnsiTheme="majorBidi" w:cstheme="majorBidi"/>
          <w:sz w:val="24"/>
          <w:szCs w:val="24"/>
        </w:rPr>
        <w:t xml:space="preserve"> used</w:t>
      </w:r>
      <w:r w:rsidR="00BB3B09">
        <w:rPr>
          <w:rFonts w:asciiTheme="majorBidi" w:hAnsiTheme="majorBidi" w:cstheme="majorBidi"/>
          <w:sz w:val="24"/>
          <w:szCs w:val="24"/>
        </w:rPr>
        <w:t xml:space="preserve"> was not included in these analyses, as the DHS does not report this information. This could potentially bias model results, as the hospital or health facility may be outside of the respondent’s </w:t>
      </w:r>
      <w:r w:rsidR="0023676C">
        <w:rPr>
          <w:rFonts w:asciiTheme="majorBidi" w:hAnsiTheme="majorBidi" w:cstheme="majorBidi"/>
          <w:sz w:val="24"/>
          <w:szCs w:val="24"/>
        </w:rPr>
        <w:t xml:space="preserve">surveyed </w:t>
      </w:r>
      <w:r w:rsidR="00BB3B09">
        <w:rPr>
          <w:rFonts w:asciiTheme="majorBidi" w:hAnsiTheme="majorBidi" w:cstheme="majorBidi"/>
          <w:sz w:val="24"/>
          <w:szCs w:val="24"/>
        </w:rPr>
        <w:t xml:space="preserve">district. Actual health facility used should be included in future research if available, as well as cross-border movement. </w:t>
      </w:r>
    </w:p>
    <w:p w14:paraId="31F2A7CA" w14:textId="43AE4B2E" w:rsidR="00B507A4" w:rsidRDefault="008863D6" w:rsidP="00281E7F">
      <w:pPr>
        <w:spacing w:line="480" w:lineRule="auto"/>
        <w:ind w:firstLine="720"/>
        <w:rPr>
          <w:rFonts w:asciiTheme="majorBidi" w:hAnsiTheme="majorBidi" w:cstheme="majorBidi"/>
          <w:sz w:val="24"/>
          <w:szCs w:val="24"/>
        </w:rPr>
      </w:pPr>
      <w:r>
        <w:rPr>
          <w:rFonts w:asciiTheme="majorBidi" w:hAnsiTheme="majorBidi" w:cstheme="majorBidi"/>
          <w:sz w:val="24"/>
          <w:szCs w:val="24"/>
        </w:rPr>
        <w:t>While t</w:t>
      </w:r>
      <w:r w:rsidR="00FF452F">
        <w:rPr>
          <w:rFonts w:asciiTheme="majorBidi" w:hAnsiTheme="majorBidi" w:cstheme="majorBidi"/>
          <w:sz w:val="24"/>
          <w:szCs w:val="24"/>
        </w:rPr>
        <w:t xml:space="preserve">he scope of this paper is to </w:t>
      </w:r>
      <w:r w:rsidR="0084063E">
        <w:rPr>
          <w:rFonts w:asciiTheme="majorBidi" w:hAnsiTheme="majorBidi" w:cstheme="majorBidi"/>
          <w:sz w:val="24"/>
          <w:szCs w:val="24"/>
        </w:rPr>
        <w:t>report</w:t>
      </w:r>
      <w:r w:rsidR="00FF452F">
        <w:rPr>
          <w:rFonts w:asciiTheme="majorBidi" w:hAnsiTheme="majorBidi" w:cstheme="majorBidi"/>
          <w:sz w:val="24"/>
          <w:szCs w:val="24"/>
        </w:rPr>
        <w:t xml:space="preserve"> temporal trends </w:t>
      </w:r>
      <w:r w:rsidR="0084063E">
        <w:rPr>
          <w:rFonts w:asciiTheme="majorBidi" w:hAnsiTheme="majorBidi" w:cstheme="majorBidi"/>
          <w:sz w:val="24"/>
          <w:szCs w:val="24"/>
        </w:rPr>
        <w:t xml:space="preserve">in spatial inequalities of MNH service use </w:t>
      </w:r>
      <w:r w:rsidR="00FF452F">
        <w:rPr>
          <w:rFonts w:asciiTheme="majorBidi" w:hAnsiTheme="majorBidi" w:cstheme="majorBidi"/>
          <w:sz w:val="24"/>
          <w:szCs w:val="24"/>
        </w:rPr>
        <w:t>over time, future work should aim to explain why these patterns are occurring</w:t>
      </w:r>
      <w:r w:rsidR="0084063E">
        <w:rPr>
          <w:rFonts w:asciiTheme="majorBidi" w:hAnsiTheme="majorBidi" w:cstheme="majorBidi"/>
          <w:sz w:val="24"/>
          <w:szCs w:val="24"/>
        </w:rPr>
        <w:t xml:space="preserve"> to </w:t>
      </w:r>
      <w:r w:rsidR="00C24644">
        <w:rPr>
          <w:rFonts w:asciiTheme="majorBidi" w:hAnsiTheme="majorBidi" w:cstheme="majorBidi"/>
          <w:sz w:val="24"/>
          <w:szCs w:val="24"/>
        </w:rPr>
        <w:t xml:space="preserve">potentially offer insight into </w:t>
      </w:r>
      <w:r w:rsidR="0084063E">
        <w:rPr>
          <w:rFonts w:asciiTheme="majorBidi" w:hAnsiTheme="majorBidi" w:cstheme="majorBidi"/>
          <w:sz w:val="24"/>
          <w:szCs w:val="24"/>
        </w:rPr>
        <w:t>policy interventions</w:t>
      </w:r>
      <w:r w:rsidR="00C24644">
        <w:rPr>
          <w:rFonts w:asciiTheme="majorBidi" w:hAnsiTheme="majorBidi" w:cstheme="majorBidi"/>
          <w:sz w:val="24"/>
          <w:szCs w:val="24"/>
        </w:rPr>
        <w:t xml:space="preserve"> </w:t>
      </w:r>
      <w:r w:rsidR="0084063E">
        <w:rPr>
          <w:rFonts w:asciiTheme="majorBidi" w:hAnsiTheme="majorBidi" w:cstheme="majorBidi"/>
          <w:sz w:val="24"/>
          <w:szCs w:val="24"/>
        </w:rPr>
        <w:t>aimed at</w:t>
      </w:r>
      <w:r w:rsidR="00C24644">
        <w:rPr>
          <w:rFonts w:asciiTheme="majorBidi" w:hAnsiTheme="majorBidi" w:cstheme="majorBidi"/>
          <w:sz w:val="24"/>
          <w:szCs w:val="24"/>
        </w:rPr>
        <w:t xml:space="preserve"> maintain</w:t>
      </w:r>
      <w:r w:rsidR="0084063E">
        <w:rPr>
          <w:rFonts w:asciiTheme="majorBidi" w:hAnsiTheme="majorBidi" w:cstheme="majorBidi"/>
          <w:sz w:val="24"/>
          <w:szCs w:val="24"/>
        </w:rPr>
        <w:t>ing</w:t>
      </w:r>
      <w:r w:rsidR="00C24644">
        <w:rPr>
          <w:rFonts w:asciiTheme="majorBidi" w:hAnsiTheme="majorBidi" w:cstheme="majorBidi"/>
          <w:sz w:val="24"/>
          <w:szCs w:val="24"/>
        </w:rPr>
        <w:t xml:space="preserve"> progress </w:t>
      </w:r>
      <w:r w:rsidR="0084063E">
        <w:rPr>
          <w:rFonts w:asciiTheme="majorBidi" w:hAnsiTheme="majorBidi" w:cstheme="majorBidi"/>
          <w:sz w:val="24"/>
          <w:szCs w:val="24"/>
        </w:rPr>
        <w:t>to</w:t>
      </w:r>
      <w:r w:rsidR="00C24644">
        <w:rPr>
          <w:rFonts w:asciiTheme="majorBidi" w:hAnsiTheme="majorBidi" w:cstheme="majorBidi"/>
          <w:sz w:val="24"/>
          <w:szCs w:val="24"/>
        </w:rPr>
        <w:t xml:space="preserve"> ensur</w:t>
      </w:r>
      <w:r w:rsidR="0084063E">
        <w:rPr>
          <w:rFonts w:asciiTheme="majorBidi" w:hAnsiTheme="majorBidi" w:cstheme="majorBidi"/>
          <w:sz w:val="24"/>
          <w:szCs w:val="24"/>
        </w:rPr>
        <w:t>e</w:t>
      </w:r>
      <w:r w:rsidR="00C24644">
        <w:rPr>
          <w:rFonts w:asciiTheme="majorBidi" w:hAnsiTheme="majorBidi" w:cstheme="majorBidi"/>
          <w:sz w:val="24"/>
          <w:szCs w:val="24"/>
        </w:rPr>
        <w:t xml:space="preserve"> no populations are left behind in accessing </w:t>
      </w:r>
      <w:r w:rsidR="0084063E">
        <w:rPr>
          <w:rFonts w:asciiTheme="majorBidi" w:hAnsiTheme="majorBidi" w:cstheme="majorBidi"/>
          <w:sz w:val="24"/>
          <w:szCs w:val="24"/>
        </w:rPr>
        <w:t>MNH services.</w:t>
      </w:r>
      <w:r w:rsidR="00C24644">
        <w:rPr>
          <w:rFonts w:asciiTheme="majorBidi" w:hAnsiTheme="majorBidi" w:cstheme="majorBidi"/>
          <w:sz w:val="24"/>
          <w:szCs w:val="24"/>
        </w:rPr>
        <w:t xml:space="preserve"> </w:t>
      </w:r>
      <w:r w:rsidR="0084063E">
        <w:rPr>
          <w:rFonts w:asciiTheme="majorBidi" w:hAnsiTheme="majorBidi" w:cstheme="majorBidi"/>
          <w:sz w:val="24"/>
          <w:szCs w:val="24"/>
        </w:rPr>
        <w:t>F</w:t>
      </w:r>
      <w:r w:rsidR="00C24644">
        <w:rPr>
          <w:rFonts w:asciiTheme="majorBidi" w:hAnsiTheme="majorBidi" w:cstheme="majorBidi"/>
          <w:sz w:val="24"/>
          <w:szCs w:val="24"/>
        </w:rPr>
        <w:t>uture research should examine factors at several socio-ecological levels, including the individual, cultural, and national level, as well as quality of care provided. Spatial context such as travel time to health facilities and actual health facilities used should also be taken into account</w:t>
      </w:r>
      <w:r w:rsidR="0084063E">
        <w:rPr>
          <w:rFonts w:asciiTheme="majorBidi" w:hAnsiTheme="majorBidi" w:cstheme="majorBidi"/>
          <w:sz w:val="24"/>
          <w:szCs w:val="24"/>
        </w:rPr>
        <w:t xml:space="preserve"> </w:t>
      </w:r>
      <w:r w:rsidR="0084063E" w:rsidRPr="0076525E">
        <w:rPr>
          <w:rFonts w:ascii="Times New Roman" w:hAnsi="Times New Roman" w:cs="Times New Roman"/>
          <w:sz w:val="24"/>
          <w:szCs w:val="24"/>
        </w:rPr>
        <w:fldChar w:fldCharType="begin"/>
      </w:r>
      <w:r w:rsidR="001A73EC" w:rsidRPr="0076525E">
        <w:rPr>
          <w:rFonts w:ascii="Times New Roman" w:hAnsi="Times New Roman" w:cs="Times New Roman"/>
          <w:sz w:val="24"/>
          <w:szCs w:val="24"/>
        </w:rPr>
        <w:instrText xml:space="preserve"> ADDIN ZOTERO_ITEM CSL_CITATION {"citationID":"a1um8kigprl","properties":{"formattedCitation":"[50]","plainCitation":"[50]","noteIndex":0},"citationItems":[{"id":384,"uris":["http://zotero.org/users/2783131/items/7WB4Z4HA"],"uri":["http://zotero.org/users/2783131/items/7WB4Z4HA"],"itemData":{"id":384,"type":"article-journal","title":"A scoping review of geographic information systems in maternal health","container-title":"International Journal of Gynecology &amp; Obstetrics","page":"13-17","volume":"134","issue":"1","source":"ScienceDirect","abstract":"Background\nGeographic information systems (GIS) are increasingly recognized tools in maternal health.\nObjectives\nTo evaluate the use of GIS in maternal health and to identify knowledge gaps and opportunities.\nSearch strategy\nKeywords broadly related to maternal health and GIS were used to search for academic articles and gray literature.\nSelection criteria\nReviewed articles focused on maternal health, with GIS used as part of the methods.\nData collection and analysis\nPeer reviewed articles (n = 40) and gray literature sources (n = 30) were reviewed.\nMain results\nTwo main themes emerged: modeling access to maternal services and identifying risks associated with maternal outcomes. Knowledge gaps included a need to rethink spatial access to maternal care in low- and middle-income settings, and a need for more explicit use of GIS to account for the geographical variation in the effect of risk factors on adverse maternal outcomes. Limited evidence existed to suggest that use of GIS had influenced maternal health policy. Instead, application of GIS to maternal health was largely influenced by policy priorities in global maternal health.\nConclusions\nInvestigation of the role of GIS in contributing to future policy directions is warranted, particularly for elucidating determinants of global maternal health.","DOI":"10.1016/j.ijgo.2015.11.022","ISSN":"0020-7292","journalAbbreviation":"International Journal of Gynecology &amp; Obstetrics","author":[{"family":"Makanga","given":"Prestige T."},{"family":"Schuurman","given":"Nadine"},{"family":"Dadelszen","given":"Peter","non-dropping-particle":"von"},{"family":"Firoz","given":"Tabassum"}],"issued":{"date-parts":[["2016",7]]}}}],"schema":"https://github.com/citation-style-language/schema/raw/master/csl-citation.json"} </w:instrText>
      </w:r>
      <w:r w:rsidR="0084063E" w:rsidRPr="0076525E">
        <w:rPr>
          <w:rFonts w:ascii="Times New Roman" w:hAnsi="Times New Roman" w:cs="Times New Roman"/>
          <w:sz w:val="24"/>
          <w:szCs w:val="24"/>
        </w:rPr>
        <w:fldChar w:fldCharType="separate"/>
      </w:r>
      <w:r w:rsidR="001A73EC" w:rsidRPr="0076525E">
        <w:rPr>
          <w:rFonts w:ascii="Times New Roman" w:hAnsi="Times New Roman" w:cs="Times New Roman"/>
          <w:sz w:val="24"/>
          <w:szCs w:val="24"/>
        </w:rPr>
        <w:t>[50]</w:t>
      </w:r>
      <w:r w:rsidR="0084063E" w:rsidRPr="0076525E">
        <w:rPr>
          <w:rFonts w:ascii="Times New Roman" w:hAnsi="Times New Roman" w:cs="Times New Roman"/>
          <w:sz w:val="24"/>
          <w:szCs w:val="24"/>
        </w:rPr>
        <w:fldChar w:fldCharType="end"/>
      </w:r>
      <w:r w:rsidR="00C24644">
        <w:rPr>
          <w:rFonts w:asciiTheme="majorBidi" w:hAnsiTheme="majorBidi" w:cstheme="majorBidi"/>
          <w:sz w:val="24"/>
          <w:szCs w:val="24"/>
        </w:rPr>
        <w:t xml:space="preserve">. </w:t>
      </w:r>
    </w:p>
    <w:p w14:paraId="451BCAE5" w14:textId="77777777" w:rsidR="008863D6" w:rsidRDefault="008863D6" w:rsidP="00ED0F8C">
      <w:pPr>
        <w:spacing w:line="480" w:lineRule="auto"/>
        <w:rPr>
          <w:rFonts w:asciiTheme="majorBidi" w:hAnsiTheme="majorBidi" w:cstheme="majorBidi"/>
          <w:sz w:val="24"/>
          <w:szCs w:val="24"/>
        </w:rPr>
      </w:pPr>
      <w:r>
        <w:rPr>
          <w:rFonts w:asciiTheme="majorBidi" w:hAnsiTheme="majorBidi" w:cstheme="majorBidi"/>
          <w:b/>
          <w:sz w:val="24"/>
          <w:szCs w:val="24"/>
        </w:rPr>
        <w:t>Conclusions</w:t>
      </w:r>
    </w:p>
    <w:p w14:paraId="0B84AC49" w14:textId="57CBDD44" w:rsidR="007E7DD6" w:rsidRDefault="002A4A58" w:rsidP="007E7DD6">
      <w:pPr>
        <w:spacing w:line="480" w:lineRule="auto"/>
        <w:ind w:firstLine="720"/>
        <w:rPr>
          <w:rFonts w:asciiTheme="majorBidi" w:hAnsiTheme="majorBidi" w:cstheme="majorBidi"/>
          <w:sz w:val="24"/>
          <w:szCs w:val="24"/>
        </w:rPr>
      </w:pPr>
      <w:r>
        <w:rPr>
          <w:rFonts w:asciiTheme="majorBidi" w:hAnsiTheme="majorBidi" w:cstheme="majorBidi"/>
          <w:sz w:val="24"/>
          <w:szCs w:val="24"/>
        </w:rPr>
        <w:t>T</w:t>
      </w:r>
      <w:r w:rsidR="005057AD">
        <w:rPr>
          <w:rFonts w:asciiTheme="majorBidi" w:hAnsiTheme="majorBidi" w:cstheme="majorBidi"/>
          <w:sz w:val="24"/>
          <w:szCs w:val="24"/>
        </w:rPr>
        <w:t>his study</w:t>
      </w:r>
      <w:r w:rsidR="00E314DE">
        <w:rPr>
          <w:rFonts w:asciiTheme="majorBidi" w:hAnsiTheme="majorBidi" w:cstheme="majorBidi"/>
          <w:sz w:val="24"/>
          <w:szCs w:val="24"/>
        </w:rPr>
        <w:t xml:space="preserve"> is the first to report model-based estimates at the district level for several time points across the EAC region, as well as report temporal trends in both absolute and relative measures of spatial </w:t>
      </w:r>
      <w:r w:rsidR="0084063E">
        <w:rPr>
          <w:rFonts w:asciiTheme="majorBidi" w:hAnsiTheme="majorBidi" w:cstheme="majorBidi"/>
          <w:sz w:val="24"/>
          <w:szCs w:val="24"/>
        </w:rPr>
        <w:t>inequalities</w:t>
      </w:r>
      <w:r w:rsidR="00E314DE">
        <w:rPr>
          <w:rFonts w:asciiTheme="majorBidi" w:hAnsiTheme="majorBidi" w:cstheme="majorBidi"/>
          <w:sz w:val="24"/>
          <w:szCs w:val="24"/>
        </w:rPr>
        <w:t xml:space="preserve">. We found that </w:t>
      </w:r>
      <w:r w:rsidR="00B04C38">
        <w:rPr>
          <w:rFonts w:asciiTheme="majorBidi" w:hAnsiTheme="majorBidi" w:cstheme="majorBidi"/>
          <w:sz w:val="24"/>
          <w:szCs w:val="24"/>
        </w:rPr>
        <w:t>relative inequality</w:t>
      </w:r>
      <w:r w:rsidR="00D70BE4">
        <w:rPr>
          <w:rFonts w:asciiTheme="majorBidi" w:hAnsiTheme="majorBidi" w:cstheme="majorBidi"/>
          <w:sz w:val="24"/>
          <w:szCs w:val="24"/>
        </w:rPr>
        <w:t xml:space="preserve"> between districts</w:t>
      </w:r>
      <w:r w:rsidR="00E314DE">
        <w:rPr>
          <w:rFonts w:asciiTheme="majorBidi" w:hAnsiTheme="majorBidi" w:cstheme="majorBidi"/>
          <w:sz w:val="24"/>
          <w:szCs w:val="24"/>
        </w:rPr>
        <w:t xml:space="preserve"> </w:t>
      </w:r>
      <w:r w:rsidR="00E314DE" w:rsidRPr="008A3EBC">
        <w:rPr>
          <w:rFonts w:asciiTheme="majorBidi" w:hAnsiTheme="majorBidi" w:cstheme="majorBidi"/>
          <w:sz w:val="24"/>
          <w:szCs w:val="24"/>
        </w:rPr>
        <w:t>have generally decreased or remained stably low over time across all countries, suggesting improvements are being made to reduce the gap between the geographic areas with the highest and lowest coverage in services.</w:t>
      </w:r>
      <w:r>
        <w:rPr>
          <w:rFonts w:asciiTheme="majorBidi" w:hAnsiTheme="majorBidi" w:cstheme="majorBidi"/>
          <w:sz w:val="24"/>
          <w:szCs w:val="24"/>
        </w:rPr>
        <w:t xml:space="preserve"> We further found that </w:t>
      </w:r>
      <w:r w:rsidRPr="002A4A58">
        <w:rPr>
          <w:rFonts w:asciiTheme="majorBidi" w:hAnsiTheme="majorBidi" w:cstheme="majorBidi"/>
          <w:sz w:val="24"/>
          <w:szCs w:val="24"/>
        </w:rPr>
        <w:t xml:space="preserve">Rwanda </w:t>
      </w:r>
      <w:r>
        <w:rPr>
          <w:rFonts w:asciiTheme="majorBidi" w:hAnsiTheme="majorBidi" w:cstheme="majorBidi"/>
          <w:sz w:val="24"/>
          <w:szCs w:val="24"/>
        </w:rPr>
        <w:t>in particular was successful in reducing relative inequalities over time, as</w:t>
      </w:r>
      <w:r w:rsidRPr="002A4A58">
        <w:rPr>
          <w:rFonts w:asciiTheme="majorBidi" w:hAnsiTheme="majorBidi" w:cstheme="majorBidi"/>
          <w:sz w:val="24"/>
          <w:szCs w:val="24"/>
        </w:rPr>
        <w:t xml:space="preserve"> </w:t>
      </w:r>
      <w:r>
        <w:rPr>
          <w:rFonts w:asciiTheme="majorBidi" w:hAnsiTheme="majorBidi" w:cstheme="majorBidi"/>
          <w:sz w:val="24"/>
          <w:szCs w:val="24"/>
        </w:rPr>
        <w:t>well as increasing absolute coverage across all MNH services</w:t>
      </w:r>
      <w:r w:rsidRPr="002A4A58">
        <w:rPr>
          <w:rFonts w:asciiTheme="majorBidi" w:hAnsiTheme="majorBidi" w:cstheme="majorBidi"/>
          <w:sz w:val="24"/>
          <w:szCs w:val="24"/>
        </w:rPr>
        <w:t xml:space="preserve">. </w:t>
      </w:r>
      <w:r w:rsidR="007E7DD6">
        <w:rPr>
          <w:rFonts w:asciiTheme="majorBidi" w:hAnsiTheme="majorBidi" w:cstheme="majorBidi"/>
          <w:sz w:val="24"/>
          <w:szCs w:val="24"/>
        </w:rPr>
        <w:t xml:space="preserve">Despite this progress, we found that relative measures of spatial inequalities across the region indicate that the effect of space is becoming more prominent over the decades among PNC in particular, </w:t>
      </w:r>
      <w:r w:rsidR="007E7DD6" w:rsidRPr="008A3EBC">
        <w:rPr>
          <w:rFonts w:asciiTheme="majorBidi" w:hAnsiTheme="majorBidi" w:cstheme="majorBidi"/>
          <w:sz w:val="24"/>
          <w:szCs w:val="24"/>
        </w:rPr>
        <w:t>suggesting a worrying trend</w:t>
      </w:r>
      <w:r w:rsidR="007E7DD6">
        <w:rPr>
          <w:rFonts w:asciiTheme="majorBidi" w:hAnsiTheme="majorBidi" w:cstheme="majorBidi"/>
          <w:sz w:val="24"/>
          <w:szCs w:val="24"/>
        </w:rPr>
        <w:t xml:space="preserve"> that should be monitored closely throughout the SDG era and examined further with new sources of DHS data or other household surveys.</w:t>
      </w:r>
    </w:p>
    <w:p w14:paraId="65937903" w14:textId="264E1034" w:rsidR="00972382" w:rsidRPr="00972382" w:rsidRDefault="002A4A58" w:rsidP="0076525E">
      <w:pPr>
        <w:spacing w:line="480" w:lineRule="auto"/>
        <w:ind w:firstLine="720"/>
        <w:rPr>
          <w:rFonts w:asciiTheme="majorBidi" w:hAnsiTheme="majorBidi" w:cstheme="majorBidi"/>
          <w:sz w:val="24"/>
          <w:szCs w:val="24"/>
        </w:rPr>
      </w:pPr>
      <w:r>
        <w:rPr>
          <w:rFonts w:asciiTheme="majorBidi" w:hAnsiTheme="majorBidi" w:cstheme="majorBidi"/>
          <w:sz w:val="24"/>
          <w:szCs w:val="24"/>
        </w:rPr>
        <w:t>These analyses demonstrate how the use of spatial and temporal disaggregation</w:t>
      </w:r>
      <w:r w:rsidR="00CB0B81">
        <w:rPr>
          <w:rFonts w:asciiTheme="majorBidi" w:hAnsiTheme="majorBidi" w:cstheme="majorBidi"/>
          <w:sz w:val="24"/>
          <w:szCs w:val="24"/>
        </w:rPr>
        <w:t xml:space="preserve"> methods</w:t>
      </w:r>
      <w:r>
        <w:rPr>
          <w:rFonts w:asciiTheme="majorBidi" w:hAnsiTheme="majorBidi" w:cstheme="majorBidi"/>
          <w:sz w:val="24"/>
          <w:szCs w:val="24"/>
        </w:rPr>
        <w:t xml:space="preserve"> can be used to monitor the evolution of health inequalities over the SDG period. Our results highlight the need for continued disaggregation of these data over time, which w</w:t>
      </w:r>
      <w:r w:rsidR="00CB0B81">
        <w:rPr>
          <w:rFonts w:asciiTheme="majorBidi" w:hAnsiTheme="majorBidi" w:cstheme="majorBidi"/>
          <w:sz w:val="24"/>
          <w:szCs w:val="24"/>
        </w:rPr>
        <w:t>ill be key in improving health amongst all populations across the East African Community</w:t>
      </w:r>
      <w:r>
        <w:rPr>
          <w:rFonts w:asciiTheme="majorBidi" w:hAnsiTheme="majorBidi" w:cstheme="majorBidi"/>
          <w:sz w:val="24"/>
          <w:szCs w:val="24"/>
        </w:rPr>
        <w:t xml:space="preserve">. </w:t>
      </w:r>
      <w:r w:rsidR="005057AD">
        <w:rPr>
          <w:rFonts w:asciiTheme="majorBidi" w:hAnsiTheme="majorBidi" w:cstheme="majorBidi"/>
          <w:sz w:val="24"/>
          <w:szCs w:val="24"/>
        </w:rPr>
        <w:t>Lastly, in-country uptake and adoption of GIS-enabled analytics facilitating concurrent temporal and spatial analysis of socio-economic, environmental and he</w:t>
      </w:r>
      <w:r w:rsidR="0013267D">
        <w:rPr>
          <w:rFonts w:asciiTheme="majorBidi" w:hAnsiTheme="majorBidi" w:cstheme="majorBidi"/>
          <w:sz w:val="24"/>
          <w:szCs w:val="24"/>
        </w:rPr>
        <w:t xml:space="preserve">alth systems level determinants will be key to development of precise policy actions for addressing areas with intractable health challenges and ensuring that SDG health targets are met by 2030. </w:t>
      </w:r>
      <w:r w:rsidR="00972382">
        <w:rPr>
          <w:rFonts w:asciiTheme="majorBidi" w:hAnsiTheme="majorBidi" w:cstheme="majorBidi"/>
          <w:sz w:val="24"/>
          <w:szCs w:val="24"/>
        </w:rPr>
        <w:br w:type="page"/>
      </w:r>
    </w:p>
    <w:p w14:paraId="293B1AE0" w14:textId="77777777" w:rsidR="008840E1" w:rsidRDefault="008840E1">
      <w:pPr>
        <w:rPr>
          <w:rFonts w:asciiTheme="majorBidi" w:hAnsiTheme="majorBidi" w:cstheme="majorBidi"/>
          <w:sz w:val="24"/>
          <w:szCs w:val="24"/>
        </w:rPr>
      </w:pPr>
      <w:r>
        <w:rPr>
          <w:rFonts w:asciiTheme="majorBidi" w:hAnsiTheme="majorBidi" w:cstheme="majorBidi"/>
          <w:b/>
          <w:sz w:val="24"/>
          <w:szCs w:val="24"/>
        </w:rPr>
        <w:t>List of Abbreviations</w:t>
      </w:r>
    </w:p>
    <w:p w14:paraId="170F526A" w14:textId="77777777" w:rsidR="008840E1" w:rsidRDefault="008840E1">
      <w:pPr>
        <w:rPr>
          <w:rFonts w:asciiTheme="majorBidi" w:hAnsiTheme="majorBidi" w:cstheme="majorBidi"/>
          <w:sz w:val="24"/>
          <w:szCs w:val="24"/>
        </w:rPr>
      </w:pPr>
      <w:r>
        <w:rPr>
          <w:rFonts w:asciiTheme="majorBidi" w:hAnsiTheme="majorBidi" w:cstheme="majorBidi"/>
          <w:sz w:val="24"/>
          <w:szCs w:val="24"/>
        </w:rPr>
        <w:t>ANC</w:t>
      </w:r>
      <w:r>
        <w:rPr>
          <w:rFonts w:asciiTheme="majorBidi" w:hAnsiTheme="majorBidi" w:cstheme="majorBidi"/>
          <w:sz w:val="24"/>
          <w:szCs w:val="24"/>
        </w:rPr>
        <w:tab/>
      </w:r>
      <w:r>
        <w:rPr>
          <w:rFonts w:asciiTheme="majorBidi" w:hAnsiTheme="majorBidi" w:cstheme="majorBidi"/>
          <w:sz w:val="24"/>
          <w:szCs w:val="24"/>
        </w:rPr>
        <w:tab/>
        <w:t>Antenatal care</w:t>
      </w:r>
    </w:p>
    <w:p w14:paraId="5CEE3ABE" w14:textId="5133F89D" w:rsidR="008840E1" w:rsidRDefault="008840E1">
      <w:pPr>
        <w:rPr>
          <w:rFonts w:asciiTheme="majorBidi" w:hAnsiTheme="majorBidi" w:cstheme="majorBidi"/>
          <w:sz w:val="24"/>
          <w:szCs w:val="24"/>
        </w:rPr>
      </w:pPr>
      <w:r>
        <w:rPr>
          <w:rFonts w:asciiTheme="majorBidi" w:hAnsiTheme="majorBidi" w:cstheme="majorBidi"/>
          <w:sz w:val="24"/>
          <w:szCs w:val="24"/>
        </w:rPr>
        <w:t>DHS</w:t>
      </w:r>
      <w:r>
        <w:rPr>
          <w:rFonts w:asciiTheme="majorBidi" w:hAnsiTheme="majorBidi" w:cstheme="majorBidi"/>
          <w:sz w:val="24"/>
          <w:szCs w:val="24"/>
        </w:rPr>
        <w:tab/>
      </w:r>
      <w:r>
        <w:rPr>
          <w:rFonts w:asciiTheme="majorBidi" w:hAnsiTheme="majorBidi" w:cstheme="majorBidi"/>
          <w:sz w:val="24"/>
          <w:szCs w:val="24"/>
        </w:rPr>
        <w:tab/>
        <w:t>Demographic and Health Surveys</w:t>
      </w:r>
    </w:p>
    <w:p w14:paraId="51D56E89" w14:textId="6EB980CD" w:rsidR="004062FF" w:rsidRDefault="004062FF">
      <w:pPr>
        <w:rPr>
          <w:rFonts w:asciiTheme="majorBidi" w:hAnsiTheme="majorBidi" w:cstheme="majorBidi"/>
          <w:sz w:val="24"/>
          <w:szCs w:val="24"/>
        </w:rPr>
      </w:pPr>
      <w:r>
        <w:rPr>
          <w:rFonts w:asciiTheme="majorBidi" w:hAnsiTheme="majorBidi" w:cstheme="majorBidi"/>
          <w:sz w:val="24"/>
          <w:szCs w:val="24"/>
        </w:rPr>
        <w:t>DIC</w:t>
      </w:r>
      <w:r>
        <w:rPr>
          <w:rFonts w:asciiTheme="majorBidi" w:hAnsiTheme="majorBidi" w:cstheme="majorBidi"/>
          <w:sz w:val="24"/>
          <w:szCs w:val="24"/>
        </w:rPr>
        <w:tab/>
      </w:r>
      <w:r>
        <w:rPr>
          <w:rFonts w:asciiTheme="majorBidi" w:hAnsiTheme="majorBidi" w:cstheme="majorBidi"/>
          <w:sz w:val="24"/>
          <w:szCs w:val="24"/>
        </w:rPr>
        <w:tab/>
        <w:t>Deviance Information Criterion</w:t>
      </w:r>
    </w:p>
    <w:p w14:paraId="73666815" w14:textId="77777777" w:rsidR="008840E1" w:rsidRDefault="008840E1">
      <w:pPr>
        <w:rPr>
          <w:rFonts w:asciiTheme="majorBidi" w:hAnsiTheme="majorBidi" w:cstheme="majorBidi"/>
          <w:sz w:val="24"/>
          <w:szCs w:val="24"/>
        </w:rPr>
      </w:pPr>
      <w:r>
        <w:rPr>
          <w:rFonts w:asciiTheme="majorBidi" w:hAnsiTheme="majorBidi" w:cstheme="majorBidi"/>
          <w:sz w:val="24"/>
          <w:szCs w:val="24"/>
        </w:rPr>
        <w:t>EAC</w:t>
      </w:r>
      <w:r>
        <w:rPr>
          <w:rFonts w:asciiTheme="majorBidi" w:hAnsiTheme="majorBidi" w:cstheme="majorBidi"/>
          <w:sz w:val="24"/>
          <w:szCs w:val="24"/>
        </w:rPr>
        <w:tab/>
      </w:r>
      <w:r>
        <w:rPr>
          <w:rFonts w:asciiTheme="majorBidi" w:hAnsiTheme="majorBidi" w:cstheme="majorBidi"/>
          <w:sz w:val="24"/>
          <w:szCs w:val="24"/>
        </w:rPr>
        <w:tab/>
        <w:t>East African Community</w:t>
      </w:r>
    </w:p>
    <w:p w14:paraId="045CC7B3" w14:textId="77777777" w:rsidR="008840E1" w:rsidRDefault="008840E1">
      <w:pPr>
        <w:rPr>
          <w:rFonts w:asciiTheme="majorBidi" w:hAnsiTheme="majorBidi" w:cstheme="majorBidi"/>
          <w:sz w:val="24"/>
          <w:szCs w:val="24"/>
        </w:rPr>
      </w:pPr>
      <w:r>
        <w:rPr>
          <w:rFonts w:asciiTheme="majorBidi" w:hAnsiTheme="majorBidi" w:cstheme="majorBidi"/>
          <w:sz w:val="24"/>
          <w:szCs w:val="24"/>
        </w:rPr>
        <w:t>GPS</w:t>
      </w:r>
      <w:r>
        <w:rPr>
          <w:rFonts w:asciiTheme="majorBidi" w:hAnsiTheme="majorBidi" w:cstheme="majorBidi"/>
          <w:sz w:val="24"/>
          <w:szCs w:val="24"/>
        </w:rPr>
        <w:tab/>
      </w:r>
      <w:r>
        <w:rPr>
          <w:rFonts w:asciiTheme="majorBidi" w:hAnsiTheme="majorBidi" w:cstheme="majorBidi"/>
          <w:sz w:val="24"/>
          <w:szCs w:val="24"/>
        </w:rPr>
        <w:tab/>
        <w:t>Global position system</w:t>
      </w:r>
    </w:p>
    <w:p w14:paraId="6553D6D7" w14:textId="77777777" w:rsidR="008840E1" w:rsidRDefault="008840E1">
      <w:pPr>
        <w:rPr>
          <w:rFonts w:asciiTheme="majorBidi" w:hAnsiTheme="majorBidi" w:cstheme="majorBidi"/>
          <w:sz w:val="24"/>
          <w:szCs w:val="24"/>
        </w:rPr>
      </w:pPr>
      <w:r>
        <w:rPr>
          <w:rFonts w:asciiTheme="majorBidi" w:hAnsiTheme="majorBidi" w:cstheme="majorBidi"/>
          <w:sz w:val="24"/>
          <w:szCs w:val="24"/>
        </w:rPr>
        <w:t>INLA</w:t>
      </w:r>
      <w:r>
        <w:rPr>
          <w:rFonts w:asciiTheme="majorBidi" w:hAnsiTheme="majorBidi" w:cstheme="majorBidi"/>
          <w:sz w:val="24"/>
          <w:szCs w:val="24"/>
        </w:rPr>
        <w:tab/>
      </w:r>
      <w:r>
        <w:rPr>
          <w:rFonts w:asciiTheme="majorBidi" w:hAnsiTheme="majorBidi" w:cstheme="majorBidi"/>
          <w:sz w:val="24"/>
          <w:szCs w:val="24"/>
        </w:rPr>
        <w:tab/>
        <w:t>Integrated Nested Laplace Approximation</w:t>
      </w:r>
    </w:p>
    <w:p w14:paraId="4AB8983E" w14:textId="77777777" w:rsidR="008840E1" w:rsidRDefault="008840E1">
      <w:pPr>
        <w:rPr>
          <w:rFonts w:asciiTheme="majorBidi" w:hAnsiTheme="majorBidi" w:cstheme="majorBidi"/>
          <w:sz w:val="24"/>
          <w:szCs w:val="24"/>
        </w:rPr>
      </w:pPr>
      <w:r>
        <w:rPr>
          <w:rFonts w:asciiTheme="majorBidi" w:hAnsiTheme="majorBidi" w:cstheme="majorBidi"/>
          <w:sz w:val="24"/>
          <w:szCs w:val="24"/>
        </w:rPr>
        <w:t>SBA</w:t>
      </w:r>
      <w:r>
        <w:rPr>
          <w:rFonts w:asciiTheme="majorBidi" w:hAnsiTheme="majorBidi" w:cstheme="majorBidi"/>
          <w:sz w:val="24"/>
          <w:szCs w:val="24"/>
        </w:rPr>
        <w:tab/>
      </w:r>
      <w:r>
        <w:rPr>
          <w:rFonts w:asciiTheme="majorBidi" w:hAnsiTheme="majorBidi" w:cstheme="majorBidi"/>
          <w:sz w:val="24"/>
          <w:szCs w:val="24"/>
        </w:rPr>
        <w:tab/>
        <w:t>Skilled birth attendance</w:t>
      </w:r>
    </w:p>
    <w:p w14:paraId="5061BC6A" w14:textId="77777777" w:rsidR="008840E1" w:rsidRDefault="008840E1">
      <w:pPr>
        <w:rPr>
          <w:rFonts w:asciiTheme="majorBidi" w:hAnsiTheme="majorBidi" w:cstheme="majorBidi"/>
          <w:sz w:val="24"/>
          <w:szCs w:val="24"/>
        </w:rPr>
      </w:pPr>
      <w:r>
        <w:rPr>
          <w:rFonts w:asciiTheme="majorBidi" w:hAnsiTheme="majorBidi" w:cstheme="majorBidi"/>
          <w:sz w:val="24"/>
          <w:szCs w:val="24"/>
        </w:rPr>
        <w:t>MDG</w:t>
      </w:r>
      <w:r>
        <w:rPr>
          <w:rFonts w:asciiTheme="majorBidi" w:hAnsiTheme="majorBidi" w:cstheme="majorBidi"/>
          <w:sz w:val="24"/>
          <w:szCs w:val="24"/>
        </w:rPr>
        <w:tab/>
      </w:r>
      <w:r>
        <w:rPr>
          <w:rFonts w:asciiTheme="majorBidi" w:hAnsiTheme="majorBidi" w:cstheme="majorBidi"/>
          <w:sz w:val="24"/>
          <w:szCs w:val="24"/>
        </w:rPr>
        <w:tab/>
        <w:t>Millennium Development Goal</w:t>
      </w:r>
    </w:p>
    <w:p w14:paraId="4217CA05" w14:textId="77777777" w:rsidR="008840E1" w:rsidRDefault="008840E1">
      <w:pPr>
        <w:rPr>
          <w:rFonts w:asciiTheme="majorBidi" w:hAnsiTheme="majorBidi" w:cstheme="majorBidi"/>
          <w:sz w:val="24"/>
          <w:szCs w:val="24"/>
        </w:rPr>
      </w:pPr>
      <w:r>
        <w:rPr>
          <w:rFonts w:asciiTheme="majorBidi" w:hAnsiTheme="majorBidi" w:cstheme="majorBidi"/>
          <w:sz w:val="24"/>
          <w:szCs w:val="24"/>
        </w:rPr>
        <w:t>MMR</w:t>
      </w:r>
      <w:r>
        <w:rPr>
          <w:rFonts w:asciiTheme="majorBidi" w:hAnsiTheme="majorBidi" w:cstheme="majorBidi"/>
          <w:sz w:val="24"/>
          <w:szCs w:val="24"/>
        </w:rPr>
        <w:tab/>
      </w:r>
      <w:r>
        <w:rPr>
          <w:rFonts w:asciiTheme="majorBidi" w:hAnsiTheme="majorBidi" w:cstheme="majorBidi"/>
          <w:sz w:val="24"/>
          <w:szCs w:val="24"/>
        </w:rPr>
        <w:tab/>
        <w:t>Maternal mortality ratio</w:t>
      </w:r>
    </w:p>
    <w:p w14:paraId="6D5126D0" w14:textId="5107974F" w:rsidR="008840E1" w:rsidRDefault="008840E1">
      <w:pPr>
        <w:rPr>
          <w:rFonts w:asciiTheme="majorBidi" w:hAnsiTheme="majorBidi" w:cstheme="majorBidi"/>
          <w:sz w:val="24"/>
          <w:szCs w:val="24"/>
        </w:rPr>
      </w:pPr>
      <w:r>
        <w:rPr>
          <w:rFonts w:asciiTheme="majorBidi" w:hAnsiTheme="majorBidi" w:cstheme="majorBidi"/>
          <w:sz w:val="24"/>
          <w:szCs w:val="24"/>
        </w:rPr>
        <w:t>MNH</w:t>
      </w:r>
      <w:r>
        <w:rPr>
          <w:rFonts w:asciiTheme="majorBidi" w:hAnsiTheme="majorBidi" w:cstheme="majorBidi"/>
          <w:sz w:val="24"/>
          <w:szCs w:val="24"/>
        </w:rPr>
        <w:tab/>
      </w:r>
      <w:r>
        <w:rPr>
          <w:rFonts w:asciiTheme="majorBidi" w:hAnsiTheme="majorBidi" w:cstheme="majorBidi"/>
          <w:sz w:val="24"/>
          <w:szCs w:val="24"/>
        </w:rPr>
        <w:tab/>
        <w:t>Maternal and newborn health</w:t>
      </w:r>
    </w:p>
    <w:p w14:paraId="2B449E1F" w14:textId="306014BD" w:rsidR="007D76D2" w:rsidRDefault="007D76D2">
      <w:pPr>
        <w:rPr>
          <w:rFonts w:asciiTheme="majorBidi" w:hAnsiTheme="majorBidi" w:cstheme="majorBidi"/>
          <w:sz w:val="24"/>
          <w:szCs w:val="24"/>
        </w:rPr>
      </w:pPr>
      <w:r>
        <w:rPr>
          <w:rFonts w:asciiTheme="majorBidi" w:hAnsiTheme="majorBidi" w:cstheme="majorBidi"/>
          <w:sz w:val="24"/>
          <w:szCs w:val="24"/>
        </w:rPr>
        <w:t>OR</w:t>
      </w:r>
      <w:r>
        <w:rPr>
          <w:rFonts w:asciiTheme="majorBidi" w:hAnsiTheme="majorBidi" w:cstheme="majorBidi"/>
          <w:sz w:val="24"/>
          <w:szCs w:val="24"/>
        </w:rPr>
        <w:tab/>
      </w:r>
      <w:r>
        <w:rPr>
          <w:rFonts w:asciiTheme="majorBidi" w:hAnsiTheme="majorBidi" w:cstheme="majorBidi"/>
          <w:sz w:val="24"/>
          <w:szCs w:val="24"/>
        </w:rPr>
        <w:tab/>
        <w:t>Odds ratio</w:t>
      </w:r>
    </w:p>
    <w:p w14:paraId="7A7632EA" w14:textId="77777777" w:rsidR="008840E1" w:rsidRDefault="008840E1">
      <w:pPr>
        <w:rPr>
          <w:rFonts w:asciiTheme="majorBidi" w:hAnsiTheme="majorBidi" w:cstheme="majorBidi"/>
          <w:sz w:val="24"/>
          <w:szCs w:val="24"/>
        </w:rPr>
      </w:pPr>
      <w:r>
        <w:rPr>
          <w:rFonts w:asciiTheme="majorBidi" w:hAnsiTheme="majorBidi" w:cstheme="majorBidi"/>
          <w:sz w:val="24"/>
          <w:szCs w:val="24"/>
        </w:rPr>
        <w:t>PNC</w:t>
      </w:r>
      <w:r>
        <w:rPr>
          <w:rFonts w:asciiTheme="majorBidi" w:hAnsiTheme="majorBidi" w:cstheme="majorBidi"/>
          <w:sz w:val="24"/>
          <w:szCs w:val="24"/>
        </w:rPr>
        <w:tab/>
      </w:r>
      <w:r>
        <w:rPr>
          <w:rFonts w:asciiTheme="majorBidi" w:hAnsiTheme="majorBidi" w:cstheme="majorBidi"/>
          <w:sz w:val="24"/>
          <w:szCs w:val="24"/>
        </w:rPr>
        <w:tab/>
        <w:t>Postnatal care</w:t>
      </w:r>
    </w:p>
    <w:p w14:paraId="6E16B6CB" w14:textId="2F021C08" w:rsidR="008840E1" w:rsidRDefault="008840E1">
      <w:pPr>
        <w:rPr>
          <w:rFonts w:asciiTheme="majorBidi" w:hAnsiTheme="majorBidi" w:cstheme="majorBidi"/>
          <w:sz w:val="24"/>
          <w:szCs w:val="24"/>
        </w:rPr>
      </w:pPr>
      <w:r>
        <w:rPr>
          <w:rFonts w:asciiTheme="majorBidi" w:hAnsiTheme="majorBidi" w:cstheme="majorBidi"/>
          <w:sz w:val="24"/>
          <w:szCs w:val="24"/>
        </w:rPr>
        <w:t>SDG</w:t>
      </w:r>
      <w:r>
        <w:rPr>
          <w:rFonts w:asciiTheme="majorBidi" w:hAnsiTheme="majorBidi" w:cstheme="majorBidi"/>
          <w:sz w:val="24"/>
          <w:szCs w:val="24"/>
        </w:rPr>
        <w:tab/>
      </w:r>
      <w:r>
        <w:rPr>
          <w:rFonts w:asciiTheme="majorBidi" w:hAnsiTheme="majorBidi" w:cstheme="majorBidi"/>
          <w:sz w:val="24"/>
          <w:szCs w:val="24"/>
        </w:rPr>
        <w:tab/>
        <w:t>Sustainable Development Goal</w:t>
      </w:r>
    </w:p>
    <w:p w14:paraId="7EFA2F27" w14:textId="470C6C5B" w:rsidR="006A6C0B" w:rsidRDefault="006A6C0B">
      <w:pPr>
        <w:rPr>
          <w:rFonts w:asciiTheme="majorBidi" w:hAnsiTheme="majorBidi" w:cstheme="majorBidi"/>
          <w:sz w:val="24"/>
          <w:szCs w:val="24"/>
        </w:rPr>
      </w:pPr>
      <w:r>
        <w:rPr>
          <w:rFonts w:asciiTheme="majorBidi" w:hAnsiTheme="majorBidi" w:cstheme="majorBidi"/>
          <w:sz w:val="24"/>
          <w:szCs w:val="24"/>
        </w:rPr>
        <w:t>UN</w:t>
      </w:r>
      <w:r>
        <w:rPr>
          <w:rFonts w:asciiTheme="majorBidi" w:hAnsiTheme="majorBidi" w:cstheme="majorBidi"/>
          <w:sz w:val="24"/>
          <w:szCs w:val="24"/>
        </w:rPr>
        <w:tab/>
      </w:r>
      <w:r>
        <w:rPr>
          <w:rFonts w:asciiTheme="majorBidi" w:hAnsiTheme="majorBidi" w:cstheme="majorBidi"/>
          <w:sz w:val="24"/>
          <w:szCs w:val="24"/>
        </w:rPr>
        <w:tab/>
        <w:t>United Nations</w:t>
      </w:r>
    </w:p>
    <w:p w14:paraId="1877C24D" w14:textId="77777777" w:rsidR="008840E1" w:rsidRDefault="008840E1">
      <w:pPr>
        <w:rPr>
          <w:rFonts w:asciiTheme="majorBidi" w:hAnsiTheme="majorBidi" w:cstheme="majorBidi"/>
          <w:b/>
          <w:sz w:val="24"/>
          <w:szCs w:val="24"/>
        </w:rPr>
      </w:pPr>
    </w:p>
    <w:p w14:paraId="6596424D" w14:textId="447C42AD" w:rsidR="00972382" w:rsidRDefault="00972382" w:rsidP="00972382">
      <w:pPr>
        <w:spacing w:line="480" w:lineRule="auto"/>
        <w:rPr>
          <w:rFonts w:asciiTheme="majorBidi" w:hAnsiTheme="majorBidi" w:cstheme="majorBidi"/>
          <w:b/>
          <w:sz w:val="24"/>
          <w:szCs w:val="24"/>
        </w:rPr>
      </w:pPr>
      <w:r w:rsidRPr="00972382">
        <w:rPr>
          <w:rFonts w:asciiTheme="majorBidi" w:hAnsiTheme="majorBidi" w:cstheme="majorBidi"/>
          <w:b/>
          <w:sz w:val="24"/>
          <w:szCs w:val="24"/>
        </w:rPr>
        <w:t>Declarations</w:t>
      </w:r>
    </w:p>
    <w:p w14:paraId="056D1833" w14:textId="249B170D" w:rsidR="00972382" w:rsidRPr="00006D34" w:rsidRDefault="00972382" w:rsidP="00006D34">
      <w:pPr>
        <w:spacing w:line="480" w:lineRule="auto"/>
        <w:rPr>
          <w:rFonts w:asciiTheme="majorBidi" w:hAnsiTheme="majorBidi" w:cstheme="majorBidi"/>
          <w:sz w:val="24"/>
          <w:szCs w:val="24"/>
        </w:rPr>
      </w:pPr>
      <w:r w:rsidRPr="00972382">
        <w:rPr>
          <w:rFonts w:asciiTheme="majorBidi" w:hAnsiTheme="majorBidi" w:cstheme="majorBidi"/>
          <w:b/>
          <w:sz w:val="24"/>
          <w:szCs w:val="24"/>
        </w:rPr>
        <w:t>Ethics appro</w:t>
      </w:r>
      <w:r>
        <w:rPr>
          <w:rFonts w:asciiTheme="majorBidi" w:hAnsiTheme="majorBidi" w:cstheme="majorBidi"/>
          <w:b/>
          <w:sz w:val="24"/>
          <w:szCs w:val="24"/>
        </w:rPr>
        <w:t xml:space="preserve">val and consent to participate </w:t>
      </w:r>
      <w:r>
        <w:rPr>
          <w:rFonts w:asciiTheme="majorBidi" w:hAnsiTheme="majorBidi" w:cstheme="majorBidi"/>
          <w:b/>
          <w:sz w:val="24"/>
          <w:szCs w:val="24"/>
        </w:rPr>
        <w:br/>
      </w:r>
      <w:r w:rsidR="00ED3BD6" w:rsidRPr="00ED3BD6">
        <w:rPr>
          <w:rFonts w:asciiTheme="majorBidi" w:hAnsiTheme="majorBidi" w:cstheme="majorBidi"/>
          <w:sz w:val="24"/>
          <w:szCs w:val="24"/>
        </w:rPr>
        <w:t>Ethics approval for this study was submitted and approved through the University of Southampton Ethics and Research Governance Council (ethics approval ID 26474).</w:t>
      </w:r>
      <w:r w:rsidR="00006D34">
        <w:rPr>
          <w:rFonts w:asciiTheme="majorBidi" w:hAnsiTheme="majorBidi" w:cstheme="majorBidi"/>
          <w:sz w:val="24"/>
          <w:szCs w:val="24"/>
        </w:rPr>
        <w:t xml:space="preserve"> T</w:t>
      </w:r>
      <w:r w:rsidR="00006D34" w:rsidRPr="00006D34">
        <w:rPr>
          <w:rFonts w:asciiTheme="majorBidi" w:hAnsiTheme="majorBidi" w:cstheme="majorBidi"/>
          <w:sz w:val="24"/>
          <w:szCs w:val="24"/>
        </w:rPr>
        <w:t xml:space="preserve">he data used in these analyses were obtained from the Demographic and Health Surveys </w:t>
      </w:r>
      <w:r w:rsidR="00036B09">
        <w:rPr>
          <w:rFonts w:asciiTheme="majorBidi" w:hAnsiTheme="majorBidi" w:cstheme="majorBidi"/>
          <w:sz w:val="24"/>
          <w:szCs w:val="24"/>
        </w:rPr>
        <w:t xml:space="preserve">(DHS) </w:t>
      </w:r>
      <w:r w:rsidR="00006D34" w:rsidRPr="00006D34">
        <w:rPr>
          <w:rFonts w:asciiTheme="majorBidi" w:hAnsiTheme="majorBidi" w:cstheme="majorBidi"/>
          <w:sz w:val="24"/>
          <w:szCs w:val="24"/>
        </w:rPr>
        <w:t>Program, which makes</w:t>
      </w:r>
      <w:r w:rsidR="00036B09">
        <w:rPr>
          <w:rFonts w:asciiTheme="majorBidi" w:hAnsiTheme="majorBidi" w:cstheme="majorBidi"/>
          <w:sz w:val="24"/>
          <w:szCs w:val="24"/>
        </w:rPr>
        <w:t xml:space="preserve"> global health and demographic</w:t>
      </w:r>
      <w:r w:rsidR="00006D34" w:rsidRPr="00006D34">
        <w:rPr>
          <w:rFonts w:asciiTheme="majorBidi" w:hAnsiTheme="majorBidi" w:cstheme="majorBidi"/>
          <w:sz w:val="24"/>
          <w:szCs w:val="24"/>
        </w:rPr>
        <w:t xml:space="preserve"> data confidentially and freely available </w:t>
      </w:r>
      <w:r w:rsidR="00036B09">
        <w:rPr>
          <w:rFonts w:asciiTheme="majorBidi" w:hAnsiTheme="majorBidi" w:cstheme="majorBidi"/>
          <w:sz w:val="24"/>
          <w:szCs w:val="24"/>
        </w:rPr>
        <w:t>to researchers across the world. More information on how the DHS program conducts the</w:t>
      </w:r>
      <w:r w:rsidR="00006D34" w:rsidRPr="00006D34">
        <w:rPr>
          <w:rFonts w:asciiTheme="majorBidi" w:hAnsiTheme="majorBidi" w:cstheme="majorBidi"/>
          <w:sz w:val="24"/>
          <w:szCs w:val="24"/>
        </w:rPr>
        <w:t xml:space="preserve"> Informed Consent process </w:t>
      </w:r>
      <w:r w:rsidR="00036B09">
        <w:rPr>
          <w:rFonts w:asciiTheme="majorBidi" w:hAnsiTheme="majorBidi" w:cstheme="majorBidi"/>
          <w:sz w:val="24"/>
          <w:szCs w:val="24"/>
        </w:rPr>
        <w:t xml:space="preserve">can be found </w:t>
      </w:r>
      <w:r w:rsidR="00006D34" w:rsidRPr="00006D34">
        <w:rPr>
          <w:rFonts w:asciiTheme="majorBidi" w:hAnsiTheme="majorBidi" w:cstheme="majorBidi"/>
          <w:sz w:val="24"/>
          <w:szCs w:val="24"/>
        </w:rPr>
        <w:t xml:space="preserve">at </w:t>
      </w:r>
      <w:hyperlink r:id="rId17" w:history="1">
        <w:r w:rsidR="00036B09" w:rsidRPr="00362A86">
          <w:rPr>
            <w:rStyle w:val="Hyperlink"/>
            <w:rFonts w:asciiTheme="majorBidi" w:hAnsiTheme="majorBidi" w:cstheme="majorBidi"/>
            <w:sz w:val="24"/>
            <w:szCs w:val="24"/>
          </w:rPr>
          <w:t>https://dhsprogram.com/What-We-Do/Protecting-the-Privacy-of-DHS-Survey-Respondents.cfm</w:t>
        </w:r>
      </w:hyperlink>
      <w:r w:rsidR="00006D34" w:rsidRPr="00006D34">
        <w:rPr>
          <w:rFonts w:asciiTheme="majorBidi" w:hAnsiTheme="majorBidi" w:cstheme="majorBidi"/>
          <w:sz w:val="24"/>
          <w:szCs w:val="24"/>
        </w:rPr>
        <w:t>.</w:t>
      </w:r>
      <w:r w:rsidR="00036B09">
        <w:rPr>
          <w:rFonts w:asciiTheme="majorBidi" w:hAnsiTheme="majorBidi" w:cstheme="majorBidi"/>
          <w:sz w:val="24"/>
          <w:szCs w:val="24"/>
        </w:rPr>
        <w:t xml:space="preserve"> </w:t>
      </w:r>
    </w:p>
    <w:p w14:paraId="7D1E9942" w14:textId="7743E387" w:rsidR="00972382" w:rsidRPr="00972382" w:rsidRDefault="00972382" w:rsidP="00972382">
      <w:pPr>
        <w:spacing w:line="480" w:lineRule="auto"/>
        <w:rPr>
          <w:rFonts w:asciiTheme="majorBidi" w:hAnsiTheme="majorBidi" w:cstheme="majorBidi"/>
          <w:b/>
          <w:sz w:val="24"/>
          <w:szCs w:val="24"/>
        </w:rPr>
      </w:pPr>
      <w:r>
        <w:rPr>
          <w:rFonts w:asciiTheme="majorBidi" w:hAnsiTheme="majorBidi" w:cstheme="majorBidi"/>
          <w:b/>
          <w:sz w:val="24"/>
          <w:szCs w:val="24"/>
        </w:rPr>
        <w:t>Consent for publication</w:t>
      </w:r>
      <w:r w:rsidR="00ED3BD6">
        <w:rPr>
          <w:rFonts w:asciiTheme="majorBidi" w:hAnsiTheme="majorBidi" w:cstheme="majorBidi"/>
          <w:b/>
          <w:sz w:val="24"/>
          <w:szCs w:val="24"/>
        </w:rPr>
        <w:br/>
      </w:r>
      <w:r w:rsidR="00ED3BD6">
        <w:rPr>
          <w:rFonts w:asciiTheme="majorBidi" w:hAnsiTheme="majorBidi" w:cstheme="majorBidi"/>
          <w:sz w:val="24"/>
          <w:szCs w:val="24"/>
        </w:rPr>
        <w:t>Not applicable</w:t>
      </w:r>
      <w:r w:rsidRPr="00972382">
        <w:rPr>
          <w:rFonts w:asciiTheme="majorBidi" w:hAnsiTheme="majorBidi" w:cstheme="majorBidi"/>
          <w:sz w:val="24"/>
          <w:szCs w:val="24"/>
        </w:rPr>
        <w:t xml:space="preserve"> </w:t>
      </w:r>
    </w:p>
    <w:p w14:paraId="78A9B422" w14:textId="489E2F7E" w:rsidR="00972382" w:rsidRPr="00972382" w:rsidRDefault="00972382" w:rsidP="00972382">
      <w:pPr>
        <w:spacing w:line="480" w:lineRule="auto"/>
        <w:rPr>
          <w:rFonts w:asciiTheme="majorBidi" w:hAnsiTheme="majorBidi" w:cstheme="majorBidi"/>
          <w:b/>
          <w:sz w:val="24"/>
          <w:szCs w:val="24"/>
        </w:rPr>
      </w:pPr>
      <w:r w:rsidRPr="00972382">
        <w:rPr>
          <w:rFonts w:asciiTheme="majorBidi" w:hAnsiTheme="majorBidi" w:cstheme="majorBidi"/>
          <w:b/>
          <w:sz w:val="24"/>
          <w:szCs w:val="24"/>
        </w:rPr>
        <w:t>Ava</w:t>
      </w:r>
      <w:r>
        <w:rPr>
          <w:rFonts w:asciiTheme="majorBidi" w:hAnsiTheme="majorBidi" w:cstheme="majorBidi"/>
          <w:b/>
          <w:sz w:val="24"/>
          <w:szCs w:val="24"/>
        </w:rPr>
        <w:t>ilability of data and materials</w:t>
      </w:r>
      <w:r w:rsidR="00ED3BD6">
        <w:rPr>
          <w:rFonts w:asciiTheme="majorBidi" w:hAnsiTheme="majorBidi" w:cstheme="majorBidi"/>
          <w:b/>
          <w:sz w:val="24"/>
          <w:szCs w:val="24"/>
        </w:rPr>
        <w:br/>
      </w:r>
      <w:r w:rsidR="00ED3BD6" w:rsidRPr="00ED3BD6">
        <w:rPr>
          <w:rFonts w:asciiTheme="majorBidi" w:hAnsiTheme="majorBidi" w:cstheme="majorBidi"/>
          <w:sz w:val="24"/>
          <w:szCs w:val="24"/>
        </w:rPr>
        <w:t>The datasets generated during the cur</w:t>
      </w:r>
      <w:r w:rsidR="00ED3BD6">
        <w:rPr>
          <w:rFonts w:asciiTheme="majorBidi" w:hAnsiTheme="majorBidi" w:cstheme="majorBidi"/>
          <w:sz w:val="24"/>
          <w:szCs w:val="24"/>
        </w:rPr>
        <w:t xml:space="preserve">rent study are available in the WorldPop repository, available at </w:t>
      </w:r>
      <w:hyperlink r:id="rId18" w:history="1">
        <w:r w:rsidR="00A22C22" w:rsidRPr="00D67BB5">
          <w:rPr>
            <w:rStyle w:val="Hyperlink"/>
            <w:rFonts w:asciiTheme="majorBidi" w:hAnsiTheme="majorBidi" w:cstheme="majorBidi"/>
            <w:sz w:val="24"/>
            <w:szCs w:val="24"/>
          </w:rPr>
          <w:t>www.worldpop.org</w:t>
        </w:r>
      </w:hyperlink>
      <w:r w:rsidR="00ED3BD6">
        <w:rPr>
          <w:rFonts w:asciiTheme="majorBidi" w:hAnsiTheme="majorBidi" w:cstheme="majorBidi"/>
          <w:sz w:val="24"/>
          <w:szCs w:val="24"/>
        </w:rPr>
        <w:t>.</w:t>
      </w:r>
      <w:r w:rsidR="00A22C22">
        <w:rPr>
          <w:rFonts w:asciiTheme="majorBidi" w:hAnsiTheme="majorBidi" w:cstheme="majorBidi"/>
          <w:sz w:val="24"/>
          <w:szCs w:val="24"/>
        </w:rPr>
        <w:t xml:space="preserve"> Datasets used in analysis are freely available through the DHS program, </w:t>
      </w:r>
      <w:hyperlink r:id="rId19" w:history="1">
        <w:r w:rsidR="00A22C22" w:rsidRPr="00D67BB5">
          <w:rPr>
            <w:rStyle w:val="Hyperlink"/>
            <w:rFonts w:asciiTheme="majorBidi" w:hAnsiTheme="majorBidi" w:cstheme="majorBidi"/>
            <w:sz w:val="24"/>
            <w:szCs w:val="24"/>
          </w:rPr>
          <w:t>www.dhsprogram.com</w:t>
        </w:r>
      </w:hyperlink>
      <w:r w:rsidR="00A22C22">
        <w:rPr>
          <w:rFonts w:asciiTheme="majorBidi" w:hAnsiTheme="majorBidi" w:cstheme="majorBidi"/>
          <w:sz w:val="24"/>
          <w:szCs w:val="24"/>
        </w:rPr>
        <w:t xml:space="preserve">. </w:t>
      </w:r>
    </w:p>
    <w:p w14:paraId="55A59E99" w14:textId="25F81458" w:rsidR="00972382" w:rsidRPr="00972382" w:rsidRDefault="00972382" w:rsidP="00972382">
      <w:pPr>
        <w:spacing w:line="480" w:lineRule="auto"/>
        <w:rPr>
          <w:rFonts w:asciiTheme="majorBidi" w:hAnsiTheme="majorBidi" w:cstheme="majorBidi"/>
          <w:b/>
          <w:sz w:val="24"/>
          <w:szCs w:val="24"/>
        </w:rPr>
      </w:pPr>
      <w:r>
        <w:rPr>
          <w:rFonts w:asciiTheme="majorBidi" w:hAnsiTheme="majorBidi" w:cstheme="majorBidi"/>
          <w:b/>
          <w:sz w:val="24"/>
          <w:szCs w:val="24"/>
        </w:rPr>
        <w:t>Competing interests</w:t>
      </w:r>
      <w:r>
        <w:rPr>
          <w:rFonts w:asciiTheme="majorBidi" w:hAnsiTheme="majorBidi" w:cstheme="majorBidi"/>
          <w:b/>
          <w:sz w:val="24"/>
          <w:szCs w:val="24"/>
        </w:rPr>
        <w:br/>
      </w:r>
      <w:r w:rsidRPr="00972382">
        <w:rPr>
          <w:rFonts w:asciiTheme="majorBidi" w:hAnsiTheme="majorBidi" w:cstheme="majorBidi"/>
          <w:sz w:val="24"/>
          <w:szCs w:val="24"/>
        </w:rPr>
        <w:t>The authors declare no competing interests.</w:t>
      </w:r>
    </w:p>
    <w:p w14:paraId="4DC24865" w14:textId="77777777" w:rsidR="00972382" w:rsidRPr="00972382" w:rsidRDefault="00972382" w:rsidP="00972382">
      <w:pPr>
        <w:spacing w:line="480" w:lineRule="auto"/>
        <w:rPr>
          <w:rFonts w:asciiTheme="majorBidi" w:hAnsiTheme="majorBidi" w:cstheme="majorBidi"/>
          <w:b/>
          <w:sz w:val="24"/>
          <w:szCs w:val="24"/>
        </w:rPr>
      </w:pPr>
      <w:r w:rsidRPr="00972382">
        <w:rPr>
          <w:rFonts w:asciiTheme="majorBidi" w:hAnsiTheme="majorBidi" w:cstheme="majorBidi"/>
          <w:b/>
          <w:sz w:val="24"/>
          <w:szCs w:val="24"/>
        </w:rPr>
        <w:t>Funding</w:t>
      </w:r>
    </w:p>
    <w:p w14:paraId="516BDB4F" w14:textId="0A7B24D4" w:rsidR="00972382" w:rsidRPr="00ED3BD6" w:rsidRDefault="00ED3BD6" w:rsidP="00ED3BD6">
      <w:pPr>
        <w:spacing w:line="480" w:lineRule="auto"/>
        <w:rPr>
          <w:rFonts w:asciiTheme="majorBidi" w:hAnsiTheme="majorBidi" w:cstheme="majorBidi"/>
          <w:b/>
          <w:sz w:val="24"/>
          <w:szCs w:val="24"/>
        </w:rPr>
      </w:pPr>
      <w:r w:rsidRPr="00972382">
        <w:rPr>
          <w:rFonts w:asciiTheme="majorBidi" w:hAnsiTheme="majorBidi" w:cstheme="majorBidi"/>
          <w:sz w:val="24"/>
          <w:szCs w:val="24"/>
        </w:rPr>
        <w:t>This work was supported by the UK Economic and Social Research Council’s Doctoral Training Programme which funds CWR.</w:t>
      </w:r>
      <w:r>
        <w:rPr>
          <w:rFonts w:asciiTheme="majorBidi" w:hAnsiTheme="majorBidi" w:cstheme="majorBidi"/>
          <w:sz w:val="24"/>
          <w:szCs w:val="24"/>
        </w:rPr>
        <w:t xml:space="preserve"> </w:t>
      </w:r>
      <w:r w:rsidR="00972382" w:rsidRPr="00972382">
        <w:rPr>
          <w:rFonts w:asciiTheme="majorBidi" w:hAnsiTheme="majorBidi" w:cstheme="majorBidi"/>
          <w:sz w:val="24"/>
          <w:szCs w:val="24"/>
        </w:rPr>
        <w:t xml:space="preserve">AJT is supported by funding from the Bill &amp; Melinda Gates Foundation (OPP1182408, OPP1106427, 1032350, OPP1134076), the Clinton Health Access Initiative, National Institutes of Health, a Wellcome Trust Sustaining Health Grant (106866/Z/15/Z), and funds from DFID and the Wellcome Trust (204613/Z/16/Z). </w:t>
      </w:r>
    </w:p>
    <w:p w14:paraId="4CAB9C90" w14:textId="423315AE" w:rsidR="00972382" w:rsidRPr="001A40F1" w:rsidRDefault="00972382" w:rsidP="00ED3BD6">
      <w:pPr>
        <w:spacing w:line="480" w:lineRule="auto"/>
        <w:rPr>
          <w:rFonts w:asciiTheme="majorBidi" w:hAnsiTheme="majorBidi" w:cstheme="majorBidi"/>
          <w:sz w:val="24"/>
          <w:szCs w:val="24"/>
        </w:rPr>
      </w:pPr>
      <w:r>
        <w:rPr>
          <w:rFonts w:asciiTheme="majorBidi" w:hAnsiTheme="majorBidi" w:cstheme="majorBidi"/>
          <w:b/>
          <w:sz w:val="24"/>
          <w:szCs w:val="24"/>
        </w:rPr>
        <w:t>Authors contributions</w:t>
      </w:r>
      <w:r>
        <w:rPr>
          <w:rFonts w:asciiTheme="majorBidi" w:hAnsiTheme="majorBidi" w:cstheme="majorBidi"/>
          <w:b/>
          <w:sz w:val="24"/>
          <w:szCs w:val="24"/>
        </w:rPr>
        <w:br/>
      </w:r>
      <w:r w:rsidR="00ED3BD6">
        <w:rPr>
          <w:rFonts w:asciiTheme="majorBidi" w:hAnsiTheme="majorBidi" w:cstheme="majorBidi"/>
          <w:sz w:val="24"/>
          <w:szCs w:val="24"/>
        </w:rPr>
        <w:t>Conceptualization: CWR ZM AJT</w:t>
      </w:r>
      <w:r w:rsidR="001A40F1">
        <w:rPr>
          <w:rFonts w:asciiTheme="majorBidi" w:hAnsiTheme="majorBidi" w:cstheme="majorBidi"/>
          <w:sz w:val="24"/>
          <w:szCs w:val="24"/>
        </w:rPr>
        <w:br/>
      </w:r>
      <w:r w:rsidR="00ED3BD6" w:rsidRPr="00ED3BD6">
        <w:rPr>
          <w:rFonts w:asciiTheme="majorBidi" w:hAnsiTheme="majorBidi" w:cstheme="majorBidi"/>
          <w:sz w:val="24"/>
          <w:szCs w:val="24"/>
        </w:rPr>
        <w:t xml:space="preserve">Formal analysis: CWR </w:t>
      </w:r>
      <w:r w:rsidR="001A40F1">
        <w:rPr>
          <w:rFonts w:asciiTheme="majorBidi" w:hAnsiTheme="majorBidi" w:cstheme="majorBidi"/>
          <w:sz w:val="24"/>
          <w:szCs w:val="24"/>
        </w:rPr>
        <w:br/>
      </w:r>
      <w:r w:rsidR="00ED3BD6" w:rsidRPr="00ED3BD6">
        <w:rPr>
          <w:rFonts w:asciiTheme="majorBidi" w:hAnsiTheme="majorBidi" w:cstheme="majorBidi"/>
          <w:sz w:val="24"/>
          <w:szCs w:val="24"/>
        </w:rPr>
        <w:t xml:space="preserve">Methodology: CWR </w:t>
      </w:r>
      <w:r w:rsidR="00ED3BD6">
        <w:rPr>
          <w:rFonts w:asciiTheme="majorBidi" w:hAnsiTheme="majorBidi" w:cstheme="majorBidi"/>
          <w:sz w:val="24"/>
          <w:szCs w:val="24"/>
        </w:rPr>
        <w:t>KN VAA</w:t>
      </w:r>
      <w:r w:rsidR="009D2A24">
        <w:rPr>
          <w:rFonts w:asciiTheme="majorBidi" w:hAnsiTheme="majorBidi" w:cstheme="majorBidi"/>
          <w:sz w:val="24"/>
          <w:szCs w:val="24"/>
        </w:rPr>
        <w:t xml:space="preserve"> CB</w:t>
      </w:r>
      <w:r w:rsidR="001A40F1">
        <w:rPr>
          <w:rFonts w:asciiTheme="majorBidi" w:hAnsiTheme="majorBidi" w:cstheme="majorBidi"/>
          <w:sz w:val="24"/>
          <w:szCs w:val="24"/>
        </w:rPr>
        <w:br/>
      </w:r>
      <w:r w:rsidR="00ED3BD6">
        <w:rPr>
          <w:rFonts w:asciiTheme="majorBidi" w:hAnsiTheme="majorBidi" w:cstheme="majorBidi"/>
          <w:sz w:val="24"/>
          <w:szCs w:val="24"/>
        </w:rPr>
        <w:t>Supervision: ZM AJT</w:t>
      </w:r>
      <w:r w:rsidR="001A40F1">
        <w:rPr>
          <w:rFonts w:asciiTheme="majorBidi" w:hAnsiTheme="majorBidi" w:cstheme="majorBidi"/>
          <w:sz w:val="24"/>
          <w:szCs w:val="24"/>
        </w:rPr>
        <w:br/>
      </w:r>
      <w:r w:rsidR="00ED3BD6">
        <w:rPr>
          <w:rFonts w:asciiTheme="majorBidi" w:hAnsiTheme="majorBidi" w:cstheme="majorBidi"/>
          <w:sz w:val="24"/>
          <w:szCs w:val="24"/>
        </w:rPr>
        <w:t>Visualization: CWR</w:t>
      </w:r>
      <w:r w:rsidR="001A40F1">
        <w:rPr>
          <w:rFonts w:asciiTheme="majorBidi" w:hAnsiTheme="majorBidi" w:cstheme="majorBidi"/>
          <w:sz w:val="24"/>
          <w:szCs w:val="24"/>
        </w:rPr>
        <w:br/>
      </w:r>
      <w:r w:rsidR="00ED3BD6" w:rsidRPr="00ED3BD6">
        <w:rPr>
          <w:rFonts w:asciiTheme="majorBidi" w:hAnsiTheme="majorBidi" w:cstheme="majorBidi"/>
          <w:sz w:val="24"/>
          <w:szCs w:val="24"/>
        </w:rPr>
        <w:t xml:space="preserve">Writing – original draft: CWR </w:t>
      </w:r>
      <w:r w:rsidR="001A40F1">
        <w:rPr>
          <w:rFonts w:asciiTheme="majorBidi" w:hAnsiTheme="majorBidi" w:cstheme="majorBidi"/>
          <w:sz w:val="24"/>
          <w:szCs w:val="24"/>
        </w:rPr>
        <w:br/>
      </w:r>
      <w:r w:rsidR="00ED3BD6" w:rsidRPr="00ED3BD6">
        <w:rPr>
          <w:rFonts w:asciiTheme="majorBidi" w:hAnsiTheme="majorBidi" w:cstheme="majorBidi"/>
          <w:sz w:val="24"/>
          <w:szCs w:val="24"/>
        </w:rPr>
        <w:t xml:space="preserve">Writing – review &amp; editing: </w:t>
      </w:r>
      <w:r w:rsidR="00ED3BD6">
        <w:rPr>
          <w:rFonts w:asciiTheme="majorBidi" w:hAnsiTheme="majorBidi" w:cstheme="majorBidi"/>
          <w:sz w:val="24"/>
          <w:szCs w:val="24"/>
        </w:rPr>
        <w:t>CWR KN ZM AJT</w:t>
      </w:r>
      <w:r w:rsidR="00196FF8">
        <w:rPr>
          <w:rFonts w:asciiTheme="majorBidi" w:hAnsiTheme="majorBidi" w:cstheme="majorBidi"/>
          <w:sz w:val="24"/>
          <w:szCs w:val="24"/>
        </w:rPr>
        <w:t xml:space="preserve"> CB</w:t>
      </w:r>
      <w:r w:rsidR="00F960FC">
        <w:rPr>
          <w:rFonts w:asciiTheme="majorBidi" w:hAnsiTheme="majorBidi" w:cstheme="majorBidi"/>
          <w:sz w:val="24"/>
          <w:szCs w:val="24"/>
        </w:rPr>
        <w:t xml:space="preserve"> RA AC</w:t>
      </w:r>
      <w:r w:rsidR="00006D34">
        <w:rPr>
          <w:rFonts w:asciiTheme="majorBidi" w:hAnsiTheme="majorBidi" w:cstheme="majorBidi"/>
          <w:sz w:val="24"/>
          <w:szCs w:val="24"/>
        </w:rPr>
        <w:br/>
        <w:t>Interpretation of data and results: CWR KN RA AC</w:t>
      </w:r>
      <w:r w:rsidR="001A40F1">
        <w:rPr>
          <w:rFonts w:asciiTheme="majorBidi" w:hAnsiTheme="majorBidi" w:cstheme="majorBidi"/>
          <w:sz w:val="24"/>
          <w:szCs w:val="24"/>
        </w:rPr>
        <w:br/>
        <w:t>A</w:t>
      </w:r>
      <w:r w:rsidR="001A40F1" w:rsidRPr="001A40F1">
        <w:rPr>
          <w:rFonts w:asciiTheme="majorBidi" w:hAnsiTheme="majorBidi" w:cstheme="majorBidi"/>
          <w:sz w:val="24"/>
          <w:szCs w:val="24"/>
        </w:rPr>
        <w:t>ll authors</w:t>
      </w:r>
      <w:r w:rsidR="00A22C22">
        <w:rPr>
          <w:rFonts w:asciiTheme="majorBidi" w:hAnsiTheme="majorBidi" w:cstheme="majorBidi"/>
          <w:sz w:val="24"/>
          <w:szCs w:val="24"/>
        </w:rPr>
        <w:t xml:space="preserve"> have</w:t>
      </w:r>
      <w:r w:rsidR="001A40F1" w:rsidRPr="001A40F1">
        <w:rPr>
          <w:rFonts w:asciiTheme="majorBidi" w:hAnsiTheme="majorBidi" w:cstheme="majorBidi"/>
          <w:sz w:val="24"/>
          <w:szCs w:val="24"/>
        </w:rPr>
        <w:t xml:space="preserve"> read and approved the final manuscript.</w:t>
      </w:r>
    </w:p>
    <w:p w14:paraId="37C00241" w14:textId="77777777" w:rsidR="00972382" w:rsidRPr="00972382" w:rsidRDefault="00972382" w:rsidP="00972382">
      <w:pPr>
        <w:spacing w:line="480" w:lineRule="auto"/>
        <w:rPr>
          <w:rFonts w:asciiTheme="majorBidi" w:hAnsiTheme="majorBidi" w:cstheme="majorBidi"/>
          <w:b/>
          <w:sz w:val="24"/>
          <w:szCs w:val="24"/>
        </w:rPr>
      </w:pPr>
      <w:r w:rsidRPr="00972382">
        <w:rPr>
          <w:rFonts w:asciiTheme="majorBidi" w:hAnsiTheme="majorBidi" w:cstheme="majorBidi"/>
          <w:b/>
          <w:sz w:val="24"/>
          <w:szCs w:val="24"/>
        </w:rPr>
        <w:t>Acknowledgements</w:t>
      </w:r>
    </w:p>
    <w:p w14:paraId="5B195E7A" w14:textId="344FAC8A" w:rsidR="00067BA8" w:rsidRDefault="00972382" w:rsidP="00972382">
      <w:pPr>
        <w:spacing w:line="480" w:lineRule="auto"/>
        <w:rPr>
          <w:rFonts w:asciiTheme="majorBidi" w:hAnsiTheme="majorBidi" w:cstheme="majorBidi"/>
          <w:sz w:val="24"/>
          <w:szCs w:val="24"/>
        </w:rPr>
        <w:sectPr w:rsidR="00067BA8" w:rsidSect="00ED0F8C">
          <w:footerReference w:type="default" r:id="rId20"/>
          <w:pgSz w:w="11906" w:h="16838"/>
          <w:pgMar w:top="1440" w:right="1080" w:bottom="1440" w:left="1080" w:header="708" w:footer="708" w:gutter="0"/>
          <w:lnNumType w:countBy="1"/>
          <w:cols w:space="708"/>
          <w:docGrid w:linePitch="360"/>
        </w:sectPr>
      </w:pPr>
      <w:r w:rsidRPr="00972382">
        <w:rPr>
          <w:rFonts w:asciiTheme="majorBidi" w:hAnsiTheme="majorBidi" w:cstheme="majorBidi"/>
          <w:sz w:val="24"/>
          <w:szCs w:val="24"/>
        </w:rPr>
        <w:t>This work forms part of the output of WorldPop (www.worldpop.org) and the Flowminder Foundation (</w:t>
      </w:r>
      <w:r w:rsidR="00A22C22">
        <w:rPr>
          <w:rFonts w:asciiTheme="majorBidi" w:hAnsiTheme="majorBidi" w:cstheme="majorBidi"/>
          <w:sz w:val="24"/>
          <w:szCs w:val="24"/>
        </w:rPr>
        <w:t>www.flowminder.org). The authors</w:t>
      </w:r>
      <w:r w:rsidRPr="00972382">
        <w:rPr>
          <w:rFonts w:asciiTheme="majorBidi" w:hAnsiTheme="majorBidi" w:cstheme="majorBidi"/>
          <w:sz w:val="24"/>
          <w:szCs w:val="24"/>
        </w:rPr>
        <w:t xml:space="preserve"> would like to </w:t>
      </w:r>
      <w:r w:rsidR="00617318">
        <w:rPr>
          <w:rFonts w:asciiTheme="majorBidi" w:hAnsiTheme="majorBidi" w:cstheme="majorBidi"/>
          <w:sz w:val="24"/>
          <w:szCs w:val="24"/>
        </w:rPr>
        <w:t xml:space="preserve">thank </w:t>
      </w:r>
      <w:r w:rsidR="001A40F1">
        <w:rPr>
          <w:rFonts w:asciiTheme="majorBidi" w:hAnsiTheme="majorBidi" w:cstheme="majorBidi"/>
          <w:sz w:val="24"/>
          <w:szCs w:val="24"/>
        </w:rPr>
        <w:t>NWR for discussing data visualization</w:t>
      </w:r>
      <w:r w:rsidR="00A22C22">
        <w:rPr>
          <w:rFonts w:asciiTheme="majorBidi" w:hAnsiTheme="majorBidi" w:cstheme="majorBidi"/>
          <w:sz w:val="24"/>
          <w:szCs w:val="24"/>
        </w:rPr>
        <w:t xml:space="preserve"> techniques</w:t>
      </w:r>
      <w:r w:rsidR="001A40F1">
        <w:rPr>
          <w:rFonts w:asciiTheme="majorBidi" w:hAnsiTheme="majorBidi" w:cstheme="majorBidi"/>
          <w:sz w:val="24"/>
          <w:szCs w:val="24"/>
        </w:rPr>
        <w:t xml:space="preserve"> for this manuscript</w:t>
      </w:r>
      <w:r w:rsidR="00A22C22">
        <w:rPr>
          <w:rFonts w:asciiTheme="majorBidi" w:hAnsiTheme="majorBidi" w:cstheme="majorBidi"/>
          <w:sz w:val="24"/>
          <w:szCs w:val="24"/>
        </w:rPr>
        <w:t>, and colleagues at the EAC Secretariat Headquarters for their ongoing support and feedback on these analyses</w:t>
      </w:r>
      <w:r w:rsidR="001A40F1">
        <w:rPr>
          <w:rFonts w:asciiTheme="majorBidi" w:hAnsiTheme="majorBidi" w:cstheme="majorBidi"/>
          <w:sz w:val="24"/>
          <w:szCs w:val="24"/>
        </w:rPr>
        <w:t>. CWR</w:t>
      </w:r>
      <w:r w:rsidRPr="00972382">
        <w:rPr>
          <w:rFonts w:asciiTheme="majorBidi" w:hAnsiTheme="majorBidi" w:cstheme="majorBidi"/>
          <w:sz w:val="24"/>
          <w:szCs w:val="24"/>
        </w:rPr>
        <w:t xml:space="preserve"> would also like to thank OP for support and for lending an open ear thro</w:t>
      </w:r>
      <w:r w:rsidR="0040476C">
        <w:rPr>
          <w:rFonts w:asciiTheme="majorBidi" w:hAnsiTheme="majorBidi" w:cstheme="majorBidi"/>
          <w:sz w:val="24"/>
          <w:szCs w:val="24"/>
        </w:rPr>
        <w:t>ughout the data analysis process</w:t>
      </w:r>
      <w:r w:rsidR="001A40F1">
        <w:rPr>
          <w:rFonts w:asciiTheme="majorBidi" w:hAnsiTheme="majorBidi" w:cstheme="majorBidi"/>
          <w:sz w:val="24"/>
          <w:szCs w:val="24"/>
        </w:rPr>
        <w:t xml:space="preserve">. </w:t>
      </w:r>
    </w:p>
    <w:p w14:paraId="0F948D39" w14:textId="4EBF5708" w:rsidR="007B56B6" w:rsidRPr="007B56B6" w:rsidRDefault="007B56B6" w:rsidP="005C41D6">
      <w:pPr>
        <w:spacing w:line="480" w:lineRule="auto"/>
        <w:rPr>
          <w:rFonts w:asciiTheme="majorBidi" w:hAnsiTheme="majorBidi" w:cstheme="majorBidi"/>
          <w:b/>
          <w:bCs/>
          <w:sz w:val="24"/>
          <w:szCs w:val="24"/>
        </w:rPr>
      </w:pPr>
      <w:r>
        <w:rPr>
          <w:rFonts w:asciiTheme="majorBidi" w:hAnsiTheme="majorBidi" w:cstheme="majorBidi"/>
          <w:b/>
          <w:bCs/>
          <w:sz w:val="24"/>
          <w:szCs w:val="24"/>
        </w:rPr>
        <w:t>References</w:t>
      </w:r>
    </w:p>
    <w:p w14:paraId="17C0AFFE" w14:textId="27011CC5" w:rsidR="00373419" w:rsidRDefault="00CD6757" w:rsidP="0076525E">
      <w:pPr>
        <w:pStyle w:val="Bibliography"/>
        <w:rPr>
          <w:rFonts w:ascii="Times New Roman" w:hAnsi="Times New Roman" w:cs="Times New Roman"/>
          <w:sz w:val="24"/>
          <w:szCs w:val="24"/>
        </w:rPr>
      </w:pPr>
      <w:r w:rsidRPr="0076525E">
        <w:fldChar w:fldCharType="begin"/>
      </w:r>
      <w:r w:rsidR="00197416">
        <w:instrText xml:space="preserve"> ADDIN ZOTERO_BIBL {"uncited":[],"omitted":[],"custom":[]} CSL_BIBLIOGRAPHY </w:instrText>
      </w:r>
      <w:r w:rsidRPr="0076525E">
        <w:fldChar w:fldCharType="separate"/>
      </w:r>
      <w:r w:rsidR="00373419">
        <w:rPr>
          <w:rFonts w:ascii="Times New Roman" w:hAnsi="Times New Roman" w:cs="Times New Roman"/>
          <w:sz w:val="24"/>
          <w:szCs w:val="24"/>
        </w:rPr>
        <w:t>1. Boerma J, Bryce J, Kinfu Y, Axelson H, Victora C. Mind the gap: equity and trends in coverage of maternal, newborn, and child health services in 54 Countdown countries. Lancet Lond Engl. 2008;371:1259–67.</w:t>
      </w:r>
    </w:p>
    <w:p w14:paraId="562C67C2"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2. Nguhiu PK, Barasa EW, Chuma J. Determining the effective coverage of maternal and child health services in Kenya, using demographic and health survey data sets: tracking progress towards universal health coverage. Trop Med Int Health. 2017;22:442–53.</w:t>
      </w:r>
    </w:p>
    <w:p w14:paraId="00955812"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3. WHO, UNICEF, World Bank, UNFPA, United Nations Population Division. Trends in Maternal Mortality: 1990 to 2015. World Health Organization; 2015. http://apps.who.int/iris/bitstream/10665/194254/1/9789241565141_eng.pdf?ua=1. Accessed 20 Jan 2017.</w:t>
      </w:r>
    </w:p>
    <w:p w14:paraId="7C604ECD"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4. WHO. State of inequality: Reproductive, maternal, newborn and child health. Geneva, Switzerland: World Health Organization; 2015. http://apps.who.int/iris/bitstream/10665/164590/1/9789241564908_eng.pdf?ua=1&amp;ua=1.</w:t>
      </w:r>
    </w:p>
    <w:p w14:paraId="15BC0B62"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5. Barros AJD, Victora CG. Measuring Coverage in MNCH: Determining and Interpreting Inequalities in Coverage of Maternal, Newborn, and Child Health Interventions. PLOS Med. 2013;10:e1001390.</w:t>
      </w:r>
    </w:p>
    <w:p w14:paraId="6A0D65D2"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6. WHO. Health in 2015: from MDGs, Millennium Development Goals to SDGs, Sustainable Development Goals. Geneva, Switzerland: World Health Organization; 2015. http://www.who.int/gho/publications/mdgs-sdgs/en/. Accessed 19 Apr 2018.</w:t>
      </w:r>
    </w:p>
    <w:p w14:paraId="1F082479"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7. Assaf S, Pullum T. Levels and Trends in Maternal and Child Health Disparities by Wealth and Region in Eleven Countries with DHS Surveys. Rockville, Maryland, USA: ICF International; 2016. https://www.dhsprogram.com/pubs/pdf/CR42/CR42.pdf. Accessed 13 Mar 2017.</w:t>
      </w:r>
    </w:p>
    <w:p w14:paraId="166C011D"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8. Kerber KJ, de Graft-Johnson JE, Bhutta ZA, Okong P, Starrs A, Lawn JE. Continuum of care for maternal, newborn, and child health: from slogan to service delivery. The Lancet. 2007;370:1358–69.</w:t>
      </w:r>
    </w:p>
    <w:p w14:paraId="48737021"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9. Golding N, Burstein R, Longbottom J, Browne AJ, Fullman N, Osgood-Zimmerman A, et al. Mapping under-5 and neonatal mortality in Africa, 2000–15: a baseline analysis for the Sustainable Development Goals. The Lancet. 2017;390:2171–82.</w:t>
      </w:r>
    </w:p>
    <w:p w14:paraId="0FA17D7B"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10. Graetz N, Friedman J, Osgood-Zimmerman A, Burstein R, Biehl MH, Shields C, et al. Mapping local variation in educational attainment across Africa. Nature. 2018;555:48–53.</w:t>
      </w:r>
    </w:p>
    <w:p w14:paraId="415782D8"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11. Osgood-Zimmerman A, Millear AI, Stubbs RW, Shields C, Pickering BV, Earl L, et al. Mapping child growth failure in Africa between 2000 and 2015. Nature. 2018;555:41–7.</w:t>
      </w:r>
    </w:p>
    <w:p w14:paraId="554363EC"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12. Victora CG, Requejo JH, Barros AJD, Berman P, Bhutta Z, Boerma T, et al. Countdown to 2015: a decade of tracking progress for maternal, newborn, and child survival. The Lancet. 2016;387:2049–59.</w:t>
      </w:r>
    </w:p>
    <w:p w14:paraId="155D2B34"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13. Alkema L, Chou D, Hogan D, Zhang S, Moller A-B, Gemmill A, et al. Global, regional, and national levels and trends in maternal mortality between 1990 and 2015, with scenario-based projections to 2030: a systematic analysis by the UN Maternal Mortality Estimation Inter-Agency Group. The Lancet. 2016;387:462–74.</w:t>
      </w:r>
    </w:p>
    <w:p w14:paraId="324F34E5"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14. Black RE, Cousens S, Johnson HL, Lawn JE, Rudan I, Bassani DG, et al. Global, regional, and national causes of child mortality in 2008: a systematic analysis. The Lancet. 2010;375:1969–87.</w:t>
      </w:r>
    </w:p>
    <w:p w14:paraId="23AD0837"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15. Ruktanonchai CW, Ruktanonchai NW, Nove A, Lopes S, Pezzulo C, Bosco C, et al. Equality in Maternal and Newborn Health: Modelling Geographic Disparities in Utilisation of Care in Five East African Countries. PLOS ONE. 2016;11:e0162006.</w:t>
      </w:r>
    </w:p>
    <w:p w14:paraId="4020E359"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16. Gething P, Tatem A, Bird T, Burgert C. Creating Spatial Interpolation Surfaces with DHS Data. Rockville, Maryland, USA: ICF International; 2015. http://dhsprogram.com/pubs/pdf/SAR11/SAR11.pdf. Accessed 28 Mar 2017.</w:t>
      </w:r>
    </w:p>
    <w:p w14:paraId="48BE9E1B"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17. Neal S, Ruktanochai CW, Chandra-Mouli V, Harvey C, Matthews Z, Raina N, et al. Estimating prevalence of adolescent first births in Nepal using geospatial modelling. Accept BMJ Glob Health.</w:t>
      </w:r>
    </w:p>
    <w:p w14:paraId="53C4444E"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18. SAS Institute Inc. SAS version 9.4. Cary, NC, USA: SAS Institute Inc.; 2013.</w:t>
      </w:r>
    </w:p>
    <w:p w14:paraId="2B7D3DA7"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19. Central Bureau of Statistics - CBS/Kenya, Ministry of Health - MOH/Kenya, ORC Macro. Kenya Demographic and Health Survey 2003. Calverton, Maryland, USA: CBS, MOH, and ORC Macro; 2004. http://dhsprogram.com/pubs/pdf/FR151/FR151.pdf.</w:t>
      </w:r>
    </w:p>
    <w:p w14:paraId="7EB2F6EC"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20. Kenya National Bureau of Statistics - KNBS, National AIDS Control Council/Kenya, National AIDS/STD Control Programme/Kenya, Ministry of Public Health and Sanitation/Kenya, Kenya Medical Research Institute. Kenya Demographic and Health Survey 2008-09. Calverton, Maryland, USA: KNBS and ICF Macro; 2010. http://dhsprogram.com/pubs/pdf/FR229/FR229.pdf.</w:t>
      </w:r>
    </w:p>
    <w:p w14:paraId="32B7B1F9"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21. Kenya National Bureau of Statistics, Ministry of Health/Kenya, National AIDS Control Council/Kenya, Kenya Medical Research Institute, National Council for Population and Development/Kenya. Kenya Demographic and Health Survey 2014. Rockville, MD, USA; 2015. http://dhsprogram.com/pubs/pdf/FR308/FR308.pdf.</w:t>
      </w:r>
    </w:p>
    <w:p w14:paraId="4C336936"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22. Institut National de la Statistique du Rwanda - INSR, ORC Macro. Rwanda Demographic and Health Survey 2005. Calverton, Maryland, USA: INSR and ORC Macro; 2006. http://dhsprogram.com/pubs/pdf/FR183/FR183.pdf.</w:t>
      </w:r>
    </w:p>
    <w:p w14:paraId="6B580898"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23. National Institute of Statistics of Rwanda - NISR, Ministry of Health - MOH/Rwanda, ICF International. Rwanda Demographic and Health Survey 2010. Calverton, Maryland, USA: NISR/Rwanda, MOH/Rwanda, and ICF International; 2012. http://dhsprogram.com/pubs/pdf/FR259/FR259.pdf.</w:t>
      </w:r>
    </w:p>
    <w:p w14:paraId="2B4E901A"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24. National Institute of Statistics of Rwanda, Ministry of Finance and Economic Planning/Rwanda, Ministry of Health/Rwanda, ICF International. Rwanda Demographic and Health Survey 2014-15. Kigali, Rwanda: National Institute of Statistics of Rwanda, Ministry of Finance and Economic Planning/Rwanda, Ministry of Health/Rwanda, and ICF International; 2016. http://dhsprogram.com/pubs/pdf/FR316/FR316.pdf.</w:t>
      </w:r>
    </w:p>
    <w:p w14:paraId="7FFB0A09"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25. National Bureau of Statistics/Tanzania, Macro International. Tanzania Reproductive and Child Health Survey 1999. Calverton, Maryland, USA: National Bureau of Statistics/Tanzania and Macro International; 2000. http://dhsprogram.com/pubs/pdf/FR112/FR112.pdf.</w:t>
      </w:r>
    </w:p>
    <w:p w14:paraId="5CBCFE3E"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26. National Bureau of Statistics - NBS/Tanzania, ICF Macro. Tanzania Demographic and Health Survey 2010. Dar es Salaam, Tanzania: NBS/Tanzania and ICF Macro; 2011. http://dhsprogram.com/pubs/pdf/FR243/FR243.pdf.</w:t>
      </w:r>
    </w:p>
    <w:p w14:paraId="59727DD8"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27. Ministry of Health CD, Ministry of Health - MoH/Zanzibar, National Bureau of Statistics - NBS/Tanzania, Office of Chief Government Statistician - OCGS/Zanzibar, ICF. Tanzania Demographic and Health Survey and Malaria Indicator Survey 2015-2016. Dar es Salaam, Tanzania: MoHCDGEC, MoH, NBS, OCGS, and ICF; 2016. http://dhsprogram.com/pubs/pdf/FR321/FR321.pdf.</w:t>
      </w:r>
    </w:p>
    <w:p w14:paraId="1852A1D6"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28. Uganda Bureau of Statistics - UBOS, ORC Macro. Uganda Demographic and Health Survey 2000-2001. Calverton, Maryland, USA: UBOS and ORC Macro; 2001. http://dhsprogram.com/pubs/pdf/FR128/FR128.pdf.</w:t>
      </w:r>
    </w:p>
    <w:p w14:paraId="35174477"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29. Uganda Bureau of Statistics - UBOS, Macro International. Uganda Demographic and Health Survey 2006. Calverton, Maryland, USA: UBOS and Macro International; 2007. http://dhsprogram.com/pubs/pdf/FR194/FR194.pdf.</w:t>
      </w:r>
    </w:p>
    <w:p w14:paraId="58AA6C22"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30. Uganda Bureau of Statistics - UBOS, ICF International. Uganda Demographic and Health Survey 2011. Kampala, Uganda: UBOS and ICF International; 2012. http://dhsprogram.com/pubs/pdf/FR264/FR264.pdf.</w:t>
      </w:r>
    </w:p>
    <w:p w14:paraId="1D034B91"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31. Environmental Systems Research Institute. ArcGIS Desktop: Release 10.2.2. Redlands, CA, USA; 2014.</w:t>
      </w:r>
    </w:p>
    <w:p w14:paraId="2276ACC7"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32. Burgert CR, Colston J, Roy T, Zachary B. Geographic displacement procedure and georeferenced data release policy for the Demographic and Health Surveys. Calverton, Maryland, USA: ICF International; 2013. http://dhsprogram.com/pubs/pdf/SAR7/SAR7.pdf.</w:t>
      </w:r>
    </w:p>
    <w:p w14:paraId="3DCF237D"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33. Rue H, Martino S, Chopin N. Approximate Bayesian inference for latent Gaussian models by using integrated nested Laplace approximations. J R Stat Soc Ser B Stat Methodol. 2009;71:319–92.</w:t>
      </w:r>
    </w:p>
    <w:p w14:paraId="4E913A0B"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34. R Development Core Team. R: A Language and Environment for Statistical Computing. Vienna, Austria: R Foundation for Statistical Computing; 2017. http://www.R-project.org.</w:t>
      </w:r>
    </w:p>
    <w:p w14:paraId="346C8459"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35. Niragire F, Achia TNO, Lyambabaje A, Ntaganira J. Bayesian Mapping of HIV Infection among Women of Reproductive Age in Rwanda. PLOS ONE. 2015;10:e0119944.</w:t>
      </w:r>
    </w:p>
    <w:p w14:paraId="421E27B1"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36. Riebler A, Sørbye SH, Simpson D, Rue H. An intuitive Bayesian spatial model for disease mapping that accounts for scaling. ArXiv160101180 Stat. 2016. http://arxiv.org/abs/1601.01180. Accessed 16 Jan 2018.</w:t>
      </w:r>
    </w:p>
    <w:p w14:paraId="19E59795"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37. Neal SE, Chandra-Mouli V, Chou D. Adolescent first births in East Africa: disaggregating characteristics, trends and determinants. Reprod Health. 2015;12:13.</w:t>
      </w:r>
    </w:p>
    <w:p w14:paraId="17F4E049"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38. Gabrysch S, Campbell OM. Still too far to walk: Literature review of the determinants of delivery service use. BMC Pregnancy Childbirth. 2009;9:34.</w:t>
      </w:r>
    </w:p>
    <w:p w14:paraId="284D09FE"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39. Spiegelhalter DJ, Best NG, Carlin BP, Van Der Linde A. Bayesian measures of model complexity and fit. J R Stat Soc Ser B Stat Methodol. 2002;64:583–639.</w:t>
      </w:r>
    </w:p>
    <w:p w14:paraId="2E8514F7"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40. Bates D, Mächler M, Bolker B, Walker S. Fitting Linear Mixed-Effects Models using lme4. ArXiv14065823 Stat. 2014. http://arxiv.org/abs/1406.5823. Accessed 24 Feb 2016.</w:t>
      </w:r>
    </w:p>
    <w:p w14:paraId="42820A58"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41. Bosco C, Alegana V, Bird T, Pezzulo C, Bengtsson L, Sorichetta A, et al. Exploring the high-resolution mapping of gender-disaggregated development indicators. J R Soc Interface. 2017;14:20160825.</w:t>
      </w:r>
    </w:p>
    <w:p w14:paraId="11D397CE"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42. Bailey P, Paxton A, Lobis S, Fry D. The availability of life-saving obstetric services in developing countries: An in-depth look at the signal functions for emergency obstetric care. Int J Gynecol Obstet. 2006;93:285–91.</w:t>
      </w:r>
    </w:p>
    <w:p w14:paraId="7D737866"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43. Say L, Raine R. A systematic review of inequalities in the use of maternal health care in developing countries: examining the scale of the problem and the importance of context. Bull World Health Organ. 2007;85:812–9.</w:t>
      </w:r>
    </w:p>
    <w:p w14:paraId="51DED498"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44. Logie DE, Rowson M, Ndagije F. Innovations in Rwanda’s health system: looking to the future. The Lancet. 2008;372:256–61.</w:t>
      </w:r>
    </w:p>
    <w:p w14:paraId="6C8EA8A7"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45. Ayiko R, Antai D, Kulane A. Trends and determinants of under-five mortality in Uganda. East Afr J Public Health. 2009;6:136–40.</w:t>
      </w:r>
    </w:p>
    <w:p w14:paraId="37E8FBEA"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46. Parkhurst JO, Penn-Kekana L, Blaauw D, Balabanova D, Danishevski K, Rahman SA, et al. Health systems factors influencing maternal health services: a four-country comparison. Health Policy. 2005;73:127–38.</w:t>
      </w:r>
    </w:p>
    <w:p w14:paraId="0015138F"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47. Roberts DA, Ng M, Ikilezi G, Gasasira A, Dwyer-Lindgren L, Fullman N, et al. Benchmarking health system performance across regions in Uganda: a systematic analysis of levels and trends in key maternal and child health interventions, 1990–2011. BMC Med. 2015;13:285.</w:t>
      </w:r>
    </w:p>
    <w:p w14:paraId="439BF65E"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48. Hanson C, Gabrysch, Sabine, Mbaruku G, Cox, Jonathan, Mkumbo E, Manzi F, et al. Access to maternal health services: geographical inequalities, United Republic of Tanzania. Bull World Health Organ. 2017;95:810–20.</w:t>
      </w:r>
    </w:p>
    <w:p w14:paraId="51474E70"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49. Armstrong CE, Martínez-Álvarez M, Singh NS, John T, Afnan-Holmes H, Grundy C, et al. Subnational variation for care at birth in Tanzania: is this explained by place, people, money or drugs? BMC Public Health. 2016;16 Suppl 2:795.</w:t>
      </w:r>
    </w:p>
    <w:p w14:paraId="37990172" w14:textId="77777777" w:rsidR="00373419" w:rsidRDefault="00373419" w:rsidP="0076525E">
      <w:pPr>
        <w:pStyle w:val="Bibliography"/>
        <w:rPr>
          <w:rFonts w:ascii="Times New Roman" w:hAnsi="Times New Roman" w:cs="Times New Roman"/>
          <w:sz w:val="24"/>
          <w:szCs w:val="24"/>
        </w:rPr>
      </w:pPr>
      <w:r>
        <w:rPr>
          <w:rFonts w:ascii="Times New Roman" w:hAnsi="Times New Roman" w:cs="Times New Roman"/>
          <w:sz w:val="24"/>
          <w:szCs w:val="24"/>
        </w:rPr>
        <w:t>50. Makanga PT, Schuurman N, von Dadelszen P, Firoz T. A scoping review of geographic information systems in maternal health. Int J Gynecol Obstet. 2016;134:13–7.</w:t>
      </w:r>
    </w:p>
    <w:p w14:paraId="03956C0E" w14:textId="77777777" w:rsidR="005F7AFE" w:rsidRDefault="00CD6757" w:rsidP="005C41D6">
      <w:pPr>
        <w:spacing w:line="480" w:lineRule="auto"/>
        <w:rPr>
          <w:rFonts w:ascii="Times New Roman" w:hAnsi="Times New Roman" w:cs="Times New Roman"/>
          <w:b/>
          <w:sz w:val="24"/>
          <w:szCs w:val="24"/>
        </w:rPr>
      </w:pPr>
      <w:r w:rsidRPr="0076525E">
        <w:rPr>
          <w:rFonts w:ascii="Times New Roman" w:hAnsi="Times New Roman" w:cs="Times New Roman"/>
          <w:sz w:val="24"/>
          <w:szCs w:val="24"/>
        </w:rPr>
        <w:fldChar w:fldCharType="end"/>
      </w:r>
      <w:r w:rsidR="005F7AFE">
        <w:rPr>
          <w:rFonts w:ascii="Times New Roman" w:hAnsi="Times New Roman" w:cs="Times New Roman"/>
          <w:b/>
          <w:sz w:val="24"/>
          <w:szCs w:val="24"/>
        </w:rPr>
        <w:t>Tables</w:t>
      </w:r>
    </w:p>
    <w:tbl>
      <w:tblPr>
        <w:tblStyle w:val="TableGrid"/>
        <w:tblW w:w="7326" w:type="dxa"/>
        <w:jc w:val="center"/>
        <w:tblInd w:w="0" w:type="dxa"/>
        <w:tblLook w:val="04A0" w:firstRow="1" w:lastRow="0" w:firstColumn="1" w:lastColumn="0" w:noHBand="0" w:noVBand="1"/>
      </w:tblPr>
      <w:tblGrid>
        <w:gridCol w:w="924"/>
        <w:gridCol w:w="965"/>
        <w:gridCol w:w="1212"/>
        <w:gridCol w:w="1882"/>
        <w:gridCol w:w="1007"/>
        <w:gridCol w:w="1336"/>
      </w:tblGrid>
      <w:tr w:rsidR="005F7AFE" w14:paraId="522F68A6" w14:textId="77777777" w:rsidTr="00C62C67">
        <w:trPr>
          <w:jc w:val="center"/>
        </w:trPr>
        <w:tc>
          <w:tcPr>
            <w:tcW w:w="7326" w:type="dxa"/>
            <w:gridSpan w:val="6"/>
          </w:tcPr>
          <w:p w14:paraId="343AE351" w14:textId="77777777" w:rsidR="005F7AFE" w:rsidRDefault="005F7AFE" w:rsidP="00C62C67">
            <w:pPr>
              <w:spacing w:line="240" w:lineRule="auto"/>
              <w:jc w:val="center"/>
              <w:rPr>
                <w:b/>
                <w:lang w:eastAsia="en-US"/>
              </w:rPr>
            </w:pPr>
            <w:r>
              <w:rPr>
                <w:b/>
                <w:lang w:eastAsia="en-US"/>
              </w:rPr>
              <w:t>Table 1.</w:t>
            </w:r>
            <w:r>
              <w:rPr>
                <w:lang w:eastAsia="en-US"/>
              </w:rPr>
              <w:t xml:space="preserve"> DHS survey used in study analysis and characteristics</w:t>
            </w:r>
          </w:p>
        </w:tc>
      </w:tr>
      <w:tr w:rsidR="005F7AFE" w14:paraId="5D79AEA4" w14:textId="77777777" w:rsidTr="00C62C67">
        <w:trPr>
          <w:jc w:val="center"/>
        </w:trPr>
        <w:tc>
          <w:tcPr>
            <w:tcW w:w="924" w:type="dxa"/>
          </w:tcPr>
          <w:p w14:paraId="7FCE9A6B" w14:textId="77777777" w:rsidR="005F7AFE" w:rsidRPr="00694B70" w:rsidRDefault="005F7AFE" w:rsidP="00C62C67">
            <w:pPr>
              <w:spacing w:line="240" w:lineRule="auto"/>
              <w:jc w:val="center"/>
              <w:rPr>
                <w:b/>
                <w:lang w:eastAsia="en-US"/>
              </w:rPr>
            </w:pPr>
            <w:r w:rsidRPr="00694B70">
              <w:rPr>
                <w:b/>
                <w:lang w:eastAsia="en-US"/>
              </w:rPr>
              <w:t>Country</w:t>
            </w:r>
          </w:p>
        </w:tc>
        <w:tc>
          <w:tcPr>
            <w:tcW w:w="965" w:type="dxa"/>
          </w:tcPr>
          <w:p w14:paraId="3406ED36" w14:textId="77777777" w:rsidR="005F7AFE" w:rsidRPr="00694B70" w:rsidRDefault="005F7AFE" w:rsidP="00C62C67">
            <w:pPr>
              <w:spacing w:line="240" w:lineRule="auto"/>
              <w:jc w:val="center"/>
              <w:rPr>
                <w:b/>
                <w:lang w:eastAsia="en-US"/>
              </w:rPr>
            </w:pPr>
            <w:r>
              <w:rPr>
                <w:b/>
                <w:lang w:eastAsia="en-US"/>
              </w:rPr>
              <w:t>Citation</w:t>
            </w:r>
          </w:p>
        </w:tc>
        <w:tc>
          <w:tcPr>
            <w:tcW w:w="1212" w:type="dxa"/>
          </w:tcPr>
          <w:p w14:paraId="08C711A7" w14:textId="77777777" w:rsidR="005F7AFE" w:rsidRPr="00694B70" w:rsidRDefault="005F7AFE" w:rsidP="00C62C67">
            <w:pPr>
              <w:spacing w:line="240" w:lineRule="auto"/>
              <w:jc w:val="center"/>
              <w:rPr>
                <w:b/>
                <w:lang w:eastAsia="en-US"/>
              </w:rPr>
            </w:pPr>
            <w:r w:rsidRPr="00694B70">
              <w:rPr>
                <w:b/>
                <w:lang w:eastAsia="en-US"/>
              </w:rPr>
              <w:t>Survey Year</w:t>
            </w:r>
          </w:p>
        </w:tc>
        <w:tc>
          <w:tcPr>
            <w:tcW w:w="1882" w:type="dxa"/>
          </w:tcPr>
          <w:p w14:paraId="57FCEFC2" w14:textId="77777777" w:rsidR="005F7AFE" w:rsidRPr="00694B70" w:rsidRDefault="005F7AFE" w:rsidP="00C62C67">
            <w:pPr>
              <w:spacing w:line="240" w:lineRule="auto"/>
              <w:jc w:val="center"/>
              <w:rPr>
                <w:b/>
                <w:lang w:eastAsia="en-US"/>
              </w:rPr>
            </w:pPr>
            <w:r w:rsidRPr="00694B70">
              <w:rPr>
                <w:b/>
                <w:lang w:eastAsia="en-US"/>
              </w:rPr>
              <w:t>Survey Type</w:t>
            </w:r>
          </w:p>
        </w:tc>
        <w:tc>
          <w:tcPr>
            <w:tcW w:w="1007" w:type="dxa"/>
          </w:tcPr>
          <w:p w14:paraId="1D86D93E" w14:textId="77777777" w:rsidR="005F7AFE" w:rsidRPr="00694B70" w:rsidRDefault="005F7AFE" w:rsidP="00C62C67">
            <w:pPr>
              <w:spacing w:line="240" w:lineRule="auto"/>
              <w:jc w:val="center"/>
              <w:rPr>
                <w:b/>
                <w:lang w:eastAsia="en-US"/>
              </w:rPr>
            </w:pPr>
            <w:r>
              <w:rPr>
                <w:b/>
                <w:lang w:eastAsia="en-US"/>
              </w:rPr>
              <w:t>Clusters</w:t>
            </w:r>
          </w:p>
        </w:tc>
        <w:tc>
          <w:tcPr>
            <w:tcW w:w="1336" w:type="dxa"/>
          </w:tcPr>
          <w:p w14:paraId="5948EB5A" w14:textId="77777777" w:rsidR="005F7AFE" w:rsidRPr="00694B70" w:rsidRDefault="005F7AFE" w:rsidP="00C62C67">
            <w:pPr>
              <w:spacing w:line="240" w:lineRule="auto"/>
              <w:jc w:val="center"/>
              <w:rPr>
                <w:b/>
                <w:lang w:eastAsia="en-US"/>
              </w:rPr>
            </w:pPr>
            <w:r>
              <w:rPr>
                <w:b/>
                <w:lang w:eastAsia="en-US"/>
              </w:rPr>
              <w:t>Sample</w:t>
            </w:r>
          </w:p>
        </w:tc>
      </w:tr>
      <w:tr w:rsidR="005F7AFE" w14:paraId="4FCF33CB" w14:textId="77777777" w:rsidTr="00C62C67">
        <w:trPr>
          <w:jc w:val="center"/>
        </w:trPr>
        <w:tc>
          <w:tcPr>
            <w:tcW w:w="924" w:type="dxa"/>
            <w:vMerge w:val="restart"/>
          </w:tcPr>
          <w:p w14:paraId="202DA657" w14:textId="77777777" w:rsidR="005F7AFE" w:rsidRDefault="005F7AFE" w:rsidP="00C62C67">
            <w:pPr>
              <w:spacing w:line="240" w:lineRule="auto"/>
              <w:rPr>
                <w:lang w:eastAsia="en-US"/>
              </w:rPr>
            </w:pPr>
            <w:r>
              <w:rPr>
                <w:lang w:eastAsia="en-US"/>
              </w:rPr>
              <w:t>Kenya</w:t>
            </w:r>
          </w:p>
        </w:tc>
        <w:tc>
          <w:tcPr>
            <w:tcW w:w="965" w:type="dxa"/>
          </w:tcPr>
          <w:p w14:paraId="12532C81" w14:textId="77777777" w:rsidR="005F7AFE" w:rsidRDefault="005F7AFE" w:rsidP="00C62C67">
            <w:pPr>
              <w:spacing w:line="240" w:lineRule="auto"/>
              <w:jc w:val="center"/>
              <w:rPr>
                <w:lang w:eastAsia="en-US"/>
              </w:rPr>
            </w:pPr>
            <w:r>
              <w:rPr>
                <w:lang w:eastAsia="en-US"/>
              </w:rPr>
              <w:fldChar w:fldCharType="begin"/>
            </w:r>
            <w:r>
              <w:rPr>
                <w:lang w:eastAsia="en-US"/>
              </w:rPr>
              <w:instrText xml:space="preserve"> ADDIN ZOTERO_ITEM CSL_CITATION {"citationID":"a2bid4g32hf","properties":{"formattedCitation":"[19]","plainCitation":"[19]","noteIndex":0},"citationItems":[{"id":93,"uris":["http://zotero.org/users/2783131/items/PQTXYUB4"],"uri":["http://zotero.org/users/2783131/items/PQTXYUB4"],"itemData":{"id":93,"type":"book","title":"Kenya Demographic and Health Survey 2003","publisher":"CBS, MOH, and ORC Macro","publisher-place":"Calverton, Maryland, USA","event-place":"Calverton, Maryland, USA","URL":"http://dhsprogram.com/pubs/pdf/FR151/FR151.pdf","author":[{"family":"Central Bureau of Statistics - CBS/Kenya","given":""},{"family":"Ministry of Health - MOH/Kenya","given":""},{"family":"ORC Macro","given":""}],"issued":{"date-parts":[["2004"]]}}}],"schema":"https://github.com/citation-style-language/schema/raw/master/csl-citation.json"} </w:instrText>
            </w:r>
            <w:r>
              <w:rPr>
                <w:lang w:eastAsia="en-US"/>
              </w:rPr>
              <w:fldChar w:fldCharType="separate"/>
            </w:r>
            <w:r w:rsidRPr="00BB1367">
              <w:t>[19]</w:t>
            </w:r>
            <w:r>
              <w:rPr>
                <w:lang w:eastAsia="en-US"/>
              </w:rPr>
              <w:fldChar w:fldCharType="end"/>
            </w:r>
          </w:p>
        </w:tc>
        <w:tc>
          <w:tcPr>
            <w:tcW w:w="1212" w:type="dxa"/>
          </w:tcPr>
          <w:p w14:paraId="1BDEFCA0" w14:textId="77777777" w:rsidR="005F7AFE" w:rsidRDefault="005F7AFE" w:rsidP="00C62C67">
            <w:pPr>
              <w:spacing w:line="240" w:lineRule="auto"/>
              <w:jc w:val="center"/>
              <w:rPr>
                <w:lang w:eastAsia="en-US"/>
              </w:rPr>
            </w:pPr>
            <w:r>
              <w:rPr>
                <w:lang w:eastAsia="en-US"/>
              </w:rPr>
              <w:t>2003</w:t>
            </w:r>
          </w:p>
        </w:tc>
        <w:tc>
          <w:tcPr>
            <w:tcW w:w="1882" w:type="dxa"/>
          </w:tcPr>
          <w:p w14:paraId="548E3C99" w14:textId="77777777" w:rsidR="005F7AFE" w:rsidRDefault="005F7AFE" w:rsidP="00C62C67">
            <w:pPr>
              <w:spacing w:line="240" w:lineRule="auto"/>
              <w:rPr>
                <w:lang w:eastAsia="en-US"/>
              </w:rPr>
            </w:pPr>
            <w:r>
              <w:rPr>
                <w:lang w:eastAsia="en-US"/>
              </w:rPr>
              <w:t>Standard DHS-IV</w:t>
            </w:r>
          </w:p>
        </w:tc>
        <w:tc>
          <w:tcPr>
            <w:tcW w:w="1007" w:type="dxa"/>
          </w:tcPr>
          <w:p w14:paraId="6FB79571" w14:textId="77777777" w:rsidR="005F7AFE" w:rsidRDefault="005F7AFE" w:rsidP="00C62C67">
            <w:pPr>
              <w:spacing w:line="240" w:lineRule="auto"/>
              <w:jc w:val="center"/>
              <w:rPr>
                <w:lang w:eastAsia="en-US"/>
              </w:rPr>
            </w:pPr>
            <w:r>
              <w:rPr>
                <w:lang w:eastAsia="en-US"/>
              </w:rPr>
              <w:t>399</w:t>
            </w:r>
          </w:p>
        </w:tc>
        <w:tc>
          <w:tcPr>
            <w:tcW w:w="1336" w:type="dxa"/>
          </w:tcPr>
          <w:p w14:paraId="70ED0469" w14:textId="77777777" w:rsidR="005F7AFE" w:rsidRDefault="005F7AFE" w:rsidP="00C62C67">
            <w:pPr>
              <w:spacing w:line="240" w:lineRule="auto"/>
              <w:jc w:val="center"/>
              <w:rPr>
                <w:lang w:eastAsia="en-US"/>
              </w:rPr>
            </w:pPr>
            <w:r w:rsidRPr="005B6FB7">
              <w:t>2,969</w:t>
            </w:r>
          </w:p>
        </w:tc>
      </w:tr>
      <w:tr w:rsidR="005F7AFE" w14:paraId="3B406E53" w14:textId="77777777" w:rsidTr="00C62C67">
        <w:trPr>
          <w:jc w:val="center"/>
        </w:trPr>
        <w:tc>
          <w:tcPr>
            <w:tcW w:w="924" w:type="dxa"/>
            <w:vMerge/>
          </w:tcPr>
          <w:p w14:paraId="5B02D221" w14:textId="77777777" w:rsidR="005F7AFE" w:rsidRDefault="005F7AFE" w:rsidP="00C62C67">
            <w:pPr>
              <w:spacing w:line="240" w:lineRule="auto"/>
              <w:rPr>
                <w:lang w:eastAsia="en-US"/>
              </w:rPr>
            </w:pPr>
          </w:p>
        </w:tc>
        <w:tc>
          <w:tcPr>
            <w:tcW w:w="965" w:type="dxa"/>
          </w:tcPr>
          <w:p w14:paraId="16441E99" w14:textId="77777777" w:rsidR="005F7AFE" w:rsidRDefault="005F7AFE" w:rsidP="00C62C67">
            <w:pPr>
              <w:spacing w:line="240" w:lineRule="auto"/>
              <w:jc w:val="center"/>
              <w:rPr>
                <w:lang w:eastAsia="en-US"/>
              </w:rPr>
            </w:pPr>
            <w:r>
              <w:rPr>
                <w:lang w:eastAsia="en-US"/>
              </w:rPr>
              <w:fldChar w:fldCharType="begin"/>
            </w:r>
            <w:r>
              <w:rPr>
                <w:lang w:eastAsia="en-US"/>
              </w:rPr>
              <w:instrText xml:space="preserve"> ADDIN ZOTERO_ITEM CSL_CITATION {"citationID":"a6hnblpn2o","properties":{"formattedCitation":"[20]","plainCitation":"[20]","noteIndex":0},"citationItems":[{"id":47,"uris":["http://zotero.org/users/2783131/items/ILEKAK49"],"uri":["http://zotero.org/users/2783131/items/ILEKAK49"],"itemData":{"id":47,"type":"book","title":"Kenya Demographic and Health Survey 2008-09","publisher":"KNBS and ICF Macro","publisher-place":"Calverton, Maryland, USA","event-place":"Calverton, Maryland, USA","URL":"http://dhsprogram.com/pubs/pdf/FR229/FR229.pdf","author":[{"family":"Kenya National Bureau of Statistics - KNBS","given":""},{"family":"National AIDS Control Council/Kenya","given":""},{"family":"National AIDS/STD Control Programme/Kenya","given":""},{"family":"Ministry of Public Health and Sanitation/Kenya","given":""},{"family":"Kenya Medical Research Institute","given":""}],"issued":{"date-parts":[["2010"]]}}}],"schema":"https://github.com/citation-style-language/schema/raw/master/csl-citation.json"} </w:instrText>
            </w:r>
            <w:r>
              <w:rPr>
                <w:lang w:eastAsia="en-US"/>
              </w:rPr>
              <w:fldChar w:fldCharType="separate"/>
            </w:r>
            <w:r w:rsidRPr="00BB1367">
              <w:t>[20]</w:t>
            </w:r>
            <w:r>
              <w:rPr>
                <w:lang w:eastAsia="en-US"/>
              </w:rPr>
              <w:fldChar w:fldCharType="end"/>
            </w:r>
          </w:p>
        </w:tc>
        <w:tc>
          <w:tcPr>
            <w:tcW w:w="1212" w:type="dxa"/>
          </w:tcPr>
          <w:p w14:paraId="4E56888E" w14:textId="77777777" w:rsidR="005F7AFE" w:rsidRDefault="005F7AFE" w:rsidP="00C62C67">
            <w:pPr>
              <w:spacing w:line="240" w:lineRule="auto"/>
              <w:jc w:val="center"/>
              <w:rPr>
                <w:lang w:eastAsia="en-US"/>
              </w:rPr>
            </w:pPr>
            <w:r>
              <w:rPr>
                <w:lang w:eastAsia="en-US"/>
              </w:rPr>
              <w:t>2008/9</w:t>
            </w:r>
          </w:p>
        </w:tc>
        <w:tc>
          <w:tcPr>
            <w:tcW w:w="1882" w:type="dxa"/>
          </w:tcPr>
          <w:p w14:paraId="68C19988" w14:textId="77777777" w:rsidR="005F7AFE" w:rsidRDefault="005F7AFE" w:rsidP="00C62C67">
            <w:pPr>
              <w:spacing w:line="240" w:lineRule="auto"/>
              <w:rPr>
                <w:lang w:eastAsia="en-US"/>
              </w:rPr>
            </w:pPr>
            <w:r>
              <w:rPr>
                <w:lang w:eastAsia="en-US"/>
              </w:rPr>
              <w:t>Standard DHS-V</w:t>
            </w:r>
          </w:p>
        </w:tc>
        <w:tc>
          <w:tcPr>
            <w:tcW w:w="1007" w:type="dxa"/>
          </w:tcPr>
          <w:p w14:paraId="662BF076" w14:textId="77777777" w:rsidR="005F7AFE" w:rsidRDefault="005F7AFE" w:rsidP="00C62C67">
            <w:pPr>
              <w:spacing w:line="240" w:lineRule="auto"/>
              <w:jc w:val="center"/>
              <w:rPr>
                <w:lang w:eastAsia="en-US"/>
              </w:rPr>
            </w:pPr>
            <w:r>
              <w:rPr>
                <w:lang w:eastAsia="en-US"/>
              </w:rPr>
              <w:t>397</w:t>
            </w:r>
          </w:p>
        </w:tc>
        <w:tc>
          <w:tcPr>
            <w:tcW w:w="1336" w:type="dxa"/>
          </w:tcPr>
          <w:p w14:paraId="3EB4DAF3" w14:textId="77777777" w:rsidR="005F7AFE" w:rsidRDefault="005F7AFE" w:rsidP="00C62C67">
            <w:pPr>
              <w:spacing w:line="240" w:lineRule="auto"/>
              <w:jc w:val="center"/>
              <w:rPr>
                <w:lang w:eastAsia="en-US"/>
              </w:rPr>
            </w:pPr>
            <w:r w:rsidRPr="005B6FB7">
              <w:t>3,054</w:t>
            </w:r>
          </w:p>
        </w:tc>
      </w:tr>
      <w:tr w:rsidR="005F7AFE" w14:paraId="794EDFDC" w14:textId="77777777" w:rsidTr="00C62C67">
        <w:trPr>
          <w:jc w:val="center"/>
        </w:trPr>
        <w:tc>
          <w:tcPr>
            <w:tcW w:w="924" w:type="dxa"/>
            <w:vMerge/>
          </w:tcPr>
          <w:p w14:paraId="31D53C05" w14:textId="77777777" w:rsidR="005F7AFE" w:rsidRDefault="005F7AFE" w:rsidP="00C62C67">
            <w:pPr>
              <w:spacing w:line="240" w:lineRule="auto"/>
              <w:rPr>
                <w:lang w:eastAsia="en-US"/>
              </w:rPr>
            </w:pPr>
          </w:p>
        </w:tc>
        <w:tc>
          <w:tcPr>
            <w:tcW w:w="965" w:type="dxa"/>
          </w:tcPr>
          <w:p w14:paraId="5C6C6BCC" w14:textId="77777777" w:rsidR="005F7AFE" w:rsidRDefault="005F7AFE" w:rsidP="00C62C67">
            <w:pPr>
              <w:spacing w:line="240" w:lineRule="auto"/>
              <w:jc w:val="center"/>
              <w:rPr>
                <w:lang w:eastAsia="en-US"/>
              </w:rPr>
            </w:pPr>
            <w:r>
              <w:rPr>
                <w:lang w:eastAsia="en-US"/>
              </w:rPr>
              <w:fldChar w:fldCharType="begin"/>
            </w:r>
            <w:r>
              <w:rPr>
                <w:lang w:eastAsia="en-US"/>
              </w:rPr>
              <w:instrText xml:space="preserve"> ADDIN ZOTERO_ITEM CSL_CITATION {"citationID":"a845n7brr5","properties":{"formattedCitation":"[21]","plainCitation":"[21]","noteIndex":0},"citationItems":[{"id":778,"uris":["http://zotero.org/users/2783131/items/7MF8WCW6"],"uri":["http://zotero.org/users/2783131/items/7MF8WCW6"],"itemData":{"id":778,"type":"book","title":"Kenya Demographic and Health Survey 2014","publisher-place":"Rockville, MD, USA","event-place":"Rockville, MD, USA","URL":"http://dhsprogram.com/pubs/pdf/FR308/FR308.pdf","author":[{"family":"Kenya National Bureau of Statistics","given":""},{"family":"Ministry of Health/Kenya","given":""},{"family":"National AIDS Control Council/Kenya","given":""},{"family":"Kenya Medical Research Institute","given":""},{"family":"National Council for Population and Development/Kenya","given":""}],"issued":{"date-parts":[["2015"]]}}}],"schema":"https://github.com/citation-style-language/schema/raw/master/csl-citation.json"} </w:instrText>
            </w:r>
            <w:r>
              <w:rPr>
                <w:lang w:eastAsia="en-US"/>
              </w:rPr>
              <w:fldChar w:fldCharType="separate"/>
            </w:r>
            <w:r w:rsidRPr="00BB1367">
              <w:t>[21]</w:t>
            </w:r>
            <w:r>
              <w:rPr>
                <w:lang w:eastAsia="en-US"/>
              </w:rPr>
              <w:fldChar w:fldCharType="end"/>
            </w:r>
          </w:p>
        </w:tc>
        <w:tc>
          <w:tcPr>
            <w:tcW w:w="1212" w:type="dxa"/>
          </w:tcPr>
          <w:p w14:paraId="46706519" w14:textId="77777777" w:rsidR="005F7AFE" w:rsidRDefault="005F7AFE" w:rsidP="00C62C67">
            <w:pPr>
              <w:spacing w:line="240" w:lineRule="auto"/>
              <w:jc w:val="center"/>
              <w:rPr>
                <w:lang w:eastAsia="en-US"/>
              </w:rPr>
            </w:pPr>
            <w:r>
              <w:rPr>
                <w:lang w:eastAsia="en-US"/>
              </w:rPr>
              <w:t>2014</w:t>
            </w:r>
          </w:p>
        </w:tc>
        <w:tc>
          <w:tcPr>
            <w:tcW w:w="1882" w:type="dxa"/>
          </w:tcPr>
          <w:p w14:paraId="60E350D0" w14:textId="77777777" w:rsidR="005F7AFE" w:rsidRDefault="005F7AFE" w:rsidP="00C62C67">
            <w:pPr>
              <w:spacing w:line="240" w:lineRule="auto"/>
              <w:rPr>
                <w:lang w:eastAsia="en-US"/>
              </w:rPr>
            </w:pPr>
            <w:r>
              <w:rPr>
                <w:lang w:eastAsia="en-US"/>
              </w:rPr>
              <w:t>Standard DHS-VII</w:t>
            </w:r>
          </w:p>
        </w:tc>
        <w:tc>
          <w:tcPr>
            <w:tcW w:w="1007" w:type="dxa"/>
          </w:tcPr>
          <w:p w14:paraId="0BA02883" w14:textId="77777777" w:rsidR="005F7AFE" w:rsidRDefault="005F7AFE" w:rsidP="00C62C67">
            <w:pPr>
              <w:spacing w:line="240" w:lineRule="auto"/>
              <w:jc w:val="center"/>
              <w:rPr>
                <w:lang w:eastAsia="en-US"/>
              </w:rPr>
            </w:pPr>
            <w:r>
              <w:rPr>
                <w:lang w:eastAsia="en-US"/>
              </w:rPr>
              <w:t>1,585</w:t>
            </w:r>
          </w:p>
        </w:tc>
        <w:tc>
          <w:tcPr>
            <w:tcW w:w="1336" w:type="dxa"/>
          </w:tcPr>
          <w:p w14:paraId="1A3EE11D" w14:textId="77777777" w:rsidR="005F7AFE" w:rsidRDefault="005F7AFE" w:rsidP="00C62C67">
            <w:pPr>
              <w:spacing w:line="240" w:lineRule="auto"/>
              <w:jc w:val="center"/>
              <w:rPr>
                <w:lang w:eastAsia="en-US"/>
              </w:rPr>
            </w:pPr>
            <w:r w:rsidRPr="005B6FB7">
              <w:t>11,151</w:t>
            </w:r>
          </w:p>
        </w:tc>
      </w:tr>
      <w:tr w:rsidR="005F7AFE" w14:paraId="51BB1C41" w14:textId="77777777" w:rsidTr="00C62C67">
        <w:trPr>
          <w:jc w:val="center"/>
        </w:trPr>
        <w:tc>
          <w:tcPr>
            <w:tcW w:w="924" w:type="dxa"/>
            <w:vMerge w:val="restart"/>
          </w:tcPr>
          <w:p w14:paraId="61EF0251" w14:textId="77777777" w:rsidR="005F7AFE" w:rsidRDefault="005F7AFE" w:rsidP="00C62C67">
            <w:pPr>
              <w:spacing w:line="240" w:lineRule="auto"/>
              <w:rPr>
                <w:lang w:eastAsia="en-US"/>
              </w:rPr>
            </w:pPr>
            <w:r>
              <w:rPr>
                <w:lang w:eastAsia="en-US"/>
              </w:rPr>
              <w:t>Rwanda</w:t>
            </w:r>
          </w:p>
        </w:tc>
        <w:tc>
          <w:tcPr>
            <w:tcW w:w="965" w:type="dxa"/>
          </w:tcPr>
          <w:p w14:paraId="2938BFF5" w14:textId="77777777" w:rsidR="005F7AFE" w:rsidRDefault="005F7AFE" w:rsidP="00C62C67">
            <w:pPr>
              <w:spacing w:line="240" w:lineRule="auto"/>
              <w:jc w:val="center"/>
              <w:rPr>
                <w:lang w:eastAsia="en-US"/>
              </w:rPr>
            </w:pPr>
            <w:r>
              <w:rPr>
                <w:lang w:eastAsia="en-US"/>
              </w:rPr>
              <w:fldChar w:fldCharType="begin"/>
            </w:r>
            <w:r>
              <w:rPr>
                <w:lang w:eastAsia="en-US"/>
              </w:rPr>
              <w:instrText xml:space="preserve"> ADDIN ZOTERO_ITEM CSL_CITATION {"citationID":"a21furdcbnj","properties":{"formattedCitation":"[22]","plainCitation":"[22]","noteIndex":0},"citationItems":[{"id":825,"uris":["http://zotero.org/users/2783131/items/2YANZ3M8"],"uri":["http://zotero.org/users/2783131/items/2YANZ3M8"],"itemData":{"id":825,"type":"book","title":"Rwanda Demographic and Health Survey 2005","publisher":"INSR and ORC Macro","publisher-place":"Calverton, Maryland, USA","event-place":"Calverton, Maryland, USA","URL":"http://dhsprogram.com/pubs/pdf/FR183/FR183.pdf","author":[{"family":"Institut National de la Statistique du Rwanda - INSR","given":""},{"family":"ORC Macro","given":""}],"issued":{"date-parts":[["2006"]]}}}],"schema":"https://github.com/citation-style-language/schema/raw/master/csl-citation.json"} </w:instrText>
            </w:r>
            <w:r>
              <w:rPr>
                <w:lang w:eastAsia="en-US"/>
              </w:rPr>
              <w:fldChar w:fldCharType="separate"/>
            </w:r>
            <w:r w:rsidRPr="00BB1367">
              <w:t>[22]</w:t>
            </w:r>
            <w:r>
              <w:rPr>
                <w:lang w:eastAsia="en-US"/>
              </w:rPr>
              <w:fldChar w:fldCharType="end"/>
            </w:r>
          </w:p>
        </w:tc>
        <w:tc>
          <w:tcPr>
            <w:tcW w:w="1212" w:type="dxa"/>
          </w:tcPr>
          <w:p w14:paraId="0128EE61" w14:textId="77777777" w:rsidR="005F7AFE" w:rsidRDefault="005F7AFE" w:rsidP="00C62C67">
            <w:pPr>
              <w:spacing w:line="240" w:lineRule="auto"/>
              <w:jc w:val="center"/>
              <w:rPr>
                <w:lang w:eastAsia="en-US"/>
              </w:rPr>
            </w:pPr>
            <w:r>
              <w:rPr>
                <w:lang w:eastAsia="en-US"/>
              </w:rPr>
              <w:t>2005</w:t>
            </w:r>
          </w:p>
        </w:tc>
        <w:tc>
          <w:tcPr>
            <w:tcW w:w="1882" w:type="dxa"/>
          </w:tcPr>
          <w:p w14:paraId="1A4DA096" w14:textId="77777777" w:rsidR="005F7AFE" w:rsidRDefault="005F7AFE" w:rsidP="00C62C67">
            <w:pPr>
              <w:spacing w:line="240" w:lineRule="auto"/>
              <w:rPr>
                <w:lang w:eastAsia="en-US"/>
              </w:rPr>
            </w:pPr>
            <w:r>
              <w:rPr>
                <w:lang w:eastAsia="en-US"/>
              </w:rPr>
              <w:t>Standard DHS-V</w:t>
            </w:r>
          </w:p>
        </w:tc>
        <w:tc>
          <w:tcPr>
            <w:tcW w:w="1007" w:type="dxa"/>
          </w:tcPr>
          <w:p w14:paraId="2F164774" w14:textId="77777777" w:rsidR="005F7AFE" w:rsidRDefault="005F7AFE" w:rsidP="00C62C67">
            <w:pPr>
              <w:spacing w:line="240" w:lineRule="auto"/>
              <w:jc w:val="center"/>
              <w:rPr>
                <w:lang w:eastAsia="en-US"/>
              </w:rPr>
            </w:pPr>
            <w:r>
              <w:rPr>
                <w:lang w:eastAsia="en-US"/>
              </w:rPr>
              <w:t>462</w:t>
            </w:r>
          </w:p>
        </w:tc>
        <w:tc>
          <w:tcPr>
            <w:tcW w:w="1336" w:type="dxa"/>
          </w:tcPr>
          <w:p w14:paraId="04BFEB86" w14:textId="77777777" w:rsidR="005F7AFE" w:rsidRDefault="005F7AFE" w:rsidP="00C62C67">
            <w:pPr>
              <w:spacing w:line="240" w:lineRule="auto"/>
              <w:jc w:val="center"/>
              <w:rPr>
                <w:lang w:eastAsia="en-US"/>
              </w:rPr>
            </w:pPr>
            <w:r w:rsidRPr="005B6FB7">
              <w:t>4,002</w:t>
            </w:r>
          </w:p>
        </w:tc>
      </w:tr>
      <w:tr w:rsidR="005F7AFE" w14:paraId="09766509" w14:textId="77777777" w:rsidTr="00C62C67">
        <w:trPr>
          <w:jc w:val="center"/>
        </w:trPr>
        <w:tc>
          <w:tcPr>
            <w:tcW w:w="924" w:type="dxa"/>
            <w:vMerge/>
          </w:tcPr>
          <w:p w14:paraId="1237BE06" w14:textId="77777777" w:rsidR="005F7AFE" w:rsidRDefault="005F7AFE" w:rsidP="00C62C67">
            <w:pPr>
              <w:spacing w:line="240" w:lineRule="auto"/>
              <w:rPr>
                <w:lang w:eastAsia="en-US"/>
              </w:rPr>
            </w:pPr>
          </w:p>
        </w:tc>
        <w:tc>
          <w:tcPr>
            <w:tcW w:w="965" w:type="dxa"/>
          </w:tcPr>
          <w:p w14:paraId="7F81A439" w14:textId="77777777" w:rsidR="005F7AFE" w:rsidRDefault="005F7AFE" w:rsidP="00C62C67">
            <w:pPr>
              <w:spacing w:line="240" w:lineRule="auto"/>
              <w:jc w:val="center"/>
              <w:rPr>
                <w:lang w:eastAsia="en-US"/>
              </w:rPr>
            </w:pPr>
            <w:r>
              <w:rPr>
                <w:lang w:eastAsia="en-US"/>
              </w:rPr>
              <w:fldChar w:fldCharType="begin"/>
            </w:r>
            <w:r>
              <w:rPr>
                <w:lang w:eastAsia="en-US"/>
              </w:rPr>
              <w:instrText xml:space="preserve"> ADDIN ZOTERO_ITEM CSL_CITATION {"citationID":"a15glf43ddq","properties":{"formattedCitation":"[23]","plainCitation":"[23]","noteIndex":0},"citationItems":[{"id":798,"uris":["http://zotero.org/users/2783131/items/GG34TSTR"],"uri":["http://zotero.org/users/2783131/items/GG34TSTR"],"itemData":{"id":798,"type":"book","title":"Rwanda Demographic and Health Survey 2010","publisher":"NISR/Rwanda, MOH/Rwanda, and ICF International","publisher-place":"Calverton, Maryland, USA","event-place":"Calverton, Maryland, USA","URL":"http://dhsprogram.com/pubs/pdf/FR259/FR259.pdf","author":[{"family":"National Institute of Statistics of Rwanda - NISR","given":""},{"family":"Ministry of Health - MOH/Rwanda","given":""},{"family":"ICF International","given":""}],"issued":{"date-parts":[["2012"]]}}}],"schema":"https://github.com/citation-style-language/schema/raw/master/csl-citation.json"} </w:instrText>
            </w:r>
            <w:r>
              <w:rPr>
                <w:lang w:eastAsia="en-US"/>
              </w:rPr>
              <w:fldChar w:fldCharType="separate"/>
            </w:r>
            <w:r w:rsidRPr="00BB1367">
              <w:t>[23]</w:t>
            </w:r>
            <w:r>
              <w:rPr>
                <w:lang w:eastAsia="en-US"/>
              </w:rPr>
              <w:fldChar w:fldCharType="end"/>
            </w:r>
          </w:p>
        </w:tc>
        <w:tc>
          <w:tcPr>
            <w:tcW w:w="1212" w:type="dxa"/>
          </w:tcPr>
          <w:p w14:paraId="2B8619D1" w14:textId="77777777" w:rsidR="005F7AFE" w:rsidRDefault="005F7AFE" w:rsidP="00C62C67">
            <w:pPr>
              <w:spacing w:line="240" w:lineRule="auto"/>
              <w:jc w:val="center"/>
              <w:rPr>
                <w:lang w:eastAsia="en-US"/>
              </w:rPr>
            </w:pPr>
            <w:r>
              <w:rPr>
                <w:lang w:eastAsia="en-US"/>
              </w:rPr>
              <w:t>2010</w:t>
            </w:r>
          </w:p>
        </w:tc>
        <w:tc>
          <w:tcPr>
            <w:tcW w:w="1882" w:type="dxa"/>
          </w:tcPr>
          <w:p w14:paraId="52992B2F" w14:textId="77777777" w:rsidR="005F7AFE" w:rsidRDefault="005F7AFE" w:rsidP="00C62C67">
            <w:pPr>
              <w:spacing w:line="240" w:lineRule="auto"/>
              <w:rPr>
                <w:lang w:eastAsia="en-US"/>
              </w:rPr>
            </w:pPr>
            <w:r>
              <w:rPr>
                <w:lang w:eastAsia="en-US"/>
              </w:rPr>
              <w:t>Standard DHS-VI</w:t>
            </w:r>
          </w:p>
        </w:tc>
        <w:tc>
          <w:tcPr>
            <w:tcW w:w="1007" w:type="dxa"/>
          </w:tcPr>
          <w:p w14:paraId="591A961F" w14:textId="77777777" w:rsidR="005F7AFE" w:rsidRDefault="005F7AFE" w:rsidP="00C62C67">
            <w:pPr>
              <w:spacing w:line="240" w:lineRule="auto"/>
              <w:jc w:val="center"/>
              <w:rPr>
                <w:lang w:eastAsia="en-US"/>
              </w:rPr>
            </w:pPr>
            <w:r>
              <w:rPr>
                <w:lang w:eastAsia="en-US"/>
              </w:rPr>
              <w:t>492</w:t>
            </w:r>
          </w:p>
        </w:tc>
        <w:tc>
          <w:tcPr>
            <w:tcW w:w="1336" w:type="dxa"/>
          </w:tcPr>
          <w:p w14:paraId="6BFDFA40" w14:textId="77777777" w:rsidR="005F7AFE" w:rsidRDefault="005F7AFE" w:rsidP="00C62C67">
            <w:pPr>
              <w:spacing w:line="240" w:lineRule="auto"/>
              <w:jc w:val="center"/>
              <w:rPr>
                <w:lang w:eastAsia="en-US"/>
              </w:rPr>
            </w:pPr>
            <w:r w:rsidRPr="005B6FB7">
              <w:t>4,746</w:t>
            </w:r>
          </w:p>
        </w:tc>
      </w:tr>
      <w:tr w:rsidR="005F7AFE" w14:paraId="2C94C576" w14:textId="77777777" w:rsidTr="00C62C67">
        <w:trPr>
          <w:jc w:val="center"/>
        </w:trPr>
        <w:tc>
          <w:tcPr>
            <w:tcW w:w="924" w:type="dxa"/>
            <w:vMerge/>
          </w:tcPr>
          <w:p w14:paraId="1E0EC072" w14:textId="77777777" w:rsidR="005F7AFE" w:rsidRDefault="005F7AFE" w:rsidP="00C62C67">
            <w:pPr>
              <w:spacing w:line="240" w:lineRule="auto"/>
              <w:rPr>
                <w:lang w:eastAsia="en-US"/>
              </w:rPr>
            </w:pPr>
          </w:p>
        </w:tc>
        <w:tc>
          <w:tcPr>
            <w:tcW w:w="965" w:type="dxa"/>
          </w:tcPr>
          <w:p w14:paraId="36F99567" w14:textId="77777777" w:rsidR="005F7AFE" w:rsidRDefault="005F7AFE" w:rsidP="00C62C67">
            <w:pPr>
              <w:spacing w:line="240" w:lineRule="auto"/>
              <w:jc w:val="center"/>
              <w:rPr>
                <w:lang w:eastAsia="en-US"/>
              </w:rPr>
            </w:pPr>
            <w:r>
              <w:rPr>
                <w:lang w:eastAsia="en-US"/>
              </w:rPr>
              <w:fldChar w:fldCharType="begin"/>
            </w:r>
            <w:r>
              <w:rPr>
                <w:lang w:eastAsia="en-US"/>
              </w:rPr>
              <w:instrText xml:space="preserve"> ADDIN ZOTERO_ITEM CSL_CITATION {"citationID":"af5q0s5nps","properties":{"formattedCitation":"[24]","plainCitation":"[24]","noteIndex":0},"citationItems":[{"id":943,"uris":["http://zotero.org/users/2783131/items/FLKNGLUJ"],"uri":["http://zotero.org/users/2783131/items/FLKNGLUJ"],"itemData":{"id":943,"type":"book","title":"Rwanda Demographic and Health Survey 2014-15","publisher":"National Institute of Statistics of Rwanda, Ministry of Finance and Economic Planning/Rwanda, Ministry of Health/Rwanda, and ICF International","publisher-place":"Kigali, Rwanda","event-place":"Kigali, Rwanda","URL":"http://dhsprogram.com/pubs/pdf/FR316/FR316.pdf","author":[{"family":"National Institute of Statistics of Rwanda","given":""},{"family":"Ministry of Finance and Economic Planning/Rwanda","given":""},{"family":"Ministry of Health/Rwanda","given":""},{"family":"ICF International","given":""}],"issued":{"date-parts":[["2016"]]}}}],"schema":"https://github.com/citation-style-language/schema/raw/master/csl-citation.json"} </w:instrText>
            </w:r>
            <w:r>
              <w:rPr>
                <w:lang w:eastAsia="en-US"/>
              </w:rPr>
              <w:fldChar w:fldCharType="separate"/>
            </w:r>
            <w:r w:rsidRPr="00BB1367">
              <w:t>[24]</w:t>
            </w:r>
            <w:r>
              <w:rPr>
                <w:lang w:eastAsia="en-US"/>
              </w:rPr>
              <w:fldChar w:fldCharType="end"/>
            </w:r>
          </w:p>
        </w:tc>
        <w:tc>
          <w:tcPr>
            <w:tcW w:w="1212" w:type="dxa"/>
          </w:tcPr>
          <w:p w14:paraId="1FE56EE8" w14:textId="77777777" w:rsidR="005F7AFE" w:rsidRDefault="005F7AFE" w:rsidP="00C62C67">
            <w:pPr>
              <w:spacing w:line="240" w:lineRule="auto"/>
              <w:jc w:val="center"/>
              <w:rPr>
                <w:lang w:eastAsia="en-US"/>
              </w:rPr>
            </w:pPr>
            <w:r>
              <w:rPr>
                <w:lang w:eastAsia="en-US"/>
              </w:rPr>
              <w:t>2014/15</w:t>
            </w:r>
          </w:p>
        </w:tc>
        <w:tc>
          <w:tcPr>
            <w:tcW w:w="1882" w:type="dxa"/>
          </w:tcPr>
          <w:p w14:paraId="3FDC6FA1" w14:textId="77777777" w:rsidR="005F7AFE" w:rsidRDefault="005F7AFE" w:rsidP="00C62C67">
            <w:pPr>
              <w:spacing w:line="240" w:lineRule="auto"/>
              <w:rPr>
                <w:lang w:eastAsia="en-US"/>
              </w:rPr>
            </w:pPr>
            <w:r>
              <w:rPr>
                <w:lang w:eastAsia="en-US"/>
              </w:rPr>
              <w:t>Standard DHS-VII</w:t>
            </w:r>
          </w:p>
        </w:tc>
        <w:tc>
          <w:tcPr>
            <w:tcW w:w="1007" w:type="dxa"/>
          </w:tcPr>
          <w:p w14:paraId="06B359EB" w14:textId="77777777" w:rsidR="005F7AFE" w:rsidRDefault="005F7AFE" w:rsidP="00C62C67">
            <w:pPr>
              <w:spacing w:line="240" w:lineRule="auto"/>
              <w:jc w:val="center"/>
              <w:rPr>
                <w:lang w:eastAsia="en-US"/>
              </w:rPr>
            </w:pPr>
            <w:r>
              <w:rPr>
                <w:lang w:eastAsia="en-US"/>
              </w:rPr>
              <w:t>492</w:t>
            </w:r>
          </w:p>
        </w:tc>
        <w:tc>
          <w:tcPr>
            <w:tcW w:w="1336" w:type="dxa"/>
          </w:tcPr>
          <w:p w14:paraId="298D4B76" w14:textId="77777777" w:rsidR="005F7AFE" w:rsidRDefault="005F7AFE" w:rsidP="00C62C67">
            <w:pPr>
              <w:spacing w:line="240" w:lineRule="auto"/>
              <w:jc w:val="center"/>
              <w:rPr>
                <w:lang w:eastAsia="en-US"/>
              </w:rPr>
            </w:pPr>
            <w:r w:rsidRPr="005B6FB7">
              <w:t>4,467</w:t>
            </w:r>
          </w:p>
        </w:tc>
      </w:tr>
      <w:tr w:rsidR="005F7AFE" w14:paraId="776F268F" w14:textId="77777777" w:rsidTr="00C62C67">
        <w:trPr>
          <w:jc w:val="center"/>
        </w:trPr>
        <w:tc>
          <w:tcPr>
            <w:tcW w:w="924" w:type="dxa"/>
            <w:vMerge w:val="restart"/>
          </w:tcPr>
          <w:p w14:paraId="6268004E" w14:textId="77777777" w:rsidR="005F7AFE" w:rsidRDefault="005F7AFE" w:rsidP="00C62C67">
            <w:pPr>
              <w:spacing w:line="240" w:lineRule="auto"/>
              <w:rPr>
                <w:lang w:eastAsia="en-US"/>
              </w:rPr>
            </w:pPr>
            <w:r>
              <w:rPr>
                <w:lang w:eastAsia="en-US"/>
              </w:rPr>
              <w:t>Tanzania</w:t>
            </w:r>
          </w:p>
        </w:tc>
        <w:tc>
          <w:tcPr>
            <w:tcW w:w="965" w:type="dxa"/>
          </w:tcPr>
          <w:p w14:paraId="4AE09244" w14:textId="77777777" w:rsidR="005F7AFE" w:rsidRDefault="005F7AFE" w:rsidP="00C62C67">
            <w:pPr>
              <w:spacing w:line="240" w:lineRule="auto"/>
              <w:jc w:val="center"/>
              <w:rPr>
                <w:lang w:eastAsia="en-US"/>
              </w:rPr>
            </w:pPr>
            <w:r>
              <w:rPr>
                <w:lang w:eastAsia="en-US"/>
              </w:rPr>
              <w:fldChar w:fldCharType="begin"/>
            </w:r>
            <w:r>
              <w:rPr>
                <w:lang w:eastAsia="en-US"/>
              </w:rPr>
              <w:instrText xml:space="preserve"> ADDIN ZOTERO_ITEM CSL_CITATION {"citationID":"a1u66ibgl08","properties":{"formattedCitation":"[25]","plainCitation":"[25]","noteIndex":0},"citationItems":[{"id":664,"uris":["http://zotero.org/users/2783131/items/N7FKUVZN"],"uri":["http://zotero.org/users/2783131/items/N7FKUVZN"],"itemData":{"id":664,"type":"book","title":"Tanzania Reproductive and Child Health Survey 1999","publisher":"National Bureau of Statistics/Tanzania and Macro International","publisher-place":"Calverton, Maryland, USA","event-place":"Calverton, Maryland, USA","URL":"http://dhsprogram.com/pubs/pdf/FR112/FR112.pdf","author":[{"family":"National Bureau of Statistics/Tanzania","given":""},{"family":"Macro International","given":""}],"issued":{"date-parts":[["2000"]]}}}],"schema":"https://github.com/citation-style-language/schema/raw/master/csl-citation.json"} </w:instrText>
            </w:r>
            <w:r>
              <w:rPr>
                <w:lang w:eastAsia="en-US"/>
              </w:rPr>
              <w:fldChar w:fldCharType="separate"/>
            </w:r>
            <w:r w:rsidRPr="00BB1367">
              <w:t>[25]</w:t>
            </w:r>
            <w:r>
              <w:rPr>
                <w:lang w:eastAsia="en-US"/>
              </w:rPr>
              <w:fldChar w:fldCharType="end"/>
            </w:r>
          </w:p>
        </w:tc>
        <w:tc>
          <w:tcPr>
            <w:tcW w:w="1212" w:type="dxa"/>
          </w:tcPr>
          <w:p w14:paraId="2458240E" w14:textId="77777777" w:rsidR="005F7AFE" w:rsidRDefault="005F7AFE" w:rsidP="00C62C67">
            <w:pPr>
              <w:spacing w:line="240" w:lineRule="auto"/>
              <w:jc w:val="center"/>
              <w:rPr>
                <w:lang w:eastAsia="en-US"/>
              </w:rPr>
            </w:pPr>
            <w:r>
              <w:rPr>
                <w:lang w:eastAsia="en-US"/>
              </w:rPr>
              <w:t>1999</w:t>
            </w:r>
          </w:p>
        </w:tc>
        <w:tc>
          <w:tcPr>
            <w:tcW w:w="1882" w:type="dxa"/>
          </w:tcPr>
          <w:p w14:paraId="646BEF65" w14:textId="77777777" w:rsidR="005F7AFE" w:rsidRDefault="005F7AFE" w:rsidP="00C62C67">
            <w:pPr>
              <w:spacing w:line="240" w:lineRule="auto"/>
              <w:rPr>
                <w:lang w:eastAsia="en-US"/>
              </w:rPr>
            </w:pPr>
            <w:r>
              <w:rPr>
                <w:lang w:eastAsia="en-US"/>
              </w:rPr>
              <w:t>Standard DHS-IV</w:t>
            </w:r>
          </w:p>
        </w:tc>
        <w:tc>
          <w:tcPr>
            <w:tcW w:w="1007" w:type="dxa"/>
          </w:tcPr>
          <w:p w14:paraId="1BCBEC61" w14:textId="77777777" w:rsidR="005F7AFE" w:rsidRDefault="005F7AFE" w:rsidP="00C62C67">
            <w:pPr>
              <w:spacing w:line="240" w:lineRule="auto"/>
              <w:jc w:val="center"/>
              <w:rPr>
                <w:lang w:eastAsia="en-US"/>
              </w:rPr>
            </w:pPr>
            <w:r>
              <w:rPr>
                <w:lang w:eastAsia="en-US"/>
              </w:rPr>
              <w:t>176</w:t>
            </w:r>
          </w:p>
        </w:tc>
        <w:tc>
          <w:tcPr>
            <w:tcW w:w="1336" w:type="dxa"/>
          </w:tcPr>
          <w:p w14:paraId="79381449" w14:textId="77777777" w:rsidR="005F7AFE" w:rsidRDefault="005F7AFE" w:rsidP="00C62C67">
            <w:pPr>
              <w:spacing w:line="240" w:lineRule="auto"/>
              <w:jc w:val="center"/>
              <w:rPr>
                <w:lang w:eastAsia="en-US"/>
              </w:rPr>
            </w:pPr>
            <w:r w:rsidRPr="005B6FB7">
              <w:t>1,504</w:t>
            </w:r>
          </w:p>
        </w:tc>
      </w:tr>
      <w:tr w:rsidR="005F7AFE" w14:paraId="4F7287B3" w14:textId="77777777" w:rsidTr="00C62C67">
        <w:trPr>
          <w:jc w:val="center"/>
        </w:trPr>
        <w:tc>
          <w:tcPr>
            <w:tcW w:w="924" w:type="dxa"/>
            <w:vMerge/>
          </w:tcPr>
          <w:p w14:paraId="7E272778" w14:textId="77777777" w:rsidR="005F7AFE" w:rsidRDefault="005F7AFE" w:rsidP="00C62C67">
            <w:pPr>
              <w:spacing w:line="240" w:lineRule="auto"/>
              <w:rPr>
                <w:lang w:eastAsia="en-US"/>
              </w:rPr>
            </w:pPr>
          </w:p>
        </w:tc>
        <w:tc>
          <w:tcPr>
            <w:tcW w:w="965" w:type="dxa"/>
          </w:tcPr>
          <w:p w14:paraId="3F22199C" w14:textId="77777777" w:rsidR="005F7AFE" w:rsidRDefault="005F7AFE" w:rsidP="00C62C67">
            <w:pPr>
              <w:spacing w:line="240" w:lineRule="auto"/>
              <w:jc w:val="center"/>
              <w:rPr>
                <w:lang w:eastAsia="en-US"/>
              </w:rPr>
            </w:pPr>
            <w:r>
              <w:rPr>
                <w:lang w:eastAsia="en-US"/>
              </w:rPr>
              <w:fldChar w:fldCharType="begin"/>
            </w:r>
            <w:r>
              <w:rPr>
                <w:lang w:eastAsia="en-US"/>
              </w:rPr>
              <w:instrText xml:space="preserve"> ADDIN ZOTERO_ITEM CSL_CITATION {"citationID":"a1a2rghqlkk","properties":{"formattedCitation":"[26]","plainCitation":"[26]","noteIndex":0},"citationItems":[{"id":801,"uris":["http://zotero.org/users/2783131/items/BMGP3Y2S"],"uri":["http://zotero.org/users/2783131/items/BMGP3Y2S"],"itemData":{"id":801,"type":"book","title":"Tanzania Demographic and Health Survey 2010","publisher":"NBS/Tanzania and ICF Macro","publisher-place":"Dar es Salaam, Tanzania","event-place":"Dar es Salaam, Tanzania","URL":"http://dhsprogram.com/pubs/pdf/FR243/FR243.pdf","author":[{"family":"National Bureau of Statistics - NBS/Tanzania","given":""},{"family":"ICF Macro","given":""}],"issued":{"date-parts":[["2011"]]}}}],"schema":"https://github.com/citation-style-language/schema/raw/master/csl-citation.json"} </w:instrText>
            </w:r>
            <w:r>
              <w:rPr>
                <w:lang w:eastAsia="en-US"/>
              </w:rPr>
              <w:fldChar w:fldCharType="separate"/>
            </w:r>
            <w:r w:rsidRPr="00BB1367">
              <w:t>[26]</w:t>
            </w:r>
            <w:r>
              <w:rPr>
                <w:lang w:eastAsia="en-US"/>
              </w:rPr>
              <w:fldChar w:fldCharType="end"/>
            </w:r>
          </w:p>
        </w:tc>
        <w:tc>
          <w:tcPr>
            <w:tcW w:w="1212" w:type="dxa"/>
          </w:tcPr>
          <w:p w14:paraId="1A3D489F" w14:textId="77777777" w:rsidR="005F7AFE" w:rsidRDefault="005F7AFE" w:rsidP="00C62C67">
            <w:pPr>
              <w:spacing w:line="240" w:lineRule="auto"/>
              <w:jc w:val="center"/>
              <w:rPr>
                <w:lang w:eastAsia="en-US"/>
              </w:rPr>
            </w:pPr>
            <w:r>
              <w:rPr>
                <w:lang w:eastAsia="en-US"/>
              </w:rPr>
              <w:t>2010</w:t>
            </w:r>
          </w:p>
        </w:tc>
        <w:tc>
          <w:tcPr>
            <w:tcW w:w="1882" w:type="dxa"/>
          </w:tcPr>
          <w:p w14:paraId="3C17B229" w14:textId="77777777" w:rsidR="005F7AFE" w:rsidRDefault="005F7AFE" w:rsidP="00C62C67">
            <w:pPr>
              <w:spacing w:line="240" w:lineRule="auto"/>
              <w:rPr>
                <w:lang w:eastAsia="en-US"/>
              </w:rPr>
            </w:pPr>
            <w:r>
              <w:rPr>
                <w:lang w:eastAsia="en-US"/>
              </w:rPr>
              <w:t>Standard DHS-VI</w:t>
            </w:r>
          </w:p>
        </w:tc>
        <w:tc>
          <w:tcPr>
            <w:tcW w:w="1007" w:type="dxa"/>
          </w:tcPr>
          <w:p w14:paraId="741AA3C9" w14:textId="77777777" w:rsidR="005F7AFE" w:rsidRDefault="005F7AFE" w:rsidP="00C62C67">
            <w:pPr>
              <w:spacing w:line="240" w:lineRule="auto"/>
              <w:jc w:val="center"/>
              <w:rPr>
                <w:lang w:eastAsia="en-US"/>
              </w:rPr>
            </w:pPr>
            <w:r>
              <w:rPr>
                <w:lang w:eastAsia="en-US"/>
              </w:rPr>
              <w:t>475</w:t>
            </w:r>
          </w:p>
        </w:tc>
        <w:tc>
          <w:tcPr>
            <w:tcW w:w="1336" w:type="dxa"/>
          </w:tcPr>
          <w:p w14:paraId="3D0A4E81" w14:textId="77777777" w:rsidR="005F7AFE" w:rsidRDefault="005F7AFE" w:rsidP="00C62C67">
            <w:pPr>
              <w:spacing w:line="240" w:lineRule="auto"/>
              <w:jc w:val="center"/>
              <w:rPr>
                <w:lang w:eastAsia="en-US"/>
              </w:rPr>
            </w:pPr>
            <w:r w:rsidRPr="005B6FB7">
              <w:t>4,019</w:t>
            </w:r>
          </w:p>
        </w:tc>
      </w:tr>
      <w:tr w:rsidR="005F7AFE" w14:paraId="245C7877" w14:textId="77777777" w:rsidTr="00C62C67">
        <w:trPr>
          <w:jc w:val="center"/>
        </w:trPr>
        <w:tc>
          <w:tcPr>
            <w:tcW w:w="924" w:type="dxa"/>
            <w:vMerge/>
          </w:tcPr>
          <w:p w14:paraId="77CCB9E3" w14:textId="77777777" w:rsidR="005F7AFE" w:rsidRDefault="005F7AFE" w:rsidP="00C62C67">
            <w:pPr>
              <w:spacing w:line="240" w:lineRule="auto"/>
              <w:rPr>
                <w:lang w:eastAsia="en-US"/>
              </w:rPr>
            </w:pPr>
          </w:p>
        </w:tc>
        <w:tc>
          <w:tcPr>
            <w:tcW w:w="965" w:type="dxa"/>
          </w:tcPr>
          <w:p w14:paraId="04042DD5" w14:textId="77777777" w:rsidR="005F7AFE" w:rsidRDefault="005F7AFE" w:rsidP="00C62C67">
            <w:pPr>
              <w:spacing w:line="240" w:lineRule="auto"/>
              <w:jc w:val="center"/>
              <w:rPr>
                <w:lang w:eastAsia="en-US"/>
              </w:rPr>
            </w:pPr>
            <w:r>
              <w:rPr>
                <w:lang w:eastAsia="en-US"/>
              </w:rPr>
              <w:fldChar w:fldCharType="begin"/>
            </w:r>
            <w:r>
              <w:rPr>
                <w:lang w:eastAsia="en-US"/>
              </w:rPr>
              <w:instrText xml:space="preserve"> ADDIN ZOTERO_ITEM CSL_CITATION {"citationID":"a1b8m3gliuq","properties":{"formattedCitation":"[27]","plainCitation":"[27]","noteIndex":0},"citationItems":[{"id":771,"uris":["http://zotero.org/users/2783131/items/3FI426ZB"],"uri":["http://zotero.org/users/2783131/items/3FI426ZB"],"itemData":{"id":771,"type":"book","title":"Tanzania Demographic and Health Survey and Malaria Indicator Survey 2015-2016","publisher":"MoHCDGEC, MoH, NBS, OCGS, and ICF","publisher-place":"Dar es Salaam, Tanzania","event-place":"Dar es Salaam, Tanzania","URL":"http://dhsprogram.com/pubs/pdf/FR321/FR321.pdf","author":[{"family":"Ministry of Health","given":"Community Development"},{"family":"Ministry of Health - MoH/Zanzibar","given":""},{"family":"National Bureau of Statistics - NBS/Tanzania","given":""},{"family":"Office of Chief Government Statistician - OCGS/Zanzibar","given":""},{"family":"ICF","given":""}],"issued":{"date-parts":[["2016"]]}}}],"schema":"https://github.com/citation-style-language/schema/raw/master/csl-citation.json"} </w:instrText>
            </w:r>
            <w:r>
              <w:rPr>
                <w:lang w:eastAsia="en-US"/>
              </w:rPr>
              <w:fldChar w:fldCharType="separate"/>
            </w:r>
            <w:r w:rsidRPr="00BB1367">
              <w:t>[27]</w:t>
            </w:r>
            <w:r>
              <w:rPr>
                <w:lang w:eastAsia="en-US"/>
              </w:rPr>
              <w:fldChar w:fldCharType="end"/>
            </w:r>
          </w:p>
        </w:tc>
        <w:tc>
          <w:tcPr>
            <w:tcW w:w="1212" w:type="dxa"/>
          </w:tcPr>
          <w:p w14:paraId="2F5EFB4D" w14:textId="77777777" w:rsidR="005F7AFE" w:rsidRDefault="005F7AFE" w:rsidP="00C62C67">
            <w:pPr>
              <w:spacing w:line="240" w:lineRule="auto"/>
              <w:jc w:val="center"/>
              <w:rPr>
                <w:lang w:eastAsia="en-US"/>
              </w:rPr>
            </w:pPr>
            <w:r>
              <w:rPr>
                <w:lang w:eastAsia="en-US"/>
              </w:rPr>
              <w:t>2015/16</w:t>
            </w:r>
          </w:p>
        </w:tc>
        <w:tc>
          <w:tcPr>
            <w:tcW w:w="1882" w:type="dxa"/>
          </w:tcPr>
          <w:p w14:paraId="69DB9847" w14:textId="77777777" w:rsidR="005F7AFE" w:rsidRDefault="005F7AFE" w:rsidP="00C62C67">
            <w:pPr>
              <w:spacing w:line="240" w:lineRule="auto"/>
              <w:rPr>
                <w:lang w:eastAsia="en-US"/>
              </w:rPr>
            </w:pPr>
            <w:r>
              <w:rPr>
                <w:lang w:eastAsia="en-US"/>
              </w:rPr>
              <w:t>Standard DHS-VII</w:t>
            </w:r>
          </w:p>
        </w:tc>
        <w:tc>
          <w:tcPr>
            <w:tcW w:w="1007" w:type="dxa"/>
          </w:tcPr>
          <w:p w14:paraId="286DDDCC" w14:textId="77777777" w:rsidR="005F7AFE" w:rsidRDefault="005F7AFE" w:rsidP="00C62C67">
            <w:pPr>
              <w:spacing w:line="240" w:lineRule="auto"/>
              <w:jc w:val="center"/>
              <w:rPr>
                <w:lang w:eastAsia="en-US"/>
              </w:rPr>
            </w:pPr>
            <w:r>
              <w:rPr>
                <w:lang w:eastAsia="en-US"/>
              </w:rPr>
              <w:t>608</w:t>
            </w:r>
          </w:p>
        </w:tc>
        <w:tc>
          <w:tcPr>
            <w:tcW w:w="1336" w:type="dxa"/>
          </w:tcPr>
          <w:p w14:paraId="19E29435" w14:textId="77777777" w:rsidR="005F7AFE" w:rsidRDefault="005F7AFE" w:rsidP="00C62C67">
            <w:pPr>
              <w:spacing w:line="240" w:lineRule="auto"/>
              <w:jc w:val="center"/>
              <w:rPr>
                <w:lang w:eastAsia="en-US"/>
              </w:rPr>
            </w:pPr>
            <w:r w:rsidRPr="005B6FB7">
              <w:t>5,288</w:t>
            </w:r>
          </w:p>
        </w:tc>
      </w:tr>
      <w:tr w:rsidR="005F7AFE" w14:paraId="3D3253AC" w14:textId="77777777" w:rsidTr="00C62C67">
        <w:trPr>
          <w:jc w:val="center"/>
        </w:trPr>
        <w:tc>
          <w:tcPr>
            <w:tcW w:w="924" w:type="dxa"/>
            <w:vMerge w:val="restart"/>
          </w:tcPr>
          <w:p w14:paraId="0A864473" w14:textId="77777777" w:rsidR="005F7AFE" w:rsidRDefault="005F7AFE" w:rsidP="00C62C67">
            <w:pPr>
              <w:spacing w:line="240" w:lineRule="auto"/>
              <w:rPr>
                <w:lang w:eastAsia="en-US"/>
              </w:rPr>
            </w:pPr>
            <w:r>
              <w:rPr>
                <w:lang w:eastAsia="en-US"/>
              </w:rPr>
              <w:t>Uganda</w:t>
            </w:r>
          </w:p>
        </w:tc>
        <w:tc>
          <w:tcPr>
            <w:tcW w:w="965" w:type="dxa"/>
          </w:tcPr>
          <w:p w14:paraId="5BFCB3BC" w14:textId="77777777" w:rsidR="005F7AFE" w:rsidRDefault="005F7AFE" w:rsidP="00C62C67">
            <w:pPr>
              <w:spacing w:line="240" w:lineRule="auto"/>
              <w:jc w:val="center"/>
              <w:rPr>
                <w:lang w:eastAsia="en-US"/>
              </w:rPr>
            </w:pPr>
            <w:r>
              <w:rPr>
                <w:lang w:eastAsia="en-US"/>
              </w:rPr>
              <w:fldChar w:fldCharType="begin"/>
            </w:r>
            <w:r>
              <w:rPr>
                <w:lang w:eastAsia="en-US"/>
              </w:rPr>
              <w:instrText xml:space="preserve"> ADDIN ZOTERO_ITEM CSL_CITATION {"citationID":"a1m9c19m9m6","properties":{"formattedCitation":"[28]","plainCitation":"[28]","noteIndex":0},"citationItems":[{"id":660,"uris":["http://zotero.org/users/2783131/items/G247VZRX"],"uri":["http://zotero.org/users/2783131/items/G247VZRX"],"itemData":{"id":660,"type":"book","title":"Uganda Demographic and Health Survey 2000-2001","publisher":"UBOS and ORC Macro","publisher-place":"Calverton, Maryland, USA","event-place":"Calverton, Maryland, USA","URL":"http://dhsprogram.com/pubs/pdf/FR128/FR128.pdf","author":[{"family":"Uganda Bureau of Statistics - UBOS","given":""},{"family":"ORC Macro","given":""}],"issued":{"date-parts":[["2001"]]}}}],"schema":"https://github.com/citation-style-language/schema/raw/master/csl-citation.json"} </w:instrText>
            </w:r>
            <w:r>
              <w:rPr>
                <w:lang w:eastAsia="en-US"/>
              </w:rPr>
              <w:fldChar w:fldCharType="separate"/>
            </w:r>
            <w:r w:rsidRPr="00BB1367">
              <w:t>[28]</w:t>
            </w:r>
            <w:r>
              <w:rPr>
                <w:lang w:eastAsia="en-US"/>
              </w:rPr>
              <w:fldChar w:fldCharType="end"/>
            </w:r>
          </w:p>
        </w:tc>
        <w:tc>
          <w:tcPr>
            <w:tcW w:w="1212" w:type="dxa"/>
          </w:tcPr>
          <w:p w14:paraId="088829D6" w14:textId="77777777" w:rsidR="005F7AFE" w:rsidRDefault="005F7AFE" w:rsidP="00C62C67">
            <w:pPr>
              <w:spacing w:line="240" w:lineRule="auto"/>
              <w:jc w:val="center"/>
              <w:rPr>
                <w:lang w:eastAsia="en-US"/>
              </w:rPr>
            </w:pPr>
            <w:r>
              <w:rPr>
                <w:lang w:eastAsia="en-US"/>
              </w:rPr>
              <w:t>2000/1</w:t>
            </w:r>
          </w:p>
        </w:tc>
        <w:tc>
          <w:tcPr>
            <w:tcW w:w="1882" w:type="dxa"/>
          </w:tcPr>
          <w:p w14:paraId="6AB9B7DA" w14:textId="77777777" w:rsidR="005F7AFE" w:rsidRDefault="005F7AFE" w:rsidP="00C62C67">
            <w:pPr>
              <w:spacing w:line="240" w:lineRule="auto"/>
              <w:rPr>
                <w:lang w:eastAsia="en-US"/>
              </w:rPr>
            </w:pPr>
            <w:r>
              <w:rPr>
                <w:lang w:eastAsia="en-US"/>
              </w:rPr>
              <w:t>Standard DHS-IV</w:t>
            </w:r>
          </w:p>
        </w:tc>
        <w:tc>
          <w:tcPr>
            <w:tcW w:w="1007" w:type="dxa"/>
          </w:tcPr>
          <w:p w14:paraId="71CF207A" w14:textId="77777777" w:rsidR="005F7AFE" w:rsidRDefault="005F7AFE" w:rsidP="00C62C67">
            <w:pPr>
              <w:spacing w:line="240" w:lineRule="auto"/>
              <w:jc w:val="center"/>
              <w:rPr>
                <w:lang w:eastAsia="en-US"/>
              </w:rPr>
            </w:pPr>
            <w:r>
              <w:rPr>
                <w:lang w:eastAsia="en-US"/>
              </w:rPr>
              <w:t>266</w:t>
            </w:r>
          </w:p>
        </w:tc>
        <w:tc>
          <w:tcPr>
            <w:tcW w:w="1336" w:type="dxa"/>
          </w:tcPr>
          <w:p w14:paraId="321DD2F2" w14:textId="77777777" w:rsidR="005F7AFE" w:rsidRDefault="005F7AFE" w:rsidP="00C62C67">
            <w:pPr>
              <w:spacing w:line="240" w:lineRule="auto"/>
              <w:jc w:val="center"/>
              <w:rPr>
                <w:lang w:eastAsia="en-US"/>
              </w:rPr>
            </w:pPr>
            <w:r w:rsidRPr="005B6FB7">
              <w:t>2,790</w:t>
            </w:r>
          </w:p>
        </w:tc>
      </w:tr>
      <w:tr w:rsidR="005F7AFE" w14:paraId="222E37D9" w14:textId="77777777" w:rsidTr="00C62C67">
        <w:trPr>
          <w:jc w:val="center"/>
        </w:trPr>
        <w:tc>
          <w:tcPr>
            <w:tcW w:w="924" w:type="dxa"/>
            <w:vMerge/>
          </w:tcPr>
          <w:p w14:paraId="4EC0CB72" w14:textId="77777777" w:rsidR="005F7AFE" w:rsidRDefault="005F7AFE" w:rsidP="00C62C67">
            <w:pPr>
              <w:spacing w:line="240" w:lineRule="auto"/>
              <w:rPr>
                <w:lang w:eastAsia="en-US"/>
              </w:rPr>
            </w:pPr>
          </w:p>
        </w:tc>
        <w:tc>
          <w:tcPr>
            <w:tcW w:w="965" w:type="dxa"/>
          </w:tcPr>
          <w:p w14:paraId="5549A5B6" w14:textId="77777777" w:rsidR="005F7AFE" w:rsidRDefault="005F7AFE" w:rsidP="00C62C67">
            <w:pPr>
              <w:spacing w:line="240" w:lineRule="auto"/>
              <w:jc w:val="center"/>
              <w:rPr>
                <w:lang w:eastAsia="en-US"/>
              </w:rPr>
            </w:pPr>
            <w:r>
              <w:rPr>
                <w:lang w:eastAsia="en-US"/>
              </w:rPr>
              <w:fldChar w:fldCharType="begin"/>
            </w:r>
            <w:r>
              <w:rPr>
                <w:lang w:eastAsia="en-US"/>
              </w:rPr>
              <w:instrText xml:space="preserve"> ADDIN ZOTERO_ITEM CSL_CITATION {"citationID":"aksojofh05","properties":{"formattedCitation":"[29]","plainCitation":"[29]","noteIndex":0},"citationItems":[{"id":818,"uris":["http://zotero.org/users/2783131/items/27GM3SKH"],"uri":["http://zotero.org/users/2783131/items/27GM3SKH"],"itemData":{"id":818,"type":"book","title":"Uganda Demographic and Health Survey 2006","publisher":"UBOS and Macro International","publisher-place":"Calverton, Maryland, USA","event-place":"Calverton, Maryland, USA","URL":"http://dhsprogram.com/pubs/pdf/FR194/FR194.pdf","author":[{"family":"Uganda Bureau of Statistics - UBOS","given":""},{"family":"Macro International","given":""}],"issued":{"date-parts":[["2007"]]}}}],"schema":"https://github.com/citation-style-language/schema/raw/master/csl-citation.json"} </w:instrText>
            </w:r>
            <w:r>
              <w:rPr>
                <w:lang w:eastAsia="en-US"/>
              </w:rPr>
              <w:fldChar w:fldCharType="separate"/>
            </w:r>
            <w:r w:rsidRPr="00BB1367">
              <w:t>[29]</w:t>
            </w:r>
            <w:r>
              <w:rPr>
                <w:lang w:eastAsia="en-US"/>
              </w:rPr>
              <w:fldChar w:fldCharType="end"/>
            </w:r>
          </w:p>
        </w:tc>
        <w:tc>
          <w:tcPr>
            <w:tcW w:w="1212" w:type="dxa"/>
          </w:tcPr>
          <w:p w14:paraId="05671408" w14:textId="77777777" w:rsidR="005F7AFE" w:rsidRDefault="005F7AFE" w:rsidP="00C62C67">
            <w:pPr>
              <w:spacing w:line="240" w:lineRule="auto"/>
              <w:jc w:val="center"/>
              <w:rPr>
                <w:lang w:eastAsia="en-US"/>
              </w:rPr>
            </w:pPr>
            <w:r>
              <w:rPr>
                <w:lang w:eastAsia="en-US"/>
              </w:rPr>
              <w:t>2006</w:t>
            </w:r>
          </w:p>
        </w:tc>
        <w:tc>
          <w:tcPr>
            <w:tcW w:w="1882" w:type="dxa"/>
          </w:tcPr>
          <w:p w14:paraId="5E78335F" w14:textId="77777777" w:rsidR="005F7AFE" w:rsidRDefault="005F7AFE" w:rsidP="00C62C67">
            <w:pPr>
              <w:spacing w:line="240" w:lineRule="auto"/>
              <w:rPr>
                <w:lang w:eastAsia="en-US"/>
              </w:rPr>
            </w:pPr>
            <w:r>
              <w:rPr>
                <w:lang w:eastAsia="en-US"/>
              </w:rPr>
              <w:t>Standard DHS-V</w:t>
            </w:r>
          </w:p>
        </w:tc>
        <w:tc>
          <w:tcPr>
            <w:tcW w:w="1007" w:type="dxa"/>
          </w:tcPr>
          <w:p w14:paraId="4457B3C1" w14:textId="77777777" w:rsidR="005F7AFE" w:rsidRDefault="005F7AFE" w:rsidP="00C62C67">
            <w:pPr>
              <w:spacing w:line="240" w:lineRule="auto"/>
              <w:jc w:val="center"/>
              <w:rPr>
                <w:lang w:eastAsia="en-US"/>
              </w:rPr>
            </w:pPr>
            <w:r>
              <w:rPr>
                <w:lang w:eastAsia="en-US"/>
              </w:rPr>
              <w:t>336</w:t>
            </w:r>
          </w:p>
        </w:tc>
        <w:tc>
          <w:tcPr>
            <w:tcW w:w="1336" w:type="dxa"/>
          </w:tcPr>
          <w:p w14:paraId="7397D0B2" w14:textId="77777777" w:rsidR="005F7AFE" w:rsidRDefault="005F7AFE" w:rsidP="00C62C67">
            <w:pPr>
              <w:spacing w:line="240" w:lineRule="auto"/>
              <w:jc w:val="center"/>
              <w:rPr>
                <w:lang w:eastAsia="en-US"/>
              </w:rPr>
            </w:pPr>
            <w:r w:rsidRPr="005B6FB7">
              <w:t>3,420</w:t>
            </w:r>
          </w:p>
        </w:tc>
      </w:tr>
      <w:tr w:rsidR="005F7AFE" w14:paraId="44696BC5" w14:textId="77777777" w:rsidTr="00C62C67">
        <w:trPr>
          <w:jc w:val="center"/>
        </w:trPr>
        <w:tc>
          <w:tcPr>
            <w:tcW w:w="924" w:type="dxa"/>
            <w:vMerge/>
          </w:tcPr>
          <w:p w14:paraId="62214AFC" w14:textId="77777777" w:rsidR="005F7AFE" w:rsidRDefault="005F7AFE" w:rsidP="00C62C67">
            <w:pPr>
              <w:spacing w:line="240" w:lineRule="auto"/>
              <w:rPr>
                <w:lang w:eastAsia="en-US"/>
              </w:rPr>
            </w:pPr>
          </w:p>
        </w:tc>
        <w:tc>
          <w:tcPr>
            <w:tcW w:w="965" w:type="dxa"/>
          </w:tcPr>
          <w:p w14:paraId="32468681" w14:textId="77777777" w:rsidR="005F7AFE" w:rsidRDefault="005F7AFE" w:rsidP="00C62C67">
            <w:pPr>
              <w:spacing w:line="240" w:lineRule="auto"/>
              <w:jc w:val="center"/>
              <w:rPr>
                <w:lang w:eastAsia="en-US"/>
              </w:rPr>
            </w:pPr>
            <w:r>
              <w:rPr>
                <w:lang w:eastAsia="en-US"/>
              </w:rPr>
              <w:fldChar w:fldCharType="begin"/>
            </w:r>
            <w:r>
              <w:rPr>
                <w:lang w:eastAsia="en-US"/>
              </w:rPr>
              <w:instrText xml:space="preserve"> ADDIN ZOTERO_ITEM CSL_CITATION {"citationID":"a2qp5bkhflo","properties":{"formattedCitation":"[30]","plainCitation":"[30]","noteIndex":0},"citationItems":[{"id":797,"uris":["http://zotero.org/users/2783131/items/2VBJPRUX"],"uri":["http://zotero.org/users/2783131/items/2VBJPRUX"],"itemData":{"id":797,"type":"book","title":"Uganda Demographic and Health Survey 2011","publisher":"UBOS and ICF International","publisher-place":"Kampala, Uganda","event-place":"Kampala, Uganda","URL":"http://dhsprogram.com/pubs/pdf/FR264/FR264.pdf","author":[{"family":"Uganda Bureau of Statistics - UBOS","given":""},{"family":"ICF International","given":""}],"issued":{"date-parts":[["2012"]]}}}],"schema":"https://github.com/citation-style-language/schema/raw/master/csl-citation.json"} </w:instrText>
            </w:r>
            <w:r>
              <w:rPr>
                <w:lang w:eastAsia="en-US"/>
              </w:rPr>
              <w:fldChar w:fldCharType="separate"/>
            </w:r>
            <w:r w:rsidRPr="00BB1367">
              <w:t>[30]</w:t>
            </w:r>
            <w:r>
              <w:rPr>
                <w:lang w:eastAsia="en-US"/>
              </w:rPr>
              <w:fldChar w:fldCharType="end"/>
            </w:r>
          </w:p>
        </w:tc>
        <w:tc>
          <w:tcPr>
            <w:tcW w:w="1212" w:type="dxa"/>
          </w:tcPr>
          <w:p w14:paraId="56A2DE5A" w14:textId="77777777" w:rsidR="005F7AFE" w:rsidRDefault="005F7AFE" w:rsidP="00C62C67">
            <w:pPr>
              <w:spacing w:line="240" w:lineRule="auto"/>
              <w:jc w:val="center"/>
              <w:rPr>
                <w:lang w:eastAsia="en-US"/>
              </w:rPr>
            </w:pPr>
            <w:r>
              <w:rPr>
                <w:lang w:eastAsia="en-US"/>
              </w:rPr>
              <w:t>2011</w:t>
            </w:r>
          </w:p>
        </w:tc>
        <w:tc>
          <w:tcPr>
            <w:tcW w:w="1882" w:type="dxa"/>
          </w:tcPr>
          <w:p w14:paraId="4138F438" w14:textId="77777777" w:rsidR="005F7AFE" w:rsidRDefault="005F7AFE" w:rsidP="00C62C67">
            <w:pPr>
              <w:spacing w:line="240" w:lineRule="auto"/>
              <w:rPr>
                <w:lang w:eastAsia="en-US"/>
              </w:rPr>
            </w:pPr>
            <w:r>
              <w:rPr>
                <w:lang w:eastAsia="en-US"/>
              </w:rPr>
              <w:t>Standard DHS-VI</w:t>
            </w:r>
          </w:p>
        </w:tc>
        <w:tc>
          <w:tcPr>
            <w:tcW w:w="1007" w:type="dxa"/>
          </w:tcPr>
          <w:p w14:paraId="40FDD3CC" w14:textId="77777777" w:rsidR="005F7AFE" w:rsidRDefault="005F7AFE" w:rsidP="00C62C67">
            <w:pPr>
              <w:spacing w:line="240" w:lineRule="auto"/>
              <w:jc w:val="center"/>
              <w:rPr>
                <w:lang w:eastAsia="en-US"/>
              </w:rPr>
            </w:pPr>
            <w:r>
              <w:rPr>
                <w:lang w:eastAsia="en-US"/>
              </w:rPr>
              <w:t>400</w:t>
            </w:r>
          </w:p>
        </w:tc>
        <w:tc>
          <w:tcPr>
            <w:tcW w:w="1336" w:type="dxa"/>
          </w:tcPr>
          <w:p w14:paraId="64B30F93" w14:textId="77777777" w:rsidR="005F7AFE" w:rsidRDefault="005F7AFE" w:rsidP="00C62C67">
            <w:pPr>
              <w:spacing w:line="240" w:lineRule="auto"/>
              <w:jc w:val="center"/>
              <w:rPr>
                <w:lang w:eastAsia="en-US"/>
              </w:rPr>
            </w:pPr>
            <w:r w:rsidRPr="005B6FB7">
              <w:t>3,645</w:t>
            </w:r>
          </w:p>
        </w:tc>
      </w:tr>
    </w:tbl>
    <w:p w14:paraId="77B63E15" w14:textId="77777777" w:rsidR="005F7AFE" w:rsidRDefault="005F7AFE" w:rsidP="005C41D6">
      <w:pPr>
        <w:spacing w:line="480" w:lineRule="auto"/>
        <w:rPr>
          <w:rFonts w:asciiTheme="majorBidi" w:hAnsiTheme="majorBidi" w:cstheme="majorBidi"/>
          <w:b/>
          <w:sz w:val="24"/>
          <w:szCs w:val="24"/>
        </w:rPr>
      </w:pPr>
      <w:r>
        <w:rPr>
          <w:rFonts w:ascii="Times New Roman" w:hAnsi="Times New Roman" w:cs="Times New Roman"/>
          <w:sz w:val="24"/>
          <w:szCs w:val="24"/>
        </w:rPr>
        <w:br/>
      </w:r>
    </w:p>
    <w:tbl>
      <w:tblPr>
        <w:tblStyle w:val="TableGrid"/>
        <w:tblW w:w="0" w:type="auto"/>
        <w:jc w:val="center"/>
        <w:tblInd w:w="0" w:type="dxa"/>
        <w:tblLook w:val="04A0" w:firstRow="1" w:lastRow="0" w:firstColumn="1" w:lastColumn="0" w:noHBand="0" w:noVBand="1"/>
      </w:tblPr>
      <w:tblGrid>
        <w:gridCol w:w="703"/>
        <w:gridCol w:w="831"/>
        <w:gridCol w:w="740"/>
        <w:gridCol w:w="969"/>
        <w:gridCol w:w="703"/>
        <w:gridCol w:w="721"/>
        <w:gridCol w:w="740"/>
        <w:gridCol w:w="969"/>
      </w:tblGrid>
      <w:tr w:rsidR="005F7AFE" w14:paraId="1F28D5CA" w14:textId="77777777" w:rsidTr="00C62C67">
        <w:trPr>
          <w:jc w:val="center"/>
        </w:trPr>
        <w:tc>
          <w:tcPr>
            <w:tcW w:w="6376" w:type="dxa"/>
            <w:gridSpan w:val="8"/>
          </w:tcPr>
          <w:p w14:paraId="25789CEC" w14:textId="77777777" w:rsidR="005F7AFE" w:rsidRPr="006A4FEC" w:rsidRDefault="005F7AFE" w:rsidP="00C62C67">
            <w:pPr>
              <w:spacing w:line="240" w:lineRule="auto"/>
              <w:jc w:val="center"/>
              <w:rPr>
                <w:lang w:eastAsia="en-US"/>
              </w:rPr>
            </w:pPr>
            <w:r>
              <w:rPr>
                <w:b/>
                <w:lang w:eastAsia="en-US"/>
              </w:rPr>
              <w:t xml:space="preserve">Table 2. </w:t>
            </w:r>
            <w:r>
              <w:rPr>
                <w:lang w:eastAsia="en-US"/>
              </w:rPr>
              <w:t>Model validation results</w:t>
            </w:r>
          </w:p>
        </w:tc>
      </w:tr>
      <w:tr w:rsidR="005F7AFE" w14:paraId="7B13E03C" w14:textId="77777777" w:rsidTr="00C62C67">
        <w:trPr>
          <w:jc w:val="center"/>
        </w:trPr>
        <w:tc>
          <w:tcPr>
            <w:tcW w:w="3243" w:type="dxa"/>
            <w:gridSpan w:val="4"/>
          </w:tcPr>
          <w:p w14:paraId="7C9E67DE" w14:textId="77777777" w:rsidR="005F7AFE" w:rsidRDefault="005F7AFE" w:rsidP="00C62C67">
            <w:pPr>
              <w:spacing w:line="240" w:lineRule="auto"/>
              <w:jc w:val="center"/>
              <w:rPr>
                <w:b/>
                <w:i/>
                <w:lang w:eastAsia="en-US"/>
              </w:rPr>
            </w:pPr>
            <w:r>
              <w:rPr>
                <w:b/>
                <w:i/>
                <w:lang w:eastAsia="en-US"/>
              </w:rPr>
              <w:t>Kenya</w:t>
            </w:r>
          </w:p>
        </w:tc>
        <w:tc>
          <w:tcPr>
            <w:tcW w:w="3133" w:type="dxa"/>
            <w:gridSpan w:val="4"/>
          </w:tcPr>
          <w:p w14:paraId="6403A668" w14:textId="77777777" w:rsidR="005F7AFE" w:rsidRDefault="005F7AFE" w:rsidP="00C62C67">
            <w:pPr>
              <w:spacing w:line="240" w:lineRule="auto"/>
              <w:jc w:val="center"/>
              <w:rPr>
                <w:b/>
                <w:i/>
                <w:lang w:eastAsia="en-US"/>
              </w:rPr>
            </w:pPr>
            <w:r>
              <w:rPr>
                <w:b/>
                <w:i/>
                <w:lang w:eastAsia="en-US"/>
              </w:rPr>
              <w:t>Tanzania</w:t>
            </w:r>
          </w:p>
        </w:tc>
      </w:tr>
      <w:tr w:rsidR="005F7AFE" w14:paraId="7A1856F3" w14:textId="77777777" w:rsidTr="00C62C67">
        <w:trPr>
          <w:jc w:val="center"/>
        </w:trPr>
        <w:tc>
          <w:tcPr>
            <w:tcW w:w="703" w:type="dxa"/>
          </w:tcPr>
          <w:p w14:paraId="448E52AF" w14:textId="77777777" w:rsidR="005F7AFE" w:rsidRDefault="005F7AFE" w:rsidP="00C62C67">
            <w:pPr>
              <w:spacing w:line="240" w:lineRule="auto"/>
              <w:rPr>
                <w:b/>
                <w:lang w:eastAsia="en-US"/>
              </w:rPr>
            </w:pPr>
          </w:p>
        </w:tc>
        <w:tc>
          <w:tcPr>
            <w:tcW w:w="831" w:type="dxa"/>
          </w:tcPr>
          <w:p w14:paraId="2306EB34" w14:textId="77777777" w:rsidR="005F7AFE" w:rsidRPr="00F11BBE" w:rsidRDefault="005F7AFE" w:rsidP="00C62C67">
            <w:pPr>
              <w:spacing w:line="240" w:lineRule="auto"/>
              <w:jc w:val="center"/>
              <w:rPr>
                <w:b/>
                <w:lang w:eastAsia="en-US"/>
              </w:rPr>
            </w:pPr>
            <w:r>
              <w:rPr>
                <w:b/>
                <w:lang w:eastAsia="en-US"/>
              </w:rPr>
              <w:t>MSE</w:t>
            </w:r>
          </w:p>
        </w:tc>
        <w:tc>
          <w:tcPr>
            <w:tcW w:w="740" w:type="dxa"/>
          </w:tcPr>
          <w:p w14:paraId="5B79E562" w14:textId="77777777" w:rsidR="005F7AFE" w:rsidRPr="00F11BBE" w:rsidRDefault="005F7AFE" w:rsidP="00C62C67">
            <w:pPr>
              <w:spacing w:line="240" w:lineRule="auto"/>
              <w:jc w:val="center"/>
              <w:rPr>
                <w:b/>
                <w:lang w:eastAsia="en-US"/>
              </w:rPr>
            </w:pPr>
            <w:r>
              <w:rPr>
                <w:b/>
                <w:lang w:eastAsia="en-US"/>
              </w:rPr>
              <w:t>MAE</w:t>
            </w:r>
          </w:p>
        </w:tc>
        <w:tc>
          <w:tcPr>
            <w:tcW w:w="969" w:type="dxa"/>
          </w:tcPr>
          <w:p w14:paraId="6E61C2FB" w14:textId="77777777" w:rsidR="005F7AFE" w:rsidRPr="00F11BBE" w:rsidRDefault="005F7AFE" w:rsidP="00C62C67">
            <w:pPr>
              <w:spacing w:line="240" w:lineRule="auto"/>
              <w:jc w:val="center"/>
              <w:rPr>
                <w:b/>
                <w:vertAlign w:val="superscript"/>
                <w:lang w:eastAsia="en-US"/>
              </w:rPr>
            </w:pPr>
            <w:r>
              <w:rPr>
                <w:b/>
                <w:lang w:eastAsia="en-US"/>
              </w:rPr>
              <w:t>Psuedo</w:t>
            </w:r>
            <w:r>
              <w:rPr>
                <w:b/>
                <w:lang w:eastAsia="en-US"/>
              </w:rPr>
              <w:br/>
              <w:t>-R</w:t>
            </w:r>
            <w:r>
              <w:rPr>
                <w:b/>
                <w:vertAlign w:val="superscript"/>
                <w:lang w:eastAsia="en-US"/>
              </w:rPr>
              <w:t>2</w:t>
            </w:r>
          </w:p>
        </w:tc>
        <w:tc>
          <w:tcPr>
            <w:tcW w:w="703" w:type="dxa"/>
          </w:tcPr>
          <w:p w14:paraId="378203FB" w14:textId="77777777" w:rsidR="005F7AFE" w:rsidRDefault="005F7AFE" w:rsidP="00C62C67">
            <w:pPr>
              <w:spacing w:line="240" w:lineRule="auto"/>
              <w:jc w:val="center"/>
              <w:rPr>
                <w:b/>
                <w:lang w:eastAsia="en-US"/>
              </w:rPr>
            </w:pPr>
          </w:p>
        </w:tc>
        <w:tc>
          <w:tcPr>
            <w:tcW w:w="721" w:type="dxa"/>
          </w:tcPr>
          <w:p w14:paraId="11DF8423" w14:textId="77777777" w:rsidR="005F7AFE" w:rsidRDefault="005F7AFE" w:rsidP="00C62C67">
            <w:pPr>
              <w:spacing w:line="240" w:lineRule="auto"/>
              <w:jc w:val="center"/>
              <w:rPr>
                <w:b/>
                <w:lang w:eastAsia="en-US"/>
              </w:rPr>
            </w:pPr>
            <w:r>
              <w:rPr>
                <w:b/>
                <w:lang w:eastAsia="en-US"/>
              </w:rPr>
              <w:t>MSE</w:t>
            </w:r>
          </w:p>
        </w:tc>
        <w:tc>
          <w:tcPr>
            <w:tcW w:w="740" w:type="dxa"/>
          </w:tcPr>
          <w:p w14:paraId="46DCDEEC" w14:textId="77777777" w:rsidR="005F7AFE" w:rsidRDefault="005F7AFE" w:rsidP="00C62C67">
            <w:pPr>
              <w:spacing w:line="240" w:lineRule="auto"/>
              <w:jc w:val="center"/>
              <w:rPr>
                <w:b/>
                <w:lang w:eastAsia="en-US"/>
              </w:rPr>
            </w:pPr>
            <w:r>
              <w:rPr>
                <w:b/>
                <w:lang w:eastAsia="en-US"/>
              </w:rPr>
              <w:t>MAE</w:t>
            </w:r>
          </w:p>
        </w:tc>
        <w:tc>
          <w:tcPr>
            <w:tcW w:w="969" w:type="dxa"/>
          </w:tcPr>
          <w:p w14:paraId="2260E405" w14:textId="77777777" w:rsidR="005F7AFE" w:rsidRDefault="005F7AFE" w:rsidP="00C62C67">
            <w:pPr>
              <w:spacing w:line="240" w:lineRule="auto"/>
              <w:jc w:val="center"/>
              <w:rPr>
                <w:b/>
                <w:lang w:eastAsia="en-US"/>
              </w:rPr>
            </w:pPr>
            <w:r>
              <w:rPr>
                <w:b/>
                <w:lang w:eastAsia="en-US"/>
              </w:rPr>
              <w:t>Psuedo</w:t>
            </w:r>
            <w:r>
              <w:rPr>
                <w:b/>
                <w:lang w:eastAsia="en-US"/>
              </w:rPr>
              <w:br/>
              <w:t>-R</w:t>
            </w:r>
            <w:r>
              <w:rPr>
                <w:b/>
                <w:vertAlign w:val="superscript"/>
                <w:lang w:eastAsia="en-US"/>
              </w:rPr>
              <w:t>2</w:t>
            </w:r>
          </w:p>
        </w:tc>
      </w:tr>
      <w:tr w:rsidR="005F7AFE" w14:paraId="287A9251" w14:textId="77777777" w:rsidTr="00C62C67">
        <w:trPr>
          <w:jc w:val="center"/>
        </w:trPr>
        <w:tc>
          <w:tcPr>
            <w:tcW w:w="3243" w:type="dxa"/>
            <w:gridSpan w:val="4"/>
          </w:tcPr>
          <w:p w14:paraId="12CC9EE4" w14:textId="77777777" w:rsidR="005F7AFE" w:rsidRPr="00F11BBE" w:rsidRDefault="005F7AFE" w:rsidP="00C62C67">
            <w:pPr>
              <w:spacing w:line="240" w:lineRule="auto"/>
              <w:jc w:val="center"/>
              <w:rPr>
                <w:i/>
                <w:lang w:eastAsia="en-US"/>
              </w:rPr>
            </w:pPr>
            <w:r>
              <w:rPr>
                <w:i/>
                <w:lang w:eastAsia="en-US"/>
              </w:rPr>
              <w:t>2003</w:t>
            </w:r>
          </w:p>
        </w:tc>
        <w:tc>
          <w:tcPr>
            <w:tcW w:w="3133" w:type="dxa"/>
            <w:gridSpan w:val="4"/>
          </w:tcPr>
          <w:p w14:paraId="4EF858FC" w14:textId="77777777" w:rsidR="005F7AFE" w:rsidRDefault="005F7AFE" w:rsidP="00C62C67">
            <w:pPr>
              <w:spacing w:line="240" w:lineRule="auto"/>
              <w:jc w:val="center"/>
              <w:rPr>
                <w:i/>
                <w:lang w:eastAsia="en-US"/>
              </w:rPr>
            </w:pPr>
            <w:r>
              <w:rPr>
                <w:i/>
                <w:lang w:eastAsia="en-US"/>
              </w:rPr>
              <w:t>1999</w:t>
            </w:r>
          </w:p>
        </w:tc>
      </w:tr>
      <w:tr w:rsidR="005F7AFE" w14:paraId="3060950C" w14:textId="77777777" w:rsidTr="00C62C67">
        <w:trPr>
          <w:jc w:val="center"/>
        </w:trPr>
        <w:tc>
          <w:tcPr>
            <w:tcW w:w="703" w:type="dxa"/>
          </w:tcPr>
          <w:p w14:paraId="014BEDF1" w14:textId="77777777" w:rsidR="005F7AFE" w:rsidRDefault="005F7AFE" w:rsidP="00C62C67">
            <w:pPr>
              <w:spacing w:line="240" w:lineRule="auto"/>
              <w:rPr>
                <w:b/>
                <w:lang w:eastAsia="en-US"/>
              </w:rPr>
            </w:pPr>
            <w:r>
              <w:rPr>
                <w:b/>
                <w:lang w:eastAsia="en-US"/>
              </w:rPr>
              <w:t>SBA</w:t>
            </w:r>
          </w:p>
        </w:tc>
        <w:tc>
          <w:tcPr>
            <w:tcW w:w="831" w:type="dxa"/>
          </w:tcPr>
          <w:p w14:paraId="58F3F916" w14:textId="77777777" w:rsidR="005F7AFE" w:rsidRPr="00F11BBE" w:rsidRDefault="005F7AFE" w:rsidP="00C62C67">
            <w:pPr>
              <w:spacing w:line="240" w:lineRule="auto"/>
              <w:jc w:val="center"/>
              <w:rPr>
                <w:lang w:eastAsia="en-US"/>
              </w:rPr>
            </w:pPr>
            <w:r w:rsidRPr="00FE0183">
              <w:rPr>
                <w:lang w:eastAsia="en-US"/>
              </w:rPr>
              <w:t>0.0022</w:t>
            </w:r>
          </w:p>
        </w:tc>
        <w:tc>
          <w:tcPr>
            <w:tcW w:w="740" w:type="dxa"/>
          </w:tcPr>
          <w:p w14:paraId="22A7A639" w14:textId="77777777" w:rsidR="005F7AFE" w:rsidRPr="00F11BBE" w:rsidRDefault="005F7AFE" w:rsidP="00C62C67">
            <w:pPr>
              <w:spacing w:line="240" w:lineRule="auto"/>
              <w:jc w:val="center"/>
              <w:rPr>
                <w:lang w:eastAsia="en-US"/>
              </w:rPr>
            </w:pPr>
            <w:r w:rsidRPr="00FE0183">
              <w:rPr>
                <w:lang w:eastAsia="en-US"/>
              </w:rPr>
              <w:t>0.034</w:t>
            </w:r>
            <w:r>
              <w:rPr>
                <w:lang w:eastAsia="en-US"/>
              </w:rPr>
              <w:t>4</w:t>
            </w:r>
          </w:p>
        </w:tc>
        <w:tc>
          <w:tcPr>
            <w:tcW w:w="969" w:type="dxa"/>
          </w:tcPr>
          <w:p w14:paraId="14A0A6DC" w14:textId="77777777" w:rsidR="005F7AFE" w:rsidRPr="00F11BBE" w:rsidRDefault="005F7AFE" w:rsidP="00C62C67">
            <w:pPr>
              <w:spacing w:line="240" w:lineRule="auto"/>
              <w:jc w:val="center"/>
              <w:rPr>
                <w:lang w:eastAsia="en-US"/>
              </w:rPr>
            </w:pPr>
            <w:r>
              <w:rPr>
                <w:lang w:eastAsia="en-US"/>
              </w:rPr>
              <w:t>0.949</w:t>
            </w:r>
          </w:p>
        </w:tc>
        <w:tc>
          <w:tcPr>
            <w:tcW w:w="703" w:type="dxa"/>
          </w:tcPr>
          <w:p w14:paraId="722E0AB4" w14:textId="77777777" w:rsidR="005F7AFE" w:rsidRDefault="005F7AFE" w:rsidP="00C62C67">
            <w:pPr>
              <w:spacing w:line="240" w:lineRule="auto"/>
              <w:rPr>
                <w:lang w:eastAsia="en-US"/>
              </w:rPr>
            </w:pPr>
            <w:r>
              <w:rPr>
                <w:b/>
                <w:lang w:eastAsia="en-US"/>
              </w:rPr>
              <w:t>SBA</w:t>
            </w:r>
          </w:p>
        </w:tc>
        <w:tc>
          <w:tcPr>
            <w:tcW w:w="721" w:type="dxa"/>
          </w:tcPr>
          <w:p w14:paraId="6B5D91DA" w14:textId="77777777" w:rsidR="005F7AFE" w:rsidRDefault="005F7AFE" w:rsidP="00C62C67">
            <w:pPr>
              <w:spacing w:line="240" w:lineRule="auto"/>
              <w:jc w:val="center"/>
              <w:rPr>
                <w:lang w:eastAsia="en-US"/>
              </w:rPr>
            </w:pPr>
            <w:r>
              <w:rPr>
                <w:lang w:eastAsia="en-US"/>
              </w:rPr>
              <w:t>0.0099</w:t>
            </w:r>
          </w:p>
        </w:tc>
        <w:tc>
          <w:tcPr>
            <w:tcW w:w="740" w:type="dxa"/>
          </w:tcPr>
          <w:p w14:paraId="7FB138C6" w14:textId="77777777" w:rsidR="005F7AFE" w:rsidRDefault="005F7AFE" w:rsidP="00C62C67">
            <w:pPr>
              <w:spacing w:line="240" w:lineRule="auto"/>
              <w:jc w:val="center"/>
              <w:rPr>
                <w:lang w:eastAsia="en-US"/>
              </w:rPr>
            </w:pPr>
            <w:r w:rsidRPr="00F24E59">
              <w:rPr>
                <w:lang w:eastAsia="en-US"/>
              </w:rPr>
              <w:t>0.076</w:t>
            </w:r>
          </w:p>
        </w:tc>
        <w:tc>
          <w:tcPr>
            <w:tcW w:w="969" w:type="dxa"/>
          </w:tcPr>
          <w:p w14:paraId="4CDC0960" w14:textId="77777777" w:rsidR="005F7AFE" w:rsidRDefault="005F7AFE" w:rsidP="00C62C67">
            <w:pPr>
              <w:spacing w:line="240" w:lineRule="auto"/>
              <w:jc w:val="center"/>
              <w:rPr>
                <w:lang w:eastAsia="en-US"/>
              </w:rPr>
            </w:pPr>
            <w:r>
              <w:rPr>
                <w:lang w:eastAsia="en-US"/>
              </w:rPr>
              <w:t>0.876</w:t>
            </w:r>
          </w:p>
        </w:tc>
      </w:tr>
      <w:tr w:rsidR="005F7AFE" w14:paraId="5F843D0E" w14:textId="77777777" w:rsidTr="00C62C67">
        <w:trPr>
          <w:jc w:val="center"/>
        </w:trPr>
        <w:tc>
          <w:tcPr>
            <w:tcW w:w="703" w:type="dxa"/>
          </w:tcPr>
          <w:p w14:paraId="0442B9CA" w14:textId="77777777" w:rsidR="005F7AFE" w:rsidRDefault="005F7AFE" w:rsidP="00C62C67">
            <w:pPr>
              <w:spacing w:line="240" w:lineRule="auto"/>
              <w:rPr>
                <w:b/>
                <w:lang w:eastAsia="en-US"/>
              </w:rPr>
            </w:pPr>
            <w:r>
              <w:rPr>
                <w:b/>
                <w:lang w:eastAsia="en-US"/>
              </w:rPr>
              <w:t>ANC</w:t>
            </w:r>
          </w:p>
        </w:tc>
        <w:tc>
          <w:tcPr>
            <w:tcW w:w="831" w:type="dxa"/>
          </w:tcPr>
          <w:p w14:paraId="0EDE385A" w14:textId="77777777" w:rsidR="005F7AFE" w:rsidRPr="00F11BBE" w:rsidRDefault="005F7AFE" w:rsidP="00C62C67">
            <w:pPr>
              <w:spacing w:line="240" w:lineRule="auto"/>
              <w:jc w:val="center"/>
              <w:rPr>
                <w:lang w:eastAsia="en-US"/>
              </w:rPr>
            </w:pPr>
            <w:r>
              <w:rPr>
                <w:lang w:eastAsia="en-US"/>
              </w:rPr>
              <w:t>0.002</w:t>
            </w:r>
          </w:p>
        </w:tc>
        <w:tc>
          <w:tcPr>
            <w:tcW w:w="740" w:type="dxa"/>
          </w:tcPr>
          <w:p w14:paraId="7E24907C" w14:textId="77777777" w:rsidR="005F7AFE" w:rsidRPr="00F11BBE" w:rsidRDefault="005F7AFE" w:rsidP="00C62C67">
            <w:pPr>
              <w:spacing w:line="240" w:lineRule="auto"/>
              <w:jc w:val="center"/>
              <w:rPr>
                <w:lang w:eastAsia="en-US"/>
              </w:rPr>
            </w:pPr>
            <w:r w:rsidRPr="00FE0183">
              <w:rPr>
                <w:lang w:eastAsia="en-US"/>
              </w:rPr>
              <w:t>0.0337</w:t>
            </w:r>
          </w:p>
        </w:tc>
        <w:tc>
          <w:tcPr>
            <w:tcW w:w="969" w:type="dxa"/>
          </w:tcPr>
          <w:p w14:paraId="5BC7E34D" w14:textId="77777777" w:rsidR="005F7AFE" w:rsidRPr="00F11BBE" w:rsidRDefault="005F7AFE" w:rsidP="00C62C67">
            <w:pPr>
              <w:spacing w:line="240" w:lineRule="auto"/>
              <w:jc w:val="center"/>
              <w:rPr>
                <w:lang w:eastAsia="en-US"/>
              </w:rPr>
            </w:pPr>
            <w:r>
              <w:rPr>
                <w:lang w:eastAsia="en-US"/>
              </w:rPr>
              <w:t>0.925</w:t>
            </w:r>
          </w:p>
        </w:tc>
        <w:tc>
          <w:tcPr>
            <w:tcW w:w="703" w:type="dxa"/>
          </w:tcPr>
          <w:p w14:paraId="1E67DD5D" w14:textId="77777777" w:rsidR="005F7AFE" w:rsidRDefault="005F7AFE" w:rsidP="00C62C67">
            <w:pPr>
              <w:spacing w:line="240" w:lineRule="auto"/>
              <w:rPr>
                <w:lang w:eastAsia="en-US"/>
              </w:rPr>
            </w:pPr>
            <w:r>
              <w:rPr>
                <w:b/>
                <w:lang w:eastAsia="en-US"/>
              </w:rPr>
              <w:t>ANC</w:t>
            </w:r>
          </w:p>
        </w:tc>
        <w:tc>
          <w:tcPr>
            <w:tcW w:w="721" w:type="dxa"/>
          </w:tcPr>
          <w:p w14:paraId="11A3EAD7" w14:textId="77777777" w:rsidR="005F7AFE" w:rsidRDefault="005F7AFE" w:rsidP="00C62C67">
            <w:pPr>
              <w:spacing w:line="240" w:lineRule="auto"/>
              <w:jc w:val="center"/>
              <w:rPr>
                <w:lang w:eastAsia="en-US"/>
              </w:rPr>
            </w:pPr>
            <w:r w:rsidRPr="00F24E59">
              <w:rPr>
                <w:lang w:eastAsia="en-US"/>
              </w:rPr>
              <w:t>0.0164</w:t>
            </w:r>
          </w:p>
        </w:tc>
        <w:tc>
          <w:tcPr>
            <w:tcW w:w="740" w:type="dxa"/>
          </w:tcPr>
          <w:p w14:paraId="5874FA78" w14:textId="77777777" w:rsidR="005F7AFE" w:rsidRDefault="005F7AFE" w:rsidP="00C62C67">
            <w:pPr>
              <w:spacing w:line="240" w:lineRule="auto"/>
              <w:jc w:val="center"/>
              <w:rPr>
                <w:lang w:eastAsia="en-US"/>
              </w:rPr>
            </w:pPr>
            <w:r>
              <w:rPr>
                <w:lang w:eastAsia="en-US"/>
              </w:rPr>
              <w:t>0.101</w:t>
            </w:r>
          </w:p>
        </w:tc>
        <w:tc>
          <w:tcPr>
            <w:tcW w:w="969" w:type="dxa"/>
          </w:tcPr>
          <w:p w14:paraId="1AB9A88F" w14:textId="77777777" w:rsidR="005F7AFE" w:rsidRDefault="005F7AFE" w:rsidP="00C62C67">
            <w:pPr>
              <w:spacing w:line="240" w:lineRule="auto"/>
              <w:jc w:val="center"/>
              <w:rPr>
                <w:lang w:eastAsia="en-US"/>
              </w:rPr>
            </w:pPr>
            <w:r>
              <w:rPr>
                <w:lang w:eastAsia="en-US"/>
              </w:rPr>
              <w:t>0.544</w:t>
            </w:r>
          </w:p>
        </w:tc>
      </w:tr>
      <w:tr w:rsidR="005F7AFE" w:rsidRPr="00930F2A" w14:paraId="16B64BC3" w14:textId="77777777" w:rsidTr="00C62C67">
        <w:trPr>
          <w:jc w:val="center"/>
        </w:trPr>
        <w:tc>
          <w:tcPr>
            <w:tcW w:w="703" w:type="dxa"/>
          </w:tcPr>
          <w:p w14:paraId="6F272A62" w14:textId="77777777" w:rsidR="005F7AFE" w:rsidRDefault="005F7AFE" w:rsidP="00C62C67">
            <w:pPr>
              <w:spacing w:line="240" w:lineRule="auto"/>
              <w:rPr>
                <w:b/>
                <w:lang w:eastAsia="en-US"/>
              </w:rPr>
            </w:pPr>
            <w:r>
              <w:rPr>
                <w:b/>
                <w:lang w:eastAsia="en-US"/>
              </w:rPr>
              <w:t>PNC</w:t>
            </w:r>
          </w:p>
        </w:tc>
        <w:tc>
          <w:tcPr>
            <w:tcW w:w="831" w:type="dxa"/>
          </w:tcPr>
          <w:p w14:paraId="4C91EBCF" w14:textId="77777777" w:rsidR="005F7AFE" w:rsidRPr="00F11BBE" w:rsidRDefault="005F7AFE" w:rsidP="00C62C67">
            <w:pPr>
              <w:spacing w:line="240" w:lineRule="auto"/>
              <w:jc w:val="center"/>
              <w:rPr>
                <w:lang w:eastAsia="en-US"/>
              </w:rPr>
            </w:pPr>
            <w:r w:rsidRPr="00FE0183">
              <w:rPr>
                <w:lang w:eastAsia="en-US"/>
              </w:rPr>
              <w:t>0.0019</w:t>
            </w:r>
          </w:p>
        </w:tc>
        <w:tc>
          <w:tcPr>
            <w:tcW w:w="740" w:type="dxa"/>
          </w:tcPr>
          <w:p w14:paraId="151047EF" w14:textId="77777777" w:rsidR="005F7AFE" w:rsidRPr="00F11BBE" w:rsidRDefault="005F7AFE" w:rsidP="00C62C67">
            <w:pPr>
              <w:spacing w:line="240" w:lineRule="auto"/>
              <w:jc w:val="center"/>
              <w:rPr>
                <w:lang w:eastAsia="en-US"/>
              </w:rPr>
            </w:pPr>
            <w:r w:rsidRPr="00FE0183">
              <w:rPr>
                <w:lang w:eastAsia="en-US"/>
              </w:rPr>
              <w:t>0.0286</w:t>
            </w:r>
          </w:p>
        </w:tc>
        <w:tc>
          <w:tcPr>
            <w:tcW w:w="969" w:type="dxa"/>
          </w:tcPr>
          <w:p w14:paraId="2CA4463C" w14:textId="77777777" w:rsidR="005F7AFE" w:rsidRPr="00F11BBE" w:rsidRDefault="005F7AFE" w:rsidP="00C62C67">
            <w:pPr>
              <w:spacing w:line="240" w:lineRule="auto"/>
              <w:jc w:val="center"/>
              <w:rPr>
                <w:lang w:eastAsia="en-US"/>
              </w:rPr>
            </w:pPr>
            <w:r>
              <w:rPr>
                <w:lang w:eastAsia="en-US"/>
              </w:rPr>
              <w:t>0.960</w:t>
            </w:r>
          </w:p>
        </w:tc>
        <w:tc>
          <w:tcPr>
            <w:tcW w:w="703" w:type="dxa"/>
          </w:tcPr>
          <w:p w14:paraId="35273E4B" w14:textId="77777777" w:rsidR="005F7AFE" w:rsidRPr="00930F2A" w:rsidRDefault="005F7AFE" w:rsidP="00C62C67">
            <w:pPr>
              <w:spacing w:line="240" w:lineRule="auto"/>
              <w:rPr>
                <w:lang w:eastAsia="en-US"/>
              </w:rPr>
            </w:pPr>
            <w:r>
              <w:rPr>
                <w:b/>
                <w:lang w:eastAsia="en-US"/>
              </w:rPr>
              <w:t>PNC</w:t>
            </w:r>
          </w:p>
        </w:tc>
        <w:tc>
          <w:tcPr>
            <w:tcW w:w="721" w:type="dxa"/>
          </w:tcPr>
          <w:p w14:paraId="3D8D9C90" w14:textId="77777777" w:rsidR="005F7AFE" w:rsidRPr="00930F2A" w:rsidRDefault="005F7AFE" w:rsidP="00C62C67">
            <w:pPr>
              <w:spacing w:line="240" w:lineRule="auto"/>
              <w:jc w:val="center"/>
              <w:rPr>
                <w:lang w:eastAsia="en-US"/>
              </w:rPr>
            </w:pPr>
            <w:r w:rsidRPr="00F24E59">
              <w:rPr>
                <w:lang w:eastAsia="en-US"/>
              </w:rPr>
              <w:t>0.009</w:t>
            </w:r>
            <w:r>
              <w:rPr>
                <w:lang w:eastAsia="en-US"/>
              </w:rPr>
              <w:t>8</w:t>
            </w:r>
          </w:p>
        </w:tc>
        <w:tc>
          <w:tcPr>
            <w:tcW w:w="740" w:type="dxa"/>
          </w:tcPr>
          <w:p w14:paraId="7CBC0791" w14:textId="77777777" w:rsidR="005F7AFE" w:rsidRPr="00930F2A" w:rsidRDefault="005F7AFE" w:rsidP="00C62C67">
            <w:pPr>
              <w:spacing w:line="240" w:lineRule="auto"/>
              <w:jc w:val="center"/>
              <w:rPr>
                <w:lang w:eastAsia="en-US"/>
              </w:rPr>
            </w:pPr>
            <w:r>
              <w:rPr>
                <w:lang w:eastAsia="en-US"/>
              </w:rPr>
              <w:t>0.0763</w:t>
            </w:r>
          </w:p>
        </w:tc>
        <w:tc>
          <w:tcPr>
            <w:tcW w:w="969" w:type="dxa"/>
          </w:tcPr>
          <w:p w14:paraId="547B3BE9" w14:textId="77777777" w:rsidR="005F7AFE" w:rsidRPr="00930F2A" w:rsidRDefault="005F7AFE" w:rsidP="00C62C67">
            <w:pPr>
              <w:spacing w:line="240" w:lineRule="auto"/>
              <w:jc w:val="center"/>
              <w:rPr>
                <w:lang w:eastAsia="en-US"/>
              </w:rPr>
            </w:pPr>
            <w:r>
              <w:rPr>
                <w:lang w:eastAsia="en-US"/>
              </w:rPr>
              <w:t>0.85</w:t>
            </w:r>
            <w:r w:rsidRPr="00F24E59">
              <w:rPr>
                <w:lang w:eastAsia="en-US"/>
              </w:rPr>
              <w:t>5</w:t>
            </w:r>
          </w:p>
        </w:tc>
      </w:tr>
      <w:tr w:rsidR="005F7AFE" w14:paraId="0BBE9EB9" w14:textId="77777777" w:rsidTr="00C62C67">
        <w:trPr>
          <w:jc w:val="center"/>
        </w:trPr>
        <w:tc>
          <w:tcPr>
            <w:tcW w:w="3243" w:type="dxa"/>
            <w:gridSpan w:val="4"/>
          </w:tcPr>
          <w:p w14:paraId="6A8543D1" w14:textId="77777777" w:rsidR="005F7AFE" w:rsidRPr="00F11BBE" w:rsidRDefault="005F7AFE" w:rsidP="00C62C67">
            <w:pPr>
              <w:spacing w:line="240" w:lineRule="auto"/>
              <w:jc w:val="center"/>
              <w:rPr>
                <w:i/>
                <w:lang w:eastAsia="en-US"/>
              </w:rPr>
            </w:pPr>
            <w:r>
              <w:rPr>
                <w:i/>
                <w:lang w:eastAsia="en-US"/>
              </w:rPr>
              <w:t>2008</w:t>
            </w:r>
          </w:p>
        </w:tc>
        <w:tc>
          <w:tcPr>
            <w:tcW w:w="3133" w:type="dxa"/>
            <w:gridSpan w:val="4"/>
          </w:tcPr>
          <w:p w14:paraId="158789D0" w14:textId="77777777" w:rsidR="005F7AFE" w:rsidRDefault="005F7AFE" w:rsidP="00C62C67">
            <w:pPr>
              <w:spacing w:line="240" w:lineRule="auto"/>
              <w:jc w:val="center"/>
              <w:rPr>
                <w:i/>
                <w:lang w:eastAsia="en-US"/>
              </w:rPr>
            </w:pPr>
            <w:r>
              <w:rPr>
                <w:i/>
                <w:lang w:eastAsia="en-US"/>
              </w:rPr>
              <w:t>2010</w:t>
            </w:r>
          </w:p>
        </w:tc>
      </w:tr>
      <w:tr w:rsidR="005F7AFE" w14:paraId="7792A7CD" w14:textId="77777777" w:rsidTr="00C62C67">
        <w:trPr>
          <w:jc w:val="center"/>
        </w:trPr>
        <w:tc>
          <w:tcPr>
            <w:tcW w:w="703" w:type="dxa"/>
          </w:tcPr>
          <w:p w14:paraId="2ADBCE7D" w14:textId="77777777" w:rsidR="005F7AFE" w:rsidRDefault="005F7AFE" w:rsidP="00C62C67">
            <w:pPr>
              <w:spacing w:line="240" w:lineRule="auto"/>
              <w:rPr>
                <w:b/>
                <w:lang w:eastAsia="en-US"/>
              </w:rPr>
            </w:pPr>
            <w:r>
              <w:rPr>
                <w:b/>
                <w:lang w:eastAsia="en-US"/>
              </w:rPr>
              <w:t>SBA</w:t>
            </w:r>
          </w:p>
        </w:tc>
        <w:tc>
          <w:tcPr>
            <w:tcW w:w="831" w:type="dxa"/>
          </w:tcPr>
          <w:p w14:paraId="4D8D5C7D" w14:textId="77777777" w:rsidR="005F7AFE" w:rsidRPr="00F11BBE" w:rsidRDefault="005F7AFE" w:rsidP="00C62C67">
            <w:pPr>
              <w:spacing w:line="240" w:lineRule="auto"/>
              <w:jc w:val="center"/>
              <w:rPr>
                <w:lang w:eastAsia="en-US"/>
              </w:rPr>
            </w:pPr>
            <w:r w:rsidRPr="00FE0183">
              <w:rPr>
                <w:lang w:eastAsia="en-US"/>
              </w:rPr>
              <w:t>0.0013</w:t>
            </w:r>
          </w:p>
        </w:tc>
        <w:tc>
          <w:tcPr>
            <w:tcW w:w="740" w:type="dxa"/>
          </w:tcPr>
          <w:p w14:paraId="43220166" w14:textId="77777777" w:rsidR="005F7AFE" w:rsidRPr="00F11BBE" w:rsidRDefault="005F7AFE" w:rsidP="00C62C67">
            <w:pPr>
              <w:spacing w:line="240" w:lineRule="auto"/>
              <w:jc w:val="center"/>
              <w:rPr>
                <w:lang w:eastAsia="en-US"/>
              </w:rPr>
            </w:pPr>
            <w:r>
              <w:rPr>
                <w:lang w:eastAsia="en-US"/>
              </w:rPr>
              <w:t>0.027</w:t>
            </w:r>
          </w:p>
        </w:tc>
        <w:tc>
          <w:tcPr>
            <w:tcW w:w="969" w:type="dxa"/>
          </w:tcPr>
          <w:p w14:paraId="0A9C85AB" w14:textId="77777777" w:rsidR="005F7AFE" w:rsidRPr="00F11BBE" w:rsidRDefault="005F7AFE" w:rsidP="00C62C67">
            <w:pPr>
              <w:spacing w:line="240" w:lineRule="auto"/>
              <w:jc w:val="center"/>
              <w:rPr>
                <w:lang w:eastAsia="en-US"/>
              </w:rPr>
            </w:pPr>
            <w:r w:rsidRPr="00FE0183">
              <w:rPr>
                <w:lang w:eastAsia="en-US"/>
              </w:rPr>
              <w:t>0.973</w:t>
            </w:r>
          </w:p>
        </w:tc>
        <w:tc>
          <w:tcPr>
            <w:tcW w:w="703" w:type="dxa"/>
          </w:tcPr>
          <w:p w14:paraId="31C09BE8" w14:textId="77777777" w:rsidR="005F7AFE" w:rsidRDefault="005F7AFE" w:rsidP="00C62C67">
            <w:pPr>
              <w:spacing w:line="240" w:lineRule="auto"/>
              <w:rPr>
                <w:lang w:eastAsia="en-US"/>
              </w:rPr>
            </w:pPr>
            <w:r>
              <w:rPr>
                <w:b/>
                <w:lang w:eastAsia="en-US"/>
              </w:rPr>
              <w:t>SBA</w:t>
            </w:r>
          </w:p>
        </w:tc>
        <w:tc>
          <w:tcPr>
            <w:tcW w:w="721" w:type="dxa"/>
          </w:tcPr>
          <w:p w14:paraId="4529E241" w14:textId="77777777" w:rsidR="005F7AFE" w:rsidRDefault="005F7AFE" w:rsidP="00C62C67">
            <w:pPr>
              <w:spacing w:line="240" w:lineRule="auto"/>
              <w:jc w:val="center"/>
              <w:rPr>
                <w:lang w:eastAsia="en-US"/>
              </w:rPr>
            </w:pPr>
            <w:r>
              <w:rPr>
                <w:lang w:eastAsia="en-US"/>
              </w:rPr>
              <w:t>0.0049</w:t>
            </w:r>
          </w:p>
        </w:tc>
        <w:tc>
          <w:tcPr>
            <w:tcW w:w="740" w:type="dxa"/>
          </w:tcPr>
          <w:p w14:paraId="72D9C2AF" w14:textId="77777777" w:rsidR="005F7AFE" w:rsidRDefault="005F7AFE" w:rsidP="00C62C67">
            <w:pPr>
              <w:spacing w:line="240" w:lineRule="auto"/>
              <w:jc w:val="center"/>
              <w:rPr>
                <w:lang w:eastAsia="en-US"/>
              </w:rPr>
            </w:pPr>
            <w:r w:rsidRPr="00F24E59">
              <w:rPr>
                <w:lang w:eastAsia="en-US"/>
              </w:rPr>
              <w:t>0.0501</w:t>
            </w:r>
          </w:p>
        </w:tc>
        <w:tc>
          <w:tcPr>
            <w:tcW w:w="969" w:type="dxa"/>
          </w:tcPr>
          <w:p w14:paraId="270EA312" w14:textId="77777777" w:rsidR="005F7AFE" w:rsidRDefault="005F7AFE" w:rsidP="00C62C67">
            <w:pPr>
              <w:spacing w:line="240" w:lineRule="auto"/>
              <w:jc w:val="center"/>
              <w:rPr>
                <w:lang w:eastAsia="en-US"/>
              </w:rPr>
            </w:pPr>
            <w:r w:rsidRPr="00F24E59">
              <w:rPr>
                <w:lang w:eastAsia="en-US"/>
              </w:rPr>
              <w:t>0.929</w:t>
            </w:r>
          </w:p>
        </w:tc>
      </w:tr>
      <w:tr w:rsidR="005F7AFE" w:rsidRPr="00930F2A" w14:paraId="45DDBDEF" w14:textId="77777777" w:rsidTr="00C62C67">
        <w:trPr>
          <w:jc w:val="center"/>
        </w:trPr>
        <w:tc>
          <w:tcPr>
            <w:tcW w:w="703" w:type="dxa"/>
          </w:tcPr>
          <w:p w14:paraId="503C6180" w14:textId="77777777" w:rsidR="005F7AFE" w:rsidRDefault="005F7AFE" w:rsidP="00C62C67">
            <w:pPr>
              <w:spacing w:line="240" w:lineRule="auto"/>
              <w:rPr>
                <w:b/>
                <w:lang w:eastAsia="en-US"/>
              </w:rPr>
            </w:pPr>
            <w:r>
              <w:rPr>
                <w:b/>
                <w:lang w:eastAsia="en-US"/>
              </w:rPr>
              <w:t>ANC</w:t>
            </w:r>
          </w:p>
        </w:tc>
        <w:tc>
          <w:tcPr>
            <w:tcW w:w="831" w:type="dxa"/>
          </w:tcPr>
          <w:p w14:paraId="3775596C" w14:textId="77777777" w:rsidR="005F7AFE" w:rsidRPr="00F11BBE" w:rsidRDefault="005F7AFE" w:rsidP="00C62C67">
            <w:pPr>
              <w:spacing w:line="240" w:lineRule="auto"/>
              <w:jc w:val="center"/>
              <w:rPr>
                <w:lang w:eastAsia="en-US"/>
              </w:rPr>
            </w:pPr>
            <w:r w:rsidRPr="00FE0183">
              <w:rPr>
                <w:lang w:eastAsia="en-US"/>
              </w:rPr>
              <w:t>0.0021</w:t>
            </w:r>
          </w:p>
        </w:tc>
        <w:tc>
          <w:tcPr>
            <w:tcW w:w="740" w:type="dxa"/>
          </w:tcPr>
          <w:p w14:paraId="2BF4499F" w14:textId="77777777" w:rsidR="005F7AFE" w:rsidRPr="00F11BBE" w:rsidRDefault="005F7AFE" w:rsidP="00C62C67">
            <w:pPr>
              <w:spacing w:line="240" w:lineRule="auto"/>
              <w:jc w:val="center"/>
              <w:rPr>
                <w:lang w:eastAsia="en-US"/>
              </w:rPr>
            </w:pPr>
            <w:r w:rsidRPr="00FE0183">
              <w:rPr>
                <w:lang w:eastAsia="en-US"/>
              </w:rPr>
              <w:t>0.0357</w:t>
            </w:r>
          </w:p>
        </w:tc>
        <w:tc>
          <w:tcPr>
            <w:tcW w:w="969" w:type="dxa"/>
          </w:tcPr>
          <w:p w14:paraId="55B913E1" w14:textId="77777777" w:rsidR="005F7AFE" w:rsidRPr="00F11BBE" w:rsidRDefault="005F7AFE" w:rsidP="00C62C67">
            <w:pPr>
              <w:spacing w:line="240" w:lineRule="auto"/>
              <w:jc w:val="center"/>
              <w:rPr>
                <w:lang w:eastAsia="en-US"/>
              </w:rPr>
            </w:pPr>
            <w:r w:rsidRPr="00FE0183">
              <w:rPr>
                <w:lang w:eastAsia="en-US"/>
              </w:rPr>
              <w:t>0.884</w:t>
            </w:r>
          </w:p>
        </w:tc>
        <w:tc>
          <w:tcPr>
            <w:tcW w:w="703" w:type="dxa"/>
          </w:tcPr>
          <w:p w14:paraId="383C84A4" w14:textId="77777777" w:rsidR="005F7AFE" w:rsidRPr="00930F2A" w:rsidRDefault="005F7AFE" w:rsidP="00C62C67">
            <w:pPr>
              <w:spacing w:line="240" w:lineRule="auto"/>
              <w:rPr>
                <w:lang w:eastAsia="en-US"/>
              </w:rPr>
            </w:pPr>
            <w:r>
              <w:rPr>
                <w:b/>
                <w:lang w:eastAsia="en-US"/>
              </w:rPr>
              <w:t>ANC</w:t>
            </w:r>
          </w:p>
        </w:tc>
        <w:tc>
          <w:tcPr>
            <w:tcW w:w="721" w:type="dxa"/>
          </w:tcPr>
          <w:p w14:paraId="04B9629F" w14:textId="77777777" w:rsidR="005F7AFE" w:rsidRPr="00930F2A" w:rsidRDefault="005F7AFE" w:rsidP="00C62C67">
            <w:pPr>
              <w:spacing w:line="240" w:lineRule="auto"/>
              <w:jc w:val="center"/>
              <w:rPr>
                <w:lang w:eastAsia="en-US"/>
              </w:rPr>
            </w:pPr>
            <w:r>
              <w:rPr>
                <w:lang w:eastAsia="en-US"/>
              </w:rPr>
              <w:t>0.0067</w:t>
            </w:r>
          </w:p>
        </w:tc>
        <w:tc>
          <w:tcPr>
            <w:tcW w:w="740" w:type="dxa"/>
          </w:tcPr>
          <w:p w14:paraId="57091579" w14:textId="77777777" w:rsidR="005F7AFE" w:rsidRPr="00930F2A" w:rsidRDefault="005F7AFE" w:rsidP="00C62C67">
            <w:pPr>
              <w:spacing w:line="240" w:lineRule="auto"/>
              <w:jc w:val="center"/>
              <w:rPr>
                <w:lang w:eastAsia="en-US"/>
              </w:rPr>
            </w:pPr>
            <w:r>
              <w:rPr>
                <w:lang w:eastAsia="en-US"/>
              </w:rPr>
              <w:t>0.0580</w:t>
            </w:r>
          </w:p>
        </w:tc>
        <w:tc>
          <w:tcPr>
            <w:tcW w:w="969" w:type="dxa"/>
          </w:tcPr>
          <w:p w14:paraId="1289A724" w14:textId="77777777" w:rsidR="005F7AFE" w:rsidRPr="00930F2A" w:rsidRDefault="005F7AFE" w:rsidP="00C62C67">
            <w:pPr>
              <w:spacing w:line="240" w:lineRule="auto"/>
              <w:jc w:val="center"/>
              <w:rPr>
                <w:lang w:eastAsia="en-US"/>
              </w:rPr>
            </w:pPr>
            <w:r>
              <w:rPr>
                <w:lang w:eastAsia="en-US"/>
              </w:rPr>
              <w:t>0.796</w:t>
            </w:r>
          </w:p>
        </w:tc>
      </w:tr>
      <w:tr w:rsidR="005F7AFE" w14:paraId="2904898F" w14:textId="77777777" w:rsidTr="00C62C67">
        <w:trPr>
          <w:jc w:val="center"/>
        </w:trPr>
        <w:tc>
          <w:tcPr>
            <w:tcW w:w="703" w:type="dxa"/>
          </w:tcPr>
          <w:p w14:paraId="66CC59F5" w14:textId="77777777" w:rsidR="005F7AFE" w:rsidRDefault="005F7AFE" w:rsidP="00C62C67">
            <w:pPr>
              <w:spacing w:line="240" w:lineRule="auto"/>
              <w:rPr>
                <w:b/>
                <w:lang w:eastAsia="en-US"/>
              </w:rPr>
            </w:pPr>
            <w:r>
              <w:rPr>
                <w:b/>
                <w:lang w:eastAsia="en-US"/>
              </w:rPr>
              <w:t>PNC</w:t>
            </w:r>
          </w:p>
        </w:tc>
        <w:tc>
          <w:tcPr>
            <w:tcW w:w="831" w:type="dxa"/>
          </w:tcPr>
          <w:p w14:paraId="48A3E791" w14:textId="77777777" w:rsidR="005F7AFE" w:rsidRPr="00F11BBE" w:rsidRDefault="005F7AFE" w:rsidP="00C62C67">
            <w:pPr>
              <w:spacing w:line="240" w:lineRule="auto"/>
              <w:jc w:val="center"/>
              <w:rPr>
                <w:lang w:eastAsia="en-US"/>
              </w:rPr>
            </w:pPr>
            <w:r w:rsidRPr="00FE0183">
              <w:rPr>
                <w:lang w:eastAsia="en-US"/>
              </w:rPr>
              <w:t>0.0017</w:t>
            </w:r>
          </w:p>
        </w:tc>
        <w:tc>
          <w:tcPr>
            <w:tcW w:w="740" w:type="dxa"/>
          </w:tcPr>
          <w:p w14:paraId="52F77E2A" w14:textId="77777777" w:rsidR="005F7AFE" w:rsidRPr="00F11BBE" w:rsidRDefault="005F7AFE" w:rsidP="00C62C67">
            <w:pPr>
              <w:spacing w:line="240" w:lineRule="auto"/>
              <w:jc w:val="center"/>
              <w:rPr>
                <w:lang w:eastAsia="en-US"/>
              </w:rPr>
            </w:pPr>
            <w:r w:rsidRPr="00FE0183">
              <w:rPr>
                <w:lang w:eastAsia="en-US"/>
              </w:rPr>
              <w:t>0.030</w:t>
            </w:r>
          </w:p>
        </w:tc>
        <w:tc>
          <w:tcPr>
            <w:tcW w:w="969" w:type="dxa"/>
          </w:tcPr>
          <w:p w14:paraId="7BAFFEF3" w14:textId="77777777" w:rsidR="005F7AFE" w:rsidRPr="00F11BBE" w:rsidRDefault="005F7AFE" w:rsidP="00C62C67">
            <w:pPr>
              <w:spacing w:line="240" w:lineRule="auto"/>
              <w:jc w:val="center"/>
              <w:rPr>
                <w:lang w:eastAsia="en-US"/>
              </w:rPr>
            </w:pPr>
            <w:r w:rsidRPr="00FE0183">
              <w:rPr>
                <w:lang w:eastAsia="en-US"/>
              </w:rPr>
              <w:t>0.967</w:t>
            </w:r>
          </w:p>
        </w:tc>
        <w:tc>
          <w:tcPr>
            <w:tcW w:w="703" w:type="dxa"/>
          </w:tcPr>
          <w:p w14:paraId="29D4AD7C" w14:textId="77777777" w:rsidR="005F7AFE" w:rsidRDefault="005F7AFE" w:rsidP="00C62C67">
            <w:pPr>
              <w:spacing w:line="240" w:lineRule="auto"/>
              <w:rPr>
                <w:lang w:eastAsia="en-US"/>
              </w:rPr>
            </w:pPr>
            <w:r>
              <w:rPr>
                <w:b/>
                <w:lang w:eastAsia="en-US"/>
              </w:rPr>
              <w:t>PNC</w:t>
            </w:r>
          </w:p>
        </w:tc>
        <w:tc>
          <w:tcPr>
            <w:tcW w:w="721" w:type="dxa"/>
          </w:tcPr>
          <w:p w14:paraId="5F10359A" w14:textId="77777777" w:rsidR="005F7AFE" w:rsidRDefault="005F7AFE" w:rsidP="00C62C67">
            <w:pPr>
              <w:spacing w:line="240" w:lineRule="auto"/>
              <w:jc w:val="center"/>
              <w:rPr>
                <w:lang w:eastAsia="en-US"/>
              </w:rPr>
            </w:pPr>
            <w:r w:rsidRPr="00F24E59">
              <w:rPr>
                <w:lang w:eastAsia="en-US"/>
              </w:rPr>
              <w:t>0.0041</w:t>
            </w:r>
          </w:p>
        </w:tc>
        <w:tc>
          <w:tcPr>
            <w:tcW w:w="740" w:type="dxa"/>
          </w:tcPr>
          <w:p w14:paraId="0BE540B2" w14:textId="77777777" w:rsidR="005F7AFE" w:rsidRDefault="005F7AFE" w:rsidP="00C62C67">
            <w:pPr>
              <w:spacing w:line="240" w:lineRule="auto"/>
              <w:jc w:val="center"/>
              <w:rPr>
                <w:lang w:eastAsia="en-US"/>
              </w:rPr>
            </w:pPr>
            <w:r w:rsidRPr="00F24E59">
              <w:rPr>
                <w:lang w:eastAsia="en-US"/>
              </w:rPr>
              <w:t>0.0455</w:t>
            </w:r>
          </w:p>
        </w:tc>
        <w:tc>
          <w:tcPr>
            <w:tcW w:w="969" w:type="dxa"/>
          </w:tcPr>
          <w:p w14:paraId="74EFA7C8" w14:textId="77777777" w:rsidR="005F7AFE" w:rsidRDefault="005F7AFE" w:rsidP="00C62C67">
            <w:pPr>
              <w:spacing w:line="240" w:lineRule="auto"/>
              <w:jc w:val="center"/>
              <w:rPr>
                <w:lang w:eastAsia="en-US"/>
              </w:rPr>
            </w:pPr>
            <w:r w:rsidRPr="00F24E59">
              <w:rPr>
                <w:lang w:eastAsia="en-US"/>
              </w:rPr>
              <w:t>0.938</w:t>
            </w:r>
          </w:p>
        </w:tc>
      </w:tr>
      <w:tr w:rsidR="005F7AFE" w14:paraId="1BFA57BB" w14:textId="77777777" w:rsidTr="00C62C67">
        <w:trPr>
          <w:jc w:val="center"/>
        </w:trPr>
        <w:tc>
          <w:tcPr>
            <w:tcW w:w="3243" w:type="dxa"/>
            <w:gridSpan w:val="4"/>
          </w:tcPr>
          <w:p w14:paraId="2E1E0DFD" w14:textId="77777777" w:rsidR="005F7AFE" w:rsidRPr="00F11BBE" w:rsidRDefault="005F7AFE" w:rsidP="00C62C67">
            <w:pPr>
              <w:spacing w:line="240" w:lineRule="auto"/>
              <w:jc w:val="center"/>
              <w:rPr>
                <w:i/>
                <w:lang w:eastAsia="en-US"/>
              </w:rPr>
            </w:pPr>
            <w:r>
              <w:rPr>
                <w:i/>
                <w:lang w:eastAsia="en-US"/>
              </w:rPr>
              <w:t>2014</w:t>
            </w:r>
          </w:p>
        </w:tc>
        <w:tc>
          <w:tcPr>
            <w:tcW w:w="3133" w:type="dxa"/>
            <w:gridSpan w:val="4"/>
          </w:tcPr>
          <w:p w14:paraId="520B70FC" w14:textId="77777777" w:rsidR="005F7AFE" w:rsidRDefault="005F7AFE" w:rsidP="00C62C67">
            <w:pPr>
              <w:spacing w:line="240" w:lineRule="auto"/>
              <w:jc w:val="center"/>
              <w:rPr>
                <w:i/>
                <w:lang w:eastAsia="en-US"/>
              </w:rPr>
            </w:pPr>
            <w:r>
              <w:rPr>
                <w:i/>
                <w:lang w:eastAsia="en-US"/>
              </w:rPr>
              <w:t>2015</w:t>
            </w:r>
          </w:p>
        </w:tc>
      </w:tr>
      <w:tr w:rsidR="005F7AFE" w14:paraId="2D5ADFEE" w14:textId="77777777" w:rsidTr="00C62C67">
        <w:trPr>
          <w:jc w:val="center"/>
        </w:trPr>
        <w:tc>
          <w:tcPr>
            <w:tcW w:w="703" w:type="dxa"/>
          </w:tcPr>
          <w:p w14:paraId="6E044ECA" w14:textId="77777777" w:rsidR="005F7AFE" w:rsidRDefault="005F7AFE" w:rsidP="00C62C67">
            <w:pPr>
              <w:spacing w:line="240" w:lineRule="auto"/>
              <w:rPr>
                <w:b/>
                <w:lang w:eastAsia="en-US"/>
              </w:rPr>
            </w:pPr>
            <w:r>
              <w:rPr>
                <w:b/>
                <w:lang w:eastAsia="en-US"/>
              </w:rPr>
              <w:t>SBA</w:t>
            </w:r>
          </w:p>
        </w:tc>
        <w:tc>
          <w:tcPr>
            <w:tcW w:w="831" w:type="dxa"/>
          </w:tcPr>
          <w:p w14:paraId="364F7B84" w14:textId="77777777" w:rsidR="005F7AFE" w:rsidRPr="00F11BBE" w:rsidRDefault="005F7AFE" w:rsidP="00C62C67">
            <w:pPr>
              <w:spacing w:line="240" w:lineRule="auto"/>
              <w:jc w:val="center"/>
              <w:rPr>
                <w:lang w:eastAsia="en-US"/>
              </w:rPr>
            </w:pPr>
            <w:r w:rsidRPr="00FE0183">
              <w:rPr>
                <w:lang w:eastAsia="en-US"/>
              </w:rPr>
              <w:t>0.00009</w:t>
            </w:r>
          </w:p>
        </w:tc>
        <w:tc>
          <w:tcPr>
            <w:tcW w:w="740" w:type="dxa"/>
          </w:tcPr>
          <w:p w14:paraId="22425298" w14:textId="77777777" w:rsidR="005F7AFE" w:rsidRPr="00F11BBE" w:rsidRDefault="005F7AFE" w:rsidP="00C62C67">
            <w:pPr>
              <w:spacing w:line="240" w:lineRule="auto"/>
              <w:jc w:val="center"/>
              <w:rPr>
                <w:lang w:eastAsia="en-US"/>
              </w:rPr>
            </w:pPr>
            <w:r w:rsidRPr="00FE0183">
              <w:rPr>
                <w:lang w:eastAsia="en-US"/>
              </w:rPr>
              <w:t>0.0073</w:t>
            </w:r>
          </w:p>
        </w:tc>
        <w:tc>
          <w:tcPr>
            <w:tcW w:w="969" w:type="dxa"/>
          </w:tcPr>
          <w:p w14:paraId="65674A50" w14:textId="77777777" w:rsidR="005F7AFE" w:rsidRPr="00F11BBE" w:rsidRDefault="005F7AFE" w:rsidP="00C62C67">
            <w:pPr>
              <w:spacing w:line="240" w:lineRule="auto"/>
              <w:jc w:val="center"/>
              <w:rPr>
                <w:lang w:eastAsia="en-US"/>
              </w:rPr>
            </w:pPr>
            <w:r w:rsidRPr="00FE0183">
              <w:rPr>
                <w:lang w:eastAsia="en-US"/>
              </w:rPr>
              <w:t>0.997</w:t>
            </w:r>
          </w:p>
        </w:tc>
        <w:tc>
          <w:tcPr>
            <w:tcW w:w="703" w:type="dxa"/>
          </w:tcPr>
          <w:p w14:paraId="469AC8A3" w14:textId="77777777" w:rsidR="005F7AFE" w:rsidRDefault="005F7AFE" w:rsidP="00C62C67">
            <w:pPr>
              <w:spacing w:line="240" w:lineRule="auto"/>
              <w:rPr>
                <w:lang w:eastAsia="en-US"/>
              </w:rPr>
            </w:pPr>
            <w:r>
              <w:rPr>
                <w:b/>
                <w:lang w:eastAsia="en-US"/>
              </w:rPr>
              <w:t>SBA</w:t>
            </w:r>
          </w:p>
        </w:tc>
        <w:tc>
          <w:tcPr>
            <w:tcW w:w="721" w:type="dxa"/>
          </w:tcPr>
          <w:p w14:paraId="3B0FEC6F" w14:textId="77777777" w:rsidR="005F7AFE" w:rsidRDefault="005F7AFE" w:rsidP="00C62C67">
            <w:pPr>
              <w:spacing w:line="240" w:lineRule="auto"/>
              <w:jc w:val="center"/>
              <w:rPr>
                <w:lang w:eastAsia="en-US"/>
              </w:rPr>
            </w:pPr>
            <w:r>
              <w:rPr>
                <w:lang w:eastAsia="en-US"/>
              </w:rPr>
              <w:t>0.0043</w:t>
            </w:r>
          </w:p>
        </w:tc>
        <w:tc>
          <w:tcPr>
            <w:tcW w:w="740" w:type="dxa"/>
          </w:tcPr>
          <w:p w14:paraId="6CEE2248" w14:textId="77777777" w:rsidR="005F7AFE" w:rsidRDefault="005F7AFE" w:rsidP="00C62C67">
            <w:pPr>
              <w:spacing w:line="240" w:lineRule="auto"/>
              <w:jc w:val="center"/>
              <w:rPr>
                <w:lang w:eastAsia="en-US"/>
              </w:rPr>
            </w:pPr>
            <w:r w:rsidRPr="00F24E59">
              <w:rPr>
                <w:lang w:eastAsia="en-US"/>
              </w:rPr>
              <w:t>0.0441</w:t>
            </w:r>
          </w:p>
        </w:tc>
        <w:tc>
          <w:tcPr>
            <w:tcW w:w="969" w:type="dxa"/>
          </w:tcPr>
          <w:p w14:paraId="06A61AB2" w14:textId="77777777" w:rsidR="005F7AFE" w:rsidRDefault="005F7AFE" w:rsidP="00C62C67">
            <w:pPr>
              <w:spacing w:line="240" w:lineRule="auto"/>
              <w:jc w:val="center"/>
              <w:rPr>
                <w:lang w:eastAsia="en-US"/>
              </w:rPr>
            </w:pPr>
            <w:r>
              <w:rPr>
                <w:lang w:eastAsia="en-US"/>
              </w:rPr>
              <w:t>0.901</w:t>
            </w:r>
          </w:p>
        </w:tc>
      </w:tr>
      <w:tr w:rsidR="005F7AFE" w14:paraId="33641F19" w14:textId="77777777" w:rsidTr="00C62C67">
        <w:trPr>
          <w:jc w:val="center"/>
        </w:trPr>
        <w:tc>
          <w:tcPr>
            <w:tcW w:w="703" w:type="dxa"/>
          </w:tcPr>
          <w:p w14:paraId="124D68F5" w14:textId="77777777" w:rsidR="005F7AFE" w:rsidRDefault="005F7AFE" w:rsidP="00C62C67">
            <w:pPr>
              <w:spacing w:line="240" w:lineRule="auto"/>
              <w:rPr>
                <w:b/>
                <w:lang w:eastAsia="en-US"/>
              </w:rPr>
            </w:pPr>
            <w:r>
              <w:rPr>
                <w:b/>
                <w:lang w:eastAsia="en-US"/>
              </w:rPr>
              <w:t>ANC</w:t>
            </w:r>
          </w:p>
        </w:tc>
        <w:tc>
          <w:tcPr>
            <w:tcW w:w="831" w:type="dxa"/>
          </w:tcPr>
          <w:p w14:paraId="3EC03B06" w14:textId="77777777" w:rsidR="005F7AFE" w:rsidRPr="00F11BBE" w:rsidRDefault="005F7AFE" w:rsidP="00C62C67">
            <w:pPr>
              <w:spacing w:line="240" w:lineRule="auto"/>
              <w:jc w:val="center"/>
              <w:rPr>
                <w:lang w:eastAsia="en-US"/>
              </w:rPr>
            </w:pPr>
            <w:r w:rsidRPr="00FE0183">
              <w:rPr>
                <w:lang w:eastAsia="en-US"/>
              </w:rPr>
              <w:t>0.0001</w:t>
            </w:r>
          </w:p>
        </w:tc>
        <w:tc>
          <w:tcPr>
            <w:tcW w:w="740" w:type="dxa"/>
          </w:tcPr>
          <w:p w14:paraId="6FA51B9C" w14:textId="77777777" w:rsidR="005F7AFE" w:rsidRPr="00F11BBE" w:rsidRDefault="005F7AFE" w:rsidP="00C62C67">
            <w:pPr>
              <w:spacing w:line="240" w:lineRule="auto"/>
              <w:jc w:val="center"/>
              <w:rPr>
                <w:lang w:eastAsia="en-US"/>
              </w:rPr>
            </w:pPr>
            <w:r>
              <w:rPr>
                <w:lang w:eastAsia="en-US"/>
              </w:rPr>
              <w:t>0.0095</w:t>
            </w:r>
          </w:p>
        </w:tc>
        <w:tc>
          <w:tcPr>
            <w:tcW w:w="969" w:type="dxa"/>
          </w:tcPr>
          <w:p w14:paraId="2C2125FC" w14:textId="77777777" w:rsidR="005F7AFE" w:rsidRPr="00F11BBE" w:rsidRDefault="005F7AFE" w:rsidP="00C62C67">
            <w:pPr>
              <w:spacing w:line="240" w:lineRule="auto"/>
              <w:jc w:val="center"/>
              <w:rPr>
                <w:lang w:eastAsia="en-US"/>
              </w:rPr>
            </w:pPr>
            <w:r w:rsidRPr="00FE0183">
              <w:rPr>
                <w:lang w:eastAsia="en-US"/>
              </w:rPr>
              <w:t>0.987</w:t>
            </w:r>
          </w:p>
        </w:tc>
        <w:tc>
          <w:tcPr>
            <w:tcW w:w="703" w:type="dxa"/>
          </w:tcPr>
          <w:p w14:paraId="0EBB0732" w14:textId="77777777" w:rsidR="005F7AFE" w:rsidRDefault="005F7AFE" w:rsidP="00C62C67">
            <w:pPr>
              <w:spacing w:line="240" w:lineRule="auto"/>
              <w:rPr>
                <w:lang w:eastAsia="en-US"/>
              </w:rPr>
            </w:pPr>
            <w:r>
              <w:rPr>
                <w:b/>
                <w:lang w:eastAsia="en-US"/>
              </w:rPr>
              <w:t>ANC</w:t>
            </w:r>
          </w:p>
        </w:tc>
        <w:tc>
          <w:tcPr>
            <w:tcW w:w="721" w:type="dxa"/>
          </w:tcPr>
          <w:p w14:paraId="380FCA0E" w14:textId="77777777" w:rsidR="005F7AFE" w:rsidRDefault="005F7AFE" w:rsidP="00C62C67">
            <w:pPr>
              <w:spacing w:line="240" w:lineRule="auto"/>
              <w:jc w:val="center"/>
              <w:rPr>
                <w:lang w:eastAsia="en-US"/>
              </w:rPr>
            </w:pPr>
            <w:r w:rsidRPr="00F24E59">
              <w:rPr>
                <w:lang w:eastAsia="en-US"/>
              </w:rPr>
              <w:t>0.006</w:t>
            </w:r>
          </w:p>
        </w:tc>
        <w:tc>
          <w:tcPr>
            <w:tcW w:w="740" w:type="dxa"/>
          </w:tcPr>
          <w:p w14:paraId="50C73A1A" w14:textId="77777777" w:rsidR="005F7AFE" w:rsidRDefault="005F7AFE" w:rsidP="00C62C67">
            <w:pPr>
              <w:spacing w:line="240" w:lineRule="auto"/>
              <w:jc w:val="center"/>
              <w:rPr>
                <w:lang w:eastAsia="en-US"/>
              </w:rPr>
            </w:pPr>
            <w:r w:rsidRPr="00F24E59">
              <w:rPr>
                <w:lang w:eastAsia="en-US"/>
              </w:rPr>
              <w:t>0.055</w:t>
            </w:r>
          </w:p>
        </w:tc>
        <w:tc>
          <w:tcPr>
            <w:tcW w:w="969" w:type="dxa"/>
          </w:tcPr>
          <w:p w14:paraId="060CC812" w14:textId="77777777" w:rsidR="005F7AFE" w:rsidRDefault="005F7AFE" w:rsidP="00C62C67">
            <w:pPr>
              <w:spacing w:line="240" w:lineRule="auto"/>
              <w:jc w:val="center"/>
              <w:rPr>
                <w:lang w:eastAsia="en-US"/>
              </w:rPr>
            </w:pPr>
            <w:r w:rsidRPr="00F24E59">
              <w:rPr>
                <w:lang w:eastAsia="en-US"/>
              </w:rPr>
              <w:t>0.787</w:t>
            </w:r>
          </w:p>
        </w:tc>
      </w:tr>
      <w:tr w:rsidR="005F7AFE" w14:paraId="0D8012EB" w14:textId="77777777" w:rsidTr="00C62C67">
        <w:trPr>
          <w:jc w:val="center"/>
        </w:trPr>
        <w:tc>
          <w:tcPr>
            <w:tcW w:w="703" w:type="dxa"/>
          </w:tcPr>
          <w:p w14:paraId="2309E3A4" w14:textId="77777777" w:rsidR="005F7AFE" w:rsidRDefault="005F7AFE" w:rsidP="00C62C67">
            <w:pPr>
              <w:spacing w:line="240" w:lineRule="auto"/>
              <w:rPr>
                <w:b/>
                <w:lang w:eastAsia="en-US"/>
              </w:rPr>
            </w:pPr>
            <w:r>
              <w:rPr>
                <w:b/>
                <w:lang w:eastAsia="en-US"/>
              </w:rPr>
              <w:t>PNC</w:t>
            </w:r>
          </w:p>
        </w:tc>
        <w:tc>
          <w:tcPr>
            <w:tcW w:w="831" w:type="dxa"/>
          </w:tcPr>
          <w:p w14:paraId="4D6ED116" w14:textId="77777777" w:rsidR="005F7AFE" w:rsidRPr="00F11BBE" w:rsidRDefault="005F7AFE" w:rsidP="00C62C67">
            <w:pPr>
              <w:spacing w:line="240" w:lineRule="auto"/>
              <w:jc w:val="center"/>
              <w:rPr>
                <w:lang w:eastAsia="en-US"/>
              </w:rPr>
            </w:pPr>
            <w:r w:rsidRPr="00FE0183">
              <w:rPr>
                <w:lang w:eastAsia="en-US"/>
              </w:rPr>
              <w:t>0.00008</w:t>
            </w:r>
          </w:p>
        </w:tc>
        <w:tc>
          <w:tcPr>
            <w:tcW w:w="740" w:type="dxa"/>
          </w:tcPr>
          <w:p w14:paraId="2F580FE9" w14:textId="77777777" w:rsidR="005F7AFE" w:rsidRPr="00F11BBE" w:rsidRDefault="005F7AFE" w:rsidP="00C62C67">
            <w:pPr>
              <w:spacing w:line="240" w:lineRule="auto"/>
              <w:jc w:val="center"/>
              <w:rPr>
                <w:lang w:eastAsia="en-US"/>
              </w:rPr>
            </w:pPr>
            <w:r w:rsidRPr="004D4A95">
              <w:rPr>
                <w:lang w:eastAsia="en-US"/>
              </w:rPr>
              <w:t>0.0072</w:t>
            </w:r>
          </w:p>
        </w:tc>
        <w:tc>
          <w:tcPr>
            <w:tcW w:w="969" w:type="dxa"/>
          </w:tcPr>
          <w:p w14:paraId="60672C18" w14:textId="77777777" w:rsidR="005F7AFE" w:rsidRPr="00F11BBE" w:rsidRDefault="005F7AFE" w:rsidP="00C62C67">
            <w:pPr>
              <w:spacing w:line="240" w:lineRule="auto"/>
              <w:jc w:val="center"/>
              <w:rPr>
                <w:lang w:eastAsia="en-US"/>
              </w:rPr>
            </w:pPr>
            <w:r w:rsidRPr="004D4A95">
              <w:rPr>
                <w:lang w:eastAsia="en-US"/>
              </w:rPr>
              <w:t>0.997</w:t>
            </w:r>
          </w:p>
        </w:tc>
        <w:tc>
          <w:tcPr>
            <w:tcW w:w="703" w:type="dxa"/>
          </w:tcPr>
          <w:p w14:paraId="71137560" w14:textId="77777777" w:rsidR="005F7AFE" w:rsidRDefault="005F7AFE" w:rsidP="00C62C67">
            <w:pPr>
              <w:spacing w:line="240" w:lineRule="auto"/>
              <w:rPr>
                <w:lang w:eastAsia="en-US"/>
              </w:rPr>
            </w:pPr>
            <w:r>
              <w:rPr>
                <w:b/>
                <w:lang w:eastAsia="en-US"/>
              </w:rPr>
              <w:t>PNC</w:t>
            </w:r>
          </w:p>
        </w:tc>
        <w:tc>
          <w:tcPr>
            <w:tcW w:w="721" w:type="dxa"/>
          </w:tcPr>
          <w:p w14:paraId="128AC9DB" w14:textId="77777777" w:rsidR="005F7AFE" w:rsidRDefault="005F7AFE" w:rsidP="00C62C67">
            <w:pPr>
              <w:spacing w:line="240" w:lineRule="auto"/>
              <w:jc w:val="center"/>
              <w:rPr>
                <w:lang w:eastAsia="en-US"/>
              </w:rPr>
            </w:pPr>
            <w:r>
              <w:rPr>
                <w:lang w:eastAsia="en-US"/>
              </w:rPr>
              <w:t>0.004</w:t>
            </w:r>
          </w:p>
        </w:tc>
        <w:tc>
          <w:tcPr>
            <w:tcW w:w="740" w:type="dxa"/>
          </w:tcPr>
          <w:p w14:paraId="716E9246" w14:textId="77777777" w:rsidR="005F7AFE" w:rsidRDefault="005F7AFE" w:rsidP="00C62C67">
            <w:pPr>
              <w:spacing w:line="240" w:lineRule="auto"/>
              <w:jc w:val="center"/>
              <w:rPr>
                <w:lang w:eastAsia="en-US"/>
              </w:rPr>
            </w:pPr>
            <w:r w:rsidRPr="00F24E59">
              <w:rPr>
                <w:lang w:eastAsia="en-US"/>
              </w:rPr>
              <w:t>0.0376</w:t>
            </w:r>
          </w:p>
        </w:tc>
        <w:tc>
          <w:tcPr>
            <w:tcW w:w="969" w:type="dxa"/>
          </w:tcPr>
          <w:p w14:paraId="39EE7EB7" w14:textId="77777777" w:rsidR="005F7AFE" w:rsidRDefault="005F7AFE" w:rsidP="00C62C67">
            <w:pPr>
              <w:spacing w:line="240" w:lineRule="auto"/>
              <w:jc w:val="center"/>
              <w:rPr>
                <w:lang w:eastAsia="en-US"/>
              </w:rPr>
            </w:pPr>
            <w:r>
              <w:rPr>
                <w:lang w:eastAsia="en-US"/>
              </w:rPr>
              <w:t>0.925</w:t>
            </w:r>
          </w:p>
        </w:tc>
      </w:tr>
      <w:tr w:rsidR="005F7AFE" w14:paraId="451F1B0C" w14:textId="77777777" w:rsidTr="00C62C67">
        <w:trPr>
          <w:jc w:val="center"/>
        </w:trPr>
        <w:tc>
          <w:tcPr>
            <w:tcW w:w="3243" w:type="dxa"/>
            <w:gridSpan w:val="4"/>
          </w:tcPr>
          <w:p w14:paraId="05626C16" w14:textId="77777777" w:rsidR="005F7AFE" w:rsidRPr="006A4FEC" w:rsidRDefault="005F7AFE" w:rsidP="00C62C67">
            <w:pPr>
              <w:spacing w:line="240" w:lineRule="auto"/>
              <w:jc w:val="center"/>
              <w:rPr>
                <w:b/>
                <w:i/>
                <w:lang w:eastAsia="en-US"/>
              </w:rPr>
            </w:pPr>
            <w:r>
              <w:rPr>
                <w:b/>
                <w:i/>
                <w:lang w:eastAsia="en-US"/>
              </w:rPr>
              <w:t>Rwanda</w:t>
            </w:r>
          </w:p>
        </w:tc>
        <w:tc>
          <w:tcPr>
            <w:tcW w:w="3133" w:type="dxa"/>
            <w:gridSpan w:val="4"/>
          </w:tcPr>
          <w:p w14:paraId="2BD929A3" w14:textId="77777777" w:rsidR="005F7AFE" w:rsidRPr="006A4FEC" w:rsidRDefault="005F7AFE" w:rsidP="00C62C67">
            <w:pPr>
              <w:spacing w:line="240" w:lineRule="auto"/>
              <w:jc w:val="center"/>
              <w:rPr>
                <w:b/>
                <w:i/>
                <w:lang w:eastAsia="en-US"/>
              </w:rPr>
            </w:pPr>
            <w:r>
              <w:rPr>
                <w:b/>
                <w:i/>
                <w:lang w:eastAsia="en-US"/>
              </w:rPr>
              <w:t>Uganda</w:t>
            </w:r>
          </w:p>
        </w:tc>
      </w:tr>
      <w:tr w:rsidR="005F7AFE" w14:paraId="7A191A7F" w14:textId="77777777" w:rsidTr="00C62C67">
        <w:tblPrEx>
          <w:jc w:val="left"/>
        </w:tblPrEx>
        <w:tc>
          <w:tcPr>
            <w:tcW w:w="703" w:type="dxa"/>
          </w:tcPr>
          <w:p w14:paraId="555D641D" w14:textId="77777777" w:rsidR="005F7AFE" w:rsidRDefault="005F7AFE" w:rsidP="00C62C67">
            <w:pPr>
              <w:spacing w:line="240" w:lineRule="auto"/>
              <w:rPr>
                <w:b/>
                <w:lang w:eastAsia="en-US"/>
              </w:rPr>
            </w:pPr>
          </w:p>
        </w:tc>
        <w:tc>
          <w:tcPr>
            <w:tcW w:w="831" w:type="dxa"/>
          </w:tcPr>
          <w:p w14:paraId="7AD694AF" w14:textId="77777777" w:rsidR="005F7AFE" w:rsidRPr="00F11BBE" w:rsidRDefault="005F7AFE" w:rsidP="00C62C67">
            <w:pPr>
              <w:spacing w:line="240" w:lineRule="auto"/>
              <w:jc w:val="center"/>
              <w:rPr>
                <w:b/>
                <w:lang w:eastAsia="en-US"/>
              </w:rPr>
            </w:pPr>
            <w:r>
              <w:rPr>
                <w:b/>
                <w:lang w:eastAsia="en-US"/>
              </w:rPr>
              <w:t>MSE</w:t>
            </w:r>
          </w:p>
        </w:tc>
        <w:tc>
          <w:tcPr>
            <w:tcW w:w="740" w:type="dxa"/>
          </w:tcPr>
          <w:p w14:paraId="1512E9D9" w14:textId="77777777" w:rsidR="005F7AFE" w:rsidRPr="00F11BBE" w:rsidRDefault="005F7AFE" w:rsidP="00C62C67">
            <w:pPr>
              <w:spacing w:line="240" w:lineRule="auto"/>
              <w:jc w:val="center"/>
              <w:rPr>
                <w:b/>
                <w:lang w:eastAsia="en-US"/>
              </w:rPr>
            </w:pPr>
            <w:r>
              <w:rPr>
                <w:b/>
                <w:lang w:eastAsia="en-US"/>
              </w:rPr>
              <w:t>MAE</w:t>
            </w:r>
          </w:p>
        </w:tc>
        <w:tc>
          <w:tcPr>
            <w:tcW w:w="969" w:type="dxa"/>
          </w:tcPr>
          <w:p w14:paraId="11A1EF72" w14:textId="77777777" w:rsidR="005F7AFE" w:rsidRPr="00F11BBE" w:rsidRDefault="005F7AFE" w:rsidP="00C62C67">
            <w:pPr>
              <w:spacing w:line="240" w:lineRule="auto"/>
              <w:jc w:val="center"/>
              <w:rPr>
                <w:b/>
                <w:vertAlign w:val="superscript"/>
                <w:lang w:eastAsia="en-US"/>
              </w:rPr>
            </w:pPr>
            <w:r>
              <w:rPr>
                <w:b/>
                <w:lang w:eastAsia="en-US"/>
              </w:rPr>
              <w:t>Psuedo</w:t>
            </w:r>
            <w:r>
              <w:rPr>
                <w:b/>
                <w:lang w:eastAsia="en-US"/>
              </w:rPr>
              <w:br/>
              <w:t>-R</w:t>
            </w:r>
            <w:r>
              <w:rPr>
                <w:b/>
                <w:vertAlign w:val="superscript"/>
                <w:lang w:eastAsia="en-US"/>
              </w:rPr>
              <w:t>2</w:t>
            </w:r>
          </w:p>
        </w:tc>
        <w:tc>
          <w:tcPr>
            <w:tcW w:w="703" w:type="dxa"/>
          </w:tcPr>
          <w:p w14:paraId="0C6B9214" w14:textId="77777777" w:rsidR="005F7AFE" w:rsidRDefault="005F7AFE" w:rsidP="00C62C67">
            <w:pPr>
              <w:spacing w:line="240" w:lineRule="auto"/>
              <w:jc w:val="center"/>
              <w:rPr>
                <w:b/>
                <w:lang w:eastAsia="en-US"/>
              </w:rPr>
            </w:pPr>
          </w:p>
        </w:tc>
        <w:tc>
          <w:tcPr>
            <w:tcW w:w="721" w:type="dxa"/>
          </w:tcPr>
          <w:p w14:paraId="15CFBC72" w14:textId="77777777" w:rsidR="005F7AFE" w:rsidRDefault="005F7AFE" w:rsidP="00C62C67">
            <w:pPr>
              <w:spacing w:line="240" w:lineRule="auto"/>
              <w:jc w:val="center"/>
              <w:rPr>
                <w:b/>
                <w:lang w:eastAsia="en-US"/>
              </w:rPr>
            </w:pPr>
            <w:r>
              <w:rPr>
                <w:b/>
                <w:lang w:eastAsia="en-US"/>
              </w:rPr>
              <w:t>MSE</w:t>
            </w:r>
          </w:p>
        </w:tc>
        <w:tc>
          <w:tcPr>
            <w:tcW w:w="740" w:type="dxa"/>
          </w:tcPr>
          <w:p w14:paraId="5D7D1736" w14:textId="77777777" w:rsidR="005F7AFE" w:rsidRDefault="005F7AFE" w:rsidP="00C62C67">
            <w:pPr>
              <w:spacing w:line="240" w:lineRule="auto"/>
              <w:jc w:val="center"/>
              <w:rPr>
                <w:b/>
                <w:lang w:eastAsia="en-US"/>
              </w:rPr>
            </w:pPr>
            <w:r>
              <w:rPr>
                <w:b/>
                <w:lang w:eastAsia="en-US"/>
              </w:rPr>
              <w:t>MAE</w:t>
            </w:r>
          </w:p>
        </w:tc>
        <w:tc>
          <w:tcPr>
            <w:tcW w:w="969" w:type="dxa"/>
          </w:tcPr>
          <w:p w14:paraId="22F05C7E" w14:textId="77777777" w:rsidR="005F7AFE" w:rsidRDefault="005F7AFE" w:rsidP="00C62C67">
            <w:pPr>
              <w:spacing w:line="240" w:lineRule="auto"/>
              <w:jc w:val="center"/>
              <w:rPr>
                <w:b/>
                <w:lang w:eastAsia="en-US"/>
              </w:rPr>
            </w:pPr>
            <w:r>
              <w:rPr>
                <w:b/>
                <w:lang w:eastAsia="en-US"/>
              </w:rPr>
              <w:t>Psuedo</w:t>
            </w:r>
            <w:r>
              <w:rPr>
                <w:b/>
                <w:lang w:eastAsia="en-US"/>
              </w:rPr>
              <w:br/>
              <w:t>-R</w:t>
            </w:r>
            <w:r>
              <w:rPr>
                <w:b/>
                <w:vertAlign w:val="superscript"/>
                <w:lang w:eastAsia="en-US"/>
              </w:rPr>
              <w:t>2</w:t>
            </w:r>
          </w:p>
        </w:tc>
      </w:tr>
      <w:tr w:rsidR="005F7AFE" w14:paraId="20DCB60E" w14:textId="77777777" w:rsidTr="00C62C67">
        <w:tblPrEx>
          <w:jc w:val="left"/>
        </w:tblPrEx>
        <w:tc>
          <w:tcPr>
            <w:tcW w:w="3243" w:type="dxa"/>
            <w:gridSpan w:val="4"/>
          </w:tcPr>
          <w:p w14:paraId="301A7A57" w14:textId="77777777" w:rsidR="005F7AFE" w:rsidRPr="006A4FEC" w:rsidRDefault="005F7AFE" w:rsidP="00C62C67">
            <w:pPr>
              <w:spacing w:line="240" w:lineRule="auto"/>
              <w:jc w:val="center"/>
              <w:rPr>
                <w:i/>
                <w:lang w:eastAsia="en-US"/>
              </w:rPr>
            </w:pPr>
            <w:r>
              <w:rPr>
                <w:i/>
                <w:lang w:eastAsia="en-US"/>
              </w:rPr>
              <w:t>2005</w:t>
            </w:r>
          </w:p>
        </w:tc>
        <w:tc>
          <w:tcPr>
            <w:tcW w:w="3133" w:type="dxa"/>
            <w:gridSpan w:val="4"/>
          </w:tcPr>
          <w:p w14:paraId="02D42D5B" w14:textId="77777777" w:rsidR="005F7AFE" w:rsidRPr="006A4FEC" w:rsidRDefault="005F7AFE" w:rsidP="00C62C67">
            <w:pPr>
              <w:spacing w:line="240" w:lineRule="auto"/>
              <w:jc w:val="center"/>
              <w:rPr>
                <w:i/>
                <w:lang w:eastAsia="en-US"/>
              </w:rPr>
            </w:pPr>
            <w:r>
              <w:rPr>
                <w:i/>
                <w:lang w:eastAsia="en-US"/>
              </w:rPr>
              <w:t>2000</w:t>
            </w:r>
          </w:p>
        </w:tc>
      </w:tr>
      <w:tr w:rsidR="005F7AFE" w14:paraId="2BADB79F" w14:textId="77777777" w:rsidTr="00C62C67">
        <w:tblPrEx>
          <w:jc w:val="left"/>
        </w:tblPrEx>
        <w:tc>
          <w:tcPr>
            <w:tcW w:w="703" w:type="dxa"/>
          </w:tcPr>
          <w:p w14:paraId="4E410131" w14:textId="77777777" w:rsidR="005F7AFE" w:rsidRDefault="005F7AFE" w:rsidP="00C62C67">
            <w:pPr>
              <w:spacing w:line="240" w:lineRule="auto"/>
              <w:rPr>
                <w:b/>
                <w:lang w:eastAsia="en-US"/>
              </w:rPr>
            </w:pPr>
            <w:r>
              <w:rPr>
                <w:b/>
                <w:lang w:eastAsia="en-US"/>
              </w:rPr>
              <w:t>SBA</w:t>
            </w:r>
          </w:p>
        </w:tc>
        <w:tc>
          <w:tcPr>
            <w:tcW w:w="831" w:type="dxa"/>
          </w:tcPr>
          <w:p w14:paraId="2ED797EF" w14:textId="77777777" w:rsidR="005F7AFE" w:rsidRPr="00F11BBE" w:rsidRDefault="005F7AFE" w:rsidP="00C62C67">
            <w:pPr>
              <w:spacing w:line="240" w:lineRule="auto"/>
              <w:jc w:val="center"/>
              <w:rPr>
                <w:lang w:eastAsia="en-US"/>
              </w:rPr>
            </w:pPr>
            <w:r>
              <w:rPr>
                <w:lang w:eastAsia="en-US"/>
              </w:rPr>
              <w:t>0.005</w:t>
            </w:r>
          </w:p>
        </w:tc>
        <w:tc>
          <w:tcPr>
            <w:tcW w:w="740" w:type="dxa"/>
          </w:tcPr>
          <w:p w14:paraId="1FEC6B37" w14:textId="77777777" w:rsidR="005F7AFE" w:rsidRPr="00F11BBE" w:rsidRDefault="005F7AFE" w:rsidP="00C62C67">
            <w:pPr>
              <w:spacing w:line="240" w:lineRule="auto"/>
              <w:jc w:val="center"/>
              <w:rPr>
                <w:lang w:eastAsia="en-US"/>
              </w:rPr>
            </w:pPr>
            <w:r w:rsidRPr="00B16D45">
              <w:rPr>
                <w:lang w:eastAsia="en-US"/>
              </w:rPr>
              <w:t>0.053</w:t>
            </w:r>
            <w:r>
              <w:rPr>
                <w:lang w:eastAsia="en-US"/>
              </w:rPr>
              <w:t>8</w:t>
            </w:r>
          </w:p>
        </w:tc>
        <w:tc>
          <w:tcPr>
            <w:tcW w:w="969" w:type="dxa"/>
          </w:tcPr>
          <w:p w14:paraId="4BD9EA15" w14:textId="77777777" w:rsidR="005F7AFE" w:rsidRPr="00F11BBE" w:rsidRDefault="005F7AFE" w:rsidP="00C62C67">
            <w:pPr>
              <w:spacing w:line="240" w:lineRule="auto"/>
              <w:jc w:val="center"/>
              <w:rPr>
                <w:lang w:eastAsia="en-US"/>
              </w:rPr>
            </w:pPr>
            <w:r>
              <w:rPr>
                <w:lang w:eastAsia="en-US"/>
              </w:rPr>
              <w:t>0.80</w:t>
            </w:r>
          </w:p>
        </w:tc>
        <w:tc>
          <w:tcPr>
            <w:tcW w:w="703" w:type="dxa"/>
          </w:tcPr>
          <w:p w14:paraId="01F5FDF3" w14:textId="77777777" w:rsidR="005F7AFE" w:rsidRDefault="005F7AFE" w:rsidP="00C62C67">
            <w:pPr>
              <w:spacing w:line="240" w:lineRule="auto"/>
              <w:rPr>
                <w:lang w:eastAsia="en-US"/>
              </w:rPr>
            </w:pPr>
            <w:r>
              <w:rPr>
                <w:b/>
                <w:lang w:eastAsia="en-US"/>
              </w:rPr>
              <w:t>SBA</w:t>
            </w:r>
          </w:p>
        </w:tc>
        <w:tc>
          <w:tcPr>
            <w:tcW w:w="721" w:type="dxa"/>
          </w:tcPr>
          <w:p w14:paraId="551C1058" w14:textId="77777777" w:rsidR="005F7AFE" w:rsidRDefault="005F7AFE" w:rsidP="00C62C67">
            <w:pPr>
              <w:spacing w:line="240" w:lineRule="auto"/>
              <w:jc w:val="center"/>
              <w:rPr>
                <w:lang w:eastAsia="en-US"/>
              </w:rPr>
            </w:pPr>
            <w:r w:rsidRPr="00F11BBE">
              <w:rPr>
                <w:lang w:eastAsia="en-US"/>
              </w:rPr>
              <w:t>0.024</w:t>
            </w:r>
          </w:p>
        </w:tc>
        <w:tc>
          <w:tcPr>
            <w:tcW w:w="740" w:type="dxa"/>
          </w:tcPr>
          <w:p w14:paraId="30ABDB3C" w14:textId="77777777" w:rsidR="005F7AFE" w:rsidRDefault="005F7AFE" w:rsidP="00C62C67">
            <w:pPr>
              <w:spacing w:line="240" w:lineRule="auto"/>
              <w:jc w:val="center"/>
              <w:rPr>
                <w:lang w:eastAsia="en-US"/>
              </w:rPr>
            </w:pPr>
            <w:r w:rsidRPr="00F11BBE">
              <w:rPr>
                <w:lang w:eastAsia="en-US"/>
              </w:rPr>
              <w:t>0.115</w:t>
            </w:r>
          </w:p>
        </w:tc>
        <w:tc>
          <w:tcPr>
            <w:tcW w:w="969" w:type="dxa"/>
          </w:tcPr>
          <w:p w14:paraId="4C06606B" w14:textId="77777777" w:rsidR="005F7AFE" w:rsidRDefault="005F7AFE" w:rsidP="00C62C67">
            <w:pPr>
              <w:spacing w:line="240" w:lineRule="auto"/>
              <w:jc w:val="center"/>
              <w:rPr>
                <w:lang w:eastAsia="en-US"/>
              </w:rPr>
            </w:pPr>
            <w:r>
              <w:rPr>
                <w:lang w:eastAsia="en-US"/>
              </w:rPr>
              <w:t>0.656</w:t>
            </w:r>
          </w:p>
        </w:tc>
      </w:tr>
      <w:tr w:rsidR="005F7AFE" w14:paraId="5ED2412E" w14:textId="77777777" w:rsidTr="00C62C67">
        <w:tblPrEx>
          <w:jc w:val="left"/>
        </w:tblPrEx>
        <w:tc>
          <w:tcPr>
            <w:tcW w:w="703" w:type="dxa"/>
          </w:tcPr>
          <w:p w14:paraId="426A24EE" w14:textId="77777777" w:rsidR="005F7AFE" w:rsidRDefault="005F7AFE" w:rsidP="00C62C67">
            <w:pPr>
              <w:spacing w:line="240" w:lineRule="auto"/>
              <w:rPr>
                <w:b/>
                <w:lang w:eastAsia="en-US"/>
              </w:rPr>
            </w:pPr>
            <w:r>
              <w:rPr>
                <w:b/>
                <w:lang w:eastAsia="en-US"/>
              </w:rPr>
              <w:t>ANC</w:t>
            </w:r>
          </w:p>
        </w:tc>
        <w:tc>
          <w:tcPr>
            <w:tcW w:w="831" w:type="dxa"/>
          </w:tcPr>
          <w:p w14:paraId="7D1793F3" w14:textId="77777777" w:rsidR="005F7AFE" w:rsidRPr="00F11BBE" w:rsidRDefault="005F7AFE" w:rsidP="00C62C67">
            <w:pPr>
              <w:spacing w:line="240" w:lineRule="auto"/>
              <w:jc w:val="center"/>
              <w:rPr>
                <w:lang w:eastAsia="en-US"/>
              </w:rPr>
            </w:pPr>
            <w:r>
              <w:rPr>
                <w:lang w:eastAsia="en-US"/>
              </w:rPr>
              <w:t>0.003</w:t>
            </w:r>
          </w:p>
        </w:tc>
        <w:tc>
          <w:tcPr>
            <w:tcW w:w="740" w:type="dxa"/>
          </w:tcPr>
          <w:p w14:paraId="0C93DB26" w14:textId="77777777" w:rsidR="005F7AFE" w:rsidRPr="00F11BBE" w:rsidRDefault="005F7AFE" w:rsidP="00C62C67">
            <w:pPr>
              <w:spacing w:line="240" w:lineRule="auto"/>
              <w:jc w:val="center"/>
              <w:rPr>
                <w:lang w:eastAsia="en-US"/>
              </w:rPr>
            </w:pPr>
            <w:r>
              <w:rPr>
                <w:lang w:eastAsia="en-US"/>
              </w:rPr>
              <w:t>0.0404</w:t>
            </w:r>
          </w:p>
        </w:tc>
        <w:tc>
          <w:tcPr>
            <w:tcW w:w="969" w:type="dxa"/>
          </w:tcPr>
          <w:p w14:paraId="1F4AFCAD" w14:textId="77777777" w:rsidR="005F7AFE" w:rsidRPr="00F11BBE" w:rsidRDefault="005F7AFE" w:rsidP="00C62C67">
            <w:pPr>
              <w:spacing w:line="240" w:lineRule="auto"/>
              <w:jc w:val="center"/>
              <w:rPr>
                <w:lang w:eastAsia="en-US"/>
              </w:rPr>
            </w:pPr>
            <w:r>
              <w:rPr>
                <w:lang w:eastAsia="en-US"/>
              </w:rPr>
              <w:t>0.475</w:t>
            </w:r>
          </w:p>
        </w:tc>
        <w:tc>
          <w:tcPr>
            <w:tcW w:w="703" w:type="dxa"/>
          </w:tcPr>
          <w:p w14:paraId="1ACC3159" w14:textId="77777777" w:rsidR="005F7AFE" w:rsidRDefault="005F7AFE" w:rsidP="00C62C67">
            <w:pPr>
              <w:spacing w:line="240" w:lineRule="auto"/>
              <w:rPr>
                <w:lang w:eastAsia="en-US"/>
              </w:rPr>
            </w:pPr>
            <w:r>
              <w:rPr>
                <w:b/>
                <w:lang w:eastAsia="en-US"/>
              </w:rPr>
              <w:t>ANC</w:t>
            </w:r>
          </w:p>
        </w:tc>
        <w:tc>
          <w:tcPr>
            <w:tcW w:w="721" w:type="dxa"/>
          </w:tcPr>
          <w:p w14:paraId="268DD529" w14:textId="77777777" w:rsidR="005F7AFE" w:rsidRDefault="005F7AFE" w:rsidP="00C62C67">
            <w:pPr>
              <w:spacing w:line="240" w:lineRule="auto"/>
              <w:jc w:val="center"/>
              <w:rPr>
                <w:lang w:eastAsia="en-US"/>
              </w:rPr>
            </w:pPr>
            <w:r w:rsidRPr="00930F2A">
              <w:rPr>
                <w:lang w:eastAsia="en-US"/>
              </w:rPr>
              <w:t>0.04</w:t>
            </w:r>
          </w:p>
        </w:tc>
        <w:tc>
          <w:tcPr>
            <w:tcW w:w="740" w:type="dxa"/>
          </w:tcPr>
          <w:p w14:paraId="2A3757B8" w14:textId="77777777" w:rsidR="005F7AFE" w:rsidRDefault="005F7AFE" w:rsidP="00C62C67">
            <w:pPr>
              <w:spacing w:line="240" w:lineRule="auto"/>
              <w:jc w:val="center"/>
              <w:rPr>
                <w:lang w:eastAsia="en-US"/>
              </w:rPr>
            </w:pPr>
            <w:r w:rsidRPr="00930F2A">
              <w:rPr>
                <w:lang w:eastAsia="en-US"/>
              </w:rPr>
              <w:t>0.151</w:t>
            </w:r>
          </w:p>
        </w:tc>
        <w:tc>
          <w:tcPr>
            <w:tcW w:w="969" w:type="dxa"/>
          </w:tcPr>
          <w:p w14:paraId="282CEECF" w14:textId="77777777" w:rsidR="005F7AFE" w:rsidRDefault="005F7AFE" w:rsidP="00C62C67">
            <w:pPr>
              <w:spacing w:line="240" w:lineRule="auto"/>
              <w:jc w:val="center"/>
              <w:rPr>
                <w:lang w:eastAsia="en-US"/>
              </w:rPr>
            </w:pPr>
            <w:r>
              <w:rPr>
                <w:lang w:eastAsia="en-US"/>
              </w:rPr>
              <w:t>0.529</w:t>
            </w:r>
          </w:p>
        </w:tc>
      </w:tr>
      <w:tr w:rsidR="005F7AFE" w:rsidRPr="00930F2A" w14:paraId="69705CC2" w14:textId="77777777" w:rsidTr="00C62C67">
        <w:tblPrEx>
          <w:jc w:val="left"/>
        </w:tblPrEx>
        <w:tc>
          <w:tcPr>
            <w:tcW w:w="703" w:type="dxa"/>
          </w:tcPr>
          <w:p w14:paraId="431B7493" w14:textId="77777777" w:rsidR="005F7AFE" w:rsidRDefault="005F7AFE" w:rsidP="00C62C67">
            <w:pPr>
              <w:spacing w:line="240" w:lineRule="auto"/>
              <w:rPr>
                <w:b/>
                <w:lang w:eastAsia="en-US"/>
              </w:rPr>
            </w:pPr>
            <w:r>
              <w:rPr>
                <w:b/>
                <w:lang w:eastAsia="en-US"/>
              </w:rPr>
              <w:t>PNC</w:t>
            </w:r>
          </w:p>
        </w:tc>
        <w:tc>
          <w:tcPr>
            <w:tcW w:w="831" w:type="dxa"/>
          </w:tcPr>
          <w:p w14:paraId="0F5416B4" w14:textId="77777777" w:rsidR="005F7AFE" w:rsidRPr="00F11BBE" w:rsidRDefault="005F7AFE" w:rsidP="00C62C67">
            <w:pPr>
              <w:spacing w:line="240" w:lineRule="auto"/>
              <w:jc w:val="center"/>
              <w:rPr>
                <w:lang w:eastAsia="en-US"/>
              </w:rPr>
            </w:pPr>
            <w:r w:rsidRPr="00B16D45">
              <w:rPr>
                <w:lang w:eastAsia="en-US"/>
              </w:rPr>
              <w:t>0.0043</w:t>
            </w:r>
          </w:p>
        </w:tc>
        <w:tc>
          <w:tcPr>
            <w:tcW w:w="740" w:type="dxa"/>
          </w:tcPr>
          <w:p w14:paraId="27F7AF10" w14:textId="77777777" w:rsidR="005F7AFE" w:rsidRPr="00F11BBE" w:rsidRDefault="005F7AFE" w:rsidP="00C62C67">
            <w:pPr>
              <w:spacing w:line="240" w:lineRule="auto"/>
              <w:jc w:val="center"/>
              <w:rPr>
                <w:lang w:eastAsia="en-US"/>
              </w:rPr>
            </w:pPr>
            <w:r w:rsidRPr="00B16D45">
              <w:rPr>
                <w:lang w:eastAsia="en-US"/>
              </w:rPr>
              <w:t>0.0517</w:t>
            </w:r>
          </w:p>
        </w:tc>
        <w:tc>
          <w:tcPr>
            <w:tcW w:w="969" w:type="dxa"/>
          </w:tcPr>
          <w:p w14:paraId="6403D113" w14:textId="77777777" w:rsidR="005F7AFE" w:rsidRPr="00F11BBE" w:rsidRDefault="005F7AFE" w:rsidP="00C62C67">
            <w:pPr>
              <w:spacing w:line="240" w:lineRule="auto"/>
              <w:jc w:val="center"/>
              <w:rPr>
                <w:lang w:eastAsia="en-US"/>
              </w:rPr>
            </w:pPr>
            <w:r>
              <w:rPr>
                <w:lang w:eastAsia="en-US"/>
              </w:rPr>
              <w:t>0.81</w:t>
            </w:r>
            <w:r w:rsidRPr="00B16D45">
              <w:rPr>
                <w:lang w:eastAsia="en-US"/>
              </w:rPr>
              <w:t>6</w:t>
            </w:r>
          </w:p>
        </w:tc>
        <w:tc>
          <w:tcPr>
            <w:tcW w:w="703" w:type="dxa"/>
          </w:tcPr>
          <w:p w14:paraId="0178C50F" w14:textId="77777777" w:rsidR="005F7AFE" w:rsidRPr="00930F2A" w:rsidRDefault="005F7AFE" w:rsidP="00C62C67">
            <w:pPr>
              <w:spacing w:line="240" w:lineRule="auto"/>
              <w:rPr>
                <w:lang w:eastAsia="en-US"/>
              </w:rPr>
            </w:pPr>
            <w:r>
              <w:rPr>
                <w:b/>
                <w:lang w:eastAsia="en-US"/>
              </w:rPr>
              <w:t>PNC</w:t>
            </w:r>
          </w:p>
        </w:tc>
        <w:tc>
          <w:tcPr>
            <w:tcW w:w="721" w:type="dxa"/>
          </w:tcPr>
          <w:p w14:paraId="112C8D4B" w14:textId="77777777" w:rsidR="005F7AFE" w:rsidRPr="00930F2A" w:rsidRDefault="005F7AFE" w:rsidP="00C62C67">
            <w:pPr>
              <w:spacing w:line="240" w:lineRule="auto"/>
              <w:jc w:val="center"/>
              <w:rPr>
                <w:lang w:eastAsia="en-US"/>
              </w:rPr>
            </w:pPr>
            <w:r>
              <w:rPr>
                <w:lang w:eastAsia="en-US"/>
              </w:rPr>
              <w:t>0.035</w:t>
            </w:r>
          </w:p>
        </w:tc>
        <w:tc>
          <w:tcPr>
            <w:tcW w:w="740" w:type="dxa"/>
          </w:tcPr>
          <w:p w14:paraId="75353C9A" w14:textId="77777777" w:rsidR="005F7AFE" w:rsidRPr="00930F2A" w:rsidRDefault="005F7AFE" w:rsidP="00C62C67">
            <w:pPr>
              <w:spacing w:line="240" w:lineRule="auto"/>
              <w:jc w:val="center"/>
              <w:rPr>
                <w:lang w:eastAsia="en-US"/>
              </w:rPr>
            </w:pPr>
            <w:r w:rsidRPr="00930F2A">
              <w:rPr>
                <w:lang w:eastAsia="en-US"/>
              </w:rPr>
              <w:t>0.140</w:t>
            </w:r>
          </w:p>
        </w:tc>
        <w:tc>
          <w:tcPr>
            <w:tcW w:w="969" w:type="dxa"/>
          </w:tcPr>
          <w:p w14:paraId="1662DACB" w14:textId="77777777" w:rsidR="005F7AFE" w:rsidRPr="00930F2A" w:rsidRDefault="005F7AFE" w:rsidP="00C62C67">
            <w:pPr>
              <w:spacing w:line="240" w:lineRule="auto"/>
              <w:jc w:val="center"/>
              <w:rPr>
                <w:lang w:eastAsia="en-US"/>
              </w:rPr>
            </w:pPr>
            <w:r w:rsidRPr="00930F2A">
              <w:rPr>
                <w:lang w:eastAsia="en-US"/>
              </w:rPr>
              <w:t>0.702</w:t>
            </w:r>
          </w:p>
        </w:tc>
      </w:tr>
      <w:tr w:rsidR="005F7AFE" w:rsidRPr="00930F2A" w14:paraId="3EB698F1" w14:textId="77777777" w:rsidTr="00C62C67">
        <w:tblPrEx>
          <w:jc w:val="left"/>
        </w:tblPrEx>
        <w:tc>
          <w:tcPr>
            <w:tcW w:w="3243" w:type="dxa"/>
            <w:gridSpan w:val="4"/>
          </w:tcPr>
          <w:p w14:paraId="16A37577" w14:textId="77777777" w:rsidR="005F7AFE" w:rsidRPr="006A4FEC" w:rsidRDefault="005F7AFE" w:rsidP="00C62C67">
            <w:pPr>
              <w:spacing w:line="240" w:lineRule="auto"/>
              <w:jc w:val="center"/>
              <w:rPr>
                <w:i/>
                <w:lang w:eastAsia="en-US"/>
              </w:rPr>
            </w:pPr>
            <w:r>
              <w:rPr>
                <w:i/>
                <w:lang w:eastAsia="en-US"/>
              </w:rPr>
              <w:t>2010</w:t>
            </w:r>
          </w:p>
        </w:tc>
        <w:tc>
          <w:tcPr>
            <w:tcW w:w="3133" w:type="dxa"/>
            <w:gridSpan w:val="4"/>
          </w:tcPr>
          <w:p w14:paraId="17DE1ACB" w14:textId="77777777" w:rsidR="005F7AFE" w:rsidRPr="006A4FEC" w:rsidRDefault="005F7AFE" w:rsidP="00C62C67">
            <w:pPr>
              <w:spacing w:line="240" w:lineRule="auto"/>
              <w:jc w:val="center"/>
              <w:rPr>
                <w:i/>
                <w:lang w:eastAsia="en-US"/>
              </w:rPr>
            </w:pPr>
            <w:r w:rsidRPr="006A4FEC">
              <w:rPr>
                <w:i/>
                <w:lang w:eastAsia="en-US"/>
              </w:rPr>
              <w:t>2006</w:t>
            </w:r>
          </w:p>
        </w:tc>
      </w:tr>
      <w:tr w:rsidR="005F7AFE" w14:paraId="7A1F5A79" w14:textId="77777777" w:rsidTr="00C62C67">
        <w:tblPrEx>
          <w:jc w:val="left"/>
        </w:tblPrEx>
        <w:tc>
          <w:tcPr>
            <w:tcW w:w="703" w:type="dxa"/>
          </w:tcPr>
          <w:p w14:paraId="7E161C0E" w14:textId="77777777" w:rsidR="005F7AFE" w:rsidRDefault="005F7AFE" w:rsidP="00C62C67">
            <w:pPr>
              <w:spacing w:line="240" w:lineRule="auto"/>
              <w:rPr>
                <w:b/>
                <w:lang w:eastAsia="en-US"/>
              </w:rPr>
            </w:pPr>
            <w:r>
              <w:rPr>
                <w:b/>
                <w:lang w:eastAsia="en-US"/>
              </w:rPr>
              <w:t>SBA</w:t>
            </w:r>
          </w:p>
        </w:tc>
        <w:tc>
          <w:tcPr>
            <w:tcW w:w="831" w:type="dxa"/>
          </w:tcPr>
          <w:p w14:paraId="313F425E" w14:textId="77777777" w:rsidR="005F7AFE" w:rsidRPr="00F11BBE" w:rsidRDefault="005F7AFE" w:rsidP="00C62C67">
            <w:pPr>
              <w:spacing w:line="240" w:lineRule="auto"/>
              <w:jc w:val="center"/>
              <w:rPr>
                <w:lang w:eastAsia="en-US"/>
              </w:rPr>
            </w:pPr>
            <w:r>
              <w:rPr>
                <w:lang w:eastAsia="en-US"/>
              </w:rPr>
              <w:t>0.002</w:t>
            </w:r>
          </w:p>
        </w:tc>
        <w:tc>
          <w:tcPr>
            <w:tcW w:w="740" w:type="dxa"/>
          </w:tcPr>
          <w:p w14:paraId="62E1DE99" w14:textId="77777777" w:rsidR="005F7AFE" w:rsidRPr="00F11BBE" w:rsidRDefault="005F7AFE" w:rsidP="00C62C67">
            <w:pPr>
              <w:spacing w:line="240" w:lineRule="auto"/>
              <w:jc w:val="center"/>
              <w:rPr>
                <w:lang w:eastAsia="en-US"/>
              </w:rPr>
            </w:pPr>
            <w:r w:rsidRPr="0036104B">
              <w:rPr>
                <w:lang w:eastAsia="en-US"/>
              </w:rPr>
              <w:t>0.033</w:t>
            </w:r>
          </w:p>
        </w:tc>
        <w:tc>
          <w:tcPr>
            <w:tcW w:w="969" w:type="dxa"/>
          </w:tcPr>
          <w:p w14:paraId="0E25743E" w14:textId="77777777" w:rsidR="005F7AFE" w:rsidRPr="00F11BBE" w:rsidRDefault="005F7AFE" w:rsidP="00C62C67">
            <w:pPr>
              <w:spacing w:line="240" w:lineRule="auto"/>
              <w:jc w:val="center"/>
              <w:rPr>
                <w:lang w:eastAsia="en-US"/>
              </w:rPr>
            </w:pPr>
            <w:r w:rsidRPr="0036104B">
              <w:rPr>
                <w:lang w:eastAsia="en-US"/>
              </w:rPr>
              <w:t>0.887</w:t>
            </w:r>
          </w:p>
        </w:tc>
        <w:tc>
          <w:tcPr>
            <w:tcW w:w="703" w:type="dxa"/>
          </w:tcPr>
          <w:p w14:paraId="4DE92E23" w14:textId="77777777" w:rsidR="005F7AFE" w:rsidRDefault="005F7AFE" w:rsidP="00C62C67">
            <w:pPr>
              <w:spacing w:line="240" w:lineRule="auto"/>
              <w:rPr>
                <w:lang w:eastAsia="en-US"/>
              </w:rPr>
            </w:pPr>
            <w:r>
              <w:rPr>
                <w:b/>
                <w:lang w:eastAsia="en-US"/>
              </w:rPr>
              <w:t>SBA</w:t>
            </w:r>
          </w:p>
        </w:tc>
        <w:tc>
          <w:tcPr>
            <w:tcW w:w="721" w:type="dxa"/>
          </w:tcPr>
          <w:p w14:paraId="059BD6BA" w14:textId="77777777" w:rsidR="005F7AFE" w:rsidRDefault="005F7AFE" w:rsidP="00C62C67">
            <w:pPr>
              <w:spacing w:line="240" w:lineRule="auto"/>
              <w:jc w:val="center"/>
              <w:rPr>
                <w:lang w:eastAsia="en-US"/>
              </w:rPr>
            </w:pPr>
            <w:r>
              <w:rPr>
                <w:lang w:eastAsia="en-US"/>
              </w:rPr>
              <w:t>0.030</w:t>
            </w:r>
          </w:p>
        </w:tc>
        <w:tc>
          <w:tcPr>
            <w:tcW w:w="740" w:type="dxa"/>
          </w:tcPr>
          <w:p w14:paraId="46894129" w14:textId="77777777" w:rsidR="005F7AFE" w:rsidRDefault="005F7AFE" w:rsidP="00C62C67">
            <w:pPr>
              <w:spacing w:line="240" w:lineRule="auto"/>
              <w:jc w:val="center"/>
              <w:rPr>
                <w:lang w:eastAsia="en-US"/>
              </w:rPr>
            </w:pPr>
            <w:r w:rsidRPr="00930F2A">
              <w:rPr>
                <w:lang w:eastAsia="en-US"/>
              </w:rPr>
              <w:t>0.127</w:t>
            </w:r>
          </w:p>
        </w:tc>
        <w:tc>
          <w:tcPr>
            <w:tcW w:w="969" w:type="dxa"/>
          </w:tcPr>
          <w:p w14:paraId="1A95A673" w14:textId="77777777" w:rsidR="005F7AFE" w:rsidRDefault="005F7AFE" w:rsidP="00C62C67">
            <w:pPr>
              <w:spacing w:line="240" w:lineRule="auto"/>
              <w:jc w:val="center"/>
              <w:rPr>
                <w:lang w:eastAsia="en-US"/>
              </w:rPr>
            </w:pPr>
            <w:r>
              <w:rPr>
                <w:lang w:eastAsia="en-US"/>
              </w:rPr>
              <w:t>0.657</w:t>
            </w:r>
          </w:p>
        </w:tc>
      </w:tr>
      <w:tr w:rsidR="005F7AFE" w:rsidRPr="00930F2A" w14:paraId="082256D4" w14:textId="77777777" w:rsidTr="00C62C67">
        <w:tblPrEx>
          <w:jc w:val="left"/>
        </w:tblPrEx>
        <w:tc>
          <w:tcPr>
            <w:tcW w:w="703" w:type="dxa"/>
          </w:tcPr>
          <w:p w14:paraId="1FDEC5DA" w14:textId="77777777" w:rsidR="005F7AFE" w:rsidRDefault="005F7AFE" w:rsidP="00C62C67">
            <w:pPr>
              <w:spacing w:line="240" w:lineRule="auto"/>
              <w:rPr>
                <w:b/>
                <w:lang w:eastAsia="en-US"/>
              </w:rPr>
            </w:pPr>
            <w:r>
              <w:rPr>
                <w:b/>
                <w:lang w:eastAsia="en-US"/>
              </w:rPr>
              <w:t>ANC</w:t>
            </w:r>
          </w:p>
        </w:tc>
        <w:tc>
          <w:tcPr>
            <w:tcW w:w="831" w:type="dxa"/>
          </w:tcPr>
          <w:p w14:paraId="4058F345" w14:textId="77777777" w:rsidR="005F7AFE" w:rsidRPr="00F11BBE" w:rsidRDefault="005F7AFE" w:rsidP="00C62C67">
            <w:pPr>
              <w:spacing w:line="240" w:lineRule="auto"/>
              <w:jc w:val="center"/>
              <w:rPr>
                <w:lang w:eastAsia="en-US"/>
              </w:rPr>
            </w:pPr>
            <w:r w:rsidRPr="0036104B">
              <w:rPr>
                <w:lang w:eastAsia="en-US"/>
              </w:rPr>
              <w:t>0.001</w:t>
            </w:r>
          </w:p>
        </w:tc>
        <w:tc>
          <w:tcPr>
            <w:tcW w:w="740" w:type="dxa"/>
          </w:tcPr>
          <w:p w14:paraId="2F7964F3" w14:textId="77777777" w:rsidR="005F7AFE" w:rsidRPr="00F11BBE" w:rsidRDefault="005F7AFE" w:rsidP="00C62C67">
            <w:pPr>
              <w:spacing w:line="240" w:lineRule="auto"/>
              <w:jc w:val="center"/>
              <w:rPr>
                <w:lang w:eastAsia="en-US"/>
              </w:rPr>
            </w:pPr>
            <w:r w:rsidRPr="0036104B">
              <w:rPr>
                <w:lang w:eastAsia="en-US"/>
              </w:rPr>
              <w:t>0.0300</w:t>
            </w:r>
          </w:p>
        </w:tc>
        <w:tc>
          <w:tcPr>
            <w:tcW w:w="969" w:type="dxa"/>
          </w:tcPr>
          <w:p w14:paraId="5F2291AC" w14:textId="77777777" w:rsidR="005F7AFE" w:rsidRPr="00F11BBE" w:rsidRDefault="005F7AFE" w:rsidP="00C62C67">
            <w:pPr>
              <w:spacing w:line="240" w:lineRule="auto"/>
              <w:jc w:val="center"/>
              <w:rPr>
                <w:lang w:eastAsia="en-US"/>
              </w:rPr>
            </w:pPr>
            <w:r w:rsidRPr="0036104B">
              <w:rPr>
                <w:lang w:eastAsia="en-US"/>
              </w:rPr>
              <w:t>0.905</w:t>
            </w:r>
          </w:p>
        </w:tc>
        <w:tc>
          <w:tcPr>
            <w:tcW w:w="703" w:type="dxa"/>
          </w:tcPr>
          <w:p w14:paraId="4C3B53B1" w14:textId="77777777" w:rsidR="005F7AFE" w:rsidRPr="00930F2A" w:rsidRDefault="005F7AFE" w:rsidP="00C62C67">
            <w:pPr>
              <w:spacing w:line="240" w:lineRule="auto"/>
              <w:rPr>
                <w:lang w:eastAsia="en-US"/>
              </w:rPr>
            </w:pPr>
            <w:r>
              <w:rPr>
                <w:b/>
                <w:lang w:eastAsia="en-US"/>
              </w:rPr>
              <w:t>ANC</w:t>
            </w:r>
          </w:p>
        </w:tc>
        <w:tc>
          <w:tcPr>
            <w:tcW w:w="721" w:type="dxa"/>
          </w:tcPr>
          <w:p w14:paraId="1B068FD6" w14:textId="77777777" w:rsidR="005F7AFE" w:rsidRPr="00930F2A" w:rsidRDefault="005F7AFE" w:rsidP="00C62C67">
            <w:pPr>
              <w:spacing w:line="240" w:lineRule="auto"/>
              <w:jc w:val="center"/>
              <w:rPr>
                <w:lang w:eastAsia="en-US"/>
              </w:rPr>
            </w:pPr>
            <w:r w:rsidRPr="00930F2A">
              <w:rPr>
                <w:lang w:eastAsia="en-US"/>
              </w:rPr>
              <w:t>0.054</w:t>
            </w:r>
          </w:p>
        </w:tc>
        <w:tc>
          <w:tcPr>
            <w:tcW w:w="740" w:type="dxa"/>
          </w:tcPr>
          <w:p w14:paraId="65C8B2BF" w14:textId="77777777" w:rsidR="005F7AFE" w:rsidRPr="00930F2A" w:rsidRDefault="005F7AFE" w:rsidP="00C62C67">
            <w:pPr>
              <w:spacing w:line="240" w:lineRule="auto"/>
              <w:jc w:val="center"/>
              <w:rPr>
                <w:lang w:eastAsia="en-US"/>
              </w:rPr>
            </w:pPr>
            <w:r w:rsidRPr="00930F2A">
              <w:rPr>
                <w:lang w:eastAsia="en-US"/>
              </w:rPr>
              <w:t>0.173</w:t>
            </w:r>
          </w:p>
        </w:tc>
        <w:tc>
          <w:tcPr>
            <w:tcW w:w="969" w:type="dxa"/>
          </w:tcPr>
          <w:p w14:paraId="5F7E3774" w14:textId="77777777" w:rsidR="005F7AFE" w:rsidRPr="00930F2A" w:rsidRDefault="005F7AFE" w:rsidP="00C62C67">
            <w:pPr>
              <w:spacing w:line="240" w:lineRule="auto"/>
              <w:jc w:val="center"/>
              <w:rPr>
                <w:lang w:eastAsia="en-US"/>
              </w:rPr>
            </w:pPr>
            <w:r w:rsidRPr="00930F2A">
              <w:rPr>
                <w:lang w:eastAsia="en-US"/>
              </w:rPr>
              <w:t>0.138</w:t>
            </w:r>
          </w:p>
        </w:tc>
      </w:tr>
      <w:tr w:rsidR="005F7AFE" w14:paraId="43CDEE31" w14:textId="77777777" w:rsidTr="00C62C67">
        <w:tblPrEx>
          <w:jc w:val="left"/>
        </w:tblPrEx>
        <w:tc>
          <w:tcPr>
            <w:tcW w:w="703" w:type="dxa"/>
          </w:tcPr>
          <w:p w14:paraId="2869B5E5" w14:textId="77777777" w:rsidR="005F7AFE" w:rsidRDefault="005F7AFE" w:rsidP="00C62C67">
            <w:pPr>
              <w:spacing w:line="240" w:lineRule="auto"/>
              <w:rPr>
                <w:b/>
                <w:lang w:eastAsia="en-US"/>
              </w:rPr>
            </w:pPr>
            <w:r>
              <w:rPr>
                <w:b/>
                <w:lang w:eastAsia="en-US"/>
              </w:rPr>
              <w:t>PNC</w:t>
            </w:r>
          </w:p>
        </w:tc>
        <w:tc>
          <w:tcPr>
            <w:tcW w:w="831" w:type="dxa"/>
          </w:tcPr>
          <w:p w14:paraId="7A73D27A" w14:textId="77777777" w:rsidR="005F7AFE" w:rsidRPr="00F11BBE" w:rsidRDefault="005F7AFE" w:rsidP="00C62C67">
            <w:pPr>
              <w:spacing w:line="240" w:lineRule="auto"/>
              <w:jc w:val="center"/>
              <w:rPr>
                <w:lang w:eastAsia="en-US"/>
              </w:rPr>
            </w:pPr>
            <w:r w:rsidRPr="0036104B">
              <w:rPr>
                <w:lang w:eastAsia="en-US"/>
              </w:rPr>
              <w:t>0.001</w:t>
            </w:r>
          </w:p>
        </w:tc>
        <w:tc>
          <w:tcPr>
            <w:tcW w:w="740" w:type="dxa"/>
          </w:tcPr>
          <w:p w14:paraId="485E8CAE" w14:textId="77777777" w:rsidR="005F7AFE" w:rsidRPr="00F11BBE" w:rsidRDefault="005F7AFE" w:rsidP="00C62C67">
            <w:pPr>
              <w:spacing w:line="240" w:lineRule="auto"/>
              <w:jc w:val="center"/>
              <w:rPr>
                <w:lang w:eastAsia="en-US"/>
              </w:rPr>
            </w:pPr>
            <w:r w:rsidRPr="0036104B">
              <w:rPr>
                <w:lang w:eastAsia="en-US"/>
              </w:rPr>
              <w:t>0.0326</w:t>
            </w:r>
          </w:p>
        </w:tc>
        <w:tc>
          <w:tcPr>
            <w:tcW w:w="969" w:type="dxa"/>
          </w:tcPr>
          <w:p w14:paraId="6E47BA83" w14:textId="77777777" w:rsidR="005F7AFE" w:rsidRPr="00F11BBE" w:rsidRDefault="005F7AFE" w:rsidP="00C62C67">
            <w:pPr>
              <w:spacing w:line="240" w:lineRule="auto"/>
              <w:jc w:val="center"/>
              <w:rPr>
                <w:lang w:eastAsia="en-US"/>
              </w:rPr>
            </w:pPr>
            <w:r>
              <w:rPr>
                <w:lang w:eastAsia="en-US"/>
              </w:rPr>
              <w:t>0.877</w:t>
            </w:r>
          </w:p>
        </w:tc>
        <w:tc>
          <w:tcPr>
            <w:tcW w:w="703" w:type="dxa"/>
          </w:tcPr>
          <w:p w14:paraId="50CB227C" w14:textId="77777777" w:rsidR="005F7AFE" w:rsidRDefault="005F7AFE" w:rsidP="00C62C67">
            <w:pPr>
              <w:spacing w:line="240" w:lineRule="auto"/>
              <w:rPr>
                <w:lang w:eastAsia="en-US"/>
              </w:rPr>
            </w:pPr>
            <w:r>
              <w:rPr>
                <w:b/>
                <w:lang w:eastAsia="en-US"/>
              </w:rPr>
              <w:t>PNC</w:t>
            </w:r>
          </w:p>
        </w:tc>
        <w:tc>
          <w:tcPr>
            <w:tcW w:w="721" w:type="dxa"/>
          </w:tcPr>
          <w:p w14:paraId="1BF6C24B" w14:textId="77777777" w:rsidR="005F7AFE" w:rsidRDefault="005F7AFE" w:rsidP="00C62C67">
            <w:pPr>
              <w:spacing w:line="240" w:lineRule="auto"/>
              <w:jc w:val="center"/>
              <w:rPr>
                <w:lang w:eastAsia="en-US"/>
              </w:rPr>
            </w:pPr>
            <w:r w:rsidRPr="00930F2A">
              <w:rPr>
                <w:lang w:eastAsia="en-US"/>
              </w:rPr>
              <w:t>0.028</w:t>
            </w:r>
          </w:p>
        </w:tc>
        <w:tc>
          <w:tcPr>
            <w:tcW w:w="740" w:type="dxa"/>
          </w:tcPr>
          <w:p w14:paraId="64888984" w14:textId="77777777" w:rsidR="005F7AFE" w:rsidRDefault="005F7AFE" w:rsidP="00C62C67">
            <w:pPr>
              <w:spacing w:line="240" w:lineRule="auto"/>
              <w:jc w:val="center"/>
              <w:rPr>
                <w:lang w:eastAsia="en-US"/>
              </w:rPr>
            </w:pPr>
            <w:r>
              <w:rPr>
                <w:lang w:eastAsia="en-US"/>
              </w:rPr>
              <w:t>0.124</w:t>
            </w:r>
          </w:p>
        </w:tc>
        <w:tc>
          <w:tcPr>
            <w:tcW w:w="969" w:type="dxa"/>
          </w:tcPr>
          <w:p w14:paraId="651077B9" w14:textId="77777777" w:rsidR="005F7AFE" w:rsidRDefault="005F7AFE" w:rsidP="00C62C67">
            <w:pPr>
              <w:spacing w:line="240" w:lineRule="auto"/>
              <w:jc w:val="center"/>
              <w:rPr>
                <w:lang w:eastAsia="en-US"/>
              </w:rPr>
            </w:pPr>
            <w:r>
              <w:rPr>
                <w:lang w:eastAsia="en-US"/>
              </w:rPr>
              <w:t>0.684</w:t>
            </w:r>
          </w:p>
        </w:tc>
      </w:tr>
      <w:tr w:rsidR="005F7AFE" w14:paraId="5CF208D2" w14:textId="77777777" w:rsidTr="00C62C67">
        <w:tblPrEx>
          <w:jc w:val="left"/>
        </w:tblPrEx>
        <w:tc>
          <w:tcPr>
            <w:tcW w:w="3243" w:type="dxa"/>
            <w:gridSpan w:val="4"/>
          </w:tcPr>
          <w:p w14:paraId="4E379C8D" w14:textId="77777777" w:rsidR="005F7AFE" w:rsidRPr="006A4FEC" w:rsidRDefault="005F7AFE" w:rsidP="00C62C67">
            <w:pPr>
              <w:spacing w:line="240" w:lineRule="auto"/>
              <w:jc w:val="center"/>
              <w:rPr>
                <w:i/>
                <w:lang w:eastAsia="en-US"/>
              </w:rPr>
            </w:pPr>
            <w:r>
              <w:rPr>
                <w:i/>
                <w:lang w:eastAsia="en-US"/>
              </w:rPr>
              <w:t>2014</w:t>
            </w:r>
          </w:p>
        </w:tc>
        <w:tc>
          <w:tcPr>
            <w:tcW w:w="3133" w:type="dxa"/>
            <w:gridSpan w:val="4"/>
          </w:tcPr>
          <w:p w14:paraId="467DA364" w14:textId="77777777" w:rsidR="005F7AFE" w:rsidRPr="006A4FEC" w:rsidRDefault="005F7AFE" w:rsidP="00C62C67">
            <w:pPr>
              <w:spacing w:line="240" w:lineRule="auto"/>
              <w:jc w:val="center"/>
              <w:rPr>
                <w:i/>
                <w:lang w:eastAsia="en-US"/>
              </w:rPr>
            </w:pPr>
            <w:r w:rsidRPr="006A4FEC">
              <w:rPr>
                <w:i/>
                <w:lang w:eastAsia="en-US"/>
              </w:rPr>
              <w:t>2011</w:t>
            </w:r>
          </w:p>
        </w:tc>
      </w:tr>
      <w:tr w:rsidR="005F7AFE" w14:paraId="2C6CF71A" w14:textId="77777777" w:rsidTr="00C62C67">
        <w:tblPrEx>
          <w:jc w:val="left"/>
        </w:tblPrEx>
        <w:tc>
          <w:tcPr>
            <w:tcW w:w="703" w:type="dxa"/>
          </w:tcPr>
          <w:p w14:paraId="4C4943CB" w14:textId="77777777" w:rsidR="005F7AFE" w:rsidRDefault="005F7AFE" w:rsidP="00C62C67">
            <w:pPr>
              <w:spacing w:line="240" w:lineRule="auto"/>
              <w:rPr>
                <w:b/>
                <w:lang w:eastAsia="en-US"/>
              </w:rPr>
            </w:pPr>
            <w:r>
              <w:rPr>
                <w:b/>
                <w:lang w:eastAsia="en-US"/>
              </w:rPr>
              <w:t>SBA</w:t>
            </w:r>
          </w:p>
        </w:tc>
        <w:tc>
          <w:tcPr>
            <w:tcW w:w="831" w:type="dxa"/>
          </w:tcPr>
          <w:p w14:paraId="31BAA4FA" w14:textId="77777777" w:rsidR="005F7AFE" w:rsidRPr="00F11BBE" w:rsidRDefault="005F7AFE" w:rsidP="00C62C67">
            <w:pPr>
              <w:spacing w:line="240" w:lineRule="auto"/>
              <w:jc w:val="center"/>
              <w:rPr>
                <w:lang w:eastAsia="en-US"/>
              </w:rPr>
            </w:pPr>
            <w:r w:rsidRPr="0036104B">
              <w:rPr>
                <w:lang w:eastAsia="en-US"/>
              </w:rPr>
              <w:t>0.0008</w:t>
            </w:r>
          </w:p>
        </w:tc>
        <w:tc>
          <w:tcPr>
            <w:tcW w:w="740" w:type="dxa"/>
          </w:tcPr>
          <w:p w14:paraId="6057E9AE" w14:textId="77777777" w:rsidR="005F7AFE" w:rsidRPr="00F11BBE" w:rsidRDefault="005F7AFE" w:rsidP="00C62C67">
            <w:pPr>
              <w:spacing w:line="240" w:lineRule="auto"/>
              <w:jc w:val="center"/>
              <w:rPr>
                <w:lang w:eastAsia="en-US"/>
              </w:rPr>
            </w:pPr>
            <w:r w:rsidRPr="0036104B">
              <w:rPr>
                <w:lang w:eastAsia="en-US"/>
              </w:rPr>
              <w:t>0.024</w:t>
            </w:r>
          </w:p>
        </w:tc>
        <w:tc>
          <w:tcPr>
            <w:tcW w:w="969" w:type="dxa"/>
          </w:tcPr>
          <w:p w14:paraId="27AC9067" w14:textId="77777777" w:rsidR="005F7AFE" w:rsidRPr="00F11BBE" w:rsidRDefault="005F7AFE" w:rsidP="00C62C67">
            <w:pPr>
              <w:spacing w:line="240" w:lineRule="auto"/>
              <w:jc w:val="center"/>
              <w:rPr>
                <w:lang w:eastAsia="en-US"/>
              </w:rPr>
            </w:pPr>
            <w:r>
              <w:rPr>
                <w:lang w:eastAsia="en-US"/>
              </w:rPr>
              <w:t>0.704</w:t>
            </w:r>
          </w:p>
        </w:tc>
        <w:tc>
          <w:tcPr>
            <w:tcW w:w="703" w:type="dxa"/>
          </w:tcPr>
          <w:p w14:paraId="222C913E" w14:textId="77777777" w:rsidR="005F7AFE" w:rsidRDefault="005F7AFE" w:rsidP="00C62C67">
            <w:pPr>
              <w:spacing w:line="240" w:lineRule="auto"/>
              <w:rPr>
                <w:lang w:eastAsia="en-US"/>
              </w:rPr>
            </w:pPr>
            <w:r>
              <w:rPr>
                <w:b/>
                <w:lang w:eastAsia="en-US"/>
              </w:rPr>
              <w:t>SBA</w:t>
            </w:r>
          </w:p>
        </w:tc>
        <w:tc>
          <w:tcPr>
            <w:tcW w:w="721" w:type="dxa"/>
          </w:tcPr>
          <w:p w14:paraId="22CCB87D" w14:textId="77777777" w:rsidR="005F7AFE" w:rsidRDefault="005F7AFE" w:rsidP="00C62C67">
            <w:pPr>
              <w:spacing w:line="240" w:lineRule="auto"/>
              <w:jc w:val="center"/>
              <w:rPr>
                <w:lang w:eastAsia="en-US"/>
              </w:rPr>
            </w:pPr>
            <w:r w:rsidRPr="00930F2A">
              <w:rPr>
                <w:lang w:eastAsia="en-US"/>
              </w:rPr>
              <w:t>0.025</w:t>
            </w:r>
          </w:p>
        </w:tc>
        <w:tc>
          <w:tcPr>
            <w:tcW w:w="740" w:type="dxa"/>
          </w:tcPr>
          <w:p w14:paraId="22CE5965" w14:textId="77777777" w:rsidR="005F7AFE" w:rsidRDefault="005F7AFE" w:rsidP="00C62C67">
            <w:pPr>
              <w:spacing w:line="240" w:lineRule="auto"/>
              <w:jc w:val="center"/>
              <w:rPr>
                <w:lang w:eastAsia="en-US"/>
              </w:rPr>
            </w:pPr>
            <w:r>
              <w:rPr>
                <w:lang w:eastAsia="en-US"/>
              </w:rPr>
              <w:t>0.119</w:t>
            </w:r>
          </w:p>
        </w:tc>
        <w:tc>
          <w:tcPr>
            <w:tcW w:w="969" w:type="dxa"/>
          </w:tcPr>
          <w:p w14:paraId="61484431" w14:textId="77777777" w:rsidR="005F7AFE" w:rsidRDefault="005F7AFE" w:rsidP="00C62C67">
            <w:pPr>
              <w:spacing w:line="240" w:lineRule="auto"/>
              <w:jc w:val="center"/>
              <w:rPr>
                <w:lang w:eastAsia="en-US"/>
              </w:rPr>
            </w:pPr>
            <w:r>
              <w:rPr>
                <w:lang w:eastAsia="en-US"/>
              </w:rPr>
              <w:t>0.678</w:t>
            </w:r>
          </w:p>
        </w:tc>
      </w:tr>
      <w:tr w:rsidR="005F7AFE" w14:paraId="3DE670D5" w14:textId="77777777" w:rsidTr="00C62C67">
        <w:tblPrEx>
          <w:jc w:val="left"/>
        </w:tblPrEx>
        <w:tc>
          <w:tcPr>
            <w:tcW w:w="703" w:type="dxa"/>
          </w:tcPr>
          <w:p w14:paraId="6B50581D" w14:textId="77777777" w:rsidR="005F7AFE" w:rsidRDefault="005F7AFE" w:rsidP="00C62C67">
            <w:pPr>
              <w:spacing w:line="240" w:lineRule="auto"/>
              <w:rPr>
                <w:b/>
                <w:lang w:eastAsia="en-US"/>
              </w:rPr>
            </w:pPr>
            <w:r>
              <w:rPr>
                <w:b/>
                <w:lang w:eastAsia="en-US"/>
              </w:rPr>
              <w:t>ANC</w:t>
            </w:r>
          </w:p>
        </w:tc>
        <w:tc>
          <w:tcPr>
            <w:tcW w:w="831" w:type="dxa"/>
          </w:tcPr>
          <w:p w14:paraId="04514F2B" w14:textId="77777777" w:rsidR="005F7AFE" w:rsidRPr="00F11BBE" w:rsidRDefault="005F7AFE" w:rsidP="00C62C67">
            <w:pPr>
              <w:spacing w:line="240" w:lineRule="auto"/>
              <w:jc w:val="center"/>
              <w:rPr>
                <w:lang w:eastAsia="en-US"/>
              </w:rPr>
            </w:pPr>
            <w:r w:rsidRPr="0036104B">
              <w:rPr>
                <w:lang w:eastAsia="en-US"/>
              </w:rPr>
              <w:t>0.0023</w:t>
            </w:r>
          </w:p>
        </w:tc>
        <w:tc>
          <w:tcPr>
            <w:tcW w:w="740" w:type="dxa"/>
          </w:tcPr>
          <w:p w14:paraId="3E56D733" w14:textId="77777777" w:rsidR="005F7AFE" w:rsidRPr="00F11BBE" w:rsidRDefault="005F7AFE" w:rsidP="00C62C67">
            <w:pPr>
              <w:spacing w:line="240" w:lineRule="auto"/>
              <w:jc w:val="center"/>
              <w:rPr>
                <w:lang w:eastAsia="en-US"/>
              </w:rPr>
            </w:pPr>
            <w:r w:rsidRPr="0036104B">
              <w:rPr>
                <w:lang w:eastAsia="en-US"/>
              </w:rPr>
              <w:t>0.0365</w:t>
            </w:r>
          </w:p>
        </w:tc>
        <w:tc>
          <w:tcPr>
            <w:tcW w:w="969" w:type="dxa"/>
          </w:tcPr>
          <w:p w14:paraId="248A8A4F" w14:textId="77777777" w:rsidR="005F7AFE" w:rsidRPr="00F11BBE" w:rsidRDefault="005F7AFE" w:rsidP="00C62C67">
            <w:pPr>
              <w:spacing w:line="240" w:lineRule="auto"/>
              <w:jc w:val="center"/>
              <w:rPr>
                <w:lang w:eastAsia="en-US"/>
              </w:rPr>
            </w:pPr>
            <w:r>
              <w:rPr>
                <w:lang w:eastAsia="en-US"/>
              </w:rPr>
              <w:t>0.795</w:t>
            </w:r>
          </w:p>
        </w:tc>
        <w:tc>
          <w:tcPr>
            <w:tcW w:w="703" w:type="dxa"/>
          </w:tcPr>
          <w:p w14:paraId="71E8B6D0" w14:textId="77777777" w:rsidR="005F7AFE" w:rsidRDefault="005F7AFE" w:rsidP="00C62C67">
            <w:pPr>
              <w:spacing w:line="240" w:lineRule="auto"/>
              <w:rPr>
                <w:lang w:eastAsia="en-US"/>
              </w:rPr>
            </w:pPr>
            <w:r>
              <w:rPr>
                <w:b/>
                <w:lang w:eastAsia="en-US"/>
              </w:rPr>
              <w:t>ANC</w:t>
            </w:r>
          </w:p>
        </w:tc>
        <w:tc>
          <w:tcPr>
            <w:tcW w:w="721" w:type="dxa"/>
          </w:tcPr>
          <w:p w14:paraId="07BA39A9" w14:textId="77777777" w:rsidR="005F7AFE" w:rsidRDefault="005F7AFE" w:rsidP="00C62C67">
            <w:pPr>
              <w:spacing w:line="240" w:lineRule="auto"/>
              <w:jc w:val="center"/>
              <w:rPr>
                <w:lang w:eastAsia="en-US"/>
              </w:rPr>
            </w:pPr>
            <w:r>
              <w:rPr>
                <w:lang w:eastAsia="en-US"/>
              </w:rPr>
              <w:t>0.050</w:t>
            </w:r>
          </w:p>
        </w:tc>
        <w:tc>
          <w:tcPr>
            <w:tcW w:w="740" w:type="dxa"/>
          </w:tcPr>
          <w:p w14:paraId="0E42B1AF" w14:textId="77777777" w:rsidR="005F7AFE" w:rsidRDefault="005F7AFE" w:rsidP="00C62C67">
            <w:pPr>
              <w:spacing w:line="240" w:lineRule="auto"/>
              <w:jc w:val="center"/>
              <w:rPr>
                <w:lang w:eastAsia="en-US"/>
              </w:rPr>
            </w:pPr>
            <w:r>
              <w:rPr>
                <w:lang w:eastAsia="en-US"/>
              </w:rPr>
              <w:t>0.171</w:t>
            </w:r>
          </w:p>
        </w:tc>
        <w:tc>
          <w:tcPr>
            <w:tcW w:w="969" w:type="dxa"/>
          </w:tcPr>
          <w:p w14:paraId="2FA73D46" w14:textId="77777777" w:rsidR="005F7AFE" w:rsidRDefault="005F7AFE" w:rsidP="00C62C67">
            <w:pPr>
              <w:spacing w:line="240" w:lineRule="auto"/>
              <w:jc w:val="center"/>
              <w:rPr>
                <w:lang w:eastAsia="en-US"/>
              </w:rPr>
            </w:pPr>
            <w:r>
              <w:rPr>
                <w:lang w:eastAsia="en-US"/>
              </w:rPr>
              <w:t>0.239</w:t>
            </w:r>
          </w:p>
        </w:tc>
      </w:tr>
      <w:tr w:rsidR="005F7AFE" w14:paraId="141CA17D" w14:textId="77777777" w:rsidTr="00C62C67">
        <w:tblPrEx>
          <w:jc w:val="left"/>
        </w:tblPrEx>
        <w:tc>
          <w:tcPr>
            <w:tcW w:w="703" w:type="dxa"/>
          </w:tcPr>
          <w:p w14:paraId="4C838361" w14:textId="77777777" w:rsidR="005F7AFE" w:rsidRDefault="005F7AFE" w:rsidP="00C62C67">
            <w:pPr>
              <w:spacing w:line="240" w:lineRule="auto"/>
              <w:rPr>
                <w:b/>
                <w:lang w:eastAsia="en-US"/>
              </w:rPr>
            </w:pPr>
            <w:r>
              <w:rPr>
                <w:b/>
                <w:lang w:eastAsia="en-US"/>
              </w:rPr>
              <w:t>PNC</w:t>
            </w:r>
          </w:p>
        </w:tc>
        <w:tc>
          <w:tcPr>
            <w:tcW w:w="831" w:type="dxa"/>
          </w:tcPr>
          <w:p w14:paraId="6C53FE92" w14:textId="77777777" w:rsidR="005F7AFE" w:rsidRPr="00F11BBE" w:rsidRDefault="005F7AFE" w:rsidP="00C62C67">
            <w:pPr>
              <w:spacing w:line="240" w:lineRule="auto"/>
              <w:jc w:val="center"/>
              <w:rPr>
                <w:lang w:eastAsia="en-US"/>
              </w:rPr>
            </w:pPr>
            <w:r w:rsidRPr="0036104B">
              <w:rPr>
                <w:lang w:eastAsia="en-US"/>
              </w:rPr>
              <w:t>0.0010</w:t>
            </w:r>
          </w:p>
        </w:tc>
        <w:tc>
          <w:tcPr>
            <w:tcW w:w="740" w:type="dxa"/>
          </w:tcPr>
          <w:p w14:paraId="6D5A1B2D" w14:textId="77777777" w:rsidR="005F7AFE" w:rsidRPr="00F11BBE" w:rsidRDefault="005F7AFE" w:rsidP="00C62C67">
            <w:pPr>
              <w:spacing w:line="240" w:lineRule="auto"/>
              <w:jc w:val="center"/>
              <w:rPr>
                <w:lang w:eastAsia="en-US"/>
              </w:rPr>
            </w:pPr>
            <w:r w:rsidRPr="0036104B">
              <w:rPr>
                <w:lang w:eastAsia="en-US"/>
              </w:rPr>
              <w:t>0.0270</w:t>
            </w:r>
          </w:p>
        </w:tc>
        <w:tc>
          <w:tcPr>
            <w:tcW w:w="969" w:type="dxa"/>
          </w:tcPr>
          <w:p w14:paraId="34D17C2B" w14:textId="77777777" w:rsidR="005F7AFE" w:rsidRPr="00F11BBE" w:rsidRDefault="005F7AFE" w:rsidP="00C62C67">
            <w:pPr>
              <w:spacing w:line="240" w:lineRule="auto"/>
              <w:jc w:val="center"/>
              <w:rPr>
                <w:lang w:eastAsia="en-US"/>
              </w:rPr>
            </w:pPr>
            <w:r>
              <w:rPr>
                <w:lang w:eastAsia="en-US"/>
              </w:rPr>
              <w:t>0.738</w:t>
            </w:r>
          </w:p>
        </w:tc>
        <w:tc>
          <w:tcPr>
            <w:tcW w:w="703" w:type="dxa"/>
          </w:tcPr>
          <w:p w14:paraId="639549F9" w14:textId="77777777" w:rsidR="005F7AFE" w:rsidRDefault="005F7AFE" w:rsidP="00C62C67">
            <w:pPr>
              <w:spacing w:line="240" w:lineRule="auto"/>
              <w:rPr>
                <w:lang w:eastAsia="en-US"/>
              </w:rPr>
            </w:pPr>
            <w:r>
              <w:rPr>
                <w:b/>
                <w:lang w:eastAsia="en-US"/>
              </w:rPr>
              <w:t>PNC</w:t>
            </w:r>
          </w:p>
        </w:tc>
        <w:tc>
          <w:tcPr>
            <w:tcW w:w="721" w:type="dxa"/>
          </w:tcPr>
          <w:p w14:paraId="7143B2D1" w14:textId="77777777" w:rsidR="005F7AFE" w:rsidRDefault="005F7AFE" w:rsidP="00C62C67">
            <w:pPr>
              <w:spacing w:line="240" w:lineRule="auto"/>
              <w:jc w:val="center"/>
              <w:rPr>
                <w:lang w:eastAsia="en-US"/>
              </w:rPr>
            </w:pPr>
            <w:r w:rsidRPr="00930F2A">
              <w:rPr>
                <w:lang w:eastAsia="en-US"/>
              </w:rPr>
              <w:t>0.033</w:t>
            </w:r>
          </w:p>
        </w:tc>
        <w:tc>
          <w:tcPr>
            <w:tcW w:w="740" w:type="dxa"/>
          </w:tcPr>
          <w:p w14:paraId="4D2FE234" w14:textId="77777777" w:rsidR="005F7AFE" w:rsidRDefault="005F7AFE" w:rsidP="00C62C67">
            <w:pPr>
              <w:spacing w:line="240" w:lineRule="auto"/>
              <w:jc w:val="center"/>
              <w:rPr>
                <w:lang w:eastAsia="en-US"/>
              </w:rPr>
            </w:pPr>
            <w:r>
              <w:rPr>
                <w:lang w:eastAsia="en-US"/>
              </w:rPr>
              <w:t>0.136</w:t>
            </w:r>
          </w:p>
        </w:tc>
        <w:tc>
          <w:tcPr>
            <w:tcW w:w="969" w:type="dxa"/>
          </w:tcPr>
          <w:p w14:paraId="4105BC7B" w14:textId="77777777" w:rsidR="005F7AFE" w:rsidRDefault="005F7AFE" w:rsidP="00C62C67">
            <w:pPr>
              <w:spacing w:line="240" w:lineRule="auto"/>
              <w:jc w:val="center"/>
              <w:rPr>
                <w:lang w:eastAsia="en-US"/>
              </w:rPr>
            </w:pPr>
            <w:r>
              <w:rPr>
                <w:lang w:eastAsia="en-US"/>
              </w:rPr>
              <w:t>0.534</w:t>
            </w:r>
          </w:p>
        </w:tc>
      </w:tr>
    </w:tbl>
    <w:p w14:paraId="0F3F3541" w14:textId="15479F48" w:rsidR="006933D7" w:rsidRDefault="005F7AFE" w:rsidP="005C41D6">
      <w:pPr>
        <w:spacing w:line="480" w:lineRule="auto"/>
        <w:rPr>
          <w:rFonts w:asciiTheme="majorBidi" w:hAnsiTheme="majorBidi" w:cstheme="majorBidi"/>
          <w:b/>
          <w:sz w:val="24"/>
          <w:szCs w:val="24"/>
        </w:rPr>
      </w:pPr>
      <w:r>
        <w:rPr>
          <w:rFonts w:asciiTheme="majorBidi" w:hAnsiTheme="majorBidi" w:cstheme="majorBidi"/>
          <w:b/>
          <w:sz w:val="24"/>
          <w:szCs w:val="24"/>
        </w:rPr>
        <w:br/>
      </w:r>
      <w:r w:rsidR="0040476C">
        <w:rPr>
          <w:rFonts w:asciiTheme="majorBidi" w:hAnsiTheme="majorBidi" w:cstheme="majorBidi"/>
          <w:b/>
          <w:sz w:val="24"/>
          <w:szCs w:val="24"/>
        </w:rPr>
        <w:t>Figure titles and legend</w:t>
      </w:r>
    </w:p>
    <w:p w14:paraId="40EBCFC7" w14:textId="66E0B345" w:rsidR="00D9408A" w:rsidRDefault="0040476C" w:rsidP="005C41D6">
      <w:pPr>
        <w:spacing w:line="480" w:lineRule="auto"/>
        <w:rPr>
          <w:rFonts w:asciiTheme="majorBidi" w:hAnsiTheme="majorBidi" w:cstheme="majorBidi"/>
          <w:sz w:val="24"/>
          <w:szCs w:val="24"/>
        </w:rPr>
      </w:pPr>
      <w:r>
        <w:rPr>
          <w:rFonts w:asciiTheme="majorBidi" w:hAnsiTheme="majorBidi" w:cstheme="majorBidi"/>
          <w:b/>
          <w:sz w:val="24"/>
          <w:szCs w:val="24"/>
        </w:rPr>
        <w:t xml:space="preserve">Figure 1. </w:t>
      </w:r>
      <w:r>
        <w:rPr>
          <w:rFonts w:asciiTheme="majorBidi" w:hAnsiTheme="majorBidi" w:cstheme="majorBidi"/>
          <w:sz w:val="24"/>
          <w:szCs w:val="24"/>
        </w:rPr>
        <w:t xml:space="preserve">Predicted prevalence and absolute change in </w:t>
      </w:r>
      <w:r w:rsidR="00D9408A" w:rsidRPr="00D9408A">
        <w:rPr>
          <w:rFonts w:asciiTheme="majorBidi" w:hAnsiTheme="majorBidi" w:cstheme="majorBidi"/>
          <w:b/>
          <w:sz w:val="24"/>
          <w:szCs w:val="24"/>
        </w:rPr>
        <w:t>i</w:t>
      </w:r>
      <w:r w:rsidRPr="00D9408A">
        <w:rPr>
          <w:rFonts w:asciiTheme="majorBidi" w:hAnsiTheme="majorBidi" w:cstheme="majorBidi"/>
          <w:b/>
          <w:sz w:val="24"/>
          <w:szCs w:val="24"/>
        </w:rPr>
        <w:t>)</w:t>
      </w:r>
      <w:r w:rsidRPr="00C92D9F">
        <w:rPr>
          <w:rFonts w:asciiTheme="majorBidi" w:hAnsiTheme="majorBidi" w:cstheme="majorBidi"/>
          <w:sz w:val="24"/>
          <w:szCs w:val="24"/>
        </w:rPr>
        <w:t xml:space="preserve"> skilled birth attendance</w:t>
      </w:r>
      <w:r w:rsidR="005524C6">
        <w:rPr>
          <w:rFonts w:asciiTheme="majorBidi" w:hAnsiTheme="majorBidi" w:cstheme="majorBidi"/>
          <w:sz w:val="24"/>
          <w:szCs w:val="24"/>
        </w:rPr>
        <w:t xml:space="preserve"> (blue)</w:t>
      </w:r>
      <w:r w:rsidRPr="00C92D9F">
        <w:rPr>
          <w:rFonts w:asciiTheme="majorBidi" w:hAnsiTheme="majorBidi" w:cstheme="majorBidi"/>
          <w:sz w:val="24"/>
          <w:szCs w:val="24"/>
        </w:rPr>
        <w:t xml:space="preserve">, </w:t>
      </w:r>
      <w:r w:rsidR="00D9408A" w:rsidRPr="00D9408A">
        <w:rPr>
          <w:rFonts w:asciiTheme="majorBidi" w:hAnsiTheme="majorBidi" w:cstheme="majorBidi"/>
          <w:b/>
          <w:sz w:val="24"/>
          <w:szCs w:val="24"/>
        </w:rPr>
        <w:t>ii</w:t>
      </w:r>
      <w:r w:rsidRPr="00D9408A">
        <w:rPr>
          <w:rFonts w:asciiTheme="majorBidi" w:hAnsiTheme="majorBidi" w:cstheme="majorBidi"/>
          <w:b/>
          <w:sz w:val="24"/>
          <w:szCs w:val="24"/>
        </w:rPr>
        <w:t>)</w:t>
      </w:r>
      <w:r w:rsidRPr="00C92D9F">
        <w:rPr>
          <w:rFonts w:asciiTheme="majorBidi" w:hAnsiTheme="majorBidi" w:cstheme="majorBidi"/>
          <w:sz w:val="24"/>
          <w:szCs w:val="24"/>
        </w:rPr>
        <w:t xml:space="preserve"> 4+ antenatal care visits</w:t>
      </w:r>
      <w:r w:rsidR="005524C6">
        <w:rPr>
          <w:rFonts w:asciiTheme="majorBidi" w:hAnsiTheme="majorBidi" w:cstheme="majorBidi"/>
          <w:sz w:val="24"/>
          <w:szCs w:val="24"/>
        </w:rPr>
        <w:t xml:space="preserve"> (green)</w:t>
      </w:r>
      <w:r w:rsidRPr="00C92D9F">
        <w:rPr>
          <w:rFonts w:asciiTheme="majorBidi" w:hAnsiTheme="majorBidi" w:cstheme="majorBidi"/>
          <w:sz w:val="24"/>
          <w:szCs w:val="24"/>
        </w:rPr>
        <w:t>, and</w:t>
      </w:r>
      <w:r w:rsidRPr="00D9408A">
        <w:rPr>
          <w:rFonts w:asciiTheme="majorBidi" w:hAnsiTheme="majorBidi" w:cstheme="majorBidi"/>
          <w:b/>
          <w:sz w:val="24"/>
          <w:szCs w:val="24"/>
        </w:rPr>
        <w:t xml:space="preserve"> </w:t>
      </w:r>
      <w:r w:rsidR="00D9408A" w:rsidRPr="00D9408A">
        <w:rPr>
          <w:rFonts w:asciiTheme="majorBidi" w:hAnsiTheme="majorBidi" w:cstheme="majorBidi"/>
          <w:b/>
          <w:sz w:val="24"/>
          <w:szCs w:val="24"/>
        </w:rPr>
        <w:t>iii</w:t>
      </w:r>
      <w:r w:rsidRPr="00C92D9F">
        <w:rPr>
          <w:rFonts w:asciiTheme="majorBidi" w:hAnsiTheme="majorBidi" w:cstheme="majorBidi"/>
          <w:b/>
          <w:sz w:val="24"/>
          <w:szCs w:val="24"/>
        </w:rPr>
        <w:t>)</w:t>
      </w:r>
      <w:r w:rsidRPr="00C92D9F">
        <w:rPr>
          <w:rFonts w:asciiTheme="majorBidi" w:hAnsiTheme="majorBidi" w:cstheme="majorBidi"/>
          <w:sz w:val="24"/>
          <w:szCs w:val="24"/>
        </w:rPr>
        <w:t xml:space="preserve"> postnatal check-up within 48 hours</w:t>
      </w:r>
      <w:r w:rsidR="005524C6">
        <w:rPr>
          <w:rFonts w:asciiTheme="majorBidi" w:hAnsiTheme="majorBidi" w:cstheme="majorBidi"/>
          <w:sz w:val="24"/>
          <w:szCs w:val="24"/>
        </w:rPr>
        <w:t xml:space="preserve"> (red)</w:t>
      </w:r>
      <w:r w:rsidR="00D9408A">
        <w:rPr>
          <w:rFonts w:asciiTheme="majorBidi" w:hAnsiTheme="majorBidi" w:cstheme="majorBidi"/>
          <w:sz w:val="24"/>
          <w:szCs w:val="24"/>
        </w:rPr>
        <w:t xml:space="preserve"> a</w:t>
      </w:r>
      <w:r w:rsidR="006515BC">
        <w:rPr>
          <w:rFonts w:asciiTheme="majorBidi" w:hAnsiTheme="majorBidi" w:cstheme="majorBidi"/>
          <w:sz w:val="24"/>
          <w:szCs w:val="24"/>
        </w:rPr>
        <w:t>mong administrative II units, among DHS data in</w:t>
      </w:r>
      <w:r w:rsidR="00D9408A">
        <w:rPr>
          <w:rFonts w:asciiTheme="majorBidi" w:hAnsiTheme="majorBidi" w:cstheme="majorBidi"/>
          <w:sz w:val="24"/>
          <w:szCs w:val="24"/>
        </w:rPr>
        <w:t xml:space="preserve"> </w:t>
      </w:r>
      <w:r w:rsidR="00D9408A">
        <w:rPr>
          <w:rFonts w:asciiTheme="majorBidi" w:hAnsiTheme="majorBidi" w:cstheme="majorBidi"/>
          <w:b/>
          <w:sz w:val="24"/>
          <w:szCs w:val="24"/>
        </w:rPr>
        <w:t xml:space="preserve">a) </w:t>
      </w:r>
      <w:r w:rsidRPr="00C92D9F">
        <w:rPr>
          <w:rFonts w:asciiTheme="majorBidi" w:hAnsiTheme="majorBidi" w:cstheme="majorBidi"/>
          <w:sz w:val="24"/>
          <w:szCs w:val="24"/>
        </w:rPr>
        <w:t>Kenya</w:t>
      </w:r>
      <w:r>
        <w:rPr>
          <w:rFonts w:asciiTheme="majorBidi" w:hAnsiTheme="majorBidi" w:cstheme="majorBidi"/>
          <w:sz w:val="24"/>
          <w:szCs w:val="24"/>
        </w:rPr>
        <w:t>,</w:t>
      </w:r>
      <w:r w:rsidRPr="00C92D9F">
        <w:rPr>
          <w:rFonts w:asciiTheme="majorBidi" w:hAnsiTheme="majorBidi" w:cstheme="majorBidi"/>
          <w:sz w:val="24"/>
          <w:szCs w:val="24"/>
        </w:rPr>
        <w:t xml:space="preserve"> 2003 – 2014</w:t>
      </w:r>
      <w:r w:rsidR="00D9408A">
        <w:rPr>
          <w:rFonts w:asciiTheme="majorBidi" w:hAnsiTheme="majorBidi" w:cstheme="majorBidi"/>
          <w:sz w:val="24"/>
          <w:szCs w:val="24"/>
        </w:rPr>
        <w:t xml:space="preserve"> </w:t>
      </w:r>
      <w:r w:rsidR="00D9408A">
        <w:rPr>
          <w:rFonts w:asciiTheme="majorBidi" w:hAnsiTheme="majorBidi" w:cstheme="majorBidi"/>
          <w:b/>
          <w:sz w:val="24"/>
          <w:szCs w:val="24"/>
        </w:rPr>
        <w:t xml:space="preserve">b) </w:t>
      </w:r>
      <w:r w:rsidR="00D9408A">
        <w:rPr>
          <w:rFonts w:asciiTheme="majorBidi" w:hAnsiTheme="majorBidi" w:cstheme="majorBidi"/>
          <w:sz w:val="24"/>
          <w:szCs w:val="24"/>
        </w:rPr>
        <w:t>Tanzania,</w:t>
      </w:r>
      <w:r w:rsidR="00D9408A" w:rsidRPr="00C92D9F">
        <w:rPr>
          <w:rFonts w:asciiTheme="majorBidi" w:hAnsiTheme="majorBidi" w:cstheme="majorBidi"/>
          <w:sz w:val="24"/>
          <w:szCs w:val="24"/>
        </w:rPr>
        <w:t xml:space="preserve"> </w:t>
      </w:r>
      <w:r w:rsidR="00D9408A">
        <w:rPr>
          <w:rFonts w:asciiTheme="majorBidi" w:hAnsiTheme="majorBidi" w:cstheme="majorBidi"/>
          <w:sz w:val="24"/>
          <w:szCs w:val="24"/>
        </w:rPr>
        <w:t>1999</w:t>
      </w:r>
      <w:r w:rsidR="00D9408A" w:rsidRPr="00C92D9F">
        <w:rPr>
          <w:rFonts w:asciiTheme="majorBidi" w:hAnsiTheme="majorBidi" w:cstheme="majorBidi"/>
          <w:sz w:val="24"/>
          <w:szCs w:val="24"/>
        </w:rPr>
        <w:t xml:space="preserve"> – 201</w:t>
      </w:r>
      <w:r w:rsidR="00D9408A">
        <w:rPr>
          <w:rFonts w:asciiTheme="majorBidi" w:hAnsiTheme="majorBidi" w:cstheme="majorBidi"/>
          <w:sz w:val="24"/>
          <w:szCs w:val="24"/>
        </w:rPr>
        <w:t xml:space="preserve">5, </w:t>
      </w:r>
      <w:r w:rsidR="00D9408A">
        <w:rPr>
          <w:rFonts w:asciiTheme="majorBidi" w:hAnsiTheme="majorBidi" w:cstheme="majorBidi"/>
          <w:b/>
          <w:sz w:val="24"/>
          <w:szCs w:val="24"/>
        </w:rPr>
        <w:t xml:space="preserve">c) </w:t>
      </w:r>
      <w:r w:rsidR="00D9408A">
        <w:rPr>
          <w:rFonts w:asciiTheme="majorBidi" w:hAnsiTheme="majorBidi" w:cstheme="majorBidi"/>
          <w:sz w:val="24"/>
          <w:szCs w:val="24"/>
        </w:rPr>
        <w:t>Rwanda, 2005</w:t>
      </w:r>
      <w:r w:rsidR="00D9408A" w:rsidRPr="00C92D9F">
        <w:rPr>
          <w:rFonts w:asciiTheme="majorBidi" w:hAnsiTheme="majorBidi" w:cstheme="majorBidi"/>
          <w:sz w:val="24"/>
          <w:szCs w:val="24"/>
        </w:rPr>
        <w:t xml:space="preserve"> – 2014</w:t>
      </w:r>
      <w:r w:rsidR="00D9408A">
        <w:rPr>
          <w:rFonts w:asciiTheme="majorBidi" w:hAnsiTheme="majorBidi" w:cstheme="majorBidi"/>
          <w:sz w:val="24"/>
          <w:szCs w:val="24"/>
        </w:rPr>
        <w:t xml:space="preserve">, and </w:t>
      </w:r>
      <w:r w:rsidR="00D9408A">
        <w:rPr>
          <w:rFonts w:asciiTheme="majorBidi" w:hAnsiTheme="majorBidi" w:cstheme="majorBidi"/>
          <w:b/>
          <w:sz w:val="24"/>
          <w:szCs w:val="24"/>
        </w:rPr>
        <w:t xml:space="preserve">d) </w:t>
      </w:r>
      <w:r w:rsidR="00D9408A">
        <w:rPr>
          <w:rFonts w:asciiTheme="majorBidi" w:hAnsiTheme="majorBidi" w:cstheme="majorBidi"/>
          <w:sz w:val="24"/>
          <w:szCs w:val="24"/>
        </w:rPr>
        <w:t>Uganda,</w:t>
      </w:r>
      <w:r w:rsidR="00D9408A" w:rsidRPr="00C92D9F">
        <w:rPr>
          <w:rFonts w:asciiTheme="majorBidi" w:hAnsiTheme="majorBidi" w:cstheme="majorBidi"/>
          <w:sz w:val="24"/>
          <w:szCs w:val="24"/>
        </w:rPr>
        <w:t xml:space="preserve"> 200</w:t>
      </w:r>
      <w:r w:rsidR="00D9408A">
        <w:rPr>
          <w:rFonts w:asciiTheme="majorBidi" w:hAnsiTheme="majorBidi" w:cstheme="majorBidi"/>
          <w:sz w:val="24"/>
          <w:szCs w:val="24"/>
        </w:rPr>
        <w:t>0</w:t>
      </w:r>
      <w:r w:rsidR="00D9408A" w:rsidRPr="00C92D9F">
        <w:rPr>
          <w:rFonts w:asciiTheme="majorBidi" w:hAnsiTheme="majorBidi" w:cstheme="majorBidi"/>
          <w:sz w:val="24"/>
          <w:szCs w:val="24"/>
        </w:rPr>
        <w:t xml:space="preserve"> – 201</w:t>
      </w:r>
      <w:r w:rsidR="00D9408A">
        <w:rPr>
          <w:rFonts w:asciiTheme="majorBidi" w:hAnsiTheme="majorBidi" w:cstheme="majorBidi"/>
          <w:sz w:val="24"/>
          <w:szCs w:val="24"/>
        </w:rPr>
        <w:t>1</w:t>
      </w:r>
      <w:r w:rsidR="006515BC">
        <w:rPr>
          <w:rFonts w:asciiTheme="majorBidi" w:hAnsiTheme="majorBidi" w:cstheme="majorBidi"/>
          <w:sz w:val="24"/>
          <w:szCs w:val="24"/>
        </w:rPr>
        <w:t>.</w:t>
      </w:r>
    </w:p>
    <w:p w14:paraId="680BB04B" w14:textId="4E283DCB" w:rsidR="0040476C" w:rsidRDefault="0040476C" w:rsidP="005C41D6">
      <w:pPr>
        <w:spacing w:line="480" w:lineRule="auto"/>
        <w:rPr>
          <w:rFonts w:asciiTheme="majorBidi" w:hAnsiTheme="majorBidi" w:cstheme="majorBidi"/>
          <w:sz w:val="24"/>
          <w:szCs w:val="24"/>
        </w:rPr>
      </w:pPr>
      <w:r>
        <w:rPr>
          <w:rFonts w:asciiTheme="majorBidi" w:hAnsiTheme="majorBidi" w:cstheme="majorBidi"/>
          <w:b/>
          <w:sz w:val="24"/>
          <w:szCs w:val="24"/>
        </w:rPr>
        <w:t xml:space="preserve">Figure 2. </w:t>
      </w:r>
      <w:r>
        <w:rPr>
          <w:rFonts w:asciiTheme="majorBidi" w:hAnsiTheme="majorBidi" w:cstheme="majorBidi"/>
          <w:sz w:val="24"/>
          <w:szCs w:val="24"/>
        </w:rPr>
        <w:t xml:space="preserve">DIC values for skilled birth attendance (blue), </w:t>
      </w:r>
      <w:r w:rsidR="00BC7826">
        <w:rPr>
          <w:rFonts w:asciiTheme="majorBidi" w:hAnsiTheme="majorBidi" w:cstheme="majorBidi"/>
          <w:sz w:val="24"/>
          <w:szCs w:val="24"/>
        </w:rPr>
        <w:t xml:space="preserve">4+ </w:t>
      </w:r>
      <w:r>
        <w:rPr>
          <w:rFonts w:asciiTheme="majorBidi" w:hAnsiTheme="majorBidi" w:cstheme="majorBidi"/>
          <w:sz w:val="24"/>
          <w:szCs w:val="24"/>
        </w:rPr>
        <w:t>antenatal care</w:t>
      </w:r>
      <w:r w:rsidR="00BC7826">
        <w:rPr>
          <w:rFonts w:asciiTheme="majorBidi" w:hAnsiTheme="majorBidi" w:cstheme="majorBidi"/>
          <w:sz w:val="24"/>
          <w:szCs w:val="24"/>
        </w:rPr>
        <w:t xml:space="preserve"> visits</w:t>
      </w:r>
      <w:r>
        <w:rPr>
          <w:rFonts w:asciiTheme="majorBidi" w:hAnsiTheme="majorBidi" w:cstheme="majorBidi"/>
          <w:sz w:val="24"/>
          <w:szCs w:val="24"/>
        </w:rPr>
        <w:t xml:space="preserve"> (</w:t>
      </w:r>
      <w:r w:rsidR="005524C6">
        <w:rPr>
          <w:rFonts w:asciiTheme="majorBidi" w:hAnsiTheme="majorBidi" w:cstheme="majorBidi"/>
          <w:sz w:val="24"/>
          <w:szCs w:val="24"/>
        </w:rPr>
        <w:t>green</w:t>
      </w:r>
      <w:r>
        <w:rPr>
          <w:rFonts w:asciiTheme="majorBidi" w:hAnsiTheme="majorBidi" w:cstheme="majorBidi"/>
          <w:sz w:val="24"/>
          <w:szCs w:val="24"/>
        </w:rPr>
        <w:t>), and postnatal care (</w:t>
      </w:r>
      <w:r w:rsidR="005524C6">
        <w:rPr>
          <w:rFonts w:asciiTheme="majorBidi" w:hAnsiTheme="majorBidi" w:cstheme="majorBidi"/>
          <w:sz w:val="24"/>
          <w:szCs w:val="24"/>
        </w:rPr>
        <w:t>red</w:t>
      </w:r>
      <w:r>
        <w:rPr>
          <w:rFonts w:asciiTheme="majorBidi" w:hAnsiTheme="majorBidi" w:cstheme="majorBidi"/>
          <w:sz w:val="24"/>
          <w:szCs w:val="24"/>
        </w:rPr>
        <w:t xml:space="preserve">) models, by country, DHS data, 1999 – 2015   </w:t>
      </w:r>
    </w:p>
    <w:p w14:paraId="3B8DC96B" w14:textId="7BA06353" w:rsidR="0040476C" w:rsidRDefault="0040476C" w:rsidP="005C41D6">
      <w:pPr>
        <w:spacing w:line="480" w:lineRule="auto"/>
        <w:rPr>
          <w:rFonts w:asciiTheme="majorBidi" w:hAnsiTheme="majorBidi" w:cstheme="majorBidi"/>
          <w:sz w:val="24"/>
          <w:szCs w:val="24"/>
        </w:rPr>
      </w:pPr>
      <w:r>
        <w:rPr>
          <w:rFonts w:asciiTheme="majorBidi" w:hAnsiTheme="majorBidi" w:cstheme="majorBidi"/>
          <w:b/>
          <w:sz w:val="24"/>
          <w:szCs w:val="24"/>
        </w:rPr>
        <w:t xml:space="preserve">Figure 3. </w:t>
      </w:r>
      <w:r>
        <w:rPr>
          <w:rFonts w:asciiTheme="majorBidi" w:hAnsiTheme="majorBidi" w:cstheme="majorBidi"/>
          <w:sz w:val="24"/>
          <w:szCs w:val="24"/>
        </w:rPr>
        <w:t>Ratio of modelled best-to-worst performing administrative II units over time for skilled birth attendance (blue),</w:t>
      </w:r>
      <w:r w:rsidR="00BC7826">
        <w:rPr>
          <w:rFonts w:asciiTheme="majorBidi" w:hAnsiTheme="majorBidi" w:cstheme="majorBidi"/>
          <w:sz w:val="24"/>
          <w:szCs w:val="24"/>
        </w:rPr>
        <w:t xml:space="preserve"> 4+</w:t>
      </w:r>
      <w:r>
        <w:rPr>
          <w:rFonts w:asciiTheme="majorBidi" w:hAnsiTheme="majorBidi" w:cstheme="majorBidi"/>
          <w:sz w:val="24"/>
          <w:szCs w:val="24"/>
        </w:rPr>
        <w:t xml:space="preserve"> antenatal care</w:t>
      </w:r>
      <w:r w:rsidR="00BC7826">
        <w:rPr>
          <w:rFonts w:asciiTheme="majorBidi" w:hAnsiTheme="majorBidi" w:cstheme="majorBidi"/>
          <w:sz w:val="24"/>
          <w:szCs w:val="24"/>
        </w:rPr>
        <w:t xml:space="preserve"> visits</w:t>
      </w:r>
      <w:r>
        <w:rPr>
          <w:rFonts w:asciiTheme="majorBidi" w:hAnsiTheme="majorBidi" w:cstheme="majorBidi"/>
          <w:sz w:val="24"/>
          <w:szCs w:val="24"/>
        </w:rPr>
        <w:t xml:space="preserve"> </w:t>
      </w:r>
      <w:r w:rsidR="005524C6">
        <w:rPr>
          <w:rFonts w:asciiTheme="majorBidi" w:hAnsiTheme="majorBidi" w:cstheme="majorBidi"/>
          <w:sz w:val="24"/>
          <w:szCs w:val="24"/>
        </w:rPr>
        <w:t>(green</w:t>
      </w:r>
      <w:r>
        <w:rPr>
          <w:rFonts w:asciiTheme="majorBidi" w:hAnsiTheme="majorBidi" w:cstheme="majorBidi"/>
          <w:sz w:val="24"/>
          <w:szCs w:val="24"/>
        </w:rPr>
        <w:t>), and postnatal care (</w:t>
      </w:r>
      <w:r w:rsidR="005524C6">
        <w:rPr>
          <w:rFonts w:asciiTheme="majorBidi" w:hAnsiTheme="majorBidi" w:cstheme="majorBidi"/>
          <w:sz w:val="24"/>
          <w:szCs w:val="24"/>
        </w:rPr>
        <w:t>red</w:t>
      </w:r>
      <w:r>
        <w:rPr>
          <w:rFonts w:asciiTheme="majorBidi" w:hAnsiTheme="majorBidi" w:cstheme="majorBidi"/>
          <w:sz w:val="24"/>
          <w:szCs w:val="24"/>
        </w:rPr>
        <w:t xml:space="preserve">), by country, DHS data, 1999 - 2015. </w:t>
      </w:r>
      <w:r>
        <w:rPr>
          <w:rFonts w:asciiTheme="majorBidi" w:hAnsiTheme="majorBidi" w:cstheme="majorBidi"/>
          <w:sz w:val="24"/>
          <w:szCs w:val="24"/>
        </w:rPr>
        <w:tab/>
      </w:r>
    </w:p>
    <w:p w14:paraId="30F1F878" w14:textId="3D531DE9" w:rsidR="005A0673" w:rsidRDefault="0040476C" w:rsidP="005C41D6">
      <w:pPr>
        <w:spacing w:line="480" w:lineRule="auto"/>
        <w:rPr>
          <w:rFonts w:asciiTheme="majorBidi" w:hAnsiTheme="majorBidi" w:cstheme="majorBidi"/>
          <w:sz w:val="24"/>
          <w:szCs w:val="24"/>
        </w:rPr>
      </w:pPr>
      <w:r>
        <w:rPr>
          <w:rFonts w:asciiTheme="majorBidi" w:hAnsiTheme="majorBidi" w:cstheme="majorBidi"/>
          <w:b/>
          <w:sz w:val="24"/>
          <w:szCs w:val="24"/>
        </w:rPr>
        <w:t xml:space="preserve">Figure 4. </w:t>
      </w:r>
      <w:r>
        <w:rPr>
          <w:rFonts w:asciiTheme="majorBidi" w:hAnsiTheme="majorBidi" w:cstheme="majorBidi"/>
          <w:sz w:val="24"/>
          <w:szCs w:val="24"/>
        </w:rPr>
        <w:t xml:space="preserve">Unadjusted odds ratio of skilled birth attendance (blue), </w:t>
      </w:r>
      <w:r w:rsidR="00BC7826">
        <w:rPr>
          <w:rFonts w:asciiTheme="majorBidi" w:hAnsiTheme="majorBidi" w:cstheme="majorBidi"/>
          <w:sz w:val="24"/>
          <w:szCs w:val="24"/>
        </w:rPr>
        <w:t xml:space="preserve">4+ </w:t>
      </w:r>
      <w:r>
        <w:rPr>
          <w:rFonts w:asciiTheme="majorBidi" w:hAnsiTheme="majorBidi" w:cstheme="majorBidi"/>
          <w:sz w:val="24"/>
          <w:szCs w:val="24"/>
        </w:rPr>
        <w:t>antenatal care</w:t>
      </w:r>
      <w:r w:rsidR="00BC7826">
        <w:rPr>
          <w:rFonts w:asciiTheme="majorBidi" w:hAnsiTheme="majorBidi" w:cstheme="majorBidi"/>
          <w:sz w:val="24"/>
          <w:szCs w:val="24"/>
        </w:rPr>
        <w:t xml:space="preserve"> visits</w:t>
      </w:r>
      <w:r>
        <w:rPr>
          <w:rFonts w:asciiTheme="majorBidi" w:hAnsiTheme="majorBidi" w:cstheme="majorBidi"/>
          <w:sz w:val="24"/>
          <w:szCs w:val="24"/>
        </w:rPr>
        <w:t xml:space="preserve"> (</w:t>
      </w:r>
      <w:r w:rsidR="005524C6">
        <w:rPr>
          <w:rFonts w:asciiTheme="majorBidi" w:hAnsiTheme="majorBidi" w:cstheme="majorBidi"/>
          <w:sz w:val="24"/>
          <w:szCs w:val="24"/>
        </w:rPr>
        <w:t>green</w:t>
      </w:r>
      <w:r>
        <w:rPr>
          <w:rFonts w:asciiTheme="majorBidi" w:hAnsiTheme="majorBidi" w:cstheme="majorBidi"/>
          <w:sz w:val="24"/>
          <w:szCs w:val="24"/>
        </w:rPr>
        <w:t>), and postnatal care (</w:t>
      </w:r>
      <w:r w:rsidR="005524C6">
        <w:rPr>
          <w:rFonts w:asciiTheme="majorBidi" w:hAnsiTheme="majorBidi" w:cstheme="majorBidi"/>
          <w:sz w:val="24"/>
          <w:szCs w:val="24"/>
        </w:rPr>
        <w:t>red</w:t>
      </w:r>
      <w:r>
        <w:rPr>
          <w:rFonts w:asciiTheme="majorBidi" w:hAnsiTheme="majorBidi" w:cstheme="majorBidi"/>
          <w:sz w:val="24"/>
          <w:szCs w:val="24"/>
        </w:rPr>
        <w:t xml:space="preserve">) over time, with worst performing DHS region as reference, DHS data, 1999 – 2015. </w:t>
      </w:r>
    </w:p>
    <w:p w14:paraId="38AF5919" w14:textId="7EA0F684" w:rsidR="00265EB1" w:rsidRDefault="00265EB1" w:rsidP="005C41D6">
      <w:pPr>
        <w:spacing w:line="480" w:lineRule="auto"/>
        <w:rPr>
          <w:rFonts w:asciiTheme="majorBidi" w:hAnsiTheme="majorBidi" w:cstheme="majorBidi"/>
          <w:b/>
          <w:sz w:val="24"/>
          <w:szCs w:val="24"/>
        </w:rPr>
      </w:pPr>
      <w:r>
        <w:rPr>
          <w:rFonts w:asciiTheme="majorBidi" w:hAnsiTheme="majorBidi" w:cstheme="majorBidi"/>
          <w:b/>
          <w:sz w:val="24"/>
          <w:szCs w:val="24"/>
        </w:rPr>
        <w:t>Additional files</w:t>
      </w:r>
    </w:p>
    <w:p w14:paraId="001E2676" w14:textId="5E684C97" w:rsidR="00265EB1" w:rsidRPr="00E6323B" w:rsidRDefault="00265EB1" w:rsidP="005C41D6">
      <w:pPr>
        <w:spacing w:line="480" w:lineRule="auto"/>
        <w:rPr>
          <w:rFonts w:asciiTheme="majorBidi" w:hAnsiTheme="majorBidi" w:cstheme="majorBidi"/>
          <w:sz w:val="24"/>
          <w:szCs w:val="24"/>
        </w:rPr>
      </w:pPr>
      <w:r>
        <w:rPr>
          <w:rFonts w:asciiTheme="majorBidi" w:hAnsiTheme="majorBidi" w:cstheme="majorBidi"/>
          <w:sz w:val="24"/>
          <w:szCs w:val="24"/>
        </w:rPr>
        <w:t>Additional file 1: Supplementary Information. Supplementary information containing 1) unadjusted logistic regression results; 2) model fit, mean posterior estimates and hyperparameters; and 3) ordered absolute change in indicators by administrative II unit.</w:t>
      </w:r>
    </w:p>
    <w:sectPr w:rsidR="00265EB1" w:rsidRPr="00E6323B" w:rsidSect="005C41D6">
      <w:pgSz w:w="11906" w:h="16838"/>
      <w:pgMar w:top="1440" w:right="1077" w:bottom="1440" w:left="1077" w:header="709" w:footer="709"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0358F" w14:textId="77777777" w:rsidR="00D442C0" w:rsidRDefault="00D442C0" w:rsidP="00CC0D8F">
      <w:pPr>
        <w:spacing w:after="0" w:line="240" w:lineRule="auto"/>
      </w:pPr>
      <w:r>
        <w:separator/>
      </w:r>
    </w:p>
  </w:endnote>
  <w:endnote w:type="continuationSeparator" w:id="0">
    <w:p w14:paraId="403F919F" w14:textId="77777777" w:rsidR="00D442C0" w:rsidRDefault="00D442C0" w:rsidP="00CC0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700229"/>
      <w:docPartObj>
        <w:docPartGallery w:val="Page Numbers (Bottom of Page)"/>
        <w:docPartUnique/>
      </w:docPartObj>
    </w:sdtPr>
    <w:sdtEndPr>
      <w:rPr>
        <w:noProof/>
      </w:rPr>
    </w:sdtEndPr>
    <w:sdtContent>
      <w:p w14:paraId="1B13BAF4" w14:textId="2215C4E4" w:rsidR="00594C80" w:rsidRPr="00ED0F8C" w:rsidRDefault="00594C80">
        <w:pPr>
          <w:pStyle w:val="Footer"/>
          <w:rPr>
            <w:rFonts w:ascii="Times New Roman" w:hAnsi="Times New Roman" w:cs="Times New Roman"/>
            <w:noProof/>
            <w:sz w:val="24"/>
            <w:szCs w:val="24"/>
          </w:rPr>
        </w:pPr>
        <w:r w:rsidRPr="00ED0F8C">
          <w:rPr>
            <w:rFonts w:ascii="Times New Roman" w:hAnsi="Times New Roman" w:cs="Times New Roman"/>
            <w:sz w:val="24"/>
            <w:szCs w:val="24"/>
          </w:rPr>
          <w:fldChar w:fldCharType="begin"/>
        </w:r>
        <w:r w:rsidRPr="00ED0F8C">
          <w:rPr>
            <w:rFonts w:ascii="Times New Roman" w:hAnsi="Times New Roman" w:cs="Times New Roman"/>
            <w:sz w:val="24"/>
            <w:szCs w:val="24"/>
          </w:rPr>
          <w:instrText xml:space="preserve"> PAGE   \* MERGEFORMAT </w:instrText>
        </w:r>
        <w:r w:rsidRPr="00ED0F8C">
          <w:rPr>
            <w:rFonts w:ascii="Times New Roman" w:hAnsi="Times New Roman" w:cs="Times New Roman"/>
            <w:sz w:val="24"/>
            <w:szCs w:val="24"/>
          </w:rPr>
          <w:fldChar w:fldCharType="separate"/>
        </w:r>
        <w:r w:rsidR="004D3F0D">
          <w:rPr>
            <w:rFonts w:ascii="Times New Roman" w:hAnsi="Times New Roman" w:cs="Times New Roman"/>
            <w:noProof/>
            <w:sz w:val="24"/>
            <w:szCs w:val="24"/>
          </w:rPr>
          <w:t>1</w:t>
        </w:r>
        <w:r w:rsidRPr="00ED0F8C">
          <w:rPr>
            <w:rFonts w:ascii="Times New Roman" w:hAnsi="Times New Roman" w:cs="Times New Roman"/>
            <w:noProof/>
            <w:sz w:val="24"/>
            <w:szCs w:val="24"/>
          </w:rPr>
          <w:fldChar w:fldCharType="end"/>
        </w:r>
      </w:p>
    </w:sdtContent>
  </w:sdt>
  <w:p w14:paraId="2B20F2CD" w14:textId="77777777" w:rsidR="00594C80" w:rsidRDefault="00594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E7672" w14:textId="77777777" w:rsidR="00D442C0" w:rsidRDefault="00D442C0" w:rsidP="00CC0D8F">
      <w:pPr>
        <w:spacing w:after="0" w:line="240" w:lineRule="auto"/>
      </w:pPr>
      <w:r>
        <w:separator/>
      </w:r>
    </w:p>
  </w:footnote>
  <w:footnote w:type="continuationSeparator" w:id="0">
    <w:p w14:paraId="0B53A5B8" w14:textId="77777777" w:rsidR="00D442C0" w:rsidRDefault="00D442C0" w:rsidP="00CC0D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C3386"/>
    <w:multiLevelType w:val="hybridMultilevel"/>
    <w:tmpl w:val="D0804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F5574"/>
    <w:multiLevelType w:val="hybridMultilevel"/>
    <w:tmpl w:val="F7F8A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C1CC7"/>
    <w:multiLevelType w:val="hybridMultilevel"/>
    <w:tmpl w:val="E57A0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791007"/>
    <w:multiLevelType w:val="hybridMultilevel"/>
    <w:tmpl w:val="BBC2B6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7E0BC1"/>
    <w:multiLevelType w:val="multilevel"/>
    <w:tmpl w:val="B7769732"/>
    <w:lvl w:ilvl="0">
      <w:start w:val="1"/>
      <w:numFmt w:val="decimal"/>
      <w:lvlText w:val="%1."/>
      <w:lvlJc w:val="left"/>
      <w:pPr>
        <w:ind w:left="720" w:hanging="360"/>
      </w:pPr>
      <w:rPr>
        <w:rFonts w:hint="default"/>
        <w:b w:val="0"/>
        <w:bCs w:val="0"/>
      </w:rPr>
    </w:lvl>
    <w:lvl w:ilvl="1">
      <w:start w:val="3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C87D71"/>
    <w:multiLevelType w:val="hybridMultilevel"/>
    <w:tmpl w:val="68168C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7426F9"/>
    <w:multiLevelType w:val="hybridMultilevel"/>
    <w:tmpl w:val="B5A4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2F1E39"/>
    <w:multiLevelType w:val="hybridMultilevel"/>
    <w:tmpl w:val="5ECE9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47"/>
    <w:rsid w:val="00004E24"/>
    <w:rsid w:val="00006D34"/>
    <w:rsid w:val="00013F93"/>
    <w:rsid w:val="00015958"/>
    <w:rsid w:val="00017748"/>
    <w:rsid w:val="00021392"/>
    <w:rsid w:val="00023BF9"/>
    <w:rsid w:val="00026F7D"/>
    <w:rsid w:val="00032292"/>
    <w:rsid w:val="0003697D"/>
    <w:rsid w:val="00036B09"/>
    <w:rsid w:val="00041665"/>
    <w:rsid w:val="00044B03"/>
    <w:rsid w:val="0004651D"/>
    <w:rsid w:val="00060A6B"/>
    <w:rsid w:val="000626DE"/>
    <w:rsid w:val="00064FB0"/>
    <w:rsid w:val="000656C0"/>
    <w:rsid w:val="00067BA8"/>
    <w:rsid w:val="00077D96"/>
    <w:rsid w:val="0008181A"/>
    <w:rsid w:val="00084C72"/>
    <w:rsid w:val="00087887"/>
    <w:rsid w:val="000A0C8A"/>
    <w:rsid w:val="000A0FCE"/>
    <w:rsid w:val="000A55C2"/>
    <w:rsid w:val="000A65C1"/>
    <w:rsid w:val="000B2F34"/>
    <w:rsid w:val="000B52E0"/>
    <w:rsid w:val="000B5EC6"/>
    <w:rsid w:val="000C48AB"/>
    <w:rsid w:val="000D2175"/>
    <w:rsid w:val="000E1F85"/>
    <w:rsid w:val="000E5ABA"/>
    <w:rsid w:val="000F1D94"/>
    <w:rsid w:val="000F1FEA"/>
    <w:rsid w:val="000F47E5"/>
    <w:rsid w:val="000F4C2F"/>
    <w:rsid w:val="00103E66"/>
    <w:rsid w:val="001076A2"/>
    <w:rsid w:val="00112760"/>
    <w:rsid w:val="00114159"/>
    <w:rsid w:val="001141D8"/>
    <w:rsid w:val="00114996"/>
    <w:rsid w:val="0012244C"/>
    <w:rsid w:val="0013267D"/>
    <w:rsid w:val="00136B0C"/>
    <w:rsid w:val="00136C74"/>
    <w:rsid w:val="00141AFA"/>
    <w:rsid w:val="001464CD"/>
    <w:rsid w:val="001525FE"/>
    <w:rsid w:val="00154FAB"/>
    <w:rsid w:val="00164D86"/>
    <w:rsid w:val="00166A71"/>
    <w:rsid w:val="001678C4"/>
    <w:rsid w:val="00171CC3"/>
    <w:rsid w:val="00174CF7"/>
    <w:rsid w:val="001810AB"/>
    <w:rsid w:val="00182B76"/>
    <w:rsid w:val="0018413A"/>
    <w:rsid w:val="001847D7"/>
    <w:rsid w:val="0019364A"/>
    <w:rsid w:val="00196FF8"/>
    <w:rsid w:val="00197416"/>
    <w:rsid w:val="001A11BF"/>
    <w:rsid w:val="001A2AD2"/>
    <w:rsid w:val="001A3B96"/>
    <w:rsid w:val="001A3FB2"/>
    <w:rsid w:val="001A40F1"/>
    <w:rsid w:val="001A73EC"/>
    <w:rsid w:val="001C1394"/>
    <w:rsid w:val="001C339B"/>
    <w:rsid w:val="001C3907"/>
    <w:rsid w:val="001C7152"/>
    <w:rsid w:val="001D034E"/>
    <w:rsid w:val="001D3D05"/>
    <w:rsid w:val="001D45E5"/>
    <w:rsid w:val="001E31EE"/>
    <w:rsid w:val="001E5933"/>
    <w:rsid w:val="001E608C"/>
    <w:rsid w:val="001F0660"/>
    <w:rsid w:val="001F35D7"/>
    <w:rsid w:val="001F5AC6"/>
    <w:rsid w:val="00200AE2"/>
    <w:rsid w:val="00204573"/>
    <w:rsid w:val="00214435"/>
    <w:rsid w:val="002158D0"/>
    <w:rsid w:val="00217F0C"/>
    <w:rsid w:val="002212F9"/>
    <w:rsid w:val="002216D1"/>
    <w:rsid w:val="002237D2"/>
    <w:rsid w:val="00223F5C"/>
    <w:rsid w:val="0022696A"/>
    <w:rsid w:val="00226F1D"/>
    <w:rsid w:val="0023362E"/>
    <w:rsid w:val="0023676C"/>
    <w:rsid w:val="00236A44"/>
    <w:rsid w:val="002442DA"/>
    <w:rsid w:val="00247E06"/>
    <w:rsid w:val="0025089E"/>
    <w:rsid w:val="00251908"/>
    <w:rsid w:val="00254096"/>
    <w:rsid w:val="002608D5"/>
    <w:rsid w:val="00261373"/>
    <w:rsid w:val="0026511D"/>
    <w:rsid w:val="00265EB1"/>
    <w:rsid w:val="00267115"/>
    <w:rsid w:val="00267180"/>
    <w:rsid w:val="0027308C"/>
    <w:rsid w:val="00281B58"/>
    <w:rsid w:val="00281E7F"/>
    <w:rsid w:val="00282B87"/>
    <w:rsid w:val="00283579"/>
    <w:rsid w:val="002841DD"/>
    <w:rsid w:val="002938EF"/>
    <w:rsid w:val="002A1E9F"/>
    <w:rsid w:val="002A448B"/>
    <w:rsid w:val="002A4A58"/>
    <w:rsid w:val="002A5E2D"/>
    <w:rsid w:val="002A7DDE"/>
    <w:rsid w:val="002B3542"/>
    <w:rsid w:val="002C1FFF"/>
    <w:rsid w:val="002C5F1E"/>
    <w:rsid w:val="002D2C22"/>
    <w:rsid w:val="002D4347"/>
    <w:rsid w:val="002D560C"/>
    <w:rsid w:val="002D5E05"/>
    <w:rsid w:val="002D6E8F"/>
    <w:rsid w:val="002D78C2"/>
    <w:rsid w:val="002E31F5"/>
    <w:rsid w:val="002E7490"/>
    <w:rsid w:val="002F0C40"/>
    <w:rsid w:val="002F64CC"/>
    <w:rsid w:val="00300F0B"/>
    <w:rsid w:val="003031CD"/>
    <w:rsid w:val="0030423A"/>
    <w:rsid w:val="003119E1"/>
    <w:rsid w:val="003146DD"/>
    <w:rsid w:val="00314E0B"/>
    <w:rsid w:val="00320C8C"/>
    <w:rsid w:val="00324B15"/>
    <w:rsid w:val="003309DA"/>
    <w:rsid w:val="00334C8B"/>
    <w:rsid w:val="00350388"/>
    <w:rsid w:val="00356DA9"/>
    <w:rsid w:val="003623F8"/>
    <w:rsid w:val="00366481"/>
    <w:rsid w:val="00367769"/>
    <w:rsid w:val="003677C9"/>
    <w:rsid w:val="003708E6"/>
    <w:rsid w:val="00370C9E"/>
    <w:rsid w:val="00371582"/>
    <w:rsid w:val="00373419"/>
    <w:rsid w:val="0037761F"/>
    <w:rsid w:val="00383AE2"/>
    <w:rsid w:val="00391853"/>
    <w:rsid w:val="0039305F"/>
    <w:rsid w:val="00395D2B"/>
    <w:rsid w:val="003A5D88"/>
    <w:rsid w:val="003B1F91"/>
    <w:rsid w:val="003C1C09"/>
    <w:rsid w:val="003C2B01"/>
    <w:rsid w:val="003C57CE"/>
    <w:rsid w:val="003C6016"/>
    <w:rsid w:val="003D53BC"/>
    <w:rsid w:val="003E4AF1"/>
    <w:rsid w:val="003E4D56"/>
    <w:rsid w:val="004007F7"/>
    <w:rsid w:val="0040476C"/>
    <w:rsid w:val="00405175"/>
    <w:rsid w:val="004062FF"/>
    <w:rsid w:val="00406A3D"/>
    <w:rsid w:val="00417DAE"/>
    <w:rsid w:val="00427021"/>
    <w:rsid w:val="00427B5A"/>
    <w:rsid w:val="00430C2E"/>
    <w:rsid w:val="00440E04"/>
    <w:rsid w:val="00442EB8"/>
    <w:rsid w:val="004461DF"/>
    <w:rsid w:val="00447F8B"/>
    <w:rsid w:val="004743E9"/>
    <w:rsid w:val="0049069A"/>
    <w:rsid w:val="004932A0"/>
    <w:rsid w:val="004A1634"/>
    <w:rsid w:val="004A45BB"/>
    <w:rsid w:val="004C015F"/>
    <w:rsid w:val="004C1ACD"/>
    <w:rsid w:val="004D2706"/>
    <w:rsid w:val="004D2FB8"/>
    <w:rsid w:val="004D3F0D"/>
    <w:rsid w:val="004E0B2C"/>
    <w:rsid w:val="004E5D34"/>
    <w:rsid w:val="004E7ABE"/>
    <w:rsid w:val="00500462"/>
    <w:rsid w:val="00502B9F"/>
    <w:rsid w:val="005047D3"/>
    <w:rsid w:val="005057AD"/>
    <w:rsid w:val="00510FC2"/>
    <w:rsid w:val="005204EF"/>
    <w:rsid w:val="00520EA1"/>
    <w:rsid w:val="00524E5C"/>
    <w:rsid w:val="00525B01"/>
    <w:rsid w:val="0053051E"/>
    <w:rsid w:val="00542CCF"/>
    <w:rsid w:val="00551591"/>
    <w:rsid w:val="005524C6"/>
    <w:rsid w:val="005573BD"/>
    <w:rsid w:val="005626DA"/>
    <w:rsid w:val="00563124"/>
    <w:rsid w:val="005636AD"/>
    <w:rsid w:val="0056549E"/>
    <w:rsid w:val="00573522"/>
    <w:rsid w:val="00573CBA"/>
    <w:rsid w:val="00590ED6"/>
    <w:rsid w:val="00591D20"/>
    <w:rsid w:val="00592C53"/>
    <w:rsid w:val="00594C80"/>
    <w:rsid w:val="005A0673"/>
    <w:rsid w:val="005A235E"/>
    <w:rsid w:val="005A3737"/>
    <w:rsid w:val="005A6B58"/>
    <w:rsid w:val="005B4459"/>
    <w:rsid w:val="005B6F2E"/>
    <w:rsid w:val="005B72F6"/>
    <w:rsid w:val="005B7E1D"/>
    <w:rsid w:val="005C41D6"/>
    <w:rsid w:val="005D1424"/>
    <w:rsid w:val="005D6AC4"/>
    <w:rsid w:val="005E0D0D"/>
    <w:rsid w:val="005E3B45"/>
    <w:rsid w:val="005E665E"/>
    <w:rsid w:val="005E7DEB"/>
    <w:rsid w:val="005F2352"/>
    <w:rsid w:val="005F4230"/>
    <w:rsid w:val="005F7AFE"/>
    <w:rsid w:val="00600226"/>
    <w:rsid w:val="00600665"/>
    <w:rsid w:val="0060322E"/>
    <w:rsid w:val="0060404C"/>
    <w:rsid w:val="00617318"/>
    <w:rsid w:val="00626D32"/>
    <w:rsid w:val="00631E1C"/>
    <w:rsid w:val="00633B24"/>
    <w:rsid w:val="00642264"/>
    <w:rsid w:val="006436F3"/>
    <w:rsid w:val="0064425E"/>
    <w:rsid w:val="0064772E"/>
    <w:rsid w:val="006515BC"/>
    <w:rsid w:val="0065530E"/>
    <w:rsid w:val="00666BEB"/>
    <w:rsid w:val="006715C4"/>
    <w:rsid w:val="00674F3F"/>
    <w:rsid w:val="00682E3A"/>
    <w:rsid w:val="006933D7"/>
    <w:rsid w:val="00694B70"/>
    <w:rsid w:val="0069591E"/>
    <w:rsid w:val="006A0A0F"/>
    <w:rsid w:val="006A6C0B"/>
    <w:rsid w:val="006B77BD"/>
    <w:rsid w:val="006C258D"/>
    <w:rsid w:val="006C48B7"/>
    <w:rsid w:val="006C7329"/>
    <w:rsid w:val="006D0F78"/>
    <w:rsid w:val="006D20D9"/>
    <w:rsid w:val="006D3BCA"/>
    <w:rsid w:val="006D5C56"/>
    <w:rsid w:val="006E4533"/>
    <w:rsid w:val="006E6EB6"/>
    <w:rsid w:val="006F62AD"/>
    <w:rsid w:val="00700660"/>
    <w:rsid w:val="00702F08"/>
    <w:rsid w:val="007109B0"/>
    <w:rsid w:val="00720074"/>
    <w:rsid w:val="00720F40"/>
    <w:rsid w:val="0072215C"/>
    <w:rsid w:val="00731289"/>
    <w:rsid w:val="00732D82"/>
    <w:rsid w:val="00736C45"/>
    <w:rsid w:val="007408B5"/>
    <w:rsid w:val="00742637"/>
    <w:rsid w:val="0074531E"/>
    <w:rsid w:val="00746F6A"/>
    <w:rsid w:val="00751825"/>
    <w:rsid w:val="00764139"/>
    <w:rsid w:val="0076525E"/>
    <w:rsid w:val="007655DB"/>
    <w:rsid w:val="0077106C"/>
    <w:rsid w:val="0078277F"/>
    <w:rsid w:val="00783B07"/>
    <w:rsid w:val="007856FF"/>
    <w:rsid w:val="007912FD"/>
    <w:rsid w:val="00797904"/>
    <w:rsid w:val="007A345F"/>
    <w:rsid w:val="007B56B6"/>
    <w:rsid w:val="007B5D7A"/>
    <w:rsid w:val="007C2FF0"/>
    <w:rsid w:val="007C3059"/>
    <w:rsid w:val="007C6AEC"/>
    <w:rsid w:val="007D0A36"/>
    <w:rsid w:val="007D46A2"/>
    <w:rsid w:val="007D76D2"/>
    <w:rsid w:val="007E50CA"/>
    <w:rsid w:val="007E5498"/>
    <w:rsid w:val="007E7DD6"/>
    <w:rsid w:val="007F209A"/>
    <w:rsid w:val="007F7B0E"/>
    <w:rsid w:val="008006EB"/>
    <w:rsid w:val="00801929"/>
    <w:rsid w:val="00806665"/>
    <w:rsid w:val="00810EC3"/>
    <w:rsid w:val="00811996"/>
    <w:rsid w:val="00811D13"/>
    <w:rsid w:val="00834B58"/>
    <w:rsid w:val="0084063E"/>
    <w:rsid w:val="00841B44"/>
    <w:rsid w:val="00863D11"/>
    <w:rsid w:val="00872D07"/>
    <w:rsid w:val="008733AE"/>
    <w:rsid w:val="00873751"/>
    <w:rsid w:val="00875BF0"/>
    <w:rsid w:val="0088075E"/>
    <w:rsid w:val="008840E1"/>
    <w:rsid w:val="008863D6"/>
    <w:rsid w:val="008A3EBC"/>
    <w:rsid w:val="008B00D2"/>
    <w:rsid w:val="008B0917"/>
    <w:rsid w:val="008B6337"/>
    <w:rsid w:val="008C4329"/>
    <w:rsid w:val="008C52C8"/>
    <w:rsid w:val="008E28B6"/>
    <w:rsid w:val="008E2AA2"/>
    <w:rsid w:val="008E78AF"/>
    <w:rsid w:val="008F5EA0"/>
    <w:rsid w:val="008F7D28"/>
    <w:rsid w:val="00901305"/>
    <w:rsid w:val="009026D5"/>
    <w:rsid w:val="009041B7"/>
    <w:rsid w:val="00911789"/>
    <w:rsid w:val="009130C4"/>
    <w:rsid w:val="00913F18"/>
    <w:rsid w:val="00920A15"/>
    <w:rsid w:val="00922888"/>
    <w:rsid w:val="009261EB"/>
    <w:rsid w:val="009303FD"/>
    <w:rsid w:val="00931BF2"/>
    <w:rsid w:val="00937CE7"/>
    <w:rsid w:val="00944068"/>
    <w:rsid w:val="00945A57"/>
    <w:rsid w:val="009476F3"/>
    <w:rsid w:val="00947FB9"/>
    <w:rsid w:val="00960456"/>
    <w:rsid w:val="00961823"/>
    <w:rsid w:val="00966695"/>
    <w:rsid w:val="00966A8A"/>
    <w:rsid w:val="009672F8"/>
    <w:rsid w:val="00967B33"/>
    <w:rsid w:val="00972382"/>
    <w:rsid w:val="00973B32"/>
    <w:rsid w:val="00975F0D"/>
    <w:rsid w:val="00981F0E"/>
    <w:rsid w:val="00985A3E"/>
    <w:rsid w:val="00987110"/>
    <w:rsid w:val="009900C8"/>
    <w:rsid w:val="009935F8"/>
    <w:rsid w:val="009A0556"/>
    <w:rsid w:val="009A433C"/>
    <w:rsid w:val="009A7055"/>
    <w:rsid w:val="009B4939"/>
    <w:rsid w:val="009B4B41"/>
    <w:rsid w:val="009C104A"/>
    <w:rsid w:val="009C4EDA"/>
    <w:rsid w:val="009C5C05"/>
    <w:rsid w:val="009C61A4"/>
    <w:rsid w:val="009D1AB1"/>
    <w:rsid w:val="009D2A24"/>
    <w:rsid w:val="009D3804"/>
    <w:rsid w:val="009D51FE"/>
    <w:rsid w:val="009E06CB"/>
    <w:rsid w:val="009E0807"/>
    <w:rsid w:val="009E5D12"/>
    <w:rsid w:val="009E77B8"/>
    <w:rsid w:val="009F17C7"/>
    <w:rsid w:val="009F401E"/>
    <w:rsid w:val="009F4043"/>
    <w:rsid w:val="009F6595"/>
    <w:rsid w:val="00A02F01"/>
    <w:rsid w:val="00A13BAE"/>
    <w:rsid w:val="00A14635"/>
    <w:rsid w:val="00A15E83"/>
    <w:rsid w:val="00A2032C"/>
    <w:rsid w:val="00A22C22"/>
    <w:rsid w:val="00A25290"/>
    <w:rsid w:val="00A311DF"/>
    <w:rsid w:val="00A33009"/>
    <w:rsid w:val="00A45F1A"/>
    <w:rsid w:val="00A51281"/>
    <w:rsid w:val="00A539EE"/>
    <w:rsid w:val="00A54BDA"/>
    <w:rsid w:val="00A5515F"/>
    <w:rsid w:val="00A6242E"/>
    <w:rsid w:val="00A6351B"/>
    <w:rsid w:val="00A67B9B"/>
    <w:rsid w:val="00A732E6"/>
    <w:rsid w:val="00A759B9"/>
    <w:rsid w:val="00A860F0"/>
    <w:rsid w:val="00A91EB0"/>
    <w:rsid w:val="00A94083"/>
    <w:rsid w:val="00A94B1E"/>
    <w:rsid w:val="00A95C03"/>
    <w:rsid w:val="00A96372"/>
    <w:rsid w:val="00AA1B64"/>
    <w:rsid w:val="00AA2F3B"/>
    <w:rsid w:val="00AA3446"/>
    <w:rsid w:val="00AA4A0D"/>
    <w:rsid w:val="00AA6020"/>
    <w:rsid w:val="00AB2129"/>
    <w:rsid w:val="00AB2E1F"/>
    <w:rsid w:val="00AB5DAE"/>
    <w:rsid w:val="00AC274E"/>
    <w:rsid w:val="00AC27A4"/>
    <w:rsid w:val="00AC2FAF"/>
    <w:rsid w:val="00AC35CF"/>
    <w:rsid w:val="00AC4F90"/>
    <w:rsid w:val="00AC6B29"/>
    <w:rsid w:val="00AC70A8"/>
    <w:rsid w:val="00AD300B"/>
    <w:rsid w:val="00AE6A3C"/>
    <w:rsid w:val="00AE6AB4"/>
    <w:rsid w:val="00AF0A4D"/>
    <w:rsid w:val="00AF15B1"/>
    <w:rsid w:val="00B04C38"/>
    <w:rsid w:val="00B05A53"/>
    <w:rsid w:val="00B05C29"/>
    <w:rsid w:val="00B06245"/>
    <w:rsid w:val="00B107BC"/>
    <w:rsid w:val="00B11EA0"/>
    <w:rsid w:val="00B1461B"/>
    <w:rsid w:val="00B254FF"/>
    <w:rsid w:val="00B26E50"/>
    <w:rsid w:val="00B3342F"/>
    <w:rsid w:val="00B35D39"/>
    <w:rsid w:val="00B507A4"/>
    <w:rsid w:val="00B513DB"/>
    <w:rsid w:val="00B52593"/>
    <w:rsid w:val="00B53C6F"/>
    <w:rsid w:val="00B54387"/>
    <w:rsid w:val="00B54BCE"/>
    <w:rsid w:val="00B55374"/>
    <w:rsid w:val="00B61E26"/>
    <w:rsid w:val="00B77796"/>
    <w:rsid w:val="00B77E4B"/>
    <w:rsid w:val="00B80BB4"/>
    <w:rsid w:val="00B81F50"/>
    <w:rsid w:val="00B86CCF"/>
    <w:rsid w:val="00B87B49"/>
    <w:rsid w:val="00BA7EA2"/>
    <w:rsid w:val="00BB09F0"/>
    <w:rsid w:val="00BB1367"/>
    <w:rsid w:val="00BB146D"/>
    <w:rsid w:val="00BB3B09"/>
    <w:rsid w:val="00BB44F8"/>
    <w:rsid w:val="00BC236C"/>
    <w:rsid w:val="00BC5895"/>
    <w:rsid w:val="00BC7826"/>
    <w:rsid w:val="00BD5B1C"/>
    <w:rsid w:val="00BE066A"/>
    <w:rsid w:val="00BE16A6"/>
    <w:rsid w:val="00BF7113"/>
    <w:rsid w:val="00C0312B"/>
    <w:rsid w:val="00C129DB"/>
    <w:rsid w:val="00C13656"/>
    <w:rsid w:val="00C151E5"/>
    <w:rsid w:val="00C17B9E"/>
    <w:rsid w:val="00C24644"/>
    <w:rsid w:val="00C32C00"/>
    <w:rsid w:val="00C3721E"/>
    <w:rsid w:val="00C4605A"/>
    <w:rsid w:val="00C5021C"/>
    <w:rsid w:val="00C55EAB"/>
    <w:rsid w:val="00C62C67"/>
    <w:rsid w:val="00C6645D"/>
    <w:rsid w:val="00C675DE"/>
    <w:rsid w:val="00C70DC7"/>
    <w:rsid w:val="00C83616"/>
    <w:rsid w:val="00C8510F"/>
    <w:rsid w:val="00C9010F"/>
    <w:rsid w:val="00C92D9F"/>
    <w:rsid w:val="00C937A5"/>
    <w:rsid w:val="00C95513"/>
    <w:rsid w:val="00CA104C"/>
    <w:rsid w:val="00CB0B81"/>
    <w:rsid w:val="00CB205F"/>
    <w:rsid w:val="00CB2963"/>
    <w:rsid w:val="00CC07A2"/>
    <w:rsid w:val="00CC0D8F"/>
    <w:rsid w:val="00CC45D8"/>
    <w:rsid w:val="00CD1A20"/>
    <w:rsid w:val="00CD3618"/>
    <w:rsid w:val="00CD61DD"/>
    <w:rsid w:val="00CD6757"/>
    <w:rsid w:val="00CE46F2"/>
    <w:rsid w:val="00CE61C4"/>
    <w:rsid w:val="00CE6790"/>
    <w:rsid w:val="00CE7E1F"/>
    <w:rsid w:val="00CF23EB"/>
    <w:rsid w:val="00CF2E8E"/>
    <w:rsid w:val="00CF36BA"/>
    <w:rsid w:val="00CF5AD7"/>
    <w:rsid w:val="00CF791F"/>
    <w:rsid w:val="00D07752"/>
    <w:rsid w:val="00D151DA"/>
    <w:rsid w:val="00D1701A"/>
    <w:rsid w:val="00D22ADB"/>
    <w:rsid w:val="00D23366"/>
    <w:rsid w:val="00D2732C"/>
    <w:rsid w:val="00D3626F"/>
    <w:rsid w:val="00D41F87"/>
    <w:rsid w:val="00D442C0"/>
    <w:rsid w:val="00D54D3E"/>
    <w:rsid w:val="00D6034B"/>
    <w:rsid w:val="00D65903"/>
    <w:rsid w:val="00D705C7"/>
    <w:rsid w:val="00D70BE4"/>
    <w:rsid w:val="00D73D23"/>
    <w:rsid w:val="00D76E47"/>
    <w:rsid w:val="00D81F0E"/>
    <w:rsid w:val="00D9299E"/>
    <w:rsid w:val="00D9408A"/>
    <w:rsid w:val="00DA7485"/>
    <w:rsid w:val="00DB081A"/>
    <w:rsid w:val="00DB4DE4"/>
    <w:rsid w:val="00DC51ED"/>
    <w:rsid w:val="00DD3C68"/>
    <w:rsid w:val="00DD409E"/>
    <w:rsid w:val="00DE3A7A"/>
    <w:rsid w:val="00DE40F6"/>
    <w:rsid w:val="00DF2BD3"/>
    <w:rsid w:val="00DF5167"/>
    <w:rsid w:val="00DF5794"/>
    <w:rsid w:val="00E02878"/>
    <w:rsid w:val="00E03109"/>
    <w:rsid w:val="00E06F4D"/>
    <w:rsid w:val="00E14D69"/>
    <w:rsid w:val="00E15B44"/>
    <w:rsid w:val="00E22632"/>
    <w:rsid w:val="00E250C1"/>
    <w:rsid w:val="00E30A82"/>
    <w:rsid w:val="00E314DE"/>
    <w:rsid w:val="00E34125"/>
    <w:rsid w:val="00E352B5"/>
    <w:rsid w:val="00E37B0E"/>
    <w:rsid w:val="00E44A0F"/>
    <w:rsid w:val="00E45D7D"/>
    <w:rsid w:val="00E47844"/>
    <w:rsid w:val="00E52672"/>
    <w:rsid w:val="00E62FDB"/>
    <w:rsid w:val="00E6323B"/>
    <w:rsid w:val="00E66C81"/>
    <w:rsid w:val="00E676FD"/>
    <w:rsid w:val="00E76E0E"/>
    <w:rsid w:val="00E76FD8"/>
    <w:rsid w:val="00E811B8"/>
    <w:rsid w:val="00E8380E"/>
    <w:rsid w:val="00E94D89"/>
    <w:rsid w:val="00EA1CB6"/>
    <w:rsid w:val="00EA593D"/>
    <w:rsid w:val="00EB1D4B"/>
    <w:rsid w:val="00EC0A2A"/>
    <w:rsid w:val="00EC581C"/>
    <w:rsid w:val="00ED0D5C"/>
    <w:rsid w:val="00ED0F8C"/>
    <w:rsid w:val="00ED17B5"/>
    <w:rsid w:val="00ED3BD6"/>
    <w:rsid w:val="00ED4E1C"/>
    <w:rsid w:val="00EE5709"/>
    <w:rsid w:val="00EE638F"/>
    <w:rsid w:val="00EF0630"/>
    <w:rsid w:val="00EF0775"/>
    <w:rsid w:val="00EF6939"/>
    <w:rsid w:val="00F03CAF"/>
    <w:rsid w:val="00F07864"/>
    <w:rsid w:val="00F07FFC"/>
    <w:rsid w:val="00F137A0"/>
    <w:rsid w:val="00F1423E"/>
    <w:rsid w:val="00F23A4C"/>
    <w:rsid w:val="00F26B23"/>
    <w:rsid w:val="00F3279F"/>
    <w:rsid w:val="00F378C6"/>
    <w:rsid w:val="00F408FE"/>
    <w:rsid w:val="00F440ED"/>
    <w:rsid w:val="00F47711"/>
    <w:rsid w:val="00F5101A"/>
    <w:rsid w:val="00F5234E"/>
    <w:rsid w:val="00F559F6"/>
    <w:rsid w:val="00F56E68"/>
    <w:rsid w:val="00F61F49"/>
    <w:rsid w:val="00F66AEC"/>
    <w:rsid w:val="00F66D3E"/>
    <w:rsid w:val="00F670D5"/>
    <w:rsid w:val="00F70767"/>
    <w:rsid w:val="00F73205"/>
    <w:rsid w:val="00F73AD7"/>
    <w:rsid w:val="00F749FA"/>
    <w:rsid w:val="00F81AC1"/>
    <w:rsid w:val="00F846F8"/>
    <w:rsid w:val="00F90445"/>
    <w:rsid w:val="00F90601"/>
    <w:rsid w:val="00F90D1D"/>
    <w:rsid w:val="00F91C01"/>
    <w:rsid w:val="00F9354F"/>
    <w:rsid w:val="00F94148"/>
    <w:rsid w:val="00F960FC"/>
    <w:rsid w:val="00F9758F"/>
    <w:rsid w:val="00FA006D"/>
    <w:rsid w:val="00FA19FA"/>
    <w:rsid w:val="00FB1006"/>
    <w:rsid w:val="00FB2D89"/>
    <w:rsid w:val="00FC0C92"/>
    <w:rsid w:val="00FD746B"/>
    <w:rsid w:val="00FE0860"/>
    <w:rsid w:val="00FF0E5A"/>
    <w:rsid w:val="00FF45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A822F"/>
  <w15:docId w15:val="{37B3E553-E016-4E16-88DA-6F803CDF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F0E"/>
    <w:pPr>
      <w:ind w:left="720"/>
      <w:contextualSpacing/>
    </w:pPr>
  </w:style>
  <w:style w:type="table" w:styleId="TableGrid">
    <w:name w:val="Table Grid"/>
    <w:basedOn w:val="TableNormal"/>
    <w:rsid w:val="00D81F0E"/>
    <w:pPr>
      <w:adjustRightInd w:val="0"/>
      <w:spacing w:before="40" w:after="40" w:line="360" w:lineRule="auto"/>
    </w:pPr>
    <w:rPr>
      <w:rFonts w:ascii="Times New Roman" w:eastAsia="PMingLiU" w:hAnsi="Times New Roman" w:cs="Times New Roma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character" w:styleId="CommentReference">
    <w:name w:val="annotation reference"/>
    <w:basedOn w:val="DefaultParagraphFont"/>
    <w:uiPriority w:val="99"/>
    <w:semiHidden/>
    <w:unhideWhenUsed/>
    <w:rsid w:val="002841DD"/>
    <w:rPr>
      <w:sz w:val="16"/>
      <w:szCs w:val="16"/>
    </w:rPr>
  </w:style>
  <w:style w:type="paragraph" w:styleId="CommentText">
    <w:name w:val="annotation text"/>
    <w:basedOn w:val="Normal"/>
    <w:link w:val="CommentTextChar"/>
    <w:uiPriority w:val="99"/>
    <w:semiHidden/>
    <w:unhideWhenUsed/>
    <w:rsid w:val="002841DD"/>
    <w:pPr>
      <w:spacing w:line="240" w:lineRule="auto"/>
    </w:pPr>
    <w:rPr>
      <w:sz w:val="20"/>
      <w:szCs w:val="20"/>
    </w:rPr>
  </w:style>
  <w:style w:type="character" w:customStyle="1" w:styleId="CommentTextChar">
    <w:name w:val="Comment Text Char"/>
    <w:basedOn w:val="DefaultParagraphFont"/>
    <w:link w:val="CommentText"/>
    <w:uiPriority w:val="99"/>
    <w:semiHidden/>
    <w:rsid w:val="002841DD"/>
    <w:rPr>
      <w:sz w:val="20"/>
      <w:szCs w:val="20"/>
    </w:rPr>
  </w:style>
  <w:style w:type="paragraph" w:styleId="CommentSubject">
    <w:name w:val="annotation subject"/>
    <w:basedOn w:val="CommentText"/>
    <w:next w:val="CommentText"/>
    <w:link w:val="CommentSubjectChar"/>
    <w:uiPriority w:val="99"/>
    <w:semiHidden/>
    <w:unhideWhenUsed/>
    <w:rsid w:val="002841DD"/>
    <w:rPr>
      <w:b/>
      <w:bCs/>
    </w:rPr>
  </w:style>
  <w:style w:type="character" w:customStyle="1" w:styleId="CommentSubjectChar">
    <w:name w:val="Comment Subject Char"/>
    <w:basedOn w:val="CommentTextChar"/>
    <w:link w:val="CommentSubject"/>
    <w:uiPriority w:val="99"/>
    <w:semiHidden/>
    <w:rsid w:val="002841DD"/>
    <w:rPr>
      <w:b/>
      <w:bCs/>
      <w:sz w:val="20"/>
      <w:szCs w:val="20"/>
    </w:rPr>
  </w:style>
  <w:style w:type="paragraph" w:styleId="BalloonText">
    <w:name w:val="Balloon Text"/>
    <w:basedOn w:val="Normal"/>
    <w:link w:val="BalloonTextChar"/>
    <w:uiPriority w:val="99"/>
    <w:semiHidden/>
    <w:unhideWhenUsed/>
    <w:rsid w:val="00284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1DD"/>
    <w:rPr>
      <w:rFonts w:ascii="Tahoma" w:hAnsi="Tahoma" w:cs="Tahoma"/>
      <w:sz w:val="16"/>
      <w:szCs w:val="16"/>
    </w:rPr>
  </w:style>
  <w:style w:type="paragraph" w:styleId="Bibliography">
    <w:name w:val="Bibliography"/>
    <w:basedOn w:val="Normal"/>
    <w:next w:val="Normal"/>
    <w:uiPriority w:val="37"/>
    <w:unhideWhenUsed/>
    <w:rsid w:val="00CD6757"/>
    <w:pPr>
      <w:spacing w:after="240" w:line="240" w:lineRule="auto"/>
    </w:pPr>
  </w:style>
  <w:style w:type="paragraph" w:styleId="Header">
    <w:name w:val="header"/>
    <w:basedOn w:val="Normal"/>
    <w:link w:val="HeaderChar"/>
    <w:uiPriority w:val="99"/>
    <w:unhideWhenUsed/>
    <w:rsid w:val="00CC0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8F"/>
  </w:style>
  <w:style w:type="paragraph" w:styleId="Footer">
    <w:name w:val="footer"/>
    <w:basedOn w:val="Normal"/>
    <w:link w:val="FooterChar"/>
    <w:uiPriority w:val="99"/>
    <w:unhideWhenUsed/>
    <w:rsid w:val="00CC0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8F"/>
  </w:style>
  <w:style w:type="table" w:customStyle="1" w:styleId="TableGrid1">
    <w:name w:val="Table Grid1"/>
    <w:basedOn w:val="TableNormal"/>
    <w:next w:val="TableGrid"/>
    <w:uiPriority w:val="39"/>
    <w:rsid w:val="00811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1F91"/>
    <w:rPr>
      <w:color w:val="0000FF" w:themeColor="hyperlink"/>
      <w:u w:val="single"/>
    </w:rPr>
  </w:style>
  <w:style w:type="character" w:styleId="FollowedHyperlink">
    <w:name w:val="FollowedHyperlink"/>
    <w:basedOn w:val="DefaultParagraphFont"/>
    <w:uiPriority w:val="99"/>
    <w:semiHidden/>
    <w:unhideWhenUsed/>
    <w:rsid w:val="00CA104C"/>
    <w:rPr>
      <w:color w:val="800080" w:themeColor="followedHyperlink"/>
      <w:u w:val="single"/>
    </w:rPr>
  </w:style>
  <w:style w:type="character" w:styleId="LineNumber">
    <w:name w:val="line number"/>
    <w:basedOn w:val="DefaultParagraphFont"/>
    <w:uiPriority w:val="99"/>
    <w:semiHidden/>
    <w:unhideWhenUsed/>
    <w:rsid w:val="00ED0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65421">
      <w:bodyDiv w:val="1"/>
      <w:marLeft w:val="0"/>
      <w:marRight w:val="0"/>
      <w:marTop w:val="0"/>
      <w:marBottom w:val="0"/>
      <w:divBdr>
        <w:top w:val="none" w:sz="0" w:space="0" w:color="auto"/>
        <w:left w:val="none" w:sz="0" w:space="0" w:color="auto"/>
        <w:bottom w:val="none" w:sz="0" w:space="0" w:color="auto"/>
        <w:right w:val="none" w:sz="0" w:space="0" w:color="auto"/>
      </w:divBdr>
    </w:div>
    <w:div w:id="410539617">
      <w:bodyDiv w:val="1"/>
      <w:marLeft w:val="0"/>
      <w:marRight w:val="0"/>
      <w:marTop w:val="0"/>
      <w:marBottom w:val="0"/>
      <w:divBdr>
        <w:top w:val="none" w:sz="0" w:space="0" w:color="auto"/>
        <w:left w:val="none" w:sz="0" w:space="0" w:color="auto"/>
        <w:bottom w:val="none" w:sz="0" w:space="0" w:color="auto"/>
        <w:right w:val="none" w:sz="0" w:space="0" w:color="auto"/>
      </w:divBdr>
    </w:div>
    <w:div w:id="747844698">
      <w:bodyDiv w:val="1"/>
      <w:marLeft w:val="0"/>
      <w:marRight w:val="0"/>
      <w:marTop w:val="0"/>
      <w:marBottom w:val="0"/>
      <w:divBdr>
        <w:top w:val="none" w:sz="0" w:space="0" w:color="auto"/>
        <w:left w:val="none" w:sz="0" w:space="0" w:color="auto"/>
        <w:bottom w:val="none" w:sz="0" w:space="0" w:color="auto"/>
        <w:right w:val="none" w:sz="0" w:space="0" w:color="auto"/>
      </w:divBdr>
    </w:div>
    <w:div w:id="829372522">
      <w:bodyDiv w:val="1"/>
      <w:marLeft w:val="0"/>
      <w:marRight w:val="0"/>
      <w:marTop w:val="0"/>
      <w:marBottom w:val="0"/>
      <w:divBdr>
        <w:top w:val="none" w:sz="0" w:space="0" w:color="auto"/>
        <w:left w:val="none" w:sz="0" w:space="0" w:color="auto"/>
        <w:bottom w:val="none" w:sz="0" w:space="0" w:color="auto"/>
        <w:right w:val="none" w:sz="0" w:space="0" w:color="auto"/>
      </w:divBdr>
    </w:div>
    <w:div w:id="1049111205">
      <w:bodyDiv w:val="1"/>
      <w:marLeft w:val="0"/>
      <w:marRight w:val="0"/>
      <w:marTop w:val="0"/>
      <w:marBottom w:val="0"/>
      <w:divBdr>
        <w:top w:val="none" w:sz="0" w:space="0" w:color="auto"/>
        <w:left w:val="none" w:sz="0" w:space="0" w:color="auto"/>
        <w:bottom w:val="none" w:sz="0" w:space="0" w:color="auto"/>
        <w:right w:val="none" w:sz="0" w:space="0" w:color="auto"/>
      </w:divBdr>
    </w:div>
    <w:div w:id="1245258447">
      <w:bodyDiv w:val="1"/>
      <w:marLeft w:val="0"/>
      <w:marRight w:val="0"/>
      <w:marTop w:val="0"/>
      <w:marBottom w:val="0"/>
      <w:divBdr>
        <w:top w:val="none" w:sz="0" w:space="0" w:color="auto"/>
        <w:left w:val="none" w:sz="0" w:space="0" w:color="auto"/>
        <w:bottom w:val="none" w:sz="0" w:space="0" w:color="auto"/>
        <w:right w:val="none" w:sz="0" w:space="0" w:color="auto"/>
      </w:divBdr>
    </w:div>
    <w:div w:id="1382097131">
      <w:bodyDiv w:val="1"/>
      <w:marLeft w:val="0"/>
      <w:marRight w:val="0"/>
      <w:marTop w:val="0"/>
      <w:marBottom w:val="0"/>
      <w:divBdr>
        <w:top w:val="none" w:sz="0" w:space="0" w:color="auto"/>
        <w:left w:val="none" w:sz="0" w:space="0" w:color="auto"/>
        <w:bottom w:val="none" w:sz="0" w:space="0" w:color="auto"/>
        <w:right w:val="none" w:sz="0" w:space="0" w:color="auto"/>
      </w:divBdr>
    </w:div>
    <w:div w:id="1398046126">
      <w:bodyDiv w:val="1"/>
      <w:marLeft w:val="0"/>
      <w:marRight w:val="0"/>
      <w:marTop w:val="0"/>
      <w:marBottom w:val="0"/>
      <w:divBdr>
        <w:top w:val="none" w:sz="0" w:space="0" w:color="auto"/>
        <w:left w:val="none" w:sz="0" w:space="0" w:color="auto"/>
        <w:bottom w:val="none" w:sz="0" w:space="0" w:color="auto"/>
        <w:right w:val="none" w:sz="0" w:space="0" w:color="auto"/>
      </w:divBdr>
    </w:div>
    <w:div w:id="1568224178">
      <w:bodyDiv w:val="1"/>
      <w:marLeft w:val="0"/>
      <w:marRight w:val="0"/>
      <w:marTop w:val="0"/>
      <w:marBottom w:val="0"/>
      <w:divBdr>
        <w:top w:val="none" w:sz="0" w:space="0" w:color="auto"/>
        <w:left w:val="none" w:sz="0" w:space="0" w:color="auto"/>
        <w:bottom w:val="none" w:sz="0" w:space="0" w:color="auto"/>
        <w:right w:val="none" w:sz="0" w:space="0" w:color="auto"/>
      </w:divBdr>
    </w:div>
    <w:div w:id="1568496717">
      <w:bodyDiv w:val="1"/>
      <w:marLeft w:val="0"/>
      <w:marRight w:val="0"/>
      <w:marTop w:val="0"/>
      <w:marBottom w:val="0"/>
      <w:divBdr>
        <w:top w:val="none" w:sz="0" w:space="0" w:color="auto"/>
        <w:left w:val="none" w:sz="0" w:space="0" w:color="auto"/>
        <w:bottom w:val="none" w:sz="0" w:space="0" w:color="auto"/>
        <w:right w:val="none" w:sz="0" w:space="0" w:color="auto"/>
      </w:divBdr>
    </w:div>
    <w:div w:id="192711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ruktanonchai@soton.ac.uk" TargetMode="External"/><Relationship Id="rId13" Type="http://schemas.openxmlformats.org/officeDocument/2006/relationships/hyperlink" Target="mailto:aCharles@eachq.org" TargetMode="External"/><Relationship Id="rId18" Type="http://schemas.openxmlformats.org/officeDocument/2006/relationships/hyperlink" Target="http://www.worldpop.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yikor@gmail.com" TargetMode="External"/><Relationship Id="rId17" Type="http://schemas.openxmlformats.org/officeDocument/2006/relationships/hyperlink" Target="https://dhsprogram.com/What-We-Do/Protecting-the-Privacy-of-DHS-Survey-Respondents.cfm" TargetMode="External"/><Relationship Id="rId2" Type="http://schemas.openxmlformats.org/officeDocument/2006/relationships/numbering" Target="numbering.xml"/><Relationship Id="rId16" Type="http://schemas.openxmlformats.org/officeDocument/2006/relationships/hyperlink" Target="http://www.spatialdata.dhsprogram.com/boundar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osco@soton.ac.uk" TargetMode="External"/><Relationship Id="rId5" Type="http://schemas.openxmlformats.org/officeDocument/2006/relationships/webSettings" Target="webSettings.xml"/><Relationship Id="rId15" Type="http://schemas.openxmlformats.org/officeDocument/2006/relationships/hyperlink" Target="mailto:a.j.tatem@soton.ac.uk" TargetMode="External"/><Relationship Id="rId10" Type="http://schemas.openxmlformats.org/officeDocument/2006/relationships/hyperlink" Target="mailto:v.a.alegana@soton.ac.uk" TargetMode="External"/><Relationship Id="rId19" Type="http://schemas.openxmlformats.org/officeDocument/2006/relationships/hyperlink" Target="http://www.dhsprogram.com" TargetMode="External"/><Relationship Id="rId4" Type="http://schemas.openxmlformats.org/officeDocument/2006/relationships/settings" Target="settings.xml"/><Relationship Id="rId9" Type="http://schemas.openxmlformats.org/officeDocument/2006/relationships/hyperlink" Target="mailto:kristine.nilsen@soton.ac.uk" TargetMode="External"/><Relationship Id="rId14" Type="http://schemas.openxmlformats.org/officeDocument/2006/relationships/hyperlink" Target="mailto:zoe.matthews@soton.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B7144-FC51-452C-91D8-D4AD20A7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25645</Words>
  <Characters>146183</Characters>
  <Application>Microsoft Office Word</Application>
  <DocSecurity>4</DocSecurity>
  <Lines>1218</Lines>
  <Paragraphs>342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Ruktanonchai C.W.</dc:creator>
  <cp:lastModifiedBy>de Montfalcon S.P.</cp:lastModifiedBy>
  <cp:revision>2</cp:revision>
  <cp:lastPrinted>2018-04-19T12:55:00Z</cp:lastPrinted>
  <dcterms:created xsi:type="dcterms:W3CDTF">2018-11-30T13:32:00Z</dcterms:created>
  <dcterms:modified xsi:type="dcterms:W3CDTF">2018-11-30T13:32:00Z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id="JBahB60G"/&gt;&lt;style id="http://www.zotero.org/styles/biomed-central" hasBibliography="1" bibliographyStyleHasBeenSet="1"/&gt;&lt;prefs&gt;&lt;pref name="fieldType" value="Field"/&gt;&lt;pref name="storeReferences" v</vt:lpwstr>
  </property>
  <property fmtid="{D5CDD505-2E9C-101B-9397-08002B2CF9AE}" pid="3" name="ZOTERO_PREF_2">
    <vt:lpwstr>alue="true"/&gt;&lt;pref name="automaticJournalAbbreviations" value="true"/&gt;&lt;/prefs&gt;&lt;/data&gt;</vt:lpwstr>
  </property>
</Properties>
</file>